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ACA5" w14:textId="1FC619BF" w:rsidR="00B43E07" w:rsidRPr="00E50FA4" w:rsidRDefault="00305AF8" w:rsidP="00350EFD">
      <w:pPr>
        <w:pStyle w:val="Annexetitre"/>
        <w:rPr>
          <w:b w:val="0"/>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E50FA4">
        <w:rPr>
          <w:noProof/>
        </w:rPr>
        <w:t xml:space="preserve">ANNEX </w:t>
      </w:r>
      <w:r w:rsidR="00513D48" w:rsidRPr="00E50FA4">
        <w:rPr>
          <w:noProof/>
        </w:rPr>
        <w:t>XL</w:t>
      </w:r>
      <w:r w:rsidR="00B6543C" w:rsidRPr="00E50FA4">
        <w:rPr>
          <w:noProof/>
        </w:rPr>
        <w:t xml:space="preserve"> </w:t>
      </w:r>
      <w:r w:rsidR="005673AC" w:rsidRPr="00E50FA4">
        <w:rPr>
          <w:noProof/>
        </w:rPr>
        <w:t xml:space="preserve">- </w:t>
      </w:r>
      <w:r w:rsidRPr="00E50FA4">
        <w:rPr>
          <w:noProof/>
        </w:rPr>
        <w:t>Instructions for d</w:t>
      </w:r>
      <w:r w:rsidR="005673AC" w:rsidRPr="00E50FA4">
        <w:rPr>
          <w:noProof/>
        </w:rPr>
        <w:t xml:space="preserve">isclosure of </w:t>
      </w:r>
      <w:r w:rsidR="004D4691" w:rsidRPr="00E50FA4">
        <w:rPr>
          <w:noProof/>
        </w:rPr>
        <w:t xml:space="preserve">ESG </w:t>
      </w:r>
      <w:r w:rsidR="005673AC" w:rsidRPr="00E50FA4">
        <w:rPr>
          <w:noProof/>
        </w:rPr>
        <w:t>risk</w:t>
      </w:r>
      <w:r w:rsidR="004D4691" w:rsidRPr="00E50FA4">
        <w:rPr>
          <w:noProof/>
        </w:rPr>
        <w:t>s</w:t>
      </w:r>
    </w:p>
    <w:p w14:paraId="200FFE8D" w14:textId="77777777" w:rsidR="0025017D" w:rsidRPr="00E50FA4" w:rsidRDefault="0025017D" w:rsidP="001A08A2">
      <w:pPr>
        <w:jc w:val="both"/>
        <w:rPr>
          <w:rFonts w:ascii="Times New Roman" w:hAnsi="Times New Roman" w:cs="Times New Roman"/>
          <w:noProof/>
          <w:sz w:val="24"/>
          <w:lang w:val="en-GB"/>
        </w:rPr>
      </w:pPr>
    </w:p>
    <w:p w14:paraId="20A51B13" w14:textId="20B78039" w:rsidR="00350FA5" w:rsidRPr="00E50FA4" w:rsidRDefault="005348FB" w:rsidP="00B76863">
      <w:pPr>
        <w:pStyle w:val="ListParagraph"/>
        <w:numPr>
          <w:ilvl w:val="0"/>
          <w:numId w:val="11"/>
        </w:numPr>
        <w:spacing w:before="120" w:after="120"/>
        <w:ind w:left="567" w:hanging="567"/>
        <w:jc w:val="both"/>
        <w:rPr>
          <w:rFonts w:ascii="Times New Roman" w:hAnsi="Times New Roman"/>
          <w:noProof/>
          <w:sz w:val="24"/>
        </w:rPr>
      </w:pPr>
      <w:r w:rsidRPr="00E50FA4">
        <w:rPr>
          <w:rFonts w:ascii="Times New Roman" w:hAnsi="Times New Roman"/>
          <w:noProof/>
          <w:sz w:val="24"/>
        </w:rPr>
        <w:t xml:space="preserve">Institutions shall disclose the information referred to in Article 449a of Regulation (EU) </w:t>
      </w:r>
      <w:r w:rsidR="00F83472" w:rsidRPr="00E50FA4">
        <w:rPr>
          <w:rFonts w:ascii="Times New Roman" w:hAnsi="Times New Roman"/>
          <w:noProof/>
          <w:sz w:val="24"/>
        </w:rPr>
        <w:t xml:space="preserve">No </w:t>
      </w:r>
      <w:r w:rsidRPr="00E50FA4">
        <w:rPr>
          <w:rFonts w:ascii="Times New Roman" w:hAnsi="Times New Roman"/>
          <w:noProof/>
          <w:sz w:val="24"/>
        </w:rPr>
        <w:t>575/2013 by following the instructions provided in this Annex</w:t>
      </w:r>
      <w:r w:rsidR="005743DF" w:rsidRPr="00E50FA4">
        <w:rPr>
          <w:rFonts w:ascii="Times New Roman" w:hAnsi="Times New Roman"/>
          <w:noProof/>
          <w:sz w:val="24"/>
        </w:rPr>
        <w:t xml:space="preserve">. The instructions </w:t>
      </w:r>
      <w:r w:rsidR="00C4296F" w:rsidRPr="00E50FA4">
        <w:rPr>
          <w:rFonts w:ascii="Times New Roman" w:hAnsi="Times New Roman"/>
          <w:noProof/>
          <w:sz w:val="24"/>
        </w:rPr>
        <w:t>are to</w:t>
      </w:r>
      <w:r w:rsidR="005743DF" w:rsidRPr="00E50FA4">
        <w:rPr>
          <w:rFonts w:ascii="Times New Roman" w:hAnsi="Times New Roman"/>
          <w:noProof/>
          <w:sz w:val="24"/>
        </w:rPr>
        <w:t xml:space="preserve"> be used</w:t>
      </w:r>
      <w:r w:rsidRPr="00E50FA4">
        <w:rPr>
          <w:rFonts w:ascii="Times New Roman" w:hAnsi="Times New Roman"/>
          <w:noProof/>
          <w:sz w:val="24"/>
        </w:rPr>
        <w:t xml:space="preserve"> to complete the tables and templates which are </w:t>
      </w:r>
      <w:r w:rsidR="009906F2" w:rsidRPr="00E50FA4">
        <w:rPr>
          <w:rFonts w:ascii="Times New Roman" w:hAnsi="Times New Roman"/>
          <w:noProof/>
          <w:sz w:val="24"/>
        </w:rPr>
        <w:t>set out</w:t>
      </w:r>
      <w:r w:rsidRPr="00E50FA4">
        <w:rPr>
          <w:rFonts w:ascii="Times New Roman" w:hAnsi="Times New Roman"/>
          <w:noProof/>
          <w:sz w:val="24"/>
        </w:rPr>
        <w:t xml:space="preserve"> in Annex XXXIX to this Regulation.</w:t>
      </w:r>
    </w:p>
    <w:p w14:paraId="790C760D" w14:textId="674659AA" w:rsidR="00866549" w:rsidRPr="00E50FA4" w:rsidRDefault="00866549" w:rsidP="0071684B">
      <w:pPr>
        <w:pStyle w:val="NumPar2"/>
        <w:numPr>
          <w:ilvl w:val="0"/>
          <w:numId w:val="11"/>
        </w:numPr>
        <w:ind w:left="567" w:hanging="567"/>
        <w:rPr>
          <w:noProof/>
        </w:rPr>
      </w:pPr>
      <w:r w:rsidRPr="00E50FA4">
        <w:rPr>
          <w:noProof/>
        </w:rPr>
        <w:t xml:space="preserve">For the purposes of these </w:t>
      </w:r>
      <w:r w:rsidR="001716D2" w:rsidRPr="00E50FA4">
        <w:rPr>
          <w:noProof/>
        </w:rPr>
        <w:t>i</w:t>
      </w:r>
      <w:r w:rsidRPr="00E50FA4">
        <w:rPr>
          <w:noProof/>
        </w:rPr>
        <w:t>nstructions, the following terms shall be understood as follows:</w:t>
      </w:r>
    </w:p>
    <w:p w14:paraId="6E19BBDE" w14:textId="77777777" w:rsidR="00866549" w:rsidRPr="00E50FA4" w:rsidRDefault="00866549" w:rsidP="001716D2">
      <w:pPr>
        <w:pStyle w:val="Point1letter"/>
        <w:tabs>
          <w:tab w:val="clear" w:pos="1417"/>
        </w:tabs>
        <w:ind w:left="1134" w:right="-8"/>
        <w:rPr>
          <w:noProof/>
          <w:szCs w:val="24"/>
        </w:rPr>
      </w:pPr>
      <w:r w:rsidRPr="00E50FA4">
        <w:rPr>
          <w:noProof/>
          <w:szCs w:val="24"/>
        </w:rPr>
        <w:t>‘environmental, social or governance (ESG) risks’ means the risk of losses arising from any negative financial impact on the institution stemming from the current or prospective impacts of environmental, social or governance (ESG) factors on the institution’s counterparties or invested assets;</w:t>
      </w:r>
    </w:p>
    <w:p w14:paraId="6C492A42" w14:textId="77777777" w:rsidR="00866549" w:rsidRPr="00E50FA4" w:rsidRDefault="00866549" w:rsidP="001716D2">
      <w:pPr>
        <w:pStyle w:val="Point1letter"/>
        <w:tabs>
          <w:tab w:val="clear" w:pos="1417"/>
        </w:tabs>
        <w:ind w:left="1134" w:right="-8"/>
        <w:rPr>
          <w:noProof/>
          <w:szCs w:val="24"/>
        </w:rPr>
      </w:pPr>
      <w:r w:rsidRPr="00E50FA4">
        <w:rPr>
          <w:noProof/>
          <w:szCs w:val="24"/>
        </w:rPr>
        <w:t>‘environmental risk’ means the risk of losses arising from any negative financial impact on the institution stemming from the current or prospective impacts of environmental factors on the institution’s counterparties or invested assets, including factors related to the transition towards the following environmental objectives:</w:t>
      </w:r>
    </w:p>
    <w:p w14:paraId="4DE7147F" w14:textId="77777777" w:rsidR="00866549" w:rsidRPr="00E50FA4" w:rsidRDefault="00866549" w:rsidP="001716D2">
      <w:pPr>
        <w:pStyle w:val="Point2number"/>
        <w:numPr>
          <w:ilvl w:val="4"/>
          <w:numId w:val="56"/>
        </w:numPr>
        <w:tabs>
          <w:tab w:val="clear" w:pos="1984"/>
        </w:tabs>
        <w:ind w:left="1701" w:right="-8"/>
        <w:rPr>
          <w:noProof/>
        </w:rPr>
      </w:pPr>
      <w:r w:rsidRPr="00E50FA4">
        <w:rPr>
          <w:noProof/>
        </w:rPr>
        <w:t>climate change mitigation;</w:t>
      </w:r>
    </w:p>
    <w:p w14:paraId="350A22FB" w14:textId="77777777" w:rsidR="00866549" w:rsidRPr="00E50FA4" w:rsidRDefault="00866549" w:rsidP="001716D2">
      <w:pPr>
        <w:pStyle w:val="Point2number"/>
        <w:numPr>
          <w:ilvl w:val="4"/>
          <w:numId w:val="56"/>
        </w:numPr>
        <w:tabs>
          <w:tab w:val="clear" w:pos="1984"/>
        </w:tabs>
        <w:ind w:left="1701" w:right="-8"/>
        <w:rPr>
          <w:noProof/>
        </w:rPr>
      </w:pPr>
      <w:r w:rsidRPr="00E50FA4">
        <w:rPr>
          <w:noProof/>
        </w:rPr>
        <w:t>climate change adaptation;</w:t>
      </w:r>
    </w:p>
    <w:p w14:paraId="60ECBEAA" w14:textId="3B256A73" w:rsidR="00866549" w:rsidRPr="00E50FA4" w:rsidRDefault="00866549" w:rsidP="001716D2">
      <w:pPr>
        <w:pStyle w:val="Point2number"/>
        <w:numPr>
          <w:ilvl w:val="4"/>
          <w:numId w:val="56"/>
        </w:numPr>
        <w:tabs>
          <w:tab w:val="clear" w:pos="1984"/>
        </w:tabs>
        <w:ind w:left="1701" w:right="-8"/>
        <w:rPr>
          <w:noProof/>
        </w:rPr>
      </w:pPr>
      <w:r w:rsidRPr="00E50FA4">
        <w:rPr>
          <w:noProof/>
        </w:rPr>
        <w:t>the sustainable use and protection of water and marine resources;</w:t>
      </w:r>
    </w:p>
    <w:p w14:paraId="755B6489" w14:textId="77777777" w:rsidR="00866549" w:rsidRPr="00E50FA4" w:rsidRDefault="00866549" w:rsidP="001716D2">
      <w:pPr>
        <w:pStyle w:val="Point2number"/>
        <w:numPr>
          <w:ilvl w:val="4"/>
          <w:numId w:val="56"/>
        </w:numPr>
        <w:tabs>
          <w:tab w:val="clear" w:pos="1984"/>
        </w:tabs>
        <w:ind w:left="1701" w:right="-8"/>
        <w:rPr>
          <w:noProof/>
        </w:rPr>
      </w:pPr>
      <w:r w:rsidRPr="00E50FA4">
        <w:rPr>
          <w:noProof/>
        </w:rPr>
        <w:t>the transition to a circular economy;</w:t>
      </w:r>
    </w:p>
    <w:p w14:paraId="4E2CC15F" w14:textId="77777777" w:rsidR="00866549" w:rsidRPr="00E50FA4" w:rsidRDefault="00866549" w:rsidP="001716D2">
      <w:pPr>
        <w:pStyle w:val="Point2number"/>
        <w:numPr>
          <w:ilvl w:val="4"/>
          <w:numId w:val="56"/>
        </w:numPr>
        <w:tabs>
          <w:tab w:val="clear" w:pos="1984"/>
        </w:tabs>
        <w:ind w:left="1701" w:right="-8"/>
        <w:rPr>
          <w:noProof/>
        </w:rPr>
      </w:pPr>
      <w:r w:rsidRPr="00E50FA4">
        <w:rPr>
          <w:noProof/>
        </w:rPr>
        <w:t>pollution prevention and control;</w:t>
      </w:r>
    </w:p>
    <w:p w14:paraId="26033F0B" w14:textId="77777777" w:rsidR="00866549" w:rsidRPr="00E50FA4" w:rsidRDefault="00866549" w:rsidP="001716D2">
      <w:pPr>
        <w:pStyle w:val="Point2number"/>
        <w:numPr>
          <w:ilvl w:val="4"/>
          <w:numId w:val="56"/>
        </w:numPr>
        <w:tabs>
          <w:tab w:val="clear" w:pos="1984"/>
        </w:tabs>
        <w:ind w:left="1701" w:right="-8"/>
        <w:rPr>
          <w:noProof/>
        </w:rPr>
      </w:pPr>
      <w:r w:rsidRPr="00E50FA4">
        <w:rPr>
          <w:noProof/>
        </w:rPr>
        <w:t>the protection and restoration of biodiversity and ecosystems;</w:t>
      </w:r>
    </w:p>
    <w:p w14:paraId="65964131" w14:textId="77777777" w:rsidR="00866549" w:rsidRPr="00E50FA4" w:rsidRDefault="00866549" w:rsidP="00866549">
      <w:pPr>
        <w:pStyle w:val="Point2"/>
        <w:ind w:left="1134" w:right="568" w:firstLine="0"/>
        <w:rPr>
          <w:noProof/>
          <w:szCs w:val="24"/>
        </w:rPr>
      </w:pPr>
      <w:r w:rsidRPr="00E50FA4">
        <w:rPr>
          <w:noProof/>
          <w:szCs w:val="24"/>
        </w:rPr>
        <w:t>Environmental risk includes both physical risk and transition risk.</w:t>
      </w:r>
    </w:p>
    <w:p w14:paraId="504FD77B" w14:textId="77777777" w:rsidR="00866549" w:rsidRPr="00E50FA4" w:rsidRDefault="00866549" w:rsidP="001716D2">
      <w:pPr>
        <w:pStyle w:val="Point1letter"/>
        <w:tabs>
          <w:tab w:val="clear" w:pos="1417"/>
        </w:tabs>
        <w:ind w:left="1134" w:right="-8"/>
        <w:rPr>
          <w:noProof/>
          <w:szCs w:val="24"/>
        </w:rPr>
      </w:pPr>
      <w:r w:rsidRPr="00E50FA4">
        <w:rPr>
          <w:noProof/>
          <w:szCs w:val="24"/>
        </w:rPr>
        <w:t>‘physical risk’, as part of the overall environmental risk, means the risk of losses arising from any negative financial impact on the institution stemming from the current or prospective impacts of the physical effects of environmental factors on the institution’s counterparties or invested assets;</w:t>
      </w:r>
    </w:p>
    <w:p w14:paraId="220A6BFE" w14:textId="77777777" w:rsidR="00866549" w:rsidRPr="00E50FA4" w:rsidRDefault="00866549" w:rsidP="001716D2">
      <w:pPr>
        <w:pStyle w:val="Point1letter"/>
        <w:tabs>
          <w:tab w:val="clear" w:pos="1417"/>
        </w:tabs>
        <w:ind w:left="1134" w:right="-8"/>
        <w:rPr>
          <w:noProof/>
          <w:szCs w:val="24"/>
        </w:rPr>
      </w:pPr>
      <w:r w:rsidRPr="00E50FA4">
        <w:rPr>
          <w:noProof/>
          <w:szCs w:val="24"/>
        </w:rPr>
        <w:t>‘transition risk’, as part of the overall environmental risk, means the risk of losses arising from any negative financial impact on the institution stemming from the current or prospective impacts of the transition to an environmentally sustainable economy on the institution’s counterparties or invested assets;</w:t>
      </w:r>
    </w:p>
    <w:p w14:paraId="04DDAEBE" w14:textId="77777777" w:rsidR="00866549" w:rsidRPr="00E50FA4" w:rsidRDefault="00866549" w:rsidP="001716D2">
      <w:pPr>
        <w:pStyle w:val="Point1letter"/>
        <w:tabs>
          <w:tab w:val="clear" w:pos="1417"/>
        </w:tabs>
        <w:ind w:left="1134" w:right="-8"/>
        <w:rPr>
          <w:noProof/>
          <w:szCs w:val="24"/>
        </w:rPr>
      </w:pPr>
      <w:r w:rsidRPr="00E50FA4">
        <w:rPr>
          <w:noProof/>
          <w:szCs w:val="24"/>
        </w:rPr>
        <w:t>‘social risk’ means the risk of losses arising from any negative financial impact on the institution stemming from the current or prospective impacts of social factors on the institution’s counterparties or invested assets;</w:t>
      </w:r>
    </w:p>
    <w:p w14:paraId="47855CBB" w14:textId="77777777" w:rsidR="00866549" w:rsidRPr="00E50FA4" w:rsidRDefault="00866549" w:rsidP="001716D2">
      <w:pPr>
        <w:pStyle w:val="Point1letter"/>
        <w:tabs>
          <w:tab w:val="clear" w:pos="1417"/>
        </w:tabs>
        <w:ind w:left="1134" w:right="-8"/>
        <w:rPr>
          <w:noProof/>
        </w:rPr>
      </w:pPr>
      <w:r w:rsidRPr="00E50FA4">
        <w:rPr>
          <w:noProof/>
          <w:szCs w:val="24"/>
        </w:rPr>
        <w:t>‘governance risk’ means the risk of losses arising from any negative financial impact on the institution stemming from the current or prospective impacts of governance factors on the institution’s counterparties or invested assets.</w:t>
      </w:r>
    </w:p>
    <w:p w14:paraId="62434421" w14:textId="05D04D88" w:rsidR="00866549" w:rsidRPr="00E50FA4" w:rsidRDefault="00866549" w:rsidP="00470532">
      <w:pPr>
        <w:pStyle w:val="ListParagraph"/>
        <w:numPr>
          <w:ilvl w:val="0"/>
          <w:numId w:val="11"/>
        </w:numPr>
        <w:spacing w:before="120" w:after="120"/>
        <w:jc w:val="both"/>
        <w:rPr>
          <w:rFonts w:ascii="Times New Roman" w:hAnsi="Times New Roman"/>
          <w:b/>
          <w:noProof/>
          <w:sz w:val="24"/>
        </w:rPr>
      </w:pPr>
      <w:r w:rsidRPr="00E50FA4">
        <w:rPr>
          <w:rFonts w:ascii="Times New Roman" w:hAnsi="Times New Roman"/>
          <w:noProof/>
          <w:sz w:val="24"/>
        </w:rPr>
        <w:t>Reference</w:t>
      </w:r>
      <w:r w:rsidR="001716D2" w:rsidRPr="00E50FA4">
        <w:rPr>
          <w:rFonts w:ascii="Times New Roman" w:hAnsi="Times New Roman"/>
          <w:noProof/>
          <w:sz w:val="24"/>
        </w:rPr>
        <w:t>s</w:t>
      </w:r>
      <w:r w:rsidRPr="00E50FA4">
        <w:rPr>
          <w:rFonts w:ascii="Times New Roman" w:hAnsi="Times New Roman"/>
          <w:noProof/>
          <w:sz w:val="24"/>
        </w:rPr>
        <w:t xml:space="preserve"> to </w:t>
      </w:r>
      <w:r w:rsidR="00A35082" w:rsidRPr="00E50FA4">
        <w:rPr>
          <w:rFonts w:ascii="Times New Roman" w:hAnsi="Times New Roman"/>
          <w:noProof/>
          <w:sz w:val="24"/>
        </w:rPr>
        <w:t xml:space="preserve">the </w:t>
      </w:r>
      <w:r w:rsidRPr="00E50FA4">
        <w:rPr>
          <w:rFonts w:ascii="Times New Roman" w:hAnsi="Times New Roman"/>
          <w:noProof/>
          <w:sz w:val="24"/>
        </w:rPr>
        <w:t>international and Union policy framework</w:t>
      </w:r>
      <w:r w:rsidR="00A35082" w:rsidRPr="00E50FA4">
        <w:rPr>
          <w:rFonts w:ascii="Times New Roman" w:hAnsi="Times New Roman"/>
          <w:noProof/>
          <w:sz w:val="24"/>
        </w:rPr>
        <w:t>s</w:t>
      </w:r>
      <w:r w:rsidRPr="00E50FA4">
        <w:rPr>
          <w:rFonts w:ascii="Times New Roman" w:hAnsi="Times New Roman"/>
          <w:noProof/>
          <w:sz w:val="24"/>
        </w:rPr>
        <w:t xml:space="preserve"> and </w:t>
      </w:r>
      <w:r w:rsidR="00A35082" w:rsidRPr="00E50FA4">
        <w:rPr>
          <w:rFonts w:ascii="Times New Roman" w:hAnsi="Times New Roman"/>
          <w:noProof/>
          <w:sz w:val="24"/>
        </w:rPr>
        <w:t xml:space="preserve">available </w:t>
      </w:r>
      <w:r w:rsidRPr="00E50FA4">
        <w:rPr>
          <w:rFonts w:ascii="Times New Roman" w:hAnsi="Times New Roman"/>
          <w:noProof/>
          <w:sz w:val="24"/>
        </w:rPr>
        <w:t xml:space="preserve">benchmarks throughout these </w:t>
      </w:r>
      <w:r w:rsidR="001716D2" w:rsidRPr="00E50FA4">
        <w:rPr>
          <w:rFonts w:ascii="Times New Roman" w:hAnsi="Times New Roman"/>
          <w:noProof/>
          <w:sz w:val="24"/>
        </w:rPr>
        <w:t>i</w:t>
      </w:r>
      <w:r w:rsidRPr="00E50FA4">
        <w:rPr>
          <w:rFonts w:ascii="Times New Roman" w:hAnsi="Times New Roman"/>
          <w:noProof/>
          <w:sz w:val="24"/>
        </w:rPr>
        <w:t xml:space="preserve">nstructions </w:t>
      </w:r>
      <w:r w:rsidR="00373180" w:rsidRPr="00E50FA4">
        <w:rPr>
          <w:rFonts w:ascii="Times New Roman" w:hAnsi="Times New Roman"/>
          <w:noProof/>
          <w:sz w:val="24"/>
        </w:rPr>
        <w:t>include</w:t>
      </w:r>
      <w:r w:rsidRPr="00E50FA4">
        <w:rPr>
          <w:rFonts w:ascii="Times New Roman" w:hAnsi="Times New Roman"/>
          <w:noProof/>
          <w:sz w:val="24"/>
        </w:rPr>
        <w:t xml:space="preserve">: </w:t>
      </w:r>
      <w:r w:rsidR="00470532" w:rsidRPr="00E50FA4">
        <w:rPr>
          <w:rFonts w:ascii="Times New Roman" w:hAnsi="Times New Roman"/>
          <w:noProof/>
          <w:sz w:val="24"/>
        </w:rPr>
        <w:t>the Paris Agreement adopted under the United Nations Framework Convention on Climate Change</w:t>
      </w:r>
      <w:r w:rsidR="001A5A8B" w:rsidRPr="00E50FA4">
        <w:rPr>
          <w:rFonts w:ascii="Times New Roman" w:hAnsi="Times New Roman"/>
          <w:noProof/>
          <w:sz w:val="24"/>
          <w:vertAlign w:val="superscript"/>
        </w:rPr>
        <w:t>*</w:t>
      </w:r>
      <w:r w:rsidR="001A5A8B" w:rsidRPr="00E50FA4">
        <w:rPr>
          <w:rFonts w:ascii="Times New Roman" w:hAnsi="Times New Roman"/>
          <w:noProof/>
          <w:sz w:val="20"/>
          <w:szCs w:val="20"/>
          <w:vertAlign w:val="superscript"/>
        </w:rPr>
        <w:t>1</w:t>
      </w:r>
      <w:r w:rsidR="003C020F" w:rsidRPr="00E50FA4">
        <w:rPr>
          <w:rFonts w:ascii="Times New Roman" w:hAnsi="Times New Roman"/>
          <w:noProof/>
          <w:sz w:val="20"/>
          <w:szCs w:val="20"/>
          <w:vertAlign w:val="superscript"/>
        </w:rPr>
        <w:t xml:space="preserve">  </w:t>
      </w:r>
      <w:r w:rsidR="003C020F" w:rsidRPr="00E50FA4">
        <w:rPr>
          <w:rFonts w:ascii="Times New Roman" w:hAnsi="Times New Roman"/>
          <w:noProof/>
          <w:sz w:val="20"/>
          <w:szCs w:val="20"/>
        </w:rPr>
        <w:t>(</w:t>
      </w:r>
      <w:r w:rsidR="003C020F" w:rsidRPr="00E50FA4">
        <w:rPr>
          <w:rFonts w:ascii="Times New Roman" w:hAnsi="Times New Roman"/>
          <w:noProof/>
          <w:sz w:val="24"/>
        </w:rPr>
        <w:t>the ‘Paris Agreement’)</w:t>
      </w:r>
      <w:r w:rsidR="0096255E" w:rsidRPr="00E50FA4">
        <w:rPr>
          <w:rFonts w:ascii="Times New Roman" w:hAnsi="Times New Roman"/>
          <w:noProof/>
          <w:sz w:val="24"/>
        </w:rPr>
        <w:t>,</w:t>
      </w:r>
      <w:r w:rsidRPr="00E50FA4">
        <w:rPr>
          <w:rFonts w:ascii="Times New Roman" w:hAnsi="Times New Roman"/>
          <w:noProof/>
          <w:sz w:val="24"/>
        </w:rPr>
        <w:t xml:space="preserve"> </w:t>
      </w:r>
      <w:r w:rsidR="00191249" w:rsidRPr="00E50FA4">
        <w:rPr>
          <w:rFonts w:ascii="Times New Roman" w:hAnsi="Times New Roman"/>
          <w:noProof/>
          <w:sz w:val="24"/>
        </w:rPr>
        <w:t>the Communication from the Commission on the European Green Deal</w:t>
      </w:r>
      <w:r w:rsidR="001A5A8B" w:rsidRPr="00E50FA4">
        <w:rPr>
          <w:rFonts w:ascii="Times New Roman" w:hAnsi="Times New Roman"/>
          <w:noProof/>
          <w:sz w:val="24"/>
          <w:vertAlign w:val="superscript"/>
        </w:rPr>
        <w:t>*2</w:t>
      </w:r>
      <w:r w:rsidR="0096255E" w:rsidRPr="00E50FA4">
        <w:rPr>
          <w:rFonts w:ascii="Times New Roman" w:hAnsi="Times New Roman"/>
          <w:noProof/>
          <w:sz w:val="24"/>
        </w:rPr>
        <w:t>,</w:t>
      </w:r>
      <w:r w:rsidRPr="00E50FA4">
        <w:rPr>
          <w:rFonts w:ascii="Times New Roman" w:hAnsi="Times New Roman"/>
          <w:noProof/>
          <w:sz w:val="24"/>
        </w:rPr>
        <w:t xml:space="preserve"> </w:t>
      </w:r>
      <w:r w:rsidR="001716D2" w:rsidRPr="00E50FA4">
        <w:rPr>
          <w:rFonts w:ascii="Times New Roman" w:hAnsi="Times New Roman"/>
          <w:noProof/>
          <w:sz w:val="24"/>
        </w:rPr>
        <w:t>Directive 2013/34/EU of the European Parliament and of the Council</w:t>
      </w:r>
      <w:r w:rsidR="001A5A8B" w:rsidRPr="00E50FA4">
        <w:rPr>
          <w:rFonts w:ascii="Times New Roman" w:hAnsi="Times New Roman"/>
          <w:noProof/>
          <w:sz w:val="24"/>
          <w:vertAlign w:val="superscript"/>
        </w:rPr>
        <w:t>*3</w:t>
      </w:r>
      <w:r w:rsidR="00541B93" w:rsidRPr="00E50FA4">
        <w:rPr>
          <w:rFonts w:ascii="Times New Roman" w:hAnsi="Times New Roman"/>
          <w:noProof/>
          <w:sz w:val="24"/>
        </w:rPr>
        <w:t>,</w:t>
      </w:r>
      <w:r w:rsidR="00541B93" w:rsidRPr="00E50FA4">
        <w:rPr>
          <w:rFonts w:ascii="Times New Roman" w:hAnsi="Times New Roman"/>
          <w:noProof/>
          <w:sz w:val="24"/>
          <w:vertAlign w:val="superscript"/>
        </w:rPr>
        <w:t xml:space="preserve"> </w:t>
      </w:r>
      <w:r w:rsidR="008C55DE" w:rsidRPr="00E50FA4">
        <w:rPr>
          <w:rFonts w:ascii="Times New Roman" w:hAnsi="Times New Roman"/>
          <w:noProof/>
          <w:sz w:val="24"/>
        </w:rPr>
        <w:t>Directive 2014/95/EU of the European Parliament and of the Council</w:t>
      </w:r>
      <w:r w:rsidR="00541B93" w:rsidRPr="00E50FA4">
        <w:rPr>
          <w:rFonts w:ascii="Times New Roman" w:hAnsi="Times New Roman"/>
          <w:noProof/>
          <w:sz w:val="24"/>
          <w:vertAlign w:val="superscript"/>
        </w:rPr>
        <w:t>*</w:t>
      </w:r>
      <w:r w:rsidR="001A5A8B" w:rsidRPr="00E50FA4">
        <w:rPr>
          <w:rFonts w:ascii="Times New Roman" w:hAnsi="Times New Roman"/>
          <w:noProof/>
          <w:sz w:val="24"/>
          <w:vertAlign w:val="superscript"/>
        </w:rPr>
        <w:t>4</w:t>
      </w:r>
      <w:r w:rsidR="0096255E" w:rsidRPr="00E50FA4">
        <w:rPr>
          <w:rFonts w:ascii="Times New Roman" w:hAnsi="Times New Roman"/>
          <w:noProof/>
          <w:sz w:val="24"/>
        </w:rPr>
        <w:t>,</w:t>
      </w:r>
      <w:r w:rsidRPr="00E50FA4">
        <w:rPr>
          <w:rFonts w:ascii="Times New Roman" w:hAnsi="Times New Roman"/>
          <w:noProof/>
          <w:sz w:val="24"/>
        </w:rPr>
        <w:t xml:space="preserve"> </w:t>
      </w:r>
      <w:r w:rsidR="00A35082" w:rsidRPr="00E50FA4">
        <w:rPr>
          <w:rFonts w:ascii="Times New Roman" w:hAnsi="Times New Roman"/>
          <w:noProof/>
          <w:sz w:val="24"/>
        </w:rPr>
        <w:t xml:space="preserve">the </w:t>
      </w:r>
      <w:r w:rsidR="0096255E" w:rsidRPr="00E50FA4">
        <w:rPr>
          <w:rFonts w:ascii="Times New Roman" w:hAnsi="Times New Roman"/>
          <w:noProof/>
          <w:sz w:val="24"/>
        </w:rPr>
        <w:t>Communication from the</w:t>
      </w:r>
      <w:r w:rsidR="00FA66F9" w:rsidRPr="00E50FA4">
        <w:rPr>
          <w:rFonts w:ascii="Times New Roman" w:hAnsi="Times New Roman"/>
          <w:noProof/>
          <w:sz w:val="24"/>
        </w:rPr>
        <w:t xml:space="preserve"> Commission</w:t>
      </w:r>
      <w:r w:rsidR="0096255E" w:rsidRPr="00E50FA4">
        <w:rPr>
          <w:rFonts w:ascii="Times New Roman" w:hAnsi="Times New Roman"/>
          <w:noProof/>
          <w:sz w:val="24"/>
        </w:rPr>
        <w:t xml:space="preserve"> - </w:t>
      </w:r>
      <w:r w:rsidRPr="00E50FA4">
        <w:rPr>
          <w:rFonts w:ascii="Times New Roman" w:hAnsi="Times New Roman"/>
          <w:noProof/>
          <w:sz w:val="24"/>
        </w:rPr>
        <w:t>Guidelines on non-financial reporting</w:t>
      </w:r>
      <w:r w:rsidR="0096255E" w:rsidRPr="00E50FA4">
        <w:rPr>
          <w:rFonts w:ascii="Times New Roman" w:hAnsi="Times New Roman"/>
          <w:noProof/>
          <w:sz w:val="24"/>
        </w:rPr>
        <w:t>:</w:t>
      </w:r>
      <w:r w:rsidRPr="00E50FA4">
        <w:rPr>
          <w:rFonts w:ascii="Times New Roman" w:hAnsi="Times New Roman"/>
          <w:noProof/>
          <w:sz w:val="24"/>
        </w:rPr>
        <w:t xml:space="preserve"> Supplement on reporting climate-related information</w:t>
      </w:r>
      <w:r w:rsidR="0096255E" w:rsidRPr="00E50FA4">
        <w:rPr>
          <w:rFonts w:ascii="Times New Roman" w:hAnsi="Times New Roman"/>
          <w:noProof/>
          <w:sz w:val="24"/>
          <w:vertAlign w:val="superscript"/>
        </w:rPr>
        <w:t>*</w:t>
      </w:r>
      <w:r w:rsidR="001A5A8B" w:rsidRPr="00E50FA4">
        <w:rPr>
          <w:rFonts w:ascii="Times New Roman" w:hAnsi="Times New Roman"/>
          <w:noProof/>
          <w:sz w:val="24"/>
          <w:vertAlign w:val="superscript"/>
        </w:rPr>
        <w:t>5</w:t>
      </w:r>
      <w:r w:rsidR="0096255E" w:rsidRPr="00E50FA4">
        <w:rPr>
          <w:rFonts w:ascii="Times New Roman" w:hAnsi="Times New Roman"/>
          <w:noProof/>
          <w:sz w:val="24"/>
        </w:rPr>
        <w:t>,</w:t>
      </w:r>
      <w:r w:rsidRPr="00E50FA4">
        <w:rPr>
          <w:rFonts w:ascii="Times New Roman" w:hAnsi="Times New Roman"/>
          <w:noProof/>
          <w:sz w:val="24"/>
        </w:rPr>
        <w:t xml:space="preserve"> </w:t>
      </w:r>
      <w:r w:rsidR="00A35082" w:rsidRPr="00E50FA4">
        <w:rPr>
          <w:rFonts w:ascii="Times New Roman" w:hAnsi="Times New Roman"/>
          <w:noProof/>
          <w:sz w:val="24"/>
        </w:rPr>
        <w:t xml:space="preserve">the guidance made available by the </w:t>
      </w:r>
      <w:r w:rsidRPr="00E50FA4">
        <w:rPr>
          <w:rFonts w:ascii="Times New Roman" w:hAnsi="Times New Roman"/>
          <w:noProof/>
          <w:sz w:val="24"/>
        </w:rPr>
        <w:t>Task Force on Climate-related Financial Disclosures (TCFD) Recommendations</w:t>
      </w:r>
      <w:r w:rsidR="0096255E" w:rsidRPr="00E50FA4">
        <w:rPr>
          <w:rFonts w:ascii="Times New Roman" w:hAnsi="Times New Roman"/>
          <w:noProof/>
          <w:sz w:val="24"/>
          <w:vertAlign w:val="superscript"/>
        </w:rPr>
        <w:t>*</w:t>
      </w:r>
      <w:r w:rsidR="00016326" w:rsidRPr="00E50FA4">
        <w:rPr>
          <w:rFonts w:ascii="Times New Roman" w:hAnsi="Times New Roman"/>
          <w:noProof/>
          <w:sz w:val="24"/>
          <w:vertAlign w:val="superscript"/>
        </w:rPr>
        <w:t>6</w:t>
      </w:r>
      <w:r w:rsidR="0096255E" w:rsidRPr="00E50FA4">
        <w:rPr>
          <w:rFonts w:ascii="Times New Roman" w:hAnsi="Times New Roman"/>
          <w:noProof/>
          <w:sz w:val="24"/>
        </w:rPr>
        <w:t>,</w:t>
      </w:r>
      <w:r w:rsidRPr="00E50FA4">
        <w:rPr>
          <w:rFonts w:ascii="Times New Roman" w:hAnsi="Times New Roman"/>
          <w:noProof/>
          <w:sz w:val="24"/>
        </w:rPr>
        <w:t xml:space="preserve"> </w:t>
      </w:r>
      <w:r w:rsidR="00A35082" w:rsidRPr="00E50FA4">
        <w:rPr>
          <w:rFonts w:ascii="Times New Roman" w:hAnsi="Times New Roman"/>
          <w:noProof/>
          <w:sz w:val="24"/>
        </w:rPr>
        <w:t xml:space="preserve">the </w:t>
      </w:r>
      <w:r w:rsidRPr="00E50FA4">
        <w:rPr>
          <w:rFonts w:ascii="Times New Roman" w:hAnsi="Times New Roman"/>
          <w:noProof/>
          <w:sz w:val="24"/>
        </w:rPr>
        <w:t>United Nations Environment Programme Finance Initiative (UNEP FI)</w:t>
      </w:r>
      <w:r w:rsidR="0096255E" w:rsidRPr="00E50FA4">
        <w:rPr>
          <w:rFonts w:ascii="Times New Roman" w:hAnsi="Times New Roman"/>
          <w:noProof/>
          <w:sz w:val="24"/>
          <w:vertAlign w:val="superscript"/>
        </w:rPr>
        <w:t>*</w:t>
      </w:r>
      <w:r w:rsidR="005B599D" w:rsidRPr="00E50FA4">
        <w:rPr>
          <w:rFonts w:ascii="Times New Roman" w:hAnsi="Times New Roman"/>
          <w:noProof/>
          <w:sz w:val="24"/>
          <w:vertAlign w:val="superscript"/>
        </w:rPr>
        <w:t>7</w:t>
      </w:r>
      <w:r w:rsidR="0096255E" w:rsidRPr="00E50FA4">
        <w:rPr>
          <w:rFonts w:ascii="Times New Roman" w:hAnsi="Times New Roman"/>
          <w:noProof/>
          <w:sz w:val="24"/>
        </w:rPr>
        <w:t>,</w:t>
      </w:r>
      <w:r w:rsidRPr="00E50FA4">
        <w:rPr>
          <w:rFonts w:ascii="Times New Roman" w:hAnsi="Times New Roman"/>
          <w:noProof/>
          <w:sz w:val="24"/>
        </w:rPr>
        <w:t xml:space="preserve"> the Global Reporting Initiative Sustainability Reporting Standards</w:t>
      </w:r>
      <w:r w:rsidR="0096255E" w:rsidRPr="00E50FA4">
        <w:rPr>
          <w:rFonts w:ascii="Times New Roman" w:hAnsi="Times New Roman"/>
          <w:noProof/>
          <w:sz w:val="24"/>
          <w:vertAlign w:val="superscript"/>
        </w:rPr>
        <w:t>*</w:t>
      </w:r>
      <w:r w:rsidR="005B599D" w:rsidRPr="00E50FA4">
        <w:rPr>
          <w:rFonts w:ascii="Times New Roman" w:hAnsi="Times New Roman"/>
          <w:noProof/>
          <w:sz w:val="24"/>
          <w:vertAlign w:val="superscript"/>
        </w:rPr>
        <w:t>8</w:t>
      </w:r>
      <w:r w:rsidRPr="00E50FA4">
        <w:rPr>
          <w:rFonts w:ascii="Times New Roman" w:hAnsi="Times New Roman"/>
          <w:noProof/>
          <w:sz w:val="24"/>
        </w:rPr>
        <w:t xml:space="preserve">, </w:t>
      </w:r>
      <w:r w:rsidR="0096255E" w:rsidRPr="00E50FA4">
        <w:rPr>
          <w:rFonts w:ascii="Times New Roman" w:hAnsi="Times New Roman"/>
          <w:noProof/>
          <w:sz w:val="24"/>
        </w:rPr>
        <w:t xml:space="preserve">and </w:t>
      </w:r>
      <w:r w:rsidRPr="00E50FA4">
        <w:rPr>
          <w:rFonts w:ascii="Times New Roman" w:hAnsi="Times New Roman"/>
          <w:noProof/>
          <w:sz w:val="24"/>
        </w:rPr>
        <w:t>the United Nations’ Principles for Responsible Investment (UNPRI)</w:t>
      </w:r>
      <w:r w:rsidR="0096255E" w:rsidRPr="00E50FA4">
        <w:rPr>
          <w:rFonts w:ascii="Times New Roman" w:hAnsi="Times New Roman"/>
          <w:noProof/>
          <w:sz w:val="24"/>
          <w:vertAlign w:val="superscript"/>
        </w:rPr>
        <w:t>*</w:t>
      </w:r>
      <w:r w:rsidR="005B599D" w:rsidRPr="00E50FA4">
        <w:rPr>
          <w:rFonts w:ascii="Times New Roman" w:hAnsi="Times New Roman"/>
          <w:noProof/>
          <w:sz w:val="24"/>
          <w:vertAlign w:val="superscript"/>
        </w:rPr>
        <w:t>9</w:t>
      </w:r>
      <w:r w:rsidRPr="00E50FA4">
        <w:rPr>
          <w:rFonts w:ascii="Times New Roman" w:hAnsi="Times New Roman"/>
          <w:noProof/>
          <w:sz w:val="24"/>
        </w:rPr>
        <w:t>.</w:t>
      </w:r>
    </w:p>
    <w:p w14:paraId="499989CB" w14:textId="77777777" w:rsidR="00866549" w:rsidRPr="00E50FA4" w:rsidRDefault="00866549" w:rsidP="001A08A2">
      <w:pPr>
        <w:jc w:val="both"/>
        <w:rPr>
          <w:rFonts w:ascii="Times New Roman" w:hAnsi="Times New Roman" w:cs="Times New Roman"/>
          <w:b/>
          <w:noProof/>
          <w:sz w:val="24"/>
          <w:lang w:val="en-GB"/>
        </w:rPr>
      </w:pPr>
    </w:p>
    <w:p w14:paraId="2248087D" w14:textId="77777777" w:rsidR="000F505C" w:rsidRPr="00E50FA4" w:rsidRDefault="004D24E6" w:rsidP="001A08A2">
      <w:pPr>
        <w:jc w:val="both"/>
        <w:rPr>
          <w:rFonts w:ascii="Times New Roman" w:hAnsi="Times New Roman" w:cs="Times New Roman"/>
          <w:noProof/>
          <w:sz w:val="24"/>
          <w:lang w:val="en-GB"/>
        </w:rPr>
      </w:pPr>
      <w:r w:rsidRPr="00E50FA4">
        <w:rPr>
          <w:rFonts w:ascii="Times New Roman" w:hAnsi="Times New Roman" w:cs="Times New Roman"/>
          <w:b/>
          <w:noProof/>
          <w:sz w:val="24"/>
          <w:lang w:val="en-GB"/>
        </w:rPr>
        <w:t>Table</w:t>
      </w:r>
      <w:r w:rsidR="00C168F0" w:rsidRPr="00E50FA4">
        <w:rPr>
          <w:rFonts w:ascii="Times New Roman" w:hAnsi="Times New Roman" w:cs="Times New Roman"/>
          <w:b/>
          <w:noProof/>
          <w:sz w:val="24"/>
          <w:lang w:val="en-GB"/>
        </w:rPr>
        <w:t xml:space="preserve"> 1</w:t>
      </w:r>
      <w:r w:rsidRPr="00E50FA4">
        <w:rPr>
          <w:rFonts w:ascii="Times New Roman" w:hAnsi="Times New Roman"/>
          <w:b/>
          <w:noProof/>
          <w:sz w:val="24"/>
          <w:lang w:val="en-GB"/>
        </w:rPr>
        <w:t xml:space="preserve"> – Qualitative information on Environmental risk</w:t>
      </w:r>
      <w:r w:rsidR="00E70E9B" w:rsidRPr="00E50FA4">
        <w:rPr>
          <w:rFonts w:ascii="Times New Roman" w:hAnsi="Times New Roman" w:cs="Times New Roman"/>
          <w:b/>
          <w:noProof/>
          <w:sz w:val="24"/>
          <w:lang w:val="en-GB"/>
        </w:rPr>
        <w:t>:</w:t>
      </w:r>
      <w:r w:rsidR="00E70E9B" w:rsidRPr="00E50FA4">
        <w:rPr>
          <w:rFonts w:ascii="Times New Roman" w:hAnsi="Times New Roman" w:cs="Times New Roman"/>
          <w:noProof/>
          <w:sz w:val="24"/>
          <w:lang w:val="en-GB"/>
        </w:rPr>
        <w:t xml:space="preserve"> Free format text boxes for disclosure o</w:t>
      </w:r>
      <w:r w:rsidR="00305AF8" w:rsidRPr="00E50FA4">
        <w:rPr>
          <w:rFonts w:ascii="Times New Roman" w:hAnsi="Times New Roman" w:cs="Times New Roman"/>
          <w:noProof/>
          <w:sz w:val="24"/>
          <w:lang w:val="en-GB"/>
        </w:rPr>
        <w:t>f</w:t>
      </w:r>
      <w:r w:rsidR="00E70E9B" w:rsidRPr="00E50FA4">
        <w:rPr>
          <w:rFonts w:ascii="Times New Roman" w:hAnsi="Times New Roman" w:cs="Times New Roman"/>
          <w:noProof/>
          <w:sz w:val="24"/>
          <w:lang w:val="en-GB"/>
        </w:rPr>
        <w:t xml:space="preserve"> qualitative i</w:t>
      </w:r>
      <w:r w:rsidR="00305AF8" w:rsidRPr="00E50FA4">
        <w:rPr>
          <w:rFonts w:ascii="Times New Roman" w:hAnsi="Times New Roman" w:cs="Times New Roman"/>
          <w:noProof/>
          <w:sz w:val="24"/>
          <w:lang w:val="en-GB"/>
        </w:rPr>
        <w:t>nformation</w:t>
      </w:r>
      <w:r w:rsidR="00A65D67" w:rsidRPr="00E50FA4">
        <w:rPr>
          <w:rFonts w:ascii="Times New Roman" w:hAnsi="Times New Roman" w:cs="Times New Roman"/>
          <w:noProof/>
          <w:sz w:val="24"/>
          <w:lang w:val="en-GB"/>
        </w:rPr>
        <w:t xml:space="preserve"> in Annex </w:t>
      </w:r>
      <w:r w:rsidR="00B6543C" w:rsidRPr="00E50FA4">
        <w:rPr>
          <w:rFonts w:ascii="Times New Roman" w:hAnsi="Times New Roman" w:cs="Times New Roman"/>
          <w:noProof/>
          <w:sz w:val="24"/>
          <w:lang w:val="en-GB"/>
        </w:rPr>
        <w:t>XXXI</w:t>
      </w:r>
      <w:r w:rsidR="00AC1B02" w:rsidRPr="00E50FA4">
        <w:rPr>
          <w:rFonts w:ascii="Times New Roman" w:hAnsi="Times New Roman" w:cs="Times New Roman"/>
          <w:noProof/>
          <w:sz w:val="24"/>
          <w:lang w:val="en-GB"/>
        </w:rPr>
        <w:t>X</w:t>
      </w:r>
      <w:r w:rsidR="00337D39" w:rsidRPr="00E50FA4">
        <w:rPr>
          <w:rFonts w:ascii="Times New Roman" w:hAnsi="Times New Roman" w:cs="Times New Roman"/>
          <w:noProof/>
          <w:sz w:val="24"/>
          <w:lang w:val="en-GB"/>
        </w:rPr>
        <w:t>.</w:t>
      </w:r>
    </w:p>
    <w:p w14:paraId="407A71C9" w14:textId="7714E8EA" w:rsidR="0029237A" w:rsidRPr="00E50FA4" w:rsidRDefault="00305AF8" w:rsidP="00B76863">
      <w:pPr>
        <w:pStyle w:val="ListParagraph"/>
        <w:numPr>
          <w:ilvl w:val="0"/>
          <w:numId w:val="11"/>
        </w:numPr>
        <w:tabs>
          <w:tab w:val="left" w:pos="567"/>
        </w:tabs>
        <w:spacing w:before="120" w:after="120"/>
        <w:ind w:left="0" w:firstLine="0"/>
        <w:jc w:val="both"/>
        <w:rPr>
          <w:noProof/>
        </w:rPr>
      </w:pPr>
      <w:r w:rsidRPr="00E50FA4">
        <w:rPr>
          <w:rFonts w:ascii="Times New Roman" w:hAnsi="Times New Roman"/>
          <w:noProof/>
          <w:sz w:val="24"/>
        </w:rPr>
        <w:t xml:space="preserve">Institutions shall </w:t>
      </w:r>
      <w:r w:rsidR="005743DF" w:rsidRPr="00E50FA4">
        <w:rPr>
          <w:rFonts w:ascii="Times New Roman" w:hAnsi="Times New Roman"/>
          <w:noProof/>
          <w:sz w:val="24"/>
        </w:rPr>
        <w:t xml:space="preserve">use </w:t>
      </w:r>
      <w:r w:rsidR="004E6C3D" w:rsidRPr="00E50FA4">
        <w:rPr>
          <w:rFonts w:ascii="Times New Roman" w:hAnsi="Times New Roman"/>
          <w:noProof/>
          <w:sz w:val="24"/>
        </w:rPr>
        <w:t xml:space="preserve">the </w:t>
      </w:r>
      <w:r w:rsidR="007F40F6" w:rsidRPr="00E50FA4">
        <w:rPr>
          <w:rFonts w:ascii="Times New Roman" w:hAnsi="Times New Roman"/>
          <w:noProof/>
          <w:sz w:val="24"/>
        </w:rPr>
        <w:t xml:space="preserve">following </w:t>
      </w:r>
      <w:r w:rsidR="004E6C3D" w:rsidRPr="00E50FA4">
        <w:rPr>
          <w:rFonts w:ascii="Times New Roman" w:hAnsi="Times New Roman"/>
          <w:noProof/>
          <w:sz w:val="24"/>
        </w:rPr>
        <w:t>instructions to complete Table</w:t>
      </w:r>
      <w:r w:rsidR="007F40F6" w:rsidRPr="00E50FA4">
        <w:rPr>
          <w:rFonts w:ascii="Times New Roman" w:hAnsi="Times New Roman"/>
          <w:noProof/>
          <w:sz w:val="24"/>
        </w:rPr>
        <w:t> </w:t>
      </w:r>
      <w:r w:rsidR="004E6C3D" w:rsidRPr="00E50FA4">
        <w:rPr>
          <w:rFonts w:ascii="Times New Roman" w:hAnsi="Times New Roman"/>
          <w:noProof/>
          <w:sz w:val="24"/>
        </w:rPr>
        <w:t xml:space="preserve">1 – </w:t>
      </w:r>
      <w:r w:rsidR="005348FB" w:rsidRPr="00E50FA4">
        <w:rPr>
          <w:rFonts w:ascii="Times New Roman" w:hAnsi="Times New Roman"/>
          <w:noProof/>
          <w:sz w:val="24"/>
        </w:rPr>
        <w:t>‘</w:t>
      </w:r>
      <w:r w:rsidR="004E6C3D" w:rsidRPr="00E50FA4">
        <w:rPr>
          <w:rFonts w:ascii="Times New Roman" w:hAnsi="Times New Roman"/>
          <w:noProof/>
          <w:sz w:val="24"/>
        </w:rPr>
        <w:t>Qualitative information on Environmental risk</w:t>
      </w:r>
      <w:r w:rsidR="005348FB" w:rsidRPr="00E50FA4">
        <w:rPr>
          <w:rFonts w:ascii="Times New Roman" w:hAnsi="Times New Roman"/>
          <w:noProof/>
          <w:sz w:val="24"/>
        </w:rPr>
        <w:t>’</w:t>
      </w:r>
      <w:r w:rsidR="004E6C3D" w:rsidRPr="00E50FA4">
        <w:rPr>
          <w:rFonts w:ascii="Times New Roman" w:hAnsi="Times New Roman"/>
          <w:noProof/>
          <w:sz w:val="24"/>
        </w:rPr>
        <w:t xml:space="preserve"> as </w:t>
      </w:r>
      <w:r w:rsidR="009906F2" w:rsidRPr="00E50FA4">
        <w:rPr>
          <w:rFonts w:ascii="Times New Roman" w:hAnsi="Times New Roman"/>
          <w:noProof/>
          <w:sz w:val="24"/>
        </w:rPr>
        <w:t>set out</w:t>
      </w:r>
      <w:r w:rsidR="004E6C3D" w:rsidRPr="00E50FA4">
        <w:rPr>
          <w:rFonts w:ascii="Times New Roman" w:hAnsi="Times New Roman"/>
          <w:noProof/>
          <w:sz w:val="24"/>
        </w:rPr>
        <w:t xml:space="preserve"> in Annex </w:t>
      </w:r>
      <w:r w:rsidR="002C55A3" w:rsidRPr="00E50FA4">
        <w:rPr>
          <w:rFonts w:ascii="Times New Roman" w:hAnsi="Times New Roman"/>
          <w:noProof/>
          <w:sz w:val="24"/>
        </w:rPr>
        <w:t xml:space="preserve">XXXIX </w:t>
      </w:r>
      <w:r w:rsidR="004E6C3D" w:rsidRPr="00E50FA4">
        <w:rPr>
          <w:rFonts w:ascii="Times New Roman" w:hAnsi="Times New Roman"/>
          <w:noProof/>
          <w:sz w:val="24"/>
        </w:rPr>
        <w:t xml:space="preserve">to this Regulation to </w:t>
      </w:r>
      <w:r w:rsidR="002975CC" w:rsidRPr="00E50FA4">
        <w:rPr>
          <w:rFonts w:ascii="Times New Roman" w:hAnsi="Times New Roman"/>
          <w:noProof/>
          <w:sz w:val="24"/>
        </w:rPr>
        <w:t>describe the integra</w:t>
      </w:r>
      <w:r w:rsidR="00936585" w:rsidRPr="00E50FA4">
        <w:rPr>
          <w:rFonts w:ascii="Times New Roman" w:hAnsi="Times New Roman"/>
          <w:noProof/>
          <w:sz w:val="24"/>
        </w:rPr>
        <w:t xml:space="preserve">tion of environmental </w:t>
      </w:r>
      <w:r w:rsidR="002975CC" w:rsidRPr="00E50FA4">
        <w:rPr>
          <w:rFonts w:ascii="Times New Roman" w:hAnsi="Times New Roman"/>
          <w:noProof/>
          <w:sz w:val="24"/>
        </w:rPr>
        <w:t>risks</w:t>
      </w:r>
      <w:r w:rsidR="007F40F6" w:rsidRPr="00E50FA4">
        <w:rPr>
          <w:rFonts w:ascii="Times New Roman" w:hAnsi="Times New Roman"/>
          <w:noProof/>
          <w:sz w:val="24"/>
        </w:rPr>
        <w:t xml:space="preserve">, </w:t>
      </w:r>
      <w:r w:rsidR="00F23732" w:rsidRPr="00E50FA4">
        <w:rPr>
          <w:rFonts w:ascii="Times New Roman" w:hAnsi="Times New Roman"/>
          <w:noProof/>
          <w:sz w:val="24"/>
        </w:rPr>
        <w:t>including specific information on climate change risks and</w:t>
      </w:r>
      <w:r w:rsidR="00313449" w:rsidRPr="00E50FA4">
        <w:rPr>
          <w:rFonts w:ascii="Times New Roman" w:hAnsi="Times New Roman"/>
          <w:noProof/>
          <w:sz w:val="24"/>
        </w:rPr>
        <w:t xml:space="preserve"> on</w:t>
      </w:r>
      <w:r w:rsidR="00F23732" w:rsidRPr="00E50FA4">
        <w:rPr>
          <w:rFonts w:ascii="Times New Roman" w:hAnsi="Times New Roman"/>
          <w:noProof/>
          <w:sz w:val="24"/>
        </w:rPr>
        <w:t xml:space="preserve"> other environmental risks</w:t>
      </w:r>
      <w:r w:rsidR="007F40F6" w:rsidRPr="00E50FA4">
        <w:rPr>
          <w:rFonts w:ascii="Times New Roman" w:hAnsi="Times New Roman"/>
          <w:noProof/>
          <w:sz w:val="24"/>
        </w:rPr>
        <w:t>,</w:t>
      </w:r>
      <w:r w:rsidR="002975CC" w:rsidRPr="00E50FA4">
        <w:rPr>
          <w:rFonts w:ascii="Times New Roman" w:hAnsi="Times New Roman"/>
          <w:noProof/>
          <w:sz w:val="24"/>
        </w:rPr>
        <w:t xml:space="preserve"> in their business strategy and processes, governance and risk management</w:t>
      </w:r>
      <w:r w:rsidR="00C20268" w:rsidRPr="00E50FA4">
        <w:rPr>
          <w:rFonts w:ascii="Times New Roman" w:hAnsi="Times New Roman"/>
          <w:noProof/>
          <w:sz w:val="24"/>
        </w:rPr>
        <w:t>. This is</w:t>
      </w:r>
      <w:r w:rsidRPr="00E50FA4">
        <w:rPr>
          <w:rFonts w:ascii="Times New Roman" w:hAnsi="Times New Roman"/>
          <w:noProof/>
          <w:sz w:val="24"/>
        </w:rPr>
        <w:t xml:space="preserve"> </w:t>
      </w:r>
      <w:r w:rsidR="00862D53" w:rsidRPr="00E50FA4">
        <w:rPr>
          <w:rFonts w:ascii="Times New Roman" w:hAnsi="Times New Roman"/>
          <w:noProof/>
          <w:sz w:val="24"/>
        </w:rPr>
        <w:t>for the purposes of</w:t>
      </w:r>
      <w:r w:rsidRPr="00E50FA4">
        <w:rPr>
          <w:rFonts w:ascii="Times New Roman" w:hAnsi="Times New Roman"/>
          <w:noProof/>
          <w:sz w:val="24"/>
        </w:rPr>
        <w:t xml:space="preserve"> Article </w:t>
      </w:r>
      <w:r w:rsidR="004D4691" w:rsidRPr="00E50FA4">
        <w:rPr>
          <w:rFonts w:ascii="Times New Roman" w:hAnsi="Times New Roman"/>
          <w:noProof/>
          <w:sz w:val="24"/>
        </w:rPr>
        <w:t xml:space="preserve">449a </w:t>
      </w:r>
      <w:r w:rsidR="007F40F6" w:rsidRPr="00E50FA4">
        <w:rPr>
          <w:rFonts w:ascii="Times New Roman" w:hAnsi="Times New Roman"/>
          <w:noProof/>
          <w:sz w:val="24"/>
        </w:rPr>
        <w:t>of Regulation (EU) No 575/2013,</w:t>
      </w:r>
      <w:r w:rsidR="00C20268" w:rsidRPr="00E50FA4">
        <w:rPr>
          <w:rFonts w:ascii="Times New Roman" w:hAnsi="Times New Roman"/>
          <w:noProof/>
          <w:sz w:val="24"/>
        </w:rPr>
        <w:t xml:space="preserve"> read</w:t>
      </w:r>
      <w:r w:rsidR="00337D39" w:rsidRPr="00E50FA4">
        <w:rPr>
          <w:rFonts w:ascii="Times New Roman" w:hAnsi="Times New Roman"/>
          <w:noProof/>
          <w:sz w:val="24"/>
        </w:rPr>
        <w:t xml:space="preserve"> </w:t>
      </w:r>
      <w:r w:rsidR="004D4691" w:rsidRPr="00E50FA4">
        <w:rPr>
          <w:rFonts w:ascii="Times New Roman" w:hAnsi="Times New Roman"/>
          <w:noProof/>
          <w:sz w:val="24"/>
        </w:rPr>
        <w:t>in conjunction with Article 435</w:t>
      </w:r>
      <w:r w:rsidR="00FA640E" w:rsidRPr="00E50FA4">
        <w:rPr>
          <w:rFonts w:ascii="Times New Roman" w:hAnsi="Times New Roman"/>
          <w:noProof/>
          <w:sz w:val="24"/>
        </w:rPr>
        <w:t xml:space="preserve"> </w:t>
      </w:r>
      <w:r w:rsidR="007F40F6" w:rsidRPr="00E50FA4">
        <w:rPr>
          <w:rFonts w:ascii="Times New Roman" w:hAnsi="Times New Roman"/>
          <w:noProof/>
          <w:sz w:val="24"/>
        </w:rPr>
        <w:t>of that Regulation</w:t>
      </w:r>
      <w:r w:rsidRPr="00E50FA4">
        <w:rPr>
          <w:rFonts w:ascii="Times New Roman" w:hAnsi="Times New Roman"/>
          <w:noProof/>
          <w:sz w:val="24"/>
        </w:rPr>
        <w:t>.</w:t>
      </w:r>
    </w:p>
    <w:p w14:paraId="346C05B6" w14:textId="77777777" w:rsidR="004D24E6" w:rsidRPr="00E50FA4" w:rsidRDefault="004D24E6" w:rsidP="001A08A2">
      <w:pPr>
        <w:spacing w:before="120" w:after="120"/>
        <w:jc w:val="both"/>
        <w:rPr>
          <w:noProof/>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95FC5" w:rsidRPr="00E50FA4" w14:paraId="0D8FBED5" w14:textId="77777777" w:rsidTr="00295FC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3DADB" w14:textId="77777777" w:rsidR="00295FC5" w:rsidRPr="00E50FA4" w:rsidRDefault="00295FC5" w:rsidP="001A08A2">
            <w:pPr>
              <w:jc w:val="both"/>
              <w:rPr>
                <w:rFonts w:ascii="Times New Roman" w:hAnsi="Times New Roman" w:cs="Times New Roman"/>
                <w:b/>
                <w:noProof/>
                <w:sz w:val="24"/>
                <w:lang w:val="en-GB"/>
              </w:rPr>
            </w:pPr>
            <w:r w:rsidRPr="00E50FA4">
              <w:rPr>
                <w:rFonts w:ascii="Times New Roman" w:hAnsi="Times New Roman" w:cs="Times New Roman"/>
                <w:b/>
                <w:noProof/>
                <w:sz w:val="24"/>
                <w:lang w:val="en-GB"/>
              </w:rPr>
              <w:t>Legal references and instructions</w:t>
            </w:r>
          </w:p>
        </w:tc>
      </w:tr>
      <w:tr w:rsidR="00295FC5" w:rsidRPr="00E50FA4" w14:paraId="00666BDE" w14:textId="77777777" w:rsidTr="004F0BC6">
        <w:trPr>
          <w:trHeight w:val="238"/>
        </w:trPr>
        <w:tc>
          <w:tcPr>
            <w:tcW w:w="1384" w:type="dxa"/>
            <w:shd w:val="clear" w:color="auto" w:fill="D9D9D9" w:themeFill="background1" w:themeFillShade="D9"/>
          </w:tcPr>
          <w:p w14:paraId="5E98987D" w14:textId="77777777" w:rsidR="00295FC5" w:rsidRPr="00E50FA4" w:rsidRDefault="00295FC5" w:rsidP="001A08A2">
            <w:pPr>
              <w:autoSpaceDE w:val="0"/>
              <w:autoSpaceDN w:val="0"/>
              <w:adjustRightInd w:val="0"/>
              <w:jc w:val="both"/>
              <w:rPr>
                <w:rFonts w:ascii="Times New Roman" w:hAnsi="Times New Roman" w:cs="Times New Roman"/>
                <w:b/>
                <w:noProof/>
                <w:sz w:val="24"/>
                <w:lang w:val="en-GB"/>
              </w:rPr>
            </w:pPr>
            <w:r w:rsidRPr="00E50FA4">
              <w:rPr>
                <w:rFonts w:ascii="Times New Roman" w:hAnsi="Times New Roman" w:cs="Times New Roman"/>
                <w:b/>
                <w:noProof/>
                <w:sz w:val="24"/>
                <w:lang w:val="en-GB"/>
              </w:rPr>
              <w:t>Row number</w:t>
            </w:r>
          </w:p>
        </w:tc>
        <w:tc>
          <w:tcPr>
            <w:tcW w:w="7655" w:type="dxa"/>
            <w:shd w:val="clear" w:color="auto" w:fill="D9D9D9" w:themeFill="background1" w:themeFillShade="D9"/>
          </w:tcPr>
          <w:p w14:paraId="1F1EEC92" w14:textId="77777777" w:rsidR="00295FC5" w:rsidRPr="00E50FA4" w:rsidRDefault="00295FC5" w:rsidP="001A08A2">
            <w:pPr>
              <w:autoSpaceDE w:val="0"/>
              <w:autoSpaceDN w:val="0"/>
              <w:adjustRightInd w:val="0"/>
              <w:jc w:val="both"/>
              <w:rPr>
                <w:rFonts w:ascii="Times New Roman" w:hAnsi="Times New Roman" w:cs="Times New Roman"/>
                <w:noProof/>
                <w:color w:val="000000"/>
                <w:sz w:val="24"/>
                <w:lang w:val="en-GB"/>
              </w:rPr>
            </w:pPr>
            <w:r w:rsidRPr="00E50FA4">
              <w:rPr>
                <w:rFonts w:ascii="Times New Roman" w:hAnsi="Times New Roman" w:cs="Times New Roman"/>
                <w:b/>
                <w:noProof/>
                <w:sz w:val="24"/>
                <w:lang w:val="en-GB"/>
              </w:rPr>
              <w:t>Explanation</w:t>
            </w:r>
          </w:p>
        </w:tc>
      </w:tr>
      <w:tr w:rsidR="006F6986" w:rsidRPr="00E50FA4" w14:paraId="07AE5694" w14:textId="77777777" w:rsidTr="002C5E3F">
        <w:trPr>
          <w:trHeight w:val="423"/>
        </w:trPr>
        <w:tc>
          <w:tcPr>
            <w:tcW w:w="1384" w:type="dxa"/>
            <w:shd w:val="clear" w:color="auto" w:fill="D9D9D9" w:themeFill="background1" w:themeFillShade="D9"/>
          </w:tcPr>
          <w:p w14:paraId="7444DA6B" w14:textId="77777777" w:rsidR="006F6986" w:rsidRPr="00E50FA4" w:rsidRDefault="006F6986" w:rsidP="00D35812">
            <w:pPr>
              <w:pStyle w:val="Applicationdirecte"/>
              <w:spacing w:before="120"/>
              <w:rPr>
                <w:noProof/>
              </w:rPr>
            </w:pPr>
          </w:p>
        </w:tc>
        <w:tc>
          <w:tcPr>
            <w:tcW w:w="7655" w:type="dxa"/>
            <w:shd w:val="clear" w:color="auto" w:fill="D9D9D9" w:themeFill="background1" w:themeFillShade="D9"/>
          </w:tcPr>
          <w:p w14:paraId="107C329C" w14:textId="77777777" w:rsidR="006F6986" w:rsidRPr="00E50FA4" w:rsidRDefault="006F6986" w:rsidP="001A08A2">
            <w:pPr>
              <w:autoSpaceDE w:val="0"/>
              <w:autoSpaceDN w:val="0"/>
              <w:adjustRightInd w:val="0"/>
              <w:jc w:val="both"/>
              <w:rPr>
                <w:rFonts w:ascii="Times New Roman" w:hAnsi="Times New Roman" w:cs="Times New Roman"/>
                <w:b/>
                <w:noProof/>
                <w:sz w:val="24"/>
                <w:lang w:val="en-GB"/>
              </w:rPr>
            </w:pPr>
            <w:r w:rsidRPr="00E50FA4">
              <w:rPr>
                <w:rFonts w:ascii="Times New Roman" w:hAnsi="Times New Roman" w:cs="Times New Roman"/>
                <w:b/>
                <w:noProof/>
                <w:sz w:val="24"/>
                <w:lang w:val="en-GB"/>
              </w:rPr>
              <w:t>Business strategy and processes</w:t>
            </w:r>
          </w:p>
        </w:tc>
      </w:tr>
      <w:tr w:rsidR="00085BAF" w:rsidRPr="00E50FA4" w14:paraId="51A24472" w14:textId="77777777" w:rsidTr="002C5E3F">
        <w:trPr>
          <w:trHeight w:val="990"/>
        </w:trPr>
        <w:tc>
          <w:tcPr>
            <w:tcW w:w="1384" w:type="dxa"/>
          </w:tcPr>
          <w:p w14:paraId="463C1F51" w14:textId="77777777" w:rsidR="00085BAF" w:rsidRPr="00E50FA4" w:rsidRDefault="00085BAF" w:rsidP="00085BAF">
            <w:pPr>
              <w:pStyle w:val="Applicationdirecte"/>
              <w:spacing w:before="120"/>
              <w:rPr>
                <w:noProof/>
              </w:rPr>
            </w:pPr>
            <w:r w:rsidRPr="00E50FA4">
              <w:rPr>
                <w:noProof/>
              </w:rPr>
              <w:t>(a)</w:t>
            </w:r>
          </w:p>
        </w:tc>
        <w:tc>
          <w:tcPr>
            <w:tcW w:w="7655" w:type="dxa"/>
          </w:tcPr>
          <w:p w14:paraId="0B8A3F12" w14:textId="297B4FFF" w:rsidR="00085BAF" w:rsidRPr="00E50FA4" w:rsidRDefault="00085BAF" w:rsidP="00C96BCE">
            <w:pPr>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In accordance with Article 449a</w:t>
            </w:r>
            <w:r w:rsidR="007F40F6" w:rsidRPr="00E50FA4">
              <w:rPr>
                <w:rFonts w:ascii="Times New Roman" w:hAnsi="Times New Roman" w:cs="Times New Roman"/>
                <w:noProof/>
                <w:sz w:val="24"/>
                <w:lang w:val="en-GB"/>
              </w:rPr>
              <w:t xml:space="preserve"> of </w:t>
            </w:r>
            <w:r w:rsidR="007F40F6" w:rsidRPr="00E50FA4">
              <w:rPr>
                <w:rFonts w:ascii="Times New Roman" w:hAnsi="Times New Roman"/>
                <w:noProof/>
                <w:sz w:val="24"/>
              </w:rPr>
              <w:t>Regulation (EU) No 575/2013</w:t>
            </w:r>
            <w:r w:rsidR="0091526F" w:rsidRPr="00E50FA4">
              <w:rPr>
                <w:rFonts w:ascii="Times New Roman" w:hAnsi="Times New Roman"/>
                <w:noProof/>
                <w:sz w:val="24"/>
              </w:rPr>
              <w:t>,</w:t>
            </w:r>
            <w:r w:rsidRPr="00E50FA4">
              <w:rPr>
                <w:rFonts w:ascii="Times New Roman" w:hAnsi="Times New Roman" w:cs="Times New Roman"/>
                <w:noProof/>
                <w:sz w:val="24"/>
                <w:lang w:val="en-GB"/>
              </w:rPr>
              <w:t xml:space="preserve"> in conjunction with Article 435(1), points (a) and (e)</w:t>
            </w:r>
            <w:r w:rsidR="00C96BCE" w:rsidRPr="00E50FA4">
              <w:rPr>
                <w:rFonts w:ascii="Times New Roman" w:hAnsi="Times New Roman" w:cs="Times New Roman"/>
                <w:noProof/>
                <w:sz w:val="24"/>
                <w:lang w:val="en-GB"/>
              </w:rPr>
              <w:t>, of that Regulation</w:t>
            </w:r>
            <w:r w:rsidR="007F40F6"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w:t>
            </w:r>
            <w:r w:rsidR="00CC1ED8" w:rsidRPr="00E50FA4">
              <w:rPr>
                <w:rFonts w:ascii="Times New Roman" w:hAnsi="Times New Roman" w:cs="Times New Roman"/>
                <w:noProof/>
                <w:sz w:val="24"/>
                <w:lang w:val="en-GB"/>
              </w:rPr>
              <w:t xml:space="preserve">institutions </w:t>
            </w:r>
            <w:r w:rsidR="0071684B" w:rsidRPr="00E50FA4">
              <w:rPr>
                <w:rFonts w:ascii="Times New Roman" w:hAnsi="Times New Roman" w:cs="Times New Roman"/>
                <w:noProof/>
                <w:sz w:val="24"/>
                <w:lang w:val="en-GB"/>
              </w:rPr>
              <w:t>shall</w:t>
            </w:r>
            <w:r w:rsidR="001E26DD" w:rsidRPr="00E50FA4">
              <w:rPr>
                <w:rFonts w:ascii="Times New Roman" w:hAnsi="Times New Roman" w:cs="Times New Roman"/>
                <w:noProof/>
                <w:sz w:val="24"/>
                <w:lang w:val="en-GB"/>
              </w:rPr>
              <w:t xml:space="preserve"> provide </w:t>
            </w:r>
            <w:r w:rsidRPr="00E50FA4">
              <w:rPr>
                <w:rFonts w:ascii="Times New Roman" w:hAnsi="Times New Roman" w:cs="Times New Roman"/>
                <w:noProof/>
                <w:sz w:val="24"/>
                <w:lang w:val="en-GB"/>
              </w:rPr>
              <w:t xml:space="preserve">an explanation of how </w:t>
            </w:r>
            <w:r w:rsidR="0071684B" w:rsidRPr="00E50FA4">
              <w:rPr>
                <w:rFonts w:ascii="Times New Roman" w:hAnsi="Times New Roman" w:cs="Times New Roman"/>
                <w:noProof/>
                <w:sz w:val="24"/>
                <w:lang w:val="en-GB"/>
              </w:rPr>
              <w:t>their</w:t>
            </w:r>
            <w:r w:rsidRPr="00E50FA4">
              <w:rPr>
                <w:rFonts w:ascii="Times New Roman" w:hAnsi="Times New Roman" w:cs="Times New Roman"/>
                <w:noProof/>
                <w:sz w:val="24"/>
                <w:lang w:val="en-GB"/>
              </w:rPr>
              <w:t xml:space="preserve">  business model, strategy and processes, and </w:t>
            </w:r>
            <w:r w:rsidR="0091526F" w:rsidRPr="00E50FA4">
              <w:rPr>
                <w:rFonts w:ascii="Times New Roman" w:hAnsi="Times New Roman" w:cs="Times New Roman"/>
                <w:noProof/>
                <w:sz w:val="24"/>
                <w:lang w:val="en-GB"/>
              </w:rPr>
              <w:t xml:space="preserve">their </w:t>
            </w:r>
            <w:r w:rsidRPr="00E50FA4">
              <w:rPr>
                <w:rFonts w:ascii="Times New Roman" w:hAnsi="Times New Roman" w:cs="Times New Roman"/>
                <w:noProof/>
                <w:sz w:val="24"/>
                <w:lang w:val="en-GB"/>
              </w:rPr>
              <w:t xml:space="preserve">financial planning integrate </w:t>
            </w:r>
            <w:r w:rsidR="0091526F" w:rsidRPr="00E50FA4">
              <w:rPr>
                <w:rFonts w:ascii="Times New Roman" w:hAnsi="Times New Roman" w:cs="Times New Roman"/>
                <w:noProof/>
                <w:sz w:val="24"/>
                <w:lang w:val="en-GB"/>
              </w:rPr>
              <w:t xml:space="preserve">the </w:t>
            </w:r>
            <w:r w:rsidRPr="00E50FA4">
              <w:rPr>
                <w:rFonts w:ascii="Times New Roman" w:hAnsi="Times New Roman" w:cs="Times New Roman"/>
                <w:noProof/>
                <w:sz w:val="24"/>
                <w:lang w:val="en-GB"/>
              </w:rPr>
              <w:t>risks stemming from environmental factors (i.e. environmental risks) and how th</w:t>
            </w:r>
            <w:r w:rsidR="00575791" w:rsidRPr="00E50FA4">
              <w:rPr>
                <w:rFonts w:ascii="Times New Roman" w:hAnsi="Times New Roman" w:cs="Times New Roman"/>
                <w:noProof/>
                <w:sz w:val="24"/>
                <w:lang w:val="en-GB"/>
              </w:rPr>
              <w:t>o</w:t>
            </w:r>
            <w:r w:rsidRPr="00E50FA4">
              <w:rPr>
                <w:rFonts w:ascii="Times New Roman" w:hAnsi="Times New Roman" w:cs="Times New Roman"/>
                <w:noProof/>
                <w:sz w:val="24"/>
                <w:lang w:val="en-GB"/>
              </w:rPr>
              <w:t xml:space="preserve">se </w:t>
            </w:r>
            <w:r w:rsidR="0091526F" w:rsidRPr="00E50FA4">
              <w:rPr>
                <w:rFonts w:ascii="Times New Roman" w:hAnsi="Times New Roman" w:cs="Times New Roman"/>
                <w:noProof/>
                <w:sz w:val="24"/>
                <w:lang w:val="en-GB"/>
              </w:rPr>
              <w:t>risk</w:t>
            </w:r>
            <w:r w:rsidR="00E41FF7" w:rsidRPr="00E50FA4">
              <w:rPr>
                <w:rFonts w:ascii="Times New Roman" w:hAnsi="Times New Roman" w:cs="Times New Roman"/>
                <w:noProof/>
                <w:sz w:val="24"/>
                <w:lang w:val="en-GB"/>
              </w:rPr>
              <w:t>s</w:t>
            </w:r>
            <w:r w:rsidR="0091526F" w:rsidRPr="00E50FA4">
              <w:rPr>
                <w:rFonts w:ascii="Times New Roman" w:hAnsi="Times New Roman" w:cs="Times New Roman"/>
                <w:noProof/>
                <w:sz w:val="24"/>
                <w:lang w:val="en-GB"/>
              </w:rPr>
              <w:t xml:space="preserve"> may </w:t>
            </w:r>
            <w:r w:rsidRPr="00E50FA4">
              <w:rPr>
                <w:rFonts w:ascii="Times New Roman" w:hAnsi="Times New Roman" w:cs="Times New Roman"/>
                <w:noProof/>
                <w:sz w:val="24"/>
                <w:lang w:val="en-GB"/>
              </w:rPr>
              <w:t>evolve over time given changing technology, policy framework, business environment, stakeholder preferences, and changes in the physical environment itself.</w:t>
            </w:r>
          </w:p>
        </w:tc>
      </w:tr>
      <w:tr w:rsidR="00085BAF" w:rsidRPr="00E50FA4" w14:paraId="7F5F3573" w14:textId="77777777" w:rsidTr="004F0BC6">
        <w:trPr>
          <w:trHeight w:val="316"/>
        </w:trPr>
        <w:tc>
          <w:tcPr>
            <w:tcW w:w="1384" w:type="dxa"/>
          </w:tcPr>
          <w:p w14:paraId="59289803" w14:textId="77777777" w:rsidR="00085BAF" w:rsidRPr="00E50FA4" w:rsidRDefault="00085BAF" w:rsidP="00085BAF">
            <w:pPr>
              <w:autoSpaceDE w:val="0"/>
              <w:autoSpaceDN w:val="0"/>
              <w:adjustRightInd w:val="0"/>
              <w:jc w:val="both"/>
              <w:rPr>
                <w:rFonts w:ascii="Times New Roman" w:eastAsia="Times New Roman" w:hAnsi="Times New Roman" w:cs="Times New Roman"/>
                <w:noProof/>
                <w:sz w:val="24"/>
                <w:lang w:val="en-GB"/>
              </w:rPr>
            </w:pPr>
            <w:r w:rsidRPr="00E50FA4">
              <w:rPr>
                <w:noProof/>
                <w:lang w:val="en-GB"/>
              </w:rPr>
              <w:t>(b)</w:t>
            </w:r>
          </w:p>
        </w:tc>
        <w:tc>
          <w:tcPr>
            <w:tcW w:w="7655" w:type="dxa"/>
          </w:tcPr>
          <w:p w14:paraId="055C99B0" w14:textId="73DD6FB7" w:rsidR="00085BAF" w:rsidRPr="00E50FA4" w:rsidRDefault="00085BAF" w:rsidP="00085BAF">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 accordance with Article 449a </w:t>
            </w:r>
            <w:r w:rsidR="007F40F6" w:rsidRPr="00E50FA4">
              <w:rPr>
                <w:rFonts w:ascii="Times New Roman" w:hAnsi="Times New Roman" w:cs="Times New Roman"/>
                <w:noProof/>
                <w:sz w:val="24"/>
                <w:lang w:val="en-GB"/>
              </w:rPr>
              <w:t xml:space="preserve">of </w:t>
            </w:r>
            <w:r w:rsidR="007F40F6" w:rsidRPr="00E50FA4">
              <w:rPr>
                <w:rFonts w:ascii="Times New Roman" w:hAnsi="Times New Roman"/>
                <w:noProof/>
                <w:sz w:val="24"/>
              </w:rPr>
              <w:t xml:space="preserve">Regulation (EU) No 575/2013, </w:t>
            </w:r>
            <w:r w:rsidRPr="00E50FA4">
              <w:rPr>
                <w:rFonts w:ascii="Times New Roman" w:hAnsi="Times New Roman" w:cs="Times New Roman"/>
                <w:noProof/>
                <w:sz w:val="24"/>
                <w:lang w:val="en-GB"/>
              </w:rPr>
              <w:t>in conjunction with Article 435(1)</w:t>
            </w:r>
            <w:r w:rsidR="00E41FF7"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point (a)</w:t>
            </w:r>
            <w:r w:rsidR="00575791" w:rsidRPr="00E50FA4">
              <w:rPr>
                <w:rFonts w:ascii="Times New Roman" w:hAnsi="Times New Roman" w:cs="Times New Roman"/>
                <w:noProof/>
                <w:sz w:val="24"/>
                <w:lang w:val="en-GB"/>
              </w:rPr>
              <w:t xml:space="preserve"> </w:t>
            </w:r>
            <w:r w:rsidR="001E26DD" w:rsidRPr="00E50FA4">
              <w:rPr>
                <w:rFonts w:ascii="Times New Roman" w:hAnsi="Times New Roman" w:cs="Times New Roman"/>
                <w:noProof/>
                <w:sz w:val="24"/>
                <w:lang w:val="en-GB"/>
              </w:rPr>
              <w:t xml:space="preserve">and </w:t>
            </w:r>
            <w:r w:rsidR="00E41FF7" w:rsidRPr="00E50FA4">
              <w:rPr>
                <w:rFonts w:ascii="Times New Roman" w:hAnsi="Times New Roman" w:cs="Times New Roman"/>
                <w:noProof/>
                <w:sz w:val="24"/>
                <w:lang w:val="en-GB"/>
              </w:rPr>
              <w:t xml:space="preserve">points </w:t>
            </w:r>
            <w:r w:rsidR="001E26DD" w:rsidRPr="00E50FA4">
              <w:rPr>
                <w:rFonts w:ascii="Times New Roman" w:hAnsi="Times New Roman" w:cs="Times New Roman"/>
                <w:noProof/>
                <w:sz w:val="24"/>
                <w:lang w:val="en-GB"/>
              </w:rPr>
              <w:t xml:space="preserve">(c) </w:t>
            </w:r>
            <w:r w:rsidR="00575791" w:rsidRPr="00E50FA4">
              <w:rPr>
                <w:rFonts w:ascii="Times New Roman" w:hAnsi="Times New Roman" w:cs="Times New Roman"/>
                <w:noProof/>
                <w:sz w:val="24"/>
                <w:lang w:val="en-GB"/>
              </w:rPr>
              <w:t>to</w:t>
            </w:r>
            <w:r w:rsidRPr="00E50FA4">
              <w:rPr>
                <w:rFonts w:ascii="Times New Roman" w:hAnsi="Times New Roman" w:cs="Times New Roman"/>
                <w:noProof/>
                <w:sz w:val="24"/>
                <w:lang w:val="en-GB"/>
              </w:rPr>
              <w:t xml:space="preserve"> (f) </w:t>
            </w:r>
            <w:r w:rsidR="007F40F6" w:rsidRPr="00E50FA4">
              <w:rPr>
                <w:rFonts w:ascii="Times New Roman" w:hAnsi="Times New Roman" w:cs="Times New Roman"/>
                <w:noProof/>
                <w:sz w:val="24"/>
                <w:lang w:val="en-GB"/>
              </w:rPr>
              <w:t>of that Regulation</w:t>
            </w:r>
            <w:r w:rsidRPr="00E50FA4">
              <w:rPr>
                <w:rFonts w:ascii="Times New Roman" w:hAnsi="Times New Roman" w:cs="Times New Roman"/>
                <w:noProof/>
                <w:sz w:val="24"/>
                <w:lang w:val="en-GB"/>
              </w:rPr>
              <w:t xml:space="preserve">, </w:t>
            </w:r>
            <w:r w:rsidR="008C55DE" w:rsidRPr="00E50FA4">
              <w:rPr>
                <w:rFonts w:ascii="Times New Roman" w:hAnsi="Times New Roman" w:cs="Times New Roman"/>
                <w:noProof/>
                <w:sz w:val="24"/>
                <w:lang w:val="en-GB"/>
              </w:rPr>
              <w:t xml:space="preserve">institutions </w:t>
            </w:r>
            <w:r w:rsidR="0071684B" w:rsidRPr="00E50FA4">
              <w:rPr>
                <w:rFonts w:ascii="Times New Roman" w:hAnsi="Times New Roman" w:cs="Times New Roman"/>
                <w:noProof/>
                <w:sz w:val="24"/>
                <w:lang w:val="en-GB"/>
              </w:rPr>
              <w:t>shall</w:t>
            </w:r>
            <w:r w:rsidR="008C55DE" w:rsidRPr="00E50FA4">
              <w:rPr>
                <w:rFonts w:ascii="Times New Roman" w:hAnsi="Times New Roman" w:cs="Times New Roman"/>
                <w:noProof/>
                <w:sz w:val="24"/>
                <w:lang w:val="en-GB"/>
              </w:rPr>
              <w:t xml:space="preserve"> </w:t>
            </w:r>
            <w:r w:rsidR="0071684B" w:rsidRPr="00E50FA4">
              <w:rPr>
                <w:rFonts w:ascii="Times New Roman" w:hAnsi="Times New Roman" w:cs="Times New Roman"/>
                <w:noProof/>
                <w:sz w:val="24"/>
                <w:lang w:val="en-GB"/>
              </w:rPr>
              <w:t>set out</w:t>
            </w:r>
            <w:r w:rsidR="008C55DE"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 xml:space="preserve">the objectives, </w:t>
            </w:r>
            <w:r w:rsidR="0091526F" w:rsidRPr="00E50FA4">
              <w:rPr>
                <w:rFonts w:ascii="Times New Roman" w:hAnsi="Times New Roman" w:cs="Times New Roman"/>
                <w:noProof/>
                <w:sz w:val="24"/>
                <w:lang w:val="en-GB"/>
              </w:rPr>
              <w:t xml:space="preserve">the </w:t>
            </w:r>
            <w:r w:rsidRPr="00E50FA4">
              <w:rPr>
                <w:rFonts w:ascii="Times New Roman" w:hAnsi="Times New Roman" w:cs="Times New Roman"/>
                <w:noProof/>
                <w:sz w:val="24"/>
                <w:lang w:val="en-GB"/>
              </w:rPr>
              <w:t xml:space="preserve">targets and </w:t>
            </w:r>
            <w:r w:rsidR="0091526F" w:rsidRPr="00E50FA4">
              <w:rPr>
                <w:rFonts w:ascii="Times New Roman" w:hAnsi="Times New Roman" w:cs="Times New Roman"/>
                <w:noProof/>
                <w:sz w:val="24"/>
                <w:lang w:val="en-GB"/>
              </w:rPr>
              <w:t xml:space="preserve">the </w:t>
            </w:r>
            <w:r w:rsidRPr="00E50FA4">
              <w:rPr>
                <w:rFonts w:ascii="Times New Roman" w:hAnsi="Times New Roman" w:cs="Times New Roman"/>
                <w:noProof/>
                <w:sz w:val="24"/>
                <w:lang w:val="en-GB"/>
              </w:rPr>
              <w:t>limits</w:t>
            </w:r>
            <w:r w:rsidR="009620B8"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for the assessment and management of environmental risks</w:t>
            </w:r>
            <w:r w:rsidR="0091526F" w:rsidRPr="00E50FA4">
              <w:rPr>
                <w:rFonts w:ascii="Times New Roman" w:hAnsi="Times New Roman" w:cs="Times New Roman"/>
                <w:noProof/>
                <w:sz w:val="24"/>
                <w:lang w:val="en-GB"/>
              </w:rPr>
              <w:t>. Institutions shall explain the</w:t>
            </w:r>
            <w:r w:rsidRPr="00E50FA4">
              <w:rPr>
                <w:rFonts w:ascii="Times New Roman" w:hAnsi="Times New Roman" w:cs="Times New Roman"/>
                <w:noProof/>
                <w:sz w:val="24"/>
                <w:lang w:val="en-GB"/>
              </w:rPr>
              <w:t xml:space="preserve"> processes </w:t>
            </w:r>
            <w:r w:rsidR="0091526F" w:rsidRPr="00E50FA4">
              <w:rPr>
                <w:rFonts w:ascii="Times New Roman" w:hAnsi="Times New Roman" w:cs="Times New Roman"/>
                <w:noProof/>
                <w:sz w:val="24"/>
                <w:lang w:val="en-GB"/>
              </w:rPr>
              <w:t>they use to set out</w:t>
            </w:r>
            <w:r w:rsidRPr="00E50FA4">
              <w:rPr>
                <w:rFonts w:ascii="Times New Roman" w:hAnsi="Times New Roman" w:cs="Times New Roman"/>
                <w:noProof/>
                <w:sz w:val="24"/>
                <w:lang w:val="en-GB"/>
              </w:rPr>
              <w:t xml:space="preserve"> th</w:t>
            </w:r>
            <w:r w:rsidR="00F83472" w:rsidRPr="00E50FA4">
              <w:rPr>
                <w:rFonts w:ascii="Times New Roman" w:hAnsi="Times New Roman" w:cs="Times New Roman"/>
                <w:noProof/>
                <w:sz w:val="24"/>
                <w:lang w:val="en-GB"/>
              </w:rPr>
              <w:t>o</w:t>
            </w:r>
            <w:r w:rsidRPr="00E50FA4">
              <w:rPr>
                <w:rFonts w:ascii="Times New Roman" w:hAnsi="Times New Roman" w:cs="Times New Roman"/>
                <w:noProof/>
                <w:sz w:val="24"/>
                <w:lang w:val="en-GB"/>
              </w:rPr>
              <w:t xml:space="preserve">se objectives, targets and limits. </w:t>
            </w:r>
          </w:p>
          <w:p w14:paraId="4C80AC4F" w14:textId="68A2D380" w:rsidR="00085BAF" w:rsidRPr="00E50FA4" w:rsidRDefault="008C55DE" w:rsidP="00C4296F">
            <w:pPr>
              <w:autoSpaceDE w:val="0"/>
              <w:autoSpaceDN w:val="0"/>
              <w:adjustRightInd w:val="0"/>
              <w:spacing w:before="120" w:after="120"/>
              <w:jc w:val="both"/>
              <w:rPr>
                <w:rFonts w:ascii="Times New Roman" w:eastAsia="Times New Roman" w:hAnsi="Times New Roman"/>
                <w:noProof/>
                <w:sz w:val="24"/>
                <w:lang w:val="en-GB"/>
              </w:rPr>
            </w:pPr>
            <w:r w:rsidRPr="00E50FA4">
              <w:rPr>
                <w:rFonts w:ascii="Times New Roman" w:hAnsi="Times New Roman" w:cs="Times New Roman"/>
                <w:noProof/>
                <w:sz w:val="24"/>
                <w:lang w:val="en-GB"/>
              </w:rPr>
              <w:t xml:space="preserve">Institutions </w:t>
            </w:r>
            <w:r w:rsidR="00C4296F" w:rsidRPr="00E50FA4">
              <w:rPr>
                <w:rFonts w:ascii="Times New Roman" w:hAnsi="Times New Roman" w:cs="Times New Roman"/>
                <w:noProof/>
                <w:sz w:val="24"/>
                <w:lang w:val="en-GB"/>
              </w:rPr>
              <w:t xml:space="preserve">are to </w:t>
            </w:r>
            <w:r w:rsidRPr="00E50FA4">
              <w:rPr>
                <w:rFonts w:ascii="Times New Roman" w:hAnsi="Times New Roman" w:cs="Times New Roman"/>
                <w:noProof/>
                <w:sz w:val="24"/>
                <w:lang w:val="en-GB"/>
              </w:rPr>
              <w:t>explain</w:t>
            </w:r>
            <w:r w:rsidR="009620B8"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 xml:space="preserve">how </w:t>
            </w:r>
            <w:r w:rsidR="00085BAF" w:rsidRPr="00E50FA4">
              <w:rPr>
                <w:rFonts w:ascii="Times New Roman" w:hAnsi="Times New Roman" w:cs="Times New Roman"/>
                <w:noProof/>
                <w:sz w:val="24"/>
                <w:lang w:val="en-GB"/>
              </w:rPr>
              <w:t>th</w:t>
            </w:r>
            <w:r w:rsidR="00F83472" w:rsidRPr="00E50FA4">
              <w:rPr>
                <w:rFonts w:ascii="Times New Roman" w:hAnsi="Times New Roman" w:cs="Times New Roman"/>
                <w:noProof/>
                <w:sz w:val="24"/>
                <w:lang w:val="en-GB"/>
              </w:rPr>
              <w:t>o</w:t>
            </w:r>
            <w:r w:rsidR="00085BAF" w:rsidRPr="00E50FA4">
              <w:rPr>
                <w:rFonts w:ascii="Times New Roman" w:hAnsi="Times New Roman" w:cs="Times New Roman"/>
                <w:noProof/>
                <w:sz w:val="24"/>
                <w:lang w:val="en-GB"/>
              </w:rPr>
              <w:t xml:space="preserve">se objectives, targets and limits </w:t>
            </w:r>
            <w:r w:rsidRPr="00E50FA4">
              <w:rPr>
                <w:rFonts w:ascii="Times New Roman" w:hAnsi="Times New Roman" w:cs="Times New Roman"/>
                <w:noProof/>
                <w:sz w:val="24"/>
                <w:lang w:val="en-GB"/>
              </w:rPr>
              <w:t xml:space="preserve">are linked </w:t>
            </w:r>
            <w:r w:rsidR="00085BAF" w:rsidRPr="00E50FA4">
              <w:rPr>
                <w:rFonts w:ascii="Times New Roman" w:hAnsi="Times New Roman" w:cs="Times New Roman"/>
                <w:noProof/>
                <w:sz w:val="24"/>
                <w:lang w:val="en-GB"/>
              </w:rPr>
              <w:t xml:space="preserve">to the current international and </w:t>
            </w:r>
            <w:r w:rsidR="00F83472" w:rsidRPr="00E50FA4">
              <w:rPr>
                <w:rFonts w:ascii="Times New Roman" w:hAnsi="Times New Roman" w:cs="Times New Roman"/>
                <w:noProof/>
                <w:sz w:val="24"/>
                <w:lang w:val="en-GB"/>
              </w:rPr>
              <w:t>Union</w:t>
            </w:r>
            <w:r w:rsidR="00085BAF" w:rsidRPr="00E50FA4">
              <w:rPr>
                <w:rFonts w:ascii="Times New Roman" w:hAnsi="Times New Roman" w:cs="Times New Roman"/>
                <w:noProof/>
                <w:sz w:val="24"/>
                <w:lang w:val="en-GB"/>
              </w:rPr>
              <w:t xml:space="preserve"> policy framework</w:t>
            </w:r>
            <w:r w:rsidRPr="00E50FA4">
              <w:rPr>
                <w:rFonts w:ascii="Times New Roman" w:hAnsi="Times New Roman" w:cs="Times New Roman"/>
                <w:noProof/>
                <w:sz w:val="24"/>
                <w:lang w:val="en-GB"/>
              </w:rPr>
              <w:t>,</w:t>
            </w:r>
            <w:r w:rsidR="00085BAF" w:rsidRPr="00E50FA4">
              <w:rPr>
                <w:rFonts w:ascii="Times New Roman" w:hAnsi="Times New Roman" w:cs="Times New Roman"/>
                <w:noProof/>
                <w:sz w:val="24"/>
                <w:lang w:val="en-GB"/>
              </w:rPr>
              <w:t xml:space="preserve"> and</w:t>
            </w:r>
            <w:r w:rsidRPr="00E50FA4">
              <w:rPr>
                <w:rFonts w:ascii="Times New Roman" w:hAnsi="Times New Roman" w:cs="Times New Roman"/>
                <w:noProof/>
                <w:sz w:val="24"/>
                <w:lang w:val="en-GB"/>
              </w:rPr>
              <w:t xml:space="preserve"> to the</w:t>
            </w:r>
            <w:r w:rsidR="00085BAF" w:rsidRPr="00E50FA4">
              <w:rPr>
                <w:rFonts w:ascii="Times New Roman" w:hAnsi="Times New Roman" w:cs="Times New Roman"/>
                <w:noProof/>
                <w:sz w:val="24"/>
                <w:lang w:val="en-GB"/>
              </w:rPr>
              <w:t xml:space="preserve"> </w:t>
            </w:r>
            <w:r w:rsidR="008C4794" w:rsidRPr="00E50FA4">
              <w:rPr>
                <w:rFonts w:ascii="Times New Roman" w:hAnsi="Times New Roman" w:cs="Times New Roman"/>
                <w:noProof/>
                <w:sz w:val="24"/>
                <w:lang w:val="en-GB"/>
              </w:rPr>
              <w:t xml:space="preserve">available </w:t>
            </w:r>
            <w:r w:rsidR="00085BAF" w:rsidRPr="00E50FA4">
              <w:rPr>
                <w:rFonts w:ascii="Times New Roman" w:hAnsi="Times New Roman" w:cs="Times New Roman"/>
                <w:noProof/>
                <w:sz w:val="24"/>
                <w:lang w:val="en-GB"/>
              </w:rPr>
              <w:t>benchmarks</w:t>
            </w:r>
            <w:r w:rsidR="00965EF4" w:rsidRPr="00E50FA4">
              <w:rPr>
                <w:rFonts w:ascii="Times New Roman" w:hAnsi="Times New Roman" w:cs="Times New Roman"/>
                <w:noProof/>
                <w:sz w:val="24"/>
                <w:lang w:val="en-GB"/>
              </w:rPr>
              <w:t>.</w:t>
            </w:r>
          </w:p>
        </w:tc>
      </w:tr>
      <w:tr w:rsidR="00085BAF" w:rsidRPr="00E50FA4" w14:paraId="313DCF2B" w14:textId="77777777" w:rsidTr="004F0BC6">
        <w:trPr>
          <w:trHeight w:val="316"/>
        </w:trPr>
        <w:tc>
          <w:tcPr>
            <w:tcW w:w="1384" w:type="dxa"/>
          </w:tcPr>
          <w:p w14:paraId="02928C6B" w14:textId="77777777" w:rsidR="00085BAF" w:rsidRPr="00E50FA4" w:rsidRDefault="00085BAF" w:rsidP="00085BAF">
            <w:pPr>
              <w:autoSpaceDE w:val="0"/>
              <w:autoSpaceDN w:val="0"/>
              <w:adjustRightInd w:val="0"/>
              <w:jc w:val="both"/>
              <w:rPr>
                <w:rFonts w:ascii="Times New Roman" w:eastAsia="Times New Roman" w:hAnsi="Times New Roman" w:cs="Times New Roman"/>
                <w:noProof/>
                <w:sz w:val="24"/>
                <w:lang w:val="en-GB"/>
              </w:rPr>
            </w:pPr>
            <w:r w:rsidRPr="00E50FA4">
              <w:rPr>
                <w:noProof/>
                <w:lang w:val="en-GB"/>
              </w:rPr>
              <w:t>(c)</w:t>
            </w:r>
          </w:p>
        </w:tc>
        <w:tc>
          <w:tcPr>
            <w:tcW w:w="7655" w:type="dxa"/>
          </w:tcPr>
          <w:p w14:paraId="4B21A04A" w14:textId="3AF7939C" w:rsidR="00085BAF" w:rsidRPr="00E50FA4" w:rsidRDefault="00085BAF" w:rsidP="00085BAF">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In accordance with Article 449a</w:t>
            </w:r>
            <w:r w:rsidR="00F83472" w:rsidRPr="00E50FA4">
              <w:rPr>
                <w:rFonts w:ascii="Times New Roman" w:hAnsi="Times New Roman" w:cs="Times New Roman"/>
                <w:noProof/>
                <w:sz w:val="24"/>
                <w:lang w:val="en-GB"/>
              </w:rPr>
              <w:t xml:space="preserve"> of Regulation (EU) No 575/2013</w:t>
            </w:r>
            <w:r w:rsidRPr="00E50FA4">
              <w:rPr>
                <w:rFonts w:ascii="Times New Roman" w:hAnsi="Times New Roman" w:cs="Times New Roman"/>
                <w:noProof/>
                <w:sz w:val="24"/>
                <w:lang w:val="en-GB"/>
              </w:rPr>
              <w:t xml:space="preserve">, </w:t>
            </w:r>
            <w:r w:rsidR="0071684B" w:rsidRPr="00E50FA4">
              <w:rPr>
                <w:rFonts w:ascii="Times New Roman" w:hAnsi="Times New Roman" w:cs="Times New Roman"/>
                <w:noProof/>
                <w:sz w:val="24"/>
                <w:lang w:val="en-GB"/>
              </w:rPr>
              <w:t>institutions shall</w:t>
            </w:r>
            <w:r w:rsidR="008C55DE" w:rsidRPr="00E50FA4">
              <w:rPr>
                <w:rFonts w:ascii="Times New Roman" w:hAnsi="Times New Roman" w:cs="Times New Roman"/>
                <w:noProof/>
                <w:sz w:val="24"/>
                <w:lang w:val="en-GB"/>
              </w:rPr>
              <w:t xml:space="preserve"> </w:t>
            </w:r>
            <w:r w:rsidR="00694E60" w:rsidRPr="00E50FA4">
              <w:rPr>
                <w:rFonts w:ascii="Times New Roman" w:hAnsi="Times New Roman" w:cs="Times New Roman"/>
                <w:noProof/>
                <w:sz w:val="24"/>
                <w:lang w:val="en-GB"/>
              </w:rPr>
              <w:t xml:space="preserve">provide information on </w:t>
            </w:r>
            <w:r w:rsidRPr="00E50FA4">
              <w:rPr>
                <w:rFonts w:ascii="Times New Roman" w:hAnsi="Times New Roman" w:cs="Times New Roman"/>
                <w:noProof/>
                <w:sz w:val="24"/>
                <w:lang w:val="en-GB"/>
              </w:rPr>
              <w:t>the</w:t>
            </w:r>
            <w:r w:rsidR="008C55DE" w:rsidRPr="00E50FA4">
              <w:rPr>
                <w:rFonts w:ascii="Times New Roman" w:hAnsi="Times New Roman" w:cs="Times New Roman"/>
                <w:noProof/>
                <w:sz w:val="24"/>
                <w:lang w:val="en-GB"/>
              </w:rPr>
              <w:t>ir</w:t>
            </w:r>
            <w:r w:rsidRPr="00E50FA4">
              <w:rPr>
                <w:rFonts w:ascii="Times New Roman" w:hAnsi="Times New Roman" w:cs="Times New Roman"/>
                <w:noProof/>
                <w:sz w:val="24"/>
                <w:lang w:val="en-GB"/>
              </w:rPr>
              <w:t xml:space="preserve"> current and future (planned) investment in environmentally sustainable activities and </w:t>
            </w:r>
            <w:r w:rsidR="000E7F32" w:rsidRPr="00E50FA4">
              <w:rPr>
                <w:rFonts w:ascii="Times New Roman" w:hAnsi="Times New Roman" w:cs="Times New Roman"/>
                <w:noProof/>
                <w:sz w:val="24"/>
                <w:lang w:val="en-GB"/>
              </w:rPr>
              <w:t xml:space="preserve">in activities and sectors aligned to </w:t>
            </w:r>
            <w:r w:rsidRPr="00E50FA4">
              <w:rPr>
                <w:rFonts w:ascii="Times New Roman" w:hAnsi="Times New Roman" w:cs="Times New Roman"/>
                <w:noProof/>
                <w:sz w:val="24"/>
                <w:lang w:val="en-GB"/>
              </w:rPr>
              <w:t>the environmental objectives</w:t>
            </w:r>
            <w:r w:rsidR="007F40F6"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w:t>
            </w:r>
            <w:r w:rsidR="00173C8A" w:rsidRPr="00E50FA4">
              <w:rPr>
                <w:rFonts w:ascii="Times New Roman" w:hAnsi="Times New Roman" w:cs="Times New Roman"/>
                <w:noProof/>
                <w:sz w:val="24"/>
                <w:lang w:val="en-GB"/>
              </w:rPr>
              <w:t>including climate change objectives</w:t>
            </w:r>
            <w:r w:rsidR="00B76863" w:rsidRPr="00E50FA4">
              <w:rPr>
                <w:rFonts w:ascii="Times New Roman" w:hAnsi="Times New Roman" w:cs="Times New Roman"/>
                <w:noProof/>
                <w:sz w:val="24"/>
                <w:lang w:val="en-GB"/>
              </w:rPr>
              <w:t>, set</w:t>
            </w:r>
            <w:r w:rsidRPr="00E50FA4">
              <w:rPr>
                <w:rFonts w:ascii="Times New Roman" w:hAnsi="Times New Roman" w:cs="Times New Roman"/>
                <w:noProof/>
                <w:sz w:val="24"/>
                <w:lang w:val="en-GB"/>
              </w:rPr>
              <w:t xml:space="preserve"> out in Article</w:t>
            </w:r>
            <w:r w:rsidR="007F40F6" w:rsidRPr="00E50FA4">
              <w:rPr>
                <w:rFonts w:ascii="Times New Roman" w:hAnsi="Times New Roman" w:cs="Times New Roman"/>
                <w:noProof/>
                <w:sz w:val="24"/>
                <w:lang w:val="en-GB"/>
              </w:rPr>
              <w:t> </w:t>
            </w:r>
            <w:r w:rsidRPr="00E50FA4">
              <w:rPr>
                <w:rFonts w:ascii="Times New Roman" w:hAnsi="Times New Roman" w:cs="Times New Roman"/>
                <w:noProof/>
                <w:sz w:val="24"/>
                <w:lang w:val="en-GB"/>
              </w:rPr>
              <w:t>9 of Regulation (EU) 2020/852.</w:t>
            </w:r>
          </w:p>
          <w:p w14:paraId="640F124C" w14:textId="6ED88F80" w:rsidR="00085BAF" w:rsidRPr="00E50FA4" w:rsidRDefault="00135C6C" w:rsidP="002A2C5B">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Where </w:t>
            </w:r>
            <w:r w:rsidR="00160FD9" w:rsidRPr="00E50FA4">
              <w:rPr>
                <w:rFonts w:ascii="Times New Roman" w:hAnsi="Times New Roman" w:cs="Times New Roman"/>
                <w:noProof/>
                <w:sz w:val="24"/>
                <w:lang w:val="en-GB"/>
              </w:rPr>
              <w:t>that</w:t>
            </w:r>
            <w:r w:rsidRPr="00E50FA4">
              <w:rPr>
                <w:rFonts w:ascii="Times New Roman" w:hAnsi="Times New Roman" w:cs="Times New Roman"/>
                <w:noProof/>
                <w:sz w:val="24"/>
                <w:lang w:val="en-GB"/>
              </w:rPr>
              <w:t xml:space="preserve"> </w:t>
            </w:r>
            <w:r w:rsidR="008C4794" w:rsidRPr="00E50FA4">
              <w:rPr>
                <w:rFonts w:ascii="Times New Roman" w:hAnsi="Times New Roman" w:cs="Times New Roman"/>
                <w:noProof/>
                <w:sz w:val="24"/>
                <w:lang w:val="en-GB"/>
              </w:rPr>
              <w:t xml:space="preserve">information </w:t>
            </w:r>
            <w:r w:rsidR="00085BAF" w:rsidRPr="00E50FA4">
              <w:rPr>
                <w:rFonts w:ascii="Times New Roman" w:hAnsi="Times New Roman" w:cs="Times New Roman"/>
                <w:noProof/>
                <w:sz w:val="24"/>
                <w:lang w:val="en-GB"/>
              </w:rPr>
              <w:t>depend</w:t>
            </w:r>
            <w:r w:rsidRPr="00E50FA4">
              <w:rPr>
                <w:rFonts w:ascii="Times New Roman" w:hAnsi="Times New Roman" w:cs="Times New Roman"/>
                <w:noProof/>
                <w:sz w:val="24"/>
                <w:lang w:val="en-GB"/>
              </w:rPr>
              <w:t>s</w:t>
            </w:r>
            <w:r w:rsidR="00085BAF" w:rsidRPr="00E50FA4">
              <w:rPr>
                <w:rFonts w:ascii="Times New Roman" w:hAnsi="Times New Roman" w:cs="Times New Roman"/>
                <w:noProof/>
                <w:sz w:val="24"/>
                <w:lang w:val="en-GB"/>
              </w:rPr>
              <w:t xml:space="preserve"> on </w:t>
            </w:r>
            <w:r w:rsidRPr="00E50FA4">
              <w:rPr>
                <w:rFonts w:ascii="Times New Roman" w:hAnsi="Times New Roman" w:cs="Times New Roman"/>
                <w:noProof/>
                <w:sz w:val="24"/>
                <w:lang w:val="en-GB"/>
              </w:rPr>
              <w:t xml:space="preserve">the institution’s </w:t>
            </w:r>
            <w:r w:rsidR="00085BAF" w:rsidRPr="00E50FA4">
              <w:rPr>
                <w:rFonts w:ascii="Times New Roman" w:hAnsi="Times New Roman" w:cs="Times New Roman"/>
                <w:noProof/>
                <w:sz w:val="24"/>
                <w:lang w:val="en-GB"/>
              </w:rPr>
              <w:t xml:space="preserve">own approach </w:t>
            </w:r>
            <w:r w:rsidRPr="00E50FA4">
              <w:rPr>
                <w:rFonts w:ascii="Times New Roman" w:hAnsi="Times New Roman" w:cs="Times New Roman"/>
                <w:noProof/>
                <w:sz w:val="24"/>
                <w:lang w:val="en-GB"/>
              </w:rPr>
              <w:t xml:space="preserve">or is based </w:t>
            </w:r>
            <w:r w:rsidR="004F059E" w:rsidRPr="00E50FA4">
              <w:rPr>
                <w:rFonts w:ascii="Times New Roman" w:hAnsi="Times New Roman" w:cs="Times New Roman"/>
                <w:noProof/>
                <w:sz w:val="24"/>
                <w:lang w:val="en-GB"/>
              </w:rPr>
              <w:t xml:space="preserve">on the institutions’ </w:t>
            </w:r>
            <w:r w:rsidR="00694E60" w:rsidRPr="00E50FA4">
              <w:rPr>
                <w:rFonts w:ascii="Times New Roman" w:hAnsi="Times New Roman" w:cs="Times New Roman"/>
                <w:noProof/>
                <w:sz w:val="24"/>
                <w:lang w:val="en-GB"/>
              </w:rPr>
              <w:t>internal terms of reference</w:t>
            </w:r>
            <w:r w:rsidRPr="00E50FA4">
              <w:rPr>
                <w:rFonts w:ascii="Times New Roman" w:hAnsi="Times New Roman" w:cs="Times New Roman"/>
                <w:noProof/>
                <w:sz w:val="24"/>
                <w:lang w:val="en-GB"/>
              </w:rPr>
              <w:t>, i</w:t>
            </w:r>
            <w:r w:rsidR="00085BAF" w:rsidRPr="00E50FA4">
              <w:rPr>
                <w:rFonts w:ascii="Times New Roman" w:hAnsi="Times New Roman" w:cs="Times New Roman"/>
                <w:noProof/>
                <w:sz w:val="24"/>
                <w:lang w:val="en-GB"/>
              </w:rPr>
              <w:t xml:space="preserve">nstitutions shall include </w:t>
            </w:r>
            <w:r w:rsidR="008C4794" w:rsidRPr="00E50FA4">
              <w:rPr>
                <w:rFonts w:ascii="Times New Roman" w:hAnsi="Times New Roman" w:cs="Times New Roman"/>
                <w:noProof/>
                <w:sz w:val="24"/>
                <w:lang w:val="en-GB"/>
              </w:rPr>
              <w:t xml:space="preserve">in their disclosures </w:t>
            </w:r>
            <w:r w:rsidRPr="00E50FA4">
              <w:rPr>
                <w:rFonts w:ascii="Times New Roman" w:hAnsi="Times New Roman" w:cs="Times New Roman"/>
                <w:noProof/>
                <w:sz w:val="24"/>
                <w:lang w:val="en-GB"/>
              </w:rPr>
              <w:t xml:space="preserve">a description of </w:t>
            </w:r>
            <w:r w:rsidR="00085BAF" w:rsidRPr="00E50FA4">
              <w:rPr>
                <w:rFonts w:ascii="Times New Roman" w:hAnsi="Times New Roman" w:cs="Times New Roman"/>
                <w:noProof/>
                <w:sz w:val="24"/>
                <w:lang w:val="en-GB"/>
              </w:rPr>
              <w:t>th</w:t>
            </w:r>
            <w:r w:rsidR="007F40F6" w:rsidRPr="00E50FA4">
              <w:rPr>
                <w:rFonts w:ascii="Times New Roman" w:hAnsi="Times New Roman" w:cs="Times New Roman"/>
                <w:noProof/>
                <w:sz w:val="24"/>
                <w:lang w:val="en-GB"/>
              </w:rPr>
              <w:t>o</w:t>
            </w:r>
            <w:r w:rsidR="00085BAF" w:rsidRPr="00E50FA4">
              <w:rPr>
                <w:rFonts w:ascii="Times New Roman" w:hAnsi="Times New Roman" w:cs="Times New Roman"/>
                <w:noProof/>
                <w:sz w:val="24"/>
                <w:lang w:val="en-GB"/>
              </w:rPr>
              <w:t xml:space="preserve">se approaches </w:t>
            </w:r>
            <w:r w:rsidR="00694E60" w:rsidRPr="00E50FA4">
              <w:rPr>
                <w:rFonts w:ascii="Times New Roman" w:hAnsi="Times New Roman" w:cs="Times New Roman"/>
                <w:noProof/>
                <w:sz w:val="24"/>
                <w:lang w:val="en-GB"/>
              </w:rPr>
              <w:t>and internal terms of reference</w:t>
            </w:r>
            <w:r w:rsidR="008C4794" w:rsidRPr="00E50FA4">
              <w:rPr>
                <w:rFonts w:ascii="Times New Roman" w:hAnsi="Times New Roman" w:cs="Times New Roman"/>
                <w:noProof/>
                <w:sz w:val="24"/>
                <w:lang w:val="en-GB"/>
              </w:rPr>
              <w:t xml:space="preserve">. </w:t>
            </w:r>
          </w:p>
        </w:tc>
      </w:tr>
      <w:tr w:rsidR="00085BAF" w:rsidRPr="00E50FA4" w14:paraId="2BB13DBC" w14:textId="77777777" w:rsidTr="004F0BC6">
        <w:trPr>
          <w:trHeight w:val="316"/>
        </w:trPr>
        <w:tc>
          <w:tcPr>
            <w:tcW w:w="1384" w:type="dxa"/>
          </w:tcPr>
          <w:p w14:paraId="2B416B21" w14:textId="77777777" w:rsidR="00085BAF" w:rsidRPr="00E50FA4" w:rsidRDefault="00085BAF" w:rsidP="00085BAF">
            <w:pPr>
              <w:autoSpaceDE w:val="0"/>
              <w:autoSpaceDN w:val="0"/>
              <w:adjustRightInd w:val="0"/>
              <w:jc w:val="both"/>
              <w:rPr>
                <w:rFonts w:ascii="Times New Roman" w:eastAsia="Times New Roman" w:hAnsi="Times New Roman" w:cs="Times New Roman"/>
                <w:noProof/>
                <w:sz w:val="24"/>
                <w:lang w:val="en-GB"/>
              </w:rPr>
            </w:pPr>
            <w:r w:rsidRPr="00E50FA4">
              <w:rPr>
                <w:noProof/>
                <w:lang w:val="en-GB"/>
              </w:rPr>
              <w:t>(d)</w:t>
            </w:r>
          </w:p>
        </w:tc>
        <w:tc>
          <w:tcPr>
            <w:tcW w:w="7655" w:type="dxa"/>
          </w:tcPr>
          <w:p w14:paraId="07B7A7E9" w14:textId="46516C7B" w:rsidR="00085BAF" w:rsidRPr="00E50FA4" w:rsidRDefault="00085BAF" w:rsidP="00134FC8">
            <w:pPr>
              <w:autoSpaceDE w:val="0"/>
              <w:autoSpaceDN w:val="0"/>
              <w:adjustRightInd w:val="0"/>
              <w:spacing w:before="120" w:after="120"/>
              <w:jc w:val="both"/>
              <w:rPr>
                <w:rFonts w:ascii="Times New Roman" w:eastAsia="Times New Roman" w:hAnsi="Times New Roman" w:cs="Times New Roman"/>
                <w:noProof/>
                <w:sz w:val="24"/>
                <w:lang w:val="en-GB"/>
              </w:rPr>
            </w:pPr>
            <w:r w:rsidRPr="00E50FA4">
              <w:rPr>
                <w:rFonts w:ascii="Times New Roman" w:hAnsi="Times New Roman" w:cs="Times New Roman"/>
                <w:noProof/>
                <w:sz w:val="24"/>
                <w:lang w:val="en-GB"/>
              </w:rPr>
              <w:t xml:space="preserve">In accordance with Article 449a </w:t>
            </w:r>
            <w:r w:rsidR="007F40F6" w:rsidRPr="00E50FA4">
              <w:rPr>
                <w:rFonts w:ascii="Times New Roman" w:hAnsi="Times New Roman" w:cs="Times New Roman"/>
                <w:noProof/>
                <w:sz w:val="24"/>
                <w:lang w:val="en-GB"/>
              </w:rPr>
              <w:t xml:space="preserve">of </w:t>
            </w:r>
            <w:r w:rsidR="007F40F6" w:rsidRPr="00E50FA4">
              <w:rPr>
                <w:rFonts w:ascii="Times New Roman" w:hAnsi="Times New Roman"/>
                <w:noProof/>
                <w:sz w:val="24"/>
              </w:rPr>
              <w:t xml:space="preserve">Regulation (EU) No 575/2013, </w:t>
            </w:r>
            <w:r w:rsidRPr="00E50FA4">
              <w:rPr>
                <w:rFonts w:ascii="Times New Roman" w:hAnsi="Times New Roman" w:cs="Times New Roman"/>
                <w:noProof/>
                <w:sz w:val="24"/>
                <w:lang w:val="en-GB"/>
              </w:rPr>
              <w:t>in conjunction with Article 435(1), point (d)</w:t>
            </w:r>
            <w:r w:rsidR="007F40F6"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of that Regulation</w:t>
            </w:r>
            <w:r w:rsidRPr="00E50FA4">
              <w:rPr>
                <w:rFonts w:ascii="Times New Roman" w:hAnsi="Times New Roman" w:cs="Times New Roman"/>
                <w:noProof/>
                <w:sz w:val="24"/>
                <w:lang w:val="en-GB"/>
              </w:rPr>
              <w:t xml:space="preserve">, </w:t>
            </w:r>
            <w:r w:rsidR="0071684B" w:rsidRPr="00E50FA4">
              <w:rPr>
                <w:rFonts w:ascii="Times New Roman" w:hAnsi="Times New Roman" w:cs="Times New Roman"/>
                <w:noProof/>
                <w:sz w:val="24"/>
                <w:lang w:val="en-GB"/>
              </w:rPr>
              <w:t xml:space="preserve">institutions shall </w:t>
            </w:r>
            <w:r w:rsidR="00694E60" w:rsidRPr="00E50FA4">
              <w:rPr>
                <w:rFonts w:ascii="Times New Roman" w:hAnsi="Times New Roman" w:cs="Times New Roman"/>
                <w:noProof/>
                <w:sz w:val="24"/>
                <w:lang w:val="en-GB"/>
              </w:rPr>
              <w:t xml:space="preserve">provide information on </w:t>
            </w:r>
            <w:r w:rsidRPr="00E50FA4">
              <w:rPr>
                <w:rFonts w:ascii="Times New Roman" w:hAnsi="Times New Roman" w:cs="Times New Roman"/>
                <w:noProof/>
                <w:sz w:val="24"/>
                <w:lang w:val="en-GB"/>
              </w:rPr>
              <w:t xml:space="preserve">the measures </w:t>
            </w:r>
            <w:r w:rsidR="00745CFD" w:rsidRPr="00E50FA4">
              <w:rPr>
                <w:rFonts w:ascii="Times New Roman" w:hAnsi="Times New Roman" w:cs="Times New Roman"/>
                <w:noProof/>
                <w:sz w:val="24"/>
                <w:lang w:val="en-GB"/>
              </w:rPr>
              <w:t>taken</w:t>
            </w:r>
            <w:r w:rsidRPr="00E50FA4">
              <w:rPr>
                <w:rFonts w:ascii="Times New Roman" w:hAnsi="Times New Roman" w:cs="Times New Roman"/>
                <w:noProof/>
                <w:sz w:val="24"/>
                <w:lang w:val="en-GB"/>
              </w:rPr>
              <w:t xml:space="preserve"> to mitigate </w:t>
            </w:r>
            <w:r w:rsidR="00745CFD" w:rsidRPr="00E50FA4">
              <w:rPr>
                <w:rFonts w:ascii="Times New Roman" w:hAnsi="Times New Roman" w:cs="Times New Roman"/>
                <w:noProof/>
                <w:sz w:val="24"/>
                <w:lang w:val="en-GB"/>
              </w:rPr>
              <w:t xml:space="preserve">the </w:t>
            </w:r>
            <w:r w:rsidRPr="00E50FA4">
              <w:rPr>
                <w:rFonts w:ascii="Times New Roman" w:hAnsi="Times New Roman" w:cs="Times New Roman"/>
                <w:noProof/>
                <w:sz w:val="24"/>
                <w:lang w:val="en-GB"/>
              </w:rPr>
              <w:t xml:space="preserve">risks associated </w:t>
            </w:r>
            <w:r w:rsidR="00745CFD" w:rsidRPr="00E50FA4">
              <w:rPr>
                <w:rFonts w:ascii="Times New Roman" w:hAnsi="Times New Roman" w:cs="Times New Roman"/>
                <w:noProof/>
                <w:sz w:val="24"/>
                <w:lang w:val="en-GB"/>
              </w:rPr>
              <w:t xml:space="preserve">to </w:t>
            </w:r>
            <w:r w:rsidRPr="00E50FA4">
              <w:rPr>
                <w:rFonts w:ascii="Times New Roman" w:hAnsi="Times New Roman" w:cs="Times New Roman"/>
                <w:noProof/>
                <w:sz w:val="24"/>
                <w:lang w:val="en-GB"/>
              </w:rPr>
              <w:t>environmental factors</w:t>
            </w:r>
            <w:r w:rsidR="00745CFD" w:rsidRPr="00E50FA4">
              <w:rPr>
                <w:rFonts w:ascii="Times New Roman" w:hAnsi="Times New Roman" w:cs="Times New Roman"/>
                <w:noProof/>
                <w:sz w:val="24"/>
                <w:lang w:val="en-GB"/>
              </w:rPr>
              <w:t xml:space="preserve">. Institutions </w:t>
            </w:r>
            <w:r w:rsidR="00134FC8" w:rsidRPr="00E50FA4">
              <w:rPr>
                <w:rFonts w:ascii="Times New Roman" w:hAnsi="Times New Roman" w:cs="Times New Roman"/>
                <w:noProof/>
                <w:sz w:val="24"/>
                <w:lang w:val="en-GB"/>
              </w:rPr>
              <w:t>are to</w:t>
            </w:r>
            <w:r w:rsidR="00745CFD" w:rsidRPr="00E50FA4">
              <w:rPr>
                <w:rFonts w:ascii="Times New Roman" w:hAnsi="Times New Roman" w:cs="Times New Roman"/>
                <w:noProof/>
                <w:sz w:val="24"/>
                <w:lang w:val="en-GB"/>
              </w:rPr>
              <w:t xml:space="preserve"> consider</w:t>
            </w:r>
            <w:r w:rsidRPr="00E50FA4">
              <w:rPr>
                <w:rFonts w:ascii="Times New Roman" w:hAnsi="Times New Roman" w:cs="Times New Roman"/>
                <w:noProof/>
                <w:sz w:val="24"/>
                <w:lang w:val="en-GB"/>
              </w:rPr>
              <w:t xml:space="preserve"> the counterparty’s capacity to manage environmental risks</w:t>
            </w:r>
            <w:r w:rsidR="00745CFD" w:rsidRPr="00E50FA4">
              <w:rPr>
                <w:rFonts w:ascii="Times New Roman" w:hAnsi="Times New Roman" w:cs="Times New Roman"/>
                <w:noProof/>
                <w:sz w:val="24"/>
                <w:lang w:val="en-GB"/>
              </w:rPr>
              <w:t>.</w:t>
            </w:r>
          </w:p>
        </w:tc>
      </w:tr>
      <w:tr w:rsidR="00085BAF" w:rsidRPr="00E50FA4" w14:paraId="75014262" w14:textId="77777777" w:rsidTr="002C5E3F">
        <w:trPr>
          <w:trHeight w:val="547"/>
        </w:trPr>
        <w:tc>
          <w:tcPr>
            <w:tcW w:w="1384" w:type="dxa"/>
            <w:shd w:val="clear" w:color="auto" w:fill="D9D9D9" w:themeFill="background1" w:themeFillShade="D9"/>
          </w:tcPr>
          <w:p w14:paraId="499A0F97" w14:textId="77777777" w:rsidR="00085BAF" w:rsidRPr="00E50FA4" w:rsidRDefault="00085BAF" w:rsidP="00085BAF">
            <w:pPr>
              <w:autoSpaceDE w:val="0"/>
              <w:autoSpaceDN w:val="0"/>
              <w:adjustRightInd w:val="0"/>
              <w:jc w:val="both"/>
              <w:rPr>
                <w:rFonts w:ascii="Times New Roman" w:hAnsi="Times New Roman" w:cs="Times New Roman"/>
                <w:b/>
                <w:noProof/>
                <w:sz w:val="24"/>
                <w:lang w:val="en-GB"/>
              </w:rPr>
            </w:pPr>
          </w:p>
        </w:tc>
        <w:tc>
          <w:tcPr>
            <w:tcW w:w="7655" w:type="dxa"/>
            <w:shd w:val="clear" w:color="auto" w:fill="D9D9D9" w:themeFill="background1" w:themeFillShade="D9"/>
          </w:tcPr>
          <w:p w14:paraId="3654F9D5" w14:textId="77777777" w:rsidR="00085BAF" w:rsidRPr="00E50FA4" w:rsidRDefault="00085BAF" w:rsidP="00085BAF">
            <w:pPr>
              <w:autoSpaceDE w:val="0"/>
              <w:autoSpaceDN w:val="0"/>
              <w:adjustRightInd w:val="0"/>
              <w:jc w:val="both"/>
              <w:rPr>
                <w:rFonts w:ascii="Times New Roman" w:hAnsi="Times New Roman" w:cs="Times New Roman"/>
                <w:b/>
                <w:noProof/>
                <w:sz w:val="24"/>
                <w:lang w:val="en-GB"/>
              </w:rPr>
            </w:pPr>
            <w:r w:rsidRPr="00E50FA4">
              <w:rPr>
                <w:rFonts w:ascii="Times New Roman" w:hAnsi="Times New Roman" w:cs="Times New Roman"/>
                <w:b/>
                <w:noProof/>
                <w:sz w:val="24"/>
                <w:lang w:val="en-GB"/>
              </w:rPr>
              <w:t>Governance</w:t>
            </w:r>
          </w:p>
        </w:tc>
      </w:tr>
      <w:tr w:rsidR="00085BAF" w:rsidRPr="00E50FA4" w14:paraId="185824AB" w14:textId="77777777" w:rsidTr="004F0BC6">
        <w:trPr>
          <w:trHeight w:val="316"/>
        </w:trPr>
        <w:tc>
          <w:tcPr>
            <w:tcW w:w="1384" w:type="dxa"/>
          </w:tcPr>
          <w:p w14:paraId="4C5C99EB" w14:textId="77777777" w:rsidR="00085BAF" w:rsidRPr="00E50FA4" w:rsidRDefault="00085BAF" w:rsidP="00085BAF">
            <w:pPr>
              <w:autoSpaceDE w:val="0"/>
              <w:autoSpaceDN w:val="0"/>
              <w:adjustRightInd w:val="0"/>
              <w:jc w:val="both"/>
              <w:rPr>
                <w:rFonts w:ascii="Times New Roman" w:eastAsia="Times New Roman" w:hAnsi="Times New Roman" w:cs="Times New Roman"/>
                <w:noProof/>
                <w:sz w:val="24"/>
                <w:lang w:val="en-GB"/>
              </w:rPr>
            </w:pPr>
            <w:r w:rsidRPr="00E50FA4">
              <w:rPr>
                <w:noProof/>
                <w:lang w:val="en-GB"/>
              </w:rPr>
              <w:t>(e)</w:t>
            </w:r>
          </w:p>
        </w:tc>
        <w:tc>
          <w:tcPr>
            <w:tcW w:w="7655" w:type="dxa"/>
          </w:tcPr>
          <w:p w14:paraId="1789B101" w14:textId="73FDA989" w:rsidR="00085BAF" w:rsidRPr="00E50FA4" w:rsidRDefault="00085BAF" w:rsidP="002A2C5B">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 accordance with Article 449a </w:t>
            </w:r>
            <w:r w:rsidR="007F40F6" w:rsidRPr="00E50FA4">
              <w:rPr>
                <w:rFonts w:ascii="Times New Roman" w:hAnsi="Times New Roman" w:cs="Times New Roman"/>
                <w:noProof/>
                <w:sz w:val="24"/>
                <w:lang w:val="en-GB"/>
              </w:rPr>
              <w:t xml:space="preserve">of </w:t>
            </w:r>
            <w:r w:rsidR="007F40F6" w:rsidRPr="00E50FA4">
              <w:rPr>
                <w:rFonts w:ascii="Times New Roman" w:hAnsi="Times New Roman"/>
                <w:noProof/>
                <w:sz w:val="24"/>
              </w:rPr>
              <w:t>Regulation (EU) No 575/2013</w:t>
            </w:r>
            <w:r w:rsidR="00745CFD" w:rsidRPr="00E50FA4">
              <w:rPr>
                <w:rFonts w:ascii="Times New Roman" w:hAnsi="Times New Roman"/>
                <w:noProof/>
                <w:sz w:val="24"/>
              </w:rPr>
              <w:t>,</w:t>
            </w:r>
            <w:r w:rsidR="007F40F6" w:rsidRPr="00E50FA4">
              <w:rPr>
                <w:rFonts w:ascii="Times New Roman" w:hAnsi="Times New Roman"/>
                <w:noProof/>
                <w:sz w:val="24"/>
              </w:rPr>
              <w:t xml:space="preserve"> </w:t>
            </w:r>
            <w:r w:rsidRPr="00E50FA4">
              <w:rPr>
                <w:rFonts w:ascii="Times New Roman" w:hAnsi="Times New Roman" w:cs="Times New Roman"/>
                <w:noProof/>
                <w:sz w:val="24"/>
                <w:lang w:val="en-GB"/>
              </w:rPr>
              <w:t>in conjunction with Article 435(1)</w:t>
            </w:r>
            <w:r w:rsidR="0019287D"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point (b), and Article 435(2)</w:t>
            </w:r>
            <w:r w:rsidR="0019287D"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points (a)</w:t>
            </w:r>
            <w:r w:rsidR="00160FD9" w:rsidRPr="00E50FA4">
              <w:rPr>
                <w:rFonts w:ascii="Times New Roman" w:hAnsi="Times New Roman" w:cs="Times New Roman"/>
                <w:noProof/>
                <w:sz w:val="24"/>
                <w:lang w:val="en-GB"/>
              </w:rPr>
              <w:t xml:space="preserve">, (b) and (c), </w:t>
            </w:r>
            <w:r w:rsidR="007F40F6" w:rsidRPr="00E50FA4">
              <w:rPr>
                <w:rFonts w:ascii="Times New Roman" w:hAnsi="Times New Roman" w:cs="Times New Roman"/>
                <w:noProof/>
                <w:sz w:val="24"/>
                <w:lang w:val="en-GB"/>
              </w:rPr>
              <w:t>of that Regulation</w:t>
            </w:r>
            <w:r w:rsidRPr="00E50FA4">
              <w:rPr>
                <w:rFonts w:ascii="Times New Roman" w:hAnsi="Times New Roman" w:cs="Times New Roman"/>
                <w:noProof/>
                <w:sz w:val="24"/>
                <w:lang w:val="en-GB"/>
              </w:rPr>
              <w:t xml:space="preserve">, </w:t>
            </w:r>
            <w:r w:rsidR="0071684B" w:rsidRPr="00E50FA4">
              <w:rPr>
                <w:rFonts w:ascii="Times New Roman" w:hAnsi="Times New Roman" w:cs="Times New Roman"/>
                <w:noProof/>
                <w:sz w:val="24"/>
                <w:lang w:val="en-GB"/>
              </w:rPr>
              <w:t xml:space="preserve">institutions shall </w:t>
            </w:r>
            <w:r w:rsidR="00694E60" w:rsidRPr="00E50FA4">
              <w:rPr>
                <w:rFonts w:ascii="Times New Roman" w:hAnsi="Times New Roman" w:cs="Times New Roman"/>
                <w:noProof/>
                <w:sz w:val="24"/>
                <w:lang w:val="en-GB"/>
              </w:rPr>
              <w:t xml:space="preserve">provide information on </w:t>
            </w:r>
            <w:r w:rsidRPr="00E50FA4">
              <w:rPr>
                <w:rFonts w:ascii="Times New Roman" w:hAnsi="Times New Roman" w:cs="Times New Roman"/>
                <w:noProof/>
                <w:sz w:val="24"/>
                <w:lang w:val="en-GB"/>
              </w:rPr>
              <w:t xml:space="preserve">the involvement of </w:t>
            </w:r>
            <w:r w:rsidR="007F40F6" w:rsidRPr="00E50FA4">
              <w:rPr>
                <w:rFonts w:ascii="Times New Roman" w:hAnsi="Times New Roman" w:cs="Times New Roman"/>
                <w:noProof/>
                <w:sz w:val="24"/>
                <w:lang w:val="en-GB"/>
              </w:rPr>
              <w:t>the</w:t>
            </w:r>
            <w:r w:rsidR="00745CFD" w:rsidRPr="00E50FA4">
              <w:rPr>
                <w:rFonts w:ascii="Times New Roman" w:hAnsi="Times New Roman" w:cs="Times New Roman"/>
                <w:noProof/>
                <w:sz w:val="24"/>
                <w:lang w:val="en-GB"/>
              </w:rPr>
              <w:t>ir</w:t>
            </w:r>
            <w:r w:rsidR="007F40F6"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management body in the supervision and management of environmental risks</w:t>
            </w:r>
            <w:r w:rsidR="004F059E" w:rsidRPr="00E50FA4">
              <w:rPr>
                <w:rFonts w:ascii="Times New Roman" w:hAnsi="Times New Roman" w:cs="Times New Roman"/>
                <w:noProof/>
                <w:sz w:val="24"/>
                <w:lang w:val="en-GB"/>
              </w:rPr>
              <w:t>. Institutions are to</w:t>
            </w:r>
            <w:r w:rsidR="000A7F92"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tak</w:t>
            </w:r>
            <w:r w:rsidR="004F059E" w:rsidRPr="00E50FA4">
              <w:rPr>
                <w:rFonts w:ascii="Times New Roman" w:hAnsi="Times New Roman" w:cs="Times New Roman"/>
                <w:noProof/>
                <w:sz w:val="24"/>
                <w:lang w:val="en-GB"/>
              </w:rPr>
              <w:t>e</w:t>
            </w:r>
            <w:r w:rsidRPr="00E50FA4">
              <w:rPr>
                <w:rFonts w:ascii="Times New Roman" w:hAnsi="Times New Roman" w:cs="Times New Roman"/>
                <w:noProof/>
                <w:sz w:val="24"/>
                <w:lang w:val="en-GB"/>
              </w:rPr>
              <w:t xml:space="preserve"> into account </w:t>
            </w:r>
            <w:r w:rsidR="000A7F92" w:rsidRPr="00E50FA4">
              <w:rPr>
                <w:rFonts w:ascii="Times New Roman" w:hAnsi="Times New Roman" w:cs="Times New Roman"/>
                <w:noProof/>
                <w:sz w:val="24"/>
                <w:lang w:val="en-GB"/>
              </w:rPr>
              <w:t xml:space="preserve">the potential </w:t>
            </w:r>
            <w:r w:rsidRPr="00E50FA4">
              <w:rPr>
                <w:rFonts w:ascii="Times New Roman" w:hAnsi="Times New Roman" w:cs="Times New Roman"/>
                <w:noProof/>
                <w:sz w:val="24"/>
                <w:lang w:val="en-GB"/>
              </w:rPr>
              <w:t>transmission channels</w:t>
            </w:r>
            <w:r w:rsidR="000A7F92" w:rsidRPr="00E50FA4">
              <w:rPr>
                <w:rFonts w:ascii="Times New Roman" w:hAnsi="Times New Roman" w:cs="Times New Roman"/>
                <w:noProof/>
                <w:sz w:val="24"/>
                <w:lang w:val="en-GB"/>
              </w:rPr>
              <w:t xml:space="preserve"> of such environmental risks (</w:t>
            </w:r>
            <w:r w:rsidR="007F40F6" w:rsidRPr="00E50FA4">
              <w:rPr>
                <w:rFonts w:ascii="Times New Roman" w:hAnsi="Times New Roman" w:cs="Times New Roman"/>
                <w:noProof/>
                <w:sz w:val="24"/>
                <w:lang w:val="en-GB"/>
              </w:rPr>
              <w:t>including</w:t>
            </w:r>
            <w:r w:rsidRPr="00E50FA4">
              <w:rPr>
                <w:rFonts w:ascii="Times New Roman" w:hAnsi="Times New Roman" w:cs="Times New Roman"/>
                <w:noProof/>
                <w:sz w:val="24"/>
                <w:lang w:val="en-GB"/>
              </w:rPr>
              <w:t xml:space="preserve"> physical, transition and liability risks</w:t>
            </w:r>
            <w:r w:rsidR="000A7F92"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w:t>
            </w:r>
          </w:p>
        </w:tc>
      </w:tr>
      <w:tr w:rsidR="00085BAF" w:rsidRPr="00E50FA4" w14:paraId="65CDDFEB" w14:textId="77777777" w:rsidTr="004F0BC6">
        <w:trPr>
          <w:trHeight w:val="316"/>
        </w:trPr>
        <w:tc>
          <w:tcPr>
            <w:tcW w:w="1384" w:type="dxa"/>
          </w:tcPr>
          <w:p w14:paraId="08837B88" w14:textId="77777777" w:rsidR="00085BAF" w:rsidRPr="00E50FA4" w:rsidRDefault="00085BAF" w:rsidP="00085BAF">
            <w:pPr>
              <w:autoSpaceDE w:val="0"/>
              <w:autoSpaceDN w:val="0"/>
              <w:adjustRightInd w:val="0"/>
              <w:jc w:val="both"/>
              <w:rPr>
                <w:rFonts w:ascii="Times New Roman" w:eastAsia="Times New Roman" w:hAnsi="Times New Roman" w:cs="Times New Roman"/>
                <w:noProof/>
                <w:sz w:val="24"/>
                <w:lang w:val="en-GB"/>
              </w:rPr>
            </w:pPr>
            <w:r w:rsidRPr="00E50FA4">
              <w:rPr>
                <w:noProof/>
                <w:lang w:val="en-GB"/>
              </w:rPr>
              <w:t>(f)</w:t>
            </w:r>
          </w:p>
        </w:tc>
        <w:tc>
          <w:tcPr>
            <w:tcW w:w="7655" w:type="dxa"/>
          </w:tcPr>
          <w:p w14:paraId="3726C7DB" w14:textId="54436495" w:rsidR="00085BAF" w:rsidRPr="00E50FA4" w:rsidRDefault="00085BAF" w:rsidP="002A2C5B">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CD42E0" w:rsidRPr="00E50FA4">
              <w:rPr>
                <w:rFonts w:ascii="Times New Roman" w:hAnsi="Times New Roman" w:cs="Times New Roman"/>
                <w:noProof/>
                <w:sz w:val="24"/>
                <w:lang w:val="en-GB"/>
              </w:rPr>
              <w:t xml:space="preserve">of </w:t>
            </w:r>
            <w:r w:rsidR="007F40F6" w:rsidRPr="00E50FA4">
              <w:rPr>
                <w:rFonts w:ascii="Times New Roman" w:hAnsi="Times New Roman"/>
                <w:noProof/>
                <w:sz w:val="24"/>
              </w:rPr>
              <w:t>Regulation (EU) No 575/2013</w:t>
            </w:r>
            <w:r w:rsidR="003A1C70" w:rsidRPr="00E50FA4">
              <w:rPr>
                <w:rFonts w:ascii="Times New Roman" w:hAnsi="Times New Roman"/>
                <w:noProof/>
                <w:sz w:val="24"/>
              </w:rPr>
              <w:t>,</w:t>
            </w:r>
            <w:r w:rsidR="007F40F6" w:rsidRPr="00E50FA4">
              <w:rPr>
                <w:rFonts w:ascii="Times New Roman" w:hAnsi="Times New Roman"/>
                <w:noProof/>
                <w:sz w:val="24"/>
              </w:rPr>
              <w:t xml:space="preserve"> </w:t>
            </w:r>
            <w:r w:rsidRPr="00E50FA4">
              <w:rPr>
                <w:rFonts w:ascii="Times New Roman" w:hAnsi="Times New Roman" w:cs="Times New Roman"/>
                <w:noProof/>
                <w:sz w:val="24"/>
                <w:lang w:val="en-GB"/>
              </w:rPr>
              <w:t>in conjunction with Article 435(2), point (d)</w:t>
            </w:r>
            <w:r w:rsidR="00CD42E0"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of that Regulation</w:t>
            </w:r>
            <w:r w:rsidRPr="00E50FA4">
              <w:rPr>
                <w:rFonts w:ascii="Times New Roman" w:hAnsi="Times New Roman" w:cs="Times New Roman"/>
                <w:noProof/>
                <w:sz w:val="24"/>
                <w:lang w:val="en-GB"/>
              </w:rPr>
              <w:t>,</w:t>
            </w:r>
            <w:r w:rsidR="0071684B" w:rsidRPr="00E50FA4">
              <w:rPr>
                <w:rFonts w:ascii="Times New Roman" w:hAnsi="Times New Roman" w:cs="Times New Roman"/>
                <w:noProof/>
                <w:sz w:val="24"/>
                <w:lang w:val="en-GB"/>
              </w:rPr>
              <w:t xml:space="preserve"> institutions shall </w:t>
            </w:r>
            <w:r w:rsidR="00694E60" w:rsidRPr="00E50FA4">
              <w:rPr>
                <w:rFonts w:ascii="Times New Roman" w:hAnsi="Times New Roman" w:cs="Times New Roman"/>
                <w:noProof/>
                <w:sz w:val="24"/>
                <w:lang w:val="en-GB"/>
              </w:rPr>
              <w:t>provide information on</w:t>
            </w:r>
            <w:r w:rsidRPr="00E50FA4">
              <w:rPr>
                <w:rFonts w:ascii="Times New Roman" w:hAnsi="Times New Roman" w:cs="Times New Roman"/>
                <w:noProof/>
                <w:sz w:val="24"/>
                <w:lang w:val="en-GB"/>
              </w:rPr>
              <w:t xml:space="preserve"> </w:t>
            </w:r>
            <w:r w:rsidR="003938C8" w:rsidRPr="00E50FA4">
              <w:rPr>
                <w:rFonts w:ascii="Times New Roman" w:hAnsi="Times New Roman" w:cs="Times New Roman"/>
                <w:noProof/>
                <w:sz w:val="24"/>
                <w:lang w:val="en-GB"/>
              </w:rPr>
              <w:t>how</w:t>
            </w:r>
            <w:r w:rsidRPr="00E50FA4">
              <w:rPr>
                <w:rFonts w:ascii="Times New Roman" w:hAnsi="Times New Roman" w:cs="Times New Roman"/>
                <w:noProof/>
                <w:sz w:val="24"/>
                <w:lang w:val="en-GB"/>
              </w:rPr>
              <w:t xml:space="preserve"> </w:t>
            </w:r>
            <w:r w:rsidR="00CD42E0" w:rsidRPr="00E50FA4">
              <w:rPr>
                <w:rFonts w:ascii="Times New Roman" w:hAnsi="Times New Roman" w:cs="Times New Roman"/>
                <w:noProof/>
                <w:sz w:val="24"/>
                <w:lang w:val="en-GB"/>
              </w:rPr>
              <w:t>the</w:t>
            </w:r>
            <w:r w:rsidR="0071684B" w:rsidRPr="00E50FA4">
              <w:rPr>
                <w:rFonts w:ascii="Times New Roman" w:hAnsi="Times New Roman" w:cs="Times New Roman"/>
                <w:noProof/>
                <w:sz w:val="24"/>
                <w:lang w:val="en-GB"/>
              </w:rPr>
              <w:t>ir</w:t>
            </w:r>
            <w:r w:rsidRPr="00E50FA4">
              <w:rPr>
                <w:rFonts w:ascii="Times New Roman" w:hAnsi="Times New Roman" w:cs="Times New Roman"/>
                <w:noProof/>
                <w:sz w:val="24"/>
                <w:lang w:val="en-GB"/>
              </w:rPr>
              <w:t xml:space="preserve"> management body integrates short-term, medium-term and long-term effects of environmental risks in </w:t>
            </w:r>
            <w:r w:rsidR="0071684B" w:rsidRPr="00E50FA4">
              <w:rPr>
                <w:rFonts w:ascii="Times New Roman" w:hAnsi="Times New Roman" w:cs="Times New Roman"/>
                <w:noProof/>
                <w:sz w:val="24"/>
                <w:lang w:val="en-GB"/>
              </w:rPr>
              <w:t>the</w:t>
            </w:r>
            <w:r w:rsidR="00CD42E0"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 xml:space="preserve">organisational structure </w:t>
            </w:r>
            <w:r w:rsidR="003938C8" w:rsidRPr="00E50FA4">
              <w:rPr>
                <w:rFonts w:ascii="Times New Roman" w:hAnsi="Times New Roman" w:cs="Times New Roman"/>
                <w:noProof/>
                <w:sz w:val="24"/>
                <w:lang w:val="en-GB"/>
              </w:rPr>
              <w:t xml:space="preserve">of the institution </w:t>
            </w:r>
            <w:r w:rsidRPr="00E50FA4">
              <w:rPr>
                <w:rFonts w:ascii="Times New Roman" w:hAnsi="Times New Roman" w:cs="Times New Roman"/>
                <w:noProof/>
                <w:sz w:val="24"/>
                <w:lang w:val="en-GB"/>
              </w:rPr>
              <w:t>for the purposes of risk management</w:t>
            </w:r>
            <w:r w:rsidR="003A1C70" w:rsidRPr="00E50FA4">
              <w:rPr>
                <w:rFonts w:ascii="Times New Roman" w:hAnsi="Times New Roman" w:cs="Times New Roman"/>
                <w:noProof/>
                <w:sz w:val="24"/>
                <w:lang w:val="en-GB"/>
              </w:rPr>
              <w:t xml:space="preserve">. Institutions </w:t>
            </w:r>
            <w:r w:rsidR="008F66F5" w:rsidRPr="00E50FA4">
              <w:rPr>
                <w:rFonts w:ascii="Times New Roman" w:hAnsi="Times New Roman" w:cs="Times New Roman"/>
                <w:noProof/>
                <w:sz w:val="24"/>
                <w:lang w:val="en-GB"/>
              </w:rPr>
              <w:t>are to</w:t>
            </w:r>
            <w:r w:rsidR="003A1C70" w:rsidRPr="00E50FA4">
              <w:rPr>
                <w:rFonts w:ascii="Times New Roman" w:hAnsi="Times New Roman" w:cs="Times New Roman"/>
                <w:noProof/>
                <w:sz w:val="24"/>
                <w:lang w:val="en-GB"/>
              </w:rPr>
              <w:t xml:space="preserve"> explain how such exercise </w:t>
            </w:r>
            <w:r w:rsidR="0025453E" w:rsidRPr="00E50FA4">
              <w:rPr>
                <w:rFonts w:ascii="Times New Roman" w:hAnsi="Times New Roman" w:cs="Times New Roman"/>
                <w:noProof/>
                <w:sz w:val="24"/>
                <w:lang w:val="en-GB"/>
              </w:rPr>
              <w:t xml:space="preserve">at management body’s level </w:t>
            </w:r>
            <w:r w:rsidRPr="00E50FA4">
              <w:rPr>
                <w:rFonts w:ascii="Times New Roman" w:hAnsi="Times New Roman" w:cs="Times New Roman"/>
                <w:noProof/>
                <w:sz w:val="24"/>
                <w:lang w:val="en-GB"/>
              </w:rPr>
              <w:t xml:space="preserve">is </w:t>
            </w:r>
            <w:r w:rsidR="0025453E" w:rsidRPr="00E50FA4">
              <w:rPr>
                <w:rFonts w:ascii="Times New Roman" w:hAnsi="Times New Roman" w:cs="Times New Roman"/>
                <w:noProof/>
                <w:sz w:val="24"/>
                <w:lang w:val="en-GB"/>
              </w:rPr>
              <w:t xml:space="preserve">then </w:t>
            </w:r>
            <w:r w:rsidRPr="00E50FA4">
              <w:rPr>
                <w:rFonts w:ascii="Times New Roman" w:hAnsi="Times New Roman" w:cs="Times New Roman"/>
                <w:noProof/>
                <w:sz w:val="24"/>
                <w:lang w:val="en-GB"/>
              </w:rPr>
              <w:t>reflected in</w:t>
            </w:r>
            <w:r w:rsidR="004B0861" w:rsidRPr="00E50FA4">
              <w:rPr>
                <w:rFonts w:ascii="Times New Roman" w:hAnsi="Times New Roman" w:cs="Times New Roman"/>
                <w:noProof/>
                <w:sz w:val="24"/>
                <w:lang w:val="en-GB"/>
              </w:rPr>
              <w:t xml:space="preserve"> their</w:t>
            </w:r>
            <w:r w:rsidRPr="00E50FA4">
              <w:rPr>
                <w:rFonts w:ascii="Times New Roman" w:hAnsi="Times New Roman" w:cs="Times New Roman"/>
                <w:noProof/>
                <w:sz w:val="24"/>
                <w:lang w:val="en-GB"/>
              </w:rPr>
              <w:t xml:space="preserve"> business lines and internal control functions.</w:t>
            </w:r>
          </w:p>
        </w:tc>
      </w:tr>
      <w:tr w:rsidR="00085BAF" w:rsidRPr="00E50FA4" w14:paraId="3C56BEC3" w14:textId="77777777" w:rsidTr="004F0BC6">
        <w:trPr>
          <w:trHeight w:val="316"/>
        </w:trPr>
        <w:tc>
          <w:tcPr>
            <w:tcW w:w="1384" w:type="dxa"/>
          </w:tcPr>
          <w:p w14:paraId="26141F87"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(g)</w:t>
            </w:r>
          </w:p>
        </w:tc>
        <w:tc>
          <w:tcPr>
            <w:tcW w:w="7655" w:type="dxa"/>
          </w:tcPr>
          <w:p w14:paraId="6D0A39C2" w14:textId="2F797070" w:rsidR="00085BAF" w:rsidRPr="00E50FA4" w:rsidRDefault="00085BAF" w:rsidP="00160FD9">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CD42E0" w:rsidRPr="00E50FA4">
              <w:rPr>
                <w:rFonts w:ascii="Times New Roman" w:hAnsi="Times New Roman" w:cs="Times New Roman"/>
                <w:noProof/>
                <w:sz w:val="24"/>
                <w:lang w:val="en-GB"/>
              </w:rPr>
              <w:t xml:space="preserve">of </w:t>
            </w:r>
            <w:r w:rsidR="00CD42E0" w:rsidRPr="00E50FA4">
              <w:rPr>
                <w:rFonts w:ascii="Times New Roman" w:hAnsi="Times New Roman"/>
                <w:noProof/>
                <w:sz w:val="24"/>
              </w:rPr>
              <w:t>Regulation (EU) No 575/2013</w:t>
            </w:r>
            <w:r w:rsidR="00181DFE" w:rsidRPr="00E50FA4">
              <w:rPr>
                <w:rFonts w:ascii="Times New Roman" w:hAnsi="Times New Roman"/>
                <w:noProof/>
                <w:sz w:val="24"/>
              </w:rPr>
              <w:t>,</w:t>
            </w:r>
            <w:r w:rsidR="00CD42E0" w:rsidRPr="00E50FA4">
              <w:rPr>
                <w:rFonts w:ascii="Times New Roman" w:hAnsi="Times New Roman"/>
                <w:noProof/>
                <w:sz w:val="24"/>
              </w:rPr>
              <w:t xml:space="preserve"> </w:t>
            </w:r>
            <w:r w:rsidRPr="00E50FA4">
              <w:rPr>
                <w:rFonts w:ascii="Times New Roman" w:hAnsi="Times New Roman" w:cs="Times New Roman"/>
                <w:noProof/>
                <w:sz w:val="24"/>
                <w:lang w:val="en-GB"/>
              </w:rPr>
              <w:t>in conjunction with Article 435(2), point</w:t>
            </w:r>
            <w:r w:rsidR="00181DFE" w:rsidRPr="00E50FA4">
              <w:rPr>
                <w:rFonts w:ascii="Times New Roman" w:hAnsi="Times New Roman" w:cs="Times New Roman"/>
                <w:noProof/>
                <w:sz w:val="24"/>
                <w:lang w:val="en-GB"/>
              </w:rPr>
              <w:t>s</w:t>
            </w:r>
            <w:r w:rsidRPr="00E50FA4">
              <w:rPr>
                <w:rFonts w:ascii="Times New Roman" w:hAnsi="Times New Roman" w:cs="Times New Roman"/>
                <w:noProof/>
                <w:sz w:val="24"/>
                <w:lang w:val="en-GB"/>
              </w:rPr>
              <w:t xml:space="preserve"> (a)</w:t>
            </w:r>
            <w:r w:rsidR="00160FD9" w:rsidRPr="00E50FA4">
              <w:rPr>
                <w:rFonts w:ascii="Times New Roman" w:hAnsi="Times New Roman" w:cs="Times New Roman"/>
                <w:noProof/>
                <w:sz w:val="24"/>
                <w:lang w:val="en-GB"/>
              </w:rPr>
              <w:t>, (b) and (c)</w:t>
            </w:r>
            <w:r w:rsidR="00CD42E0"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w:t>
            </w:r>
            <w:r w:rsidR="00CD42E0" w:rsidRPr="00E50FA4">
              <w:rPr>
                <w:rFonts w:ascii="Times New Roman" w:hAnsi="Times New Roman" w:cs="Times New Roman"/>
                <w:noProof/>
                <w:sz w:val="24"/>
                <w:lang w:val="en-GB"/>
              </w:rPr>
              <w:t xml:space="preserve">of that </w:t>
            </w:r>
            <w:r w:rsidR="007F40F6" w:rsidRPr="00E50FA4">
              <w:rPr>
                <w:rFonts w:ascii="Times New Roman" w:hAnsi="Times New Roman" w:cs="Times New Roman"/>
                <w:noProof/>
                <w:sz w:val="24"/>
                <w:lang w:val="en-GB"/>
              </w:rPr>
              <w:t>Regulation</w:t>
            </w:r>
            <w:r w:rsidRPr="00E50FA4">
              <w:rPr>
                <w:rFonts w:ascii="Times New Roman" w:hAnsi="Times New Roman" w:cs="Times New Roman"/>
                <w:noProof/>
                <w:sz w:val="24"/>
                <w:lang w:val="en-GB"/>
              </w:rPr>
              <w:t xml:space="preserve">, </w:t>
            </w:r>
            <w:r w:rsidR="0071684B" w:rsidRPr="00E50FA4">
              <w:rPr>
                <w:rFonts w:ascii="Times New Roman" w:hAnsi="Times New Roman" w:cs="Times New Roman"/>
                <w:noProof/>
                <w:sz w:val="24"/>
                <w:lang w:val="en-GB"/>
              </w:rPr>
              <w:t xml:space="preserve">institutions shall </w:t>
            </w:r>
            <w:r w:rsidR="00694E60" w:rsidRPr="00E50FA4">
              <w:rPr>
                <w:rFonts w:ascii="Times New Roman" w:hAnsi="Times New Roman" w:cs="Times New Roman"/>
                <w:noProof/>
                <w:sz w:val="24"/>
                <w:lang w:val="en-GB"/>
              </w:rPr>
              <w:t xml:space="preserve">provide information on </w:t>
            </w:r>
            <w:r w:rsidR="00181DFE" w:rsidRPr="00E50FA4">
              <w:rPr>
                <w:rFonts w:ascii="Times New Roman" w:hAnsi="Times New Roman" w:cs="Times New Roman"/>
                <w:noProof/>
                <w:sz w:val="24"/>
                <w:lang w:val="en-GB"/>
              </w:rPr>
              <w:t xml:space="preserve">the </w:t>
            </w:r>
            <w:r w:rsidRPr="00E50FA4">
              <w:rPr>
                <w:rFonts w:ascii="Times New Roman" w:hAnsi="Times New Roman" w:cs="Times New Roman"/>
                <w:noProof/>
                <w:sz w:val="24"/>
                <w:lang w:val="en-GB"/>
              </w:rPr>
              <w:t xml:space="preserve">organisation of </w:t>
            </w:r>
            <w:r w:rsidR="00181DFE" w:rsidRPr="00E50FA4">
              <w:rPr>
                <w:rFonts w:ascii="Times New Roman" w:hAnsi="Times New Roman" w:cs="Times New Roman"/>
                <w:noProof/>
                <w:sz w:val="24"/>
                <w:lang w:val="en-GB"/>
              </w:rPr>
              <w:t xml:space="preserve">their </w:t>
            </w:r>
            <w:r w:rsidRPr="00E50FA4">
              <w:rPr>
                <w:rFonts w:ascii="Times New Roman" w:hAnsi="Times New Roman" w:cs="Times New Roman"/>
                <w:noProof/>
                <w:sz w:val="24"/>
                <w:lang w:val="en-GB"/>
              </w:rPr>
              <w:t xml:space="preserve">risk committees and </w:t>
            </w:r>
            <w:r w:rsidR="00181DFE" w:rsidRPr="00E50FA4">
              <w:rPr>
                <w:rFonts w:ascii="Times New Roman" w:hAnsi="Times New Roman" w:cs="Times New Roman"/>
                <w:noProof/>
                <w:sz w:val="24"/>
                <w:lang w:val="en-GB"/>
              </w:rPr>
              <w:t xml:space="preserve">on </w:t>
            </w:r>
            <w:r w:rsidRPr="00E50FA4">
              <w:rPr>
                <w:rFonts w:ascii="Times New Roman" w:hAnsi="Times New Roman" w:cs="Times New Roman"/>
                <w:noProof/>
                <w:sz w:val="24"/>
                <w:lang w:val="en-GB"/>
              </w:rPr>
              <w:t xml:space="preserve">the allocation of tasks and responsibilities in the risk management framework to monitor and manage environmental risks, taking into account physical, transition and liability </w:t>
            </w:r>
            <w:r w:rsidR="00C33282">
              <w:rPr>
                <w:rFonts w:ascii="Times New Roman" w:hAnsi="Times New Roman" w:cs="Times New Roman"/>
                <w:noProof/>
                <w:sz w:val="24"/>
                <w:lang w:val="en-GB"/>
              </w:rPr>
              <w:t xml:space="preserve">risk </w:t>
            </w:r>
            <w:r w:rsidRPr="00E50FA4">
              <w:rPr>
                <w:rFonts w:ascii="Times New Roman" w:hAnsi="Times New Roman" w:cs="Times New Roman"/>
                <w:noProof/>
                <w:sz w:val="24"/>
                <w:lang w:val="en-GB"/>
              </w:rPr>
              <w:t>transmission channels.</w:t>
            </w:r>
          </w:p>
        </w:tc>
      </w:tr>
      <w:tr w:rsidR="00085BAF" w:rsidRPr="00E50FA4" w14:paraId="03CFC9E0" w14:textId="77777777" w:rsidTr="004F0BC6">
        <w:trPr>
          <w:trHeight w:val="316"/>
        </w:trPr>
        <w:tc>
          <w:tcPr>
            <w:tcW w:w="1384" w:type="dxa"/>
          </w:tcPr>
          <w:p w14:paraId="66E11F45"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(h)</w:t>
            </w:r>
          </w:p>
        </w:tc>
        <w:tc>
          <w:tcPr>
            <w:tcW w:w="7655" w:type="dxa"/>
          </w:tcPr>
          <w:p w14:paraId="65799180" w14:textId="29EEB273" w:rsidR="00085BAF" w:rsidRPr="00E50FA4" w:rsidRDefault="00085BAF" w:rsidP="00160FD9">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 accordance with Article 449a </w:t>
            </w:r>
            <w:r w:rsidR="00CD42E0" w:rsidRPr="00E50FA4">
              <w:rPr>
                <w:rFonts w:ascii="Times New Roman" w:hAnsi="Times New Roman" w:cs="Times New Roman"/>
                <w:noProof/>
                <w:sz w:val="24"/>
                <w:lang w:val="en-GB"/>
              </w:rPr>
              <w:t xml:space="preserve">of </w:t>
            </w:r>
            <w:r w:rsidR="00CD42E0" w:rsidRPr="00E50FA4">
              <w:rPr>
                <w:rFonts w:ascii="Times New Roman" w:hAnsi="Times New Roman"/>
                <w:noProof/>
                <w:sz w:val="24"/>
              </w:rPr>
              <w:t>Regulation (EU) No 575/2013</w:t>
            </w:r>
            <w:r w:rsidR="00181DFE" w:rsidRPr="00E50FA4">
              <w:rPr>
                <w:rFonts w:ascii="Times New Roman" w:hAnsi="Times New Roman"/>
                <w:noProof/>
                <w:sz w:val="24"/>
              </w:rPr>
              <w:t>,</w:t>
            </w:r>
            <w:r w:rsidR="00CD42E0" w:rsidRPr="00E50FA4">
              <w:rPr>
                <w:rFonts w:ascii="Times New Roman" w:hAnsi="Times New Roman"/>
                <w:noProof/>
                <w:sz w:val="24"/>
              </w:rPr>
              <w:t xml:space="preserve"> </w:t>
            </w:r>
            <w:r w:rsidRPr="00E50FA4">
              <w:rPr>
                <w:rFonts w:ascii="Times New Roman" w:hAnsi="Times New Roman" w:cs="Times New Roman"/>
                <w:noProof/>
                <w:sz w:val="24"/>
                <w:lang w:val="en-GB"/>
              </w:rPr>
              <w:t>in conjunction with Article 435(2), point (e)</w:t>
            </w:r>
            <w:r w:rsidR="00160FD9"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w:t>
            </w:r>
            <w:r w:rsidR="00CD42E0" w:rsidRPr="00E50FA4">
              <w:rPr>
                <w:rFonts w:ascii="Times New Roman" w:hAnsi="Times New Roman" w:cs="Times New Roman"/>
                <w:noProof/>
                <w:sz w:val="24"/>
                <w:lang w:val="en-GB"/>
              </w:rPr>
              <w:t xml:space="preserve">of that </w:t>
            </w:r>
            <w:r w:rsidR="007F40F6" w:rsidRPr="00E50FA4">
              <w:rPr>
                <w:rFonts w:ascii="Times New Roman" w:hAnsi="Times New Roman" w:cs="Times New Roman"/>
                <w:noProof/>
                <w:sz w:val="24"/>
                <w:lang w:val="en-GB"/>
              </w:rPr>
              <w:t>Regulation</w:t>
            </w:r>
            <w:r w:rsidRPr="00E50FA4">
              <w:rPr>
                <w:rFonts w:ascii="Times New Roman" w:hAnsi="Times New Roman" w:cs="Times New Roman"/>
                <w:noProof/>
                <w:sz w:val="24"/>
                <w:lang w:val="en-GB"/>
              </w:rPr>
              <w:t xml:space="preserve">, </w:t>
            </w:r>
            <w:r w:rsidR="0071684B" w:rsidRPr="00E50FA4">
              <w:rPr>
                <w:rFonts w:ascii="Times New Roman" w:hAnsi="Times New Roman" w:cs="Times New Roman"/>
                <w:noProof/>
                <w:sz w:val="24"/>
                <w:lang w:val="en-GB"/>
              </w:rPr>
              <w:t xml:space="preserve">institutions shall </w:t>
            </w:r>
            <w:r w:rsidR="00694E60" w:rsidRPr="00E50FA4">
              <w:rPr>
                <w:rFonts w:ascii="Times New Roman" w:hAnsi="Times New Roman" w:cs="Times New Roman"/>
                <w:noProof/>
                <w:sz w:val="24"/>
                <w:lang w:val="en-GB"/>
              </w:rPr>
              <w:t>provide information on</w:t>
            </w:r>
            <w:r w:rsidR="0071684B"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 xml:space="preserve">the ways </w:t>
            </w:r>
            <w:r w:rsidR="00160FD9" w:rsidRPr="00E50FA4">
              <w:rPr>
                <w:rFonts w:ascii="Times New Roman" w:hAnsi="Times New Roman" w:cs="Times New Roman"/>
                <w:noProof/>
                <w:sz w:val="24"/>
                <w:lang w:val="en-GB"/>
              </w:rPr>
              <w:t>in</w:t>
            </w:r>
            <w:r w:rsidRPr="00E50FA4">
              <w:rPr>
                <w:rFonts w:ascii="Times New Roman" w:hAnsi="Times New Roman" w:cs="Times New Roman"/>
                <w:noProof/>
                <w:sz w:val="24"/>
                <w:lang w:val="en-GB"/>
              </w:rPr>
              <w:t xml:space="preserve"> which</w:t>
            </w:r>
            <w:r w:rsidR="00CD42E0" w:rsidRPr="00E50FA4">
              <w:rPr>
                <w:rFonts w:ascii="Times New Roman" w:hAnsi="Times New Roman" w:cs="Times New Roman"/>
                <w:noProof/>
                <w:sz w:val="24"/>
                <w:lang w:val="en-GB"/>
              </w:rPr>
              <w:t xml:space="preserve"> </w:t>
            </w:r>
            <w:r w:rsidR="0071684B" w:rsidRPr="00E50FA4">
              <w:rPr>
                <w:rFonts w:ascii="Times New Roman" w:hAnsi="Times New Roman" w:cs="Times New Roman"/>
                <w:noProof/>
                <w:sz w:val="24"/>
                <w:lang w:val="en-GB"/>
              </w:rPr>
              <w:t>they</w:t>
            </w:r>
            <w:r w:rsidRPr="00E50FA4">
              <w:rPr>
                <w:rFonts w:ascii="Times New Roman" w:hAnsi="Times New Roman" w:cs="Times New Roman"/>
                <w:noProof/>
                <w:sz w:val="24"/>
                <w:lang w:val="en-GB"/>
              </w:rPr>
              <w:t xml:space="preserve"> include environmental risks into </w:t>
            </w:r>
            <w:r w:rsidR="00CB0BC0" w:rsidRPr="00E50FA4">
              <w:rPr>
                <w:rFonts w:ascii="Times New Roman" w:hAnsi="Times New Roman" w:cs="Times New Roman"/>
                <w:noProof/>
                <w:sz w:val="24"/>
                <w:lang w:val="en-GB"/>
              </w:rPr>
              <w:t>the</w:t>
            </w:r>
            <w:r w:rsidR="0071684B" w:rsidRPr="00E50FA4">
              <w:rPr>
                <w:rFonts w:ascii="Times New Roman" w:hAnsi="Times New Roman" w:cs="Times New Roman"/>
                <w:noProof/>
                <w:sz w:val="24"/>
                <w:lang w:val="en-GB"/>
              </w:rPr>
              <w:t>ir</w:t>
            </w:r>
            <w:r w:rsidR="00CD42E0"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 xml:space="preserve">internal reporting framework and structure, </w:t>
            </w:r>
            <w:r w:rsidR="00181DFE" w:rsidRPr="00E50FA4">
              <w:rPr>
                <w:rFonts w:ascii="Times New Roman" w:hAnsi="Times New Roman" w:cs="Times New Roman"/>
                <w:noProof/>
                <w:sz w:val="24"/>
                <w:lang w:val="en-GB"/>
              </w:rPr>
              <w:t xml:space="preserve">as well as information on </w:t>
            </w:r>
            <w:r w:rsidRPr="00E50FA4">
              <w:rPr>
                <w:rFonts w:ascii="Times New Roman" w:hAnsi="Times New Roman" w:cs="Times New Roman"/>
                <w:noProof/>
                <w:sz w:val="24"/>
                <w:lang w:val="en-GB"/>
              </w:rPr>
              <w:t xml:space="preserve">the frequency of </w:t>
            </w:r>
            <w:r w:rsidR="00181DFE" w:rsidRPr="00E50FA4">
              <w:rPr>
                <w:rFonts w:ascii="Times New Roman" w:hAnsi="Times New Roman" w:cs="Times New Roman"/>
                <w:noProof/>
                <w:sz w:val="24"/>
                <w:lang w:val="en-GB"/>
              </w:rPr>
              <w:t xml:space="preserve">their </w:t>
            </w:r>
            <w:r w:rsidRPr="00E50FA4">
              <w:rPr>
                <w:rFonts w:ascii="Times New Roman" w:hAnsi="Times New Roman" w:cs="Times New Roman"/>
                <w:noProof/>
                <w:sz w:val="24"/>
                <w:lang w:val="en-GB"/>
              </w:rPr>
              <w:t xml:space="preserve">internal reporting and information exchange on </w:t>
            </w:r>
            <w:r w:rsidR="00181DFE" w:rsidRPr="00E50FA4">
              <w:rPr>
                <w:rFonts w:ascii="Times New Roman" w:hAnsi="Times New Roman" w:cs="Times New Roman"/>
                <w:noProof/>
                <w:sz w:val="24"/>
                <w:lang w:val="en-GB"/>
              </w:rPr>
              <w:t xml:space="preserve">such </w:t>
            </w:r>
            <w:r w:rsidRPr="00E50FA4">
              <w:rPr>
                <w:rFonts w:ascii="Times New Roman" w:hAnsi="Times New Roman" w:cs="Times New Roman"/>
                <w:noProof/>
                <w:sz w:val="24"/>
                <w:lang w:val="en-GB"/>
              </w:rPr>
              <w:t>risks.</w:t>
            </w:r>
          </w:p>
        </w:tc>
      </w:tr>
      <w:tr w:rsidR="00085BAF" w:rsidRPr="00E50FA4" w14:paraId="414A95DC" w14:textId="77777777" w:rsidTr="004F0BC6">
        <w:trPr>
          <w:trHeight w:val="316"/>
        </w:trPr>
        <w:tc>
          <w:tcPr>
            <w:tcW w:w="1384" w:type="dxa"/>
          </w:tcPr>
          <w:p w14:paraId="558038D7"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(i)</w:t>
            </w:r>
          </w:p>
        </w:tc>
        <w:tc>
          <w:tcPr>
            <w:tcW w:w="7655" w:type="dxa"/>
          </w:tcPr>
          <w:p w14:paraId="33117F3A" w14:textId="62D0CB2D" w:rsidR="00085BAF" w:rsidRPr="00E50FA4" w:rsidRDefault="00085BAF" w:rsidP="00367B72">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CD42E0" w:rsidRPr="00E50FA4">
              <w:rPr>
                <w:rFonts w:ascii="Times New Roman" w:hAnsi="Times New Roman" w:cs="Times New Roman"/>
                <w:noProof/>
                <w:sz w:val="24"/>
                <w:lang w:val="en-GB"/>
              </w:rPr>
              <w:t xml:space="preserve">of </w:t>
            </w:r>
            <w:r w:rsidR="00CD42E0" w:rsidRPr="00E50FA4">
              <w:rPr>
                <w:rFonts w:ascii="Times New Roman" w:hAnsi="Times New Roman"/>
                <w:noProof/>
                <w:sz w:val="24"/>
              </w:rPr>
              <w:t>Regulation (EU) No 575/2013</w:t>
            </w:r>
            <w:r w:rsidR="00367B72" w:rsidRPr="00E50FA4">
              <w:rPr>
                <w:rFonts w:ascii="Times New Roman" w:hAnsi="Times New Roman"/>
                <w:noProof/>
                <w:sz w:val="24"/>
              </w:rPr>
              <w:t>,</w:t>
            </w:r>
            <w:r w:rsidR="00CD42E0" w:rsidRPr="00E50FA4">
              <w:rPr>
                <w:rFonts w:ascii="Times New Roman" w:hAnsi="Times New Roman"/>
                <w:noProof/>
                <w:sz w:val="24"/>
              </w:rPr>
              <w:t xml:space="preserve"> </w:t>
            </w:r>
            <w:r w:rsidRPr="00E50FA4">
              <w:rPr>
                <w:rFonts w:ascii="Times New Roman" w:hAnsi="Times New Roman" w:cs="Times New Roman"/>
                <w:noProof/>
                <w:sz w:val="24"/>
                <w:lang w:val="en-GB"/>
              </w:rPr>
              <w:t>in conjunction with Article 435(2), point (e)</w:t>
            </w:r>
            <w:r w:rsidR="00160FD9"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w:t>
            </w:r>
            <w:r w:rsidR="00CD42E0" w:rsidRPr="00E50FA4">
              <w:rPr>
                <w:rFonts w:ascii="Times New Roman" w:hAnsi="Times New Roman" w:cs="Times New Roman"/>
                <w:noProof/>
                <w:sz w:val="24"/>
                <w:lang w:val="en-GB"/>
              </w:rPr>
              <w:t xml:space="preserve">of that </w:t>
            </w:r>
            <w:r w:rsidR="007F40F6" w:rsidRPr="00E50FA4">
              <w:rPr>
                <w:rFonts w:ascii="Times New Roman" w:hAnsi="Times New Roman" w:cs="Times New Roman"/>
                <w:noProof/>
                <w:sz w:val="24"/>
                <w:lang w:val="en-GB"/>
              </w:rPr>
              <w:t>Regulation</w:t>
            </w:r>
            <w:r w:rsidRPr="00E50FA4">
              <w:rPr>
                <w:rFonts w:ascii="Times New Roman" w:hAnsi="Times New Roman" w:cs="Times New Roman"/>
                <w:noProof/>
                <w:sz w:val="24"/>
                <w:lang w:val="en-GB"/>
              </w:rPr>
              <w:t xml:space="preserve">, </w:t>
            </w:r>
            <w:r w:rsidR="0071684B" w:rsidRPr="00E50FA4">
              <w:rPr>
                <w:rFonts w:ascii="Times New Roman" w:hAnsi="Times New Roman" w:cs="Times New Roman"/>
                <w:noProof/>
                <w:sz w:val="24"/>
                <w:lang w:val="en-GB"/>
              </w:rPr>
              <w:t xml:space="preserve">institutions shall </w:t>
            </w:r>
            <w:r w:rsidR="00694E60" w:rsidRPr="00E50FA4">
              <w:rPr>
                <w:rFonts w:ascii="Times New Roman" w:hAnsi="Times New Roman" w:cs="Times New Roman"/>
                <w:noProof/>
                <w:sz w:val="24"/>
                <w:lang w:val="en-GB"/>
              </w:rPr>
              <w:t xml:space="preserve">provide </w:t>
            </w:r>
            <w:r w:rsidRPr="00E50FA4">
              <w:rPr>
                <w:rFonts w:ascii="Times New Roman" w:eastAsia="Times New Roman" w:hAnsi="Times New Roman" w:cs="Times New Roman"/>
                <w:noProof/>
                <w:sz w:val="24"/>
                <w:lang w:val="en-GB"/>
              </w:rPr>
              <w:t xml:space="preserve">information on whether environmental risks are included in </w:t>
            </w:r>
            <w:r w:rsidR="00CD42E0" w:rsidRPr="00E50FA4">
              <w:rPr>
                <w:rFonts w:ascii="Times New Roman" w:eastAsia="Times New Roman" w:hAnsi="Times New Roman" w:cs="Times New Roman"/>
                <w:noProof/>
                <w:sz w:val="24"/>
                <w:lang w:val="en-GB"/>
              </w:rPr>
              <w:t>the</w:t>
            </w:r>
            <w:r w:rsidR="00367B72" w:rsidRPr="00E50FA4">
              <w:rPr>
                <w:rFonts w:ascii="Times New Roman" w:eastAsia="Times New Roman" w:hAnsi="Times New Roman" w:cs="Times New Roman"/>
                <w:noProof/>
                <w:sz w:val="24"/>
                <w:lang w:val="en-GB"/>
              </w:rPr>
              <w:t>ir</w:t>
            </w:r>
            <w:r w:rsidR="00CD42E0"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remuneration policy, and </w:t>
            </w:r>
            <w:r w:rsidR="00367B72" w:rsidRPr="00E50FA4">
              <w:rPr>
                <w:rFonts w:ascii="Times New Roman" w:eastAsia="Times New Roman" w:hAnsi="Times New Roman" w:cs="Times New Roman"/>
                <w:noProof/>
                <w:sz w:val="24"/>
                <w:lang w:val="en-GB"/>
              </w:rPr>
              <w:t xml:space="preserve">on </w:t>
            </w:r>
            <w:r w:rsidRPr="00E50FA4">
              <w:rPr>
                <w:rFonts w:ascii="Times New Roman" w:eastAsia="Times New Roman" w:hAnsi="Times New Roman" w:cs="Times New Roman"/>
                <w:noProof/>
                <w:sz w:val="24"/>
                <w:lang w:val="en-GB"/>
              </w:rPr>
              <w:t xml:space="preserve">the criteria and metrics used to determine the impact </w:t>
            </w:r>
            <w:r w:rsidR="00367B72" w:rsidRPr="00E50FA4">
              <w:rPr>
                <w:rFonts w:ascii="Times New Roman" w:eastAsia="Times New Roman" w:hAnsi="Times New Roman" w:cs="Times New Roman"/>
                <w:noProof/>
                <w:sz w:val="24"/>
                <w:lang w:val="en-GB"/>
              </w:rPr>
              <w:t xml:space="preserve">of environmental risk considerations </w:t>
            </w:r>
            <w:r w:rsidRPr="00E50FA4">
              <w:rPr>
                <w:rFonts w:ascii="Times New Roman" w:eastAsia="Times New Roman" w:hAnsi="Times New Roman" w:cs="Times New Roman"/>
                <w:noProof/>
                <w:sz w:val="24"/>
                <w:lang w:val="en-GB"/>
              </w:rPr>
              <w:t>on variable remuneration</w:t>
            </w:r>
            <w:r w:rsidR="00367B72" w:rsidRPr="00E50FA4">
              <w:rPr>
                <w:rFonts w:ascii="Times New Roman" w:eastAsia="Times New Roman" w:hAnsi="Times New Roman" w:cs="Times New Roman"/>
                <w:noProof/>
                <w:sz w:val="24"/>
                <w:lang w:val="en-GB"/>
              </w:rPr>
              <w:t>s</w:t>
            </w:r>
            <w:r w:rsidRPr="00E50FA4">
              <w:rPr>
                <w:rFonts w:ascii="Times New Roman" w:eastAsia="Times New Roman" w:hAnsi="Times New Roman" w:cs="Times New Roman"/>
                <w:noProof/>
                <w:sz w:val="24"/>
                <w:lang w:val="en-GB"/>
              </w:rPr>
              <w:t>.</w:t>
            </w:r>
          </w:p>
        </w:tc>
      </w:tr>
      <w:tr w:rsidR="00085BAF" w:rsidRPr="00E50FA4" w14:paraId="14DB1811" w14:textId="77777777" w:rsidTr="002C5E3F">
        <w:trPr>
          <w:trHeight w:val="723"/>
        </w:trPr>
        <w:tc>
          <w:tcPr>
            <w:tcW w:w="1384" w:type="dxa"/>
            <w:shd w:val="clear" w:color="auto" w:fill="D9D9D9" w:themeFill="background1" w:themeFillShade="D9"/>
          </w:tcPr>
          <w:p w14:paraId="6563DED4"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p>
        </w:tc>
        <w:tc>
          <w:tcPr>
            <w:tcW w:w="7655" w:type="dxa"/>
            <w:shd w:val="clear" w:color="auto" w:fill="D9D9D9" w:themeFill="background1" w:themeFillShade="D9"/>
          </w:tcPr>
          <w:p w14:paraId="436856EA" w14:textId="77777777" w:rsidR="00085BAF" w:rsidRPr="00E50FA4" w:rsidRDefault="00085BAF" w:rsidP="00085BAF">
            <w:pPr>
              <w:autoSpaceDE w:val="0"/>
              <w:autoSpaceDN w:val="0"/>
              <w:adjustRightInd w:val="0"/>
              <w:jc w:val="both"/>
              <w:rPr>
                <w:rFonts w:ascii="Times New Roman" w:hAnsi="Times New Roman" w:cs="Times New Roman"/>
                <w:b/>
                <w:noProof/>
                <w:sz w:val="24"/>
                <w:lang w:val="en-GB"/>
              </w:rPr>
            </w:pPr>
            <w:r w:rsidRPr="00E50FA4">
              <w:rPr>
                <w:rFonts w:ascii="Times New Roman" w:hAnsi="Times New Roman" w:cs="Times New Roman"/>
                <w:b/>
                <w:noProof/>
                <w:sz w:val="24"/>
                <w:lang w:val="en-GB"/>
              </w:rPr>
              <w:t>Risk management</w:t>
            </w:r>
          </w:p>
        </w:tc>
      </w:tr>
      <w:tr w:rsidR="00085BAF" w:rsidRPr="00E50FA4" w14:paraId="6A73626B" w14:textId="77777777" w:rsidTr="004F0BC6">
        <w:trPr>
          <w:trHeight w:val="316"/>
        </w:trPr>
        <w:tc>
          <w:tcPr>
            <w:tcW w:w="1384" w:type="dxa"/>
          </w:tcPr>
          <w:p w14:paraId="3436FB79"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(j)</w:t>
            </w:r>
          </w:p>
        </w:tc>
        <w:tc>
          <w:tcPr>
            <w:tcW w:w="7655" w:type="dxa"/>
          </w:tcPr>
          <w:p w14:paraId="3C5A2CBF" w14:textId="0BE0EEFB" w:rsidR="00085BAF" w:rsidRPr="00E50FA4" w:rsidRDefault="00085BAF" w:rsidP="00694E60">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CD42E0" w:rsidRPr="00E50FA4">
              <w:rPr>
                <w:rFonts w:ascii="Times New Roman" w:hAnsi="Times New Roman" w:cs="Times New Roman"/>
                <w:noProof/>
                <w:sz w:val="24"/>
                <w:lang w:val="en-GB"/>
              </w:rPr>
              <w:t xml:space="preserve">of </w:t>
            </w:r>
            <w:r w:rsidR="00CD42E0" w:rsidRPr="00E50FA4">
              <w:rPr>
                <w:rFonts w:ascii="Times New Roman" w:hAnsi="Times New Roman"/>
                <w:noProof/>
                <w:sz w:val="24"/>
              </w:rPr>
              <w:t>Regulation (EU) No 575/2013</w:t>
            </w:r>
            <w:r w:rsidR="004D0192" w:rsidRPr="00E50FA4">
              <w:rPr>
                <w:rFonts w:ascii="Times New Roman" w:hAnsi="Times New Roman"/>
                <w:noProof/>
                <w:sz w:val="24"/>
              </w:rPr>
              <w:t>,</w:t>
            </w:r>
            <w:r w:rsidR="00CD42E0" w:rsidRPr="00E50FA4">
              <w:rPr>
                <w:rFonts w:ascii="Times New Roman" w:hAnsi="Times New Roman"/>
                <w:noProof/>
                <w:sz w:val="24"/>
              </w:rPr>
              <w:t xml:space="preserve"> </w:t>
            </w:r>
            <w:r w:rsidRPr="00E50FA4">
              <w:rPr>
                <w:rFonts w:ascii="Times New Roman" w:hAnsi="Times New Roman" w:cs="Times New Roman"/>
                <w:noProof/>
                <w:sz w:val="24"/>
                <w:lang w:val="en-GB"/>
              </w:rPr>
              <w:t>in conjunction with Article 435(1), point (f)</w:t>
            </w:r>
            <w:r w:rsidR="00CD42E0" w:rsidRPr="00E50FA4">
              <w:rPr>
                <w:rFonts w:ascii="Times New Roman" w:hAnsi="Times New Roman" w:cs="Times New Roman"/>
                <w:noProof/>
                <w:sz w:val="24"/>
                <w:lang w:val="en-GB"/>
              </w:rPr>
              <w:t>, of that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Regulation</w:t>
            </w:r>
            <w:r w:rsidRPr="00E50FA4">
              <w:rPr>
                <w:rFonts w:ascii="Times New Roman" w:hAnsi="Times New Roman" w:cs="Times New Roman"/>
                <w:noProof/>
                <w:sz w:val="24"/>
                <w:lang w:val="en-GB"/>
              </w:rPr>
              <w:t xml:space="preserve">, </w:t>
            </w:r>
            <w:r w:rsidR="0071684B" w:rsidRPr="00E50FA4">
              <w:rPr>
                <w:rFonts w:ascii="Times New Roman" w:hAnsi="Times New Roman" w:cs="Times New Roman"/>
                <w:noProof/>
                <w:sz w:val="24"/>
                <w:lang w:val="en-GB"/>
              </w:rPr>
              <w:t xml:space="preserve">institutions shall </w:t>
            </w:r>
            <w:r w:rsidR="00694E60" w:rsidRPr="00E50FA4">
              <w:rPr>
                <w:rFonts w:ascii="Times New Roman" w:hAnsi="Times New Roman" w:cs="Times New Roman"/>
                <w:noProof/>
                <w:sz w:val="24"/>
                <w:lang w:val="en-GB"/>
              </w:rPr>
              <w:t>provide information on</w:t>
            </w:r>
            <w:r w:rsidR="0071684B" w:rsidRPr="00E50FA4">
              <w:rPr>
                <w:rFonts w:ascii="Times New Roman" w:hAnsi="Times New Roman" w:cs="Times New Roman"/>
                <w:noProof/>
                <w:sz w:val="24"/>
                <w:lang w:val="en-GB"/>
              </w:rPr>
              <w:t xml:space="preserve"> </w:t>
            </w:r>
            <w:r w:rsidR="00CD42E0" w:rsidRPr="00E50FA4">
              <w:rPr>
                <w:rFonts w:ascii="Times New Roman" w:hAnsi="Times New Roman" w:cs="Times New Roman"/>
                <w:noProof/>
                <w:sz w:val="24"/>
                <w:lang w:val="en-GB"/>
              </w:rPr>
              <w:t xml:space="preserve">the </w:t>
            </w:r>
            <w:r w:rsidRPr="00E50FA4">
              <w:rPr>
                <w:rFonts w:ascii="Times New Roman" w:eastAsia="Times New Roman" w:hAnsi="Times New Roman" w:cs="Times New Roman"/>
                <w:noProof/>
                <w:sz w:val="24"/>
                <w:lang w:val="en-GB" w:eastAsia="sv-SE"/>
              </w:rPr>
              <w:t>integration of short-, medium- and long-term effects of environmental factors and risks in the risk tolerance framework. Institutions</w:t>
            </w:r>
            <w:r w:rsidR="002B0B88" w:rsidRPr="00E50FA4">
              <w:rPr>
                <w:rFonts w:ascii="Times New Roman" w:eastAsia="Times New Roman" w:hAnsi="Times New Roman" w:cs="Times New Roman"/>
                <w:noProof/>
                <w:sz w:val="24"/>
                <w:lang w:val="en-GB" w:eastAsia="sv-SE"/>
              </w:rPr>
              <w:t xml:space="preserve"> </w:t>
            </w:r>
            <w:r w:rsidRPr="00E50FA4">
              <w:rPr>
                <w:rFonts w:ascii="Times New Roman" w:eastAsia="Times New Roman" w:hAnsi="Times New Roman" w:cs="Times New Roman"/>
                <w:noProof/>
                <w:sz w:val="24"/>
                <w:lang w:val="en-GB" w:eastAsia="sv-SE"/>
              </w:rPr>
              <w:t>shall decide</w:t>
            </w:r>
            <w:r w:rsidR="00CD42E0" w:rsidRPr="00E50FA4">
              <w:rPr>
                <w:rFonts w:ascii="Times New Roman" w:eastAsia="Times New Roman" w:hAnsi="Times New Roman" w:cs="Times New Roman"/>
                <w:noProof/>
                <w:sz w:val="24"/>
                <w:lang w:val="en-GB" w:eastAsia="sv-SE"/>
              </w:rPr>
              <w:t xml:space="preserve"> on</w:t>
            </w:r>
            <w:r w:rsidRPr="00E50FA4">
              <w:rPr>
                <w:rFonts w:ascii="Times New Roman" w:eastAsia="Times New Roman" w:hAnsi="Times New Roman" w:cs="Times New Roman"/>
                <w:noProof/>
                <w:sz w:val="24"/>
                <w:lang w:val="en-GB" w:eastAsia="sv-SE"/>
              </w:rPr>
              <w:t xml:space="preserve"> the relevant time horizon </w:t>
            </w:r>
            <w:r w:rsidR="00CD42E0" w:rsidRPr="00E50FA4">
              <w:rPr>
                <w:rFonts w:ascii="Times New Roman" w:eastAsia="Times New Roman" w:hAnsi="Times New Roman" w:cs="Times New Roman"/>
                <w:noProof/>
                <w:sz w:val="24"/>
                <w:lang w:val="en-GB" w:eastAsia="sv-SE"/>
              </w:rPr>
              <w:t>in accordance with</w:t>
            </w:r>
            <w:r w:rsidRPr="00E50FA4">
              <w:rPr>
                <w:rFonts w:ascii="Times New Roman" w:eastAsia="Times New Roman" w:hAnsi="Times New Roman" w:cs="Times New Roman"/>
                <w:noProof/>
                <w:sz w:val="24"/>
                <w:lang w:val="en-GB" w:eastAsia="sv-SE"/>
              </w:rPr>
              <w:t xml:space="preserve"> their own risk profile and exposures. </w:t>
            </w:r>
          </w:p>
        </w:tc>
      </w:tr>
      <w:tr w:rsidR="00085BAF" w:rsidRPr="00E50FA4" w14:paraId="314E2F6F" w14:textId="77777777" w:rsidTr="004F0BC6">
        <w:trPr>
          <w:trHeight w:val="316"/>
        </w:trPr>
        <w:tc>
          <w:tcPr>
            <w:tcW w:w="1384" w:type="dxa"/>
          </w:tcPr>
          <w:p w14:paraId="67938433"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(k)</w:t>
            </w:r>
          </w:p>
        </w:tc>
        <w:tc>
          <w:tcPr>
            <w:tcW w:w="7655" w:type="dxa"/>
          </w:tcPr>
          <w:p w14:paraId="214396DC" w14:textId="5FE1AF3B" w:rsidR="00085BAF" w:rsidRPr="00E50FA4" w:rsidRDefault="00085BAF" w:rsidP="00085BAF">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CD42E0" w:rsidRPr="00E50FA4">
              <w:rPr>
                <w:rFonts w:ascii="Times New Roman" w:hAnsi="Times New Roman" w:cs="Times New Roman"/>
                <w:noProof/>
                <w:sz w:val="24"/>
                <w:lang w:val="en-GB"/>
              </w:rPr>
              <w:t xml:space="preserve">of </w:t>
            </w:r>
            <w:r w:rsidR="00CD42E0" w:rsidRPr="00E50FA4">
              <w:rPr>
                <w:rFonts w:ascii="Times New Roman" w:hAnsi="Times New Roman"/>
                <w:noProof/>
                <w:sz w:val="24"/>
              </w:rPr>
              <w:t>Regulation (EU) No 575/2013</w:t>
            </w:r>
            <w:r w:rsidR="004D0192" w:rsidRPr="00E50FA4">
              <w:rPr>
                <w:rFonts w:ascii="Times New Roman" w:hAnsi="Times New Roman"/>
                <w:noProof/>
                <w:sz w:val="24"/>
              </w:rPr>
              <w:t>,</w:t>
            </w:r>
            <w:r w:rsidR="00CD42E0" w:rsidRPr="00E50FA4">
              <w:rPr>
                <w:rFonts w:ascii="Times New Roman" w:hAnsi="Times New Roman"/>
                <w:noProof/>
                <w:sz w:val="24"/>
              </w:rPr>
              <w:t xml:space="preserve"> </w:t>
            </w:r>
            <w:r w:rsidRPr="00E50FA4">
              <w:rPr>
                <w:rFonts w:ascii="Times New Roman" w:hAnsi="Times New Roman" w:cs="Times New Roman"/>
                <w:noProof/>
                <w:sz w:val="24"/>
                <w:lang w:val="en-GB"/>
              </w:rPr>
              <w:t>in conjunction with Article 435(1), point (a)</w:t>
            </w:r>
            <w:r w:rsidR="00160FD9"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w:t>
            </w:r>
            <w:r w:rsidR="00CD42E0" w:rsidRPr="00E50FA4">
              <w:rPr>
                <w:rFonts w:ascii="Times New Roman" w:hAnsi="Times New Roman" w:cs="Times New Roman"/>
                <w:noProof/>
                <w:sz w:val="24"/>
                <w:lang w:val="en-GB"/>
              </w:rPr>
              <w:t xml:space="preserve">of that </w:t>
            </w:r>
            <w:r w:rsidR="007F40F6" w:rsidRPr="00E50FA4">
              <w:rPr>
                <w:rFonts w:ascii="Times New Roman" w:hAnsi="Times New Roman" w:cs="Times New Roman"/>
                <w:noProof/>
                <w:sz w:val="24"/>
                <w:lang w:val="en-GB"/>
              </w:rPr>
              <w:t>Regulation</w:t>
            </w:r>
            <w:r w:rsidRPr="00E50FA4">
              <w:rPr>
                <w:rFonts w:ascii="Times New Roman" w:eastAsia="Times New Roman" w:hAnsi="Times New Roman" w:cs="Times New Roman"/>
                <w:noProof/>
                <w:sz w:val="24"/>
                <w:lang w:val="en-GB" w:eastAsia="sv-SE"/>
              </w:rPr>
              <w:t xml:space="preserve">, </w:t>
            </w:r>
            <w:r w:rsidR="0071684B" w:rsidRPr="00E50FA4">
              <w:rPr>
                <w:rFonts w:ascii="Times New Roman" w:hAnsi="Times New Roman" w:cs="Times New Roman"/>
                <w:noProof/>
                <w:sz w:val="24"/>
                <w:lang w:val="en-GB"/>
              </w:rPr>
              <w:t xml:space="preserve">institutions shall </w:t>
            </w:r>
            <w:r w:rsidR="00926A84" w:rsidRPr="00E50FA4">
              <w:rPr>
                <w:rFonts w:ascii="Times New Roman" w:hAnsi="Times New Roman" w:cs="Times New Roman"/>
                <w:noProof/>
                <w:sz w:val="24"/>
                <w:lang w:val="en-GB"/>
              </w:rPr>
              <w:t>provide information on</w:t>
            </w:r>
            <w:r w:rsidR="0071684B" w:rsidRPr="00E50FA4">
              <w:rPr>
                <w:rFonts w:ascii="Times New Roman" w:hAnsi="Times New Roman" w:cs="Times New Roman"/>
                <w:noProof/>
                <w:sz w:val="24"/>
                <w:lang w:val="en-GB"/>
              </w:rPr>
              <w:t xml:space="preserve"> </w:t>
            </w:r>
            <w:r w:rsidR="00976910" w:rsidRPr="00E50FA4">
              <w:rPr>
                <w:rFonts w:ascii="Times New Roman" w:eastAsia="Times New Roman" w:hAnsi="Times New Roman" w:cs="Times New Roman"/>
                <w:noProof/>
                <w:sz w:val="24"/>
                <w:lang w:val="en-GB" w:eastAsia="sv-SE"/>
              </w:rPr>
              <w:t>t</w:t>
            </w:r>
            <w:r w:rsidRPr="00E50FA4">
              <w:rPr>
                <w:rFonts w:ascii="Times New Roman" w:eastAsia="Times New Roman" w:hAnsi="Times New Roman" w:cs="Times New Roman"/>
                <w:noProof/>
                <w:sz w:val="24"/>
                <w:lang w:val="en-GB" w:eastAsia="sv-SE"/>
              </w:rPr>
              <w:t xml:space="preserve">he </w:t>
            </w:r>
            <w:r w:rsidR="004D0192" w:rsidRPr="00E50FA4">
              <w:rPr>
                <w:rFonts w:ascii="Times New Roman" w:eastAsia="Times New Roman" w:hAnsi="Times New Roman" w:cs="Times New Roman"/>
                <w:noProof/>
                <w:sz w:val="24"/>
                <w:lang w:val="en-GB" w:eastAsia="sv-SE"/>
              </w:rPr>
              <w:t>methods</w:t>
            </w:r>
            <w:r w:rsidRPr="00E50FA4">
              <w:rPr>
                <w:rFonts w:ascii="Times New Roman" w:eastAsia="Times New Roman" w:hAnsi="Times New Roman" w:cs="Times New Roman"/>
                <w:noProof/>
                <w:sz w:val="24"/>
                <w:lang w:val="en-GB" w:eastAsia="sv-SE"/>
              </w:rPr>
              <w:t xml:space="preserve">, definitions and standards </w:t>
            </w:r>
            <w:r w:rsidR="004D0192" w:rsidRPr="00E50FA4">
              <w:rPr>
                <w:rFonts w:ascii="Times New Roman" w:eastAsia="Times New Roman" w:hAnsi="Times New Roman" w:cs="Times New Roman"/>
                <w:noProof/>
                <w:sz w:val="24"/>
                <w:lang w:val="en-GB" w:eastAsia="sv-SE"/>
              </w:rPr>
              <w:t>used</w:t>
            </w:r>
            <w:r w:rsidRPr="00E50FA4">
              <w:rPr>
                <w:rFonts w:ascii="Times New Roman" w:eastAsia="Times New Roman" w:hAnsi="Times New Roman" w:cs="Times New Roman"/>
                <w:noProof/>
                <w:sz w:val="24"/>
                <w:lang w:val="en-GB" w:eastAsia="sv-SE"/>
              </w:rPr>
              <w:t xml:space="preserve"> </w:t>
            </w:r>
            <w:r w:rsidR="004D0192" w:rsidRPr="00E50FA4">
              <w:rPr>
                <w:rFonts w:ascii="Times New Roman" w:eastAsia="Times New Roman" w:hAnsi="Times New Roman" w:cs="Times New Roman"/>
                <w:noProof/>
                <w:sz w:val="24"/>
                <w:lang w:val="en-GB" w:eastAsia="sv-SE"/>
              </w:rPr>
              <w:t xml:space="preserve">to identify and manage </w:t>
            </w:r>
            <w:r w:rsidRPr="00E50FA4">
              <w:rPr>
                <w:rFonts w:ascii="Times New Roman" w:eastAsia="Times New Roman" w:hAnsi="Times New Roman" w:cs="Times New Roman"/>
                <w:noProof/>
                <w:sz w:val="24"/>
                <w:lang w:val="en-GB" w:eastAsia="sv-SE"/>
              </w:rPr>
              <w:t xml:space="preserve">environmental factors and risks, </w:t>
            </w:r>
            <w:r w:rsidR="004D0192" w:rsidRPr="00E50FA4">
              <w:rPr>
                <w:rFonts w:ascii="Times New Roman" w:eastAsia="Times New Roman" w:hAnsi="Times New Roman" w:cs="Times New Roman"/>
                <w:noProof/>
                <w:sz w:val="24"/>
                <w:lang w:val="en-GB" w:eastAsia="sv-SE"/>
              </w:rPr>
              <w:t xml:space="preserve">as well as </w:t>
            </w:r>
            <w:r w:rsidRPr="00E50FA4">
              <w:rPr>
                <w:rFonts w:ascii="Times New Roman" w:eastAsia="Times New Roman" w:hAnsi="Times New Roman" w:cs="Times New Roman"/>
                <w:noProof/>
                <w:sz w:val="24"/>
                <w:lang w:val="en-GB" w:eastAsia="sv-SE"/>
              </w:rPr>
              <w:t>the framework on which th</w:t>
            </w:r>
            <w:r w:rsidR="00CD42E0" w:rsidRPr="00E50FA4">
              <w:rPr>
                <w:rFonts w:ascii="Times New Roman" w:eastAsia="Times New Roman" w:hAnsi="Times New Roman" w:cs="Times New Roman"/>
                <w:noProof/>
                <w:sz w:val="24"/>
                <w:lang w:val="en-GB" w:eastAsia="sv-SE"/>
              </w:rPr>
              <w:t>o</w:t>
            </w:r>
            <w:r w:rsidRPr="00E50FA4">
              <w:rPr>
                <w:rFonts w:ascii="Times New Roman" w:eastAsia="Times New Roman" w:hAnsi="Times New Roman" w:cs="Times New Roman"/>
                <w:noProof/>
                <w:sz w:val="24"/>
                <w:lang w:val="en-GB" w:eastAsia="sv-SE"/>
              </w:rPr>
              <w:t xml:space="preserve">se standards, definitions and </w:t>
            </w:r>
            <w:r w:rsidR="004D0192" w:rsidRPr="00E50FA4">
              <w:rPr>
                <w:rFonts w:ascii="Times New Roman" w:eastAsia="Times New Roman" w:hAnsi="Times New Roman" w:cs="Times New Roman"/>
                <w:noProof/>
                <w:sz w:val="24"/>
                <w:lang w:val="en-GB" w:eastAsia="sv-SE"/>
              </w:rPr>
              <w:t xml:space="preserve">methods </w:t>
            </w:r>
            <w:r w:rsidRPr="00E50FA4">
              <w:rPr>
                <w:rFonts w:ascii="Times New Roman" w:eastAsia="Times New Roman" w:hAnsi="Times New Roman" w:cs="Times New Roman"/>
                <w:noProof/>
                <w:sz w:val="24"/>
                <w:lang w:val="en-GB" w:eastAsia="sv-SE"/>
              </w:rPr>
              <w:t xml:space="preserve">are based. </w:t>
            </w:r>
          </w:p>
          <w:p w14:paraId="38FF32D7" w14:textId="63B0BFA7" w:rsidR="00085BAF" w:rsidRPr="00E50FA4" w:rsidRDefault="0071684B" w:rsidP="008F66F5">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Institutions </w:t>
            </w:r>
            <w:r w:rsidRPr="00E50FA4">
              <w:rPr>
                <w:rFonts w:ascii="Times New Roman" w:eastAsia="Times New Roman" w:hAnsi="Times New Roman" w:cs="Times New Roman"/>
                <w:noProof/>
                <w:sz w:val="24"/>
                <w:lang w:val="en-GB" w:eastAsia="sv-SE"/>
              </w:rPr>
              <w:t xml:space="preserve">shall </w:t>
            </w:r>
            <w:r w:rsidR="004D0192" w:rsidRPr="00E50FA4">
              <w:rPr>
                <w:rFonts w:ascii="Times New Roman" w:eastAsia="Times New Roman" w:hAnsi="Times New Roman" w:cs="Times New Roman"/>
                <w:noProof/>
                <w:sz w:val="24"/>
                <w:lang w:val="en-GB" w:eastAsia="sv-SE"/>
              </w:rPr>
              <w:t>explain how such</w:t>
            </w:r>
            <w:r w:rsidR="00085BAF" w:rsidRPr="00E50FA4">
              <w:rPr>
                <w:rFonts w:ascii="Times New Roman" w:eastAsia="Times New Roman" w:hAnsi="Times New Roman" w:cs="Times New Roman"/>
                <w:noProof/>
                <w:sz w:val="24"/>
                <w:lang w:val="en-GB" w:eastAsia="sv-SE"/>
              </w:rPr>
              <w:t xml:space="preserve"> method</w:t>
            </w:r>
            <w:r w:rsidR="004D0192" w:rsidRPr="00E50FA4">
              <w:rPr>
                <w:rFonts w:ascii="Times New Roman" w:eastAsia="Times New Roman" w:hAnsi="Times New Roman" w:cs="Times New Roman"/>
                <w:noProof/>
                <w:sz w:val="24"/>
                <w:lang w:val="en-GB" w:eastAsia="sv-SE"/>
              </w:rPr>
              <w:t>s</w:t>
            </w:r>
            <w:r w:rsidR="00085BAF" w:rsidRPr="00E50FA4">
              <w:rPr>
                <w:rFonts w:ascii="Times New Roman" w:eastAsia="Times New Roman" w:hAnsi="Times New Roman" w:cs="Times New Roman"/>
                <w:noProof/>
                <w:sz w:val="24"/>
                <w:lang w:val="en-GB" w:eastAsia="sv-SE"/>
              </w:rPr>
              <w:t xml:space="preserve">, definitions and standards </w:t>
            </w:r>
            <w:r w:rsidR="004D0192" w:rsidRPr="00E50FA4">
              <w:rPr>
                <w:rFonts w:ascii="Times New Roman" w:eastAsia="Times New Roman" w:hAnsi="Times New Roman" w:cs="Times New Roman"/>
                <w:noProof/>
                <w:sz w:val="24"/>
                <w:lang w:val="en-GB" w:eastAsia="sv-SE"/>
              </w:rPr>
              <w:t xml:space="preserve">relate </w:t>
            </w:r>
            <w:r w:rsidR="00085BAF" w:rsidRPr="00E50FA4">
              <w:rPr>
                <w:rFonts w:ascii="Times New Roman" w:eastAsia="Times New Roman" w:hAnsi="Times New Roman" w:cs="Times New Roman"/>
                <w:noProof/>
                <w:sz w:val="24"/>
                <w:lang w:val="en-GB" w:eastAsia="sv-SE"/>
              </w:rPr>
              <w:t xml:space="preserve">to the </w:t>
            </w:r>
            <w:r w:rsidR="00160FD9" w:rsidRPr="00E50FA4">
              <w:rPr>
                <w:rFonts w:ascii="Times New Roman" w:eastAsia="Times New Roman" w:hAnsi="Times New Roman" w:cs="Times New Roman"/>
                <w:noProof/>
                <w:sz w:val="24"/>
                <w:lang w:val="en-GB" w:eastAsia="sv-SE"/>
              </w:rPr>
              <w:t>applicable</w:t>
            </w:r>
            <w:r w:rsidR="00085BAF" w:rsidRPr="00E50FA4">
              <w:rPr>
                <w:rFonts w:ascii="Times New Roman" w:eastAsia="Times New Roman" w:hAnsi="Times New Roman" w:cs="Times New Roman"/>
                <w:noProof/>
                <w:sz w:val="24"/>
                <w:lang w:val="en-GB" w:eastAsia="sv-SE"/>
              </w:rPr>
              <w:t xml:space="preserve"> </w:t>
            </w:r>
            <w:r w:rsidR="00085BAF" w:rsidRPr="00E50FA4">
              <w:rPr>
                <w:rFonts w:ascii="Times New Roman" w:hAnsi="Times New Roman" w:cs="Times New Roman"/>
                <w:noProof/>
                <w:sz w:val="24"/>
                <w:lang w:val="en-GB"/>
              </w:rPr>
              <w:t xml:space="preserve">international and </w:t>
            </w:r>
            <w:r w:rsidR="00B45966" w:rsidRPr="00E50FA4">
              <w:rPr>
                <w:rFonts w:ascii="Times New Roman" w:hAnsi="Times New Roman" w:cs="Times New Roman"/>
                <w:noProof/>
                <w:sz w:val="24"/>
                <w:lang w:val="en-GB"/>
              </w:rPr>
              <w:t>Union</w:t>
            </w:r>
            <w:r w:rsidR="00085BAF" w:rsidRPr="00E50FA4">
              <w:rPr>
                <w:rFonts w:ascii="Times New Roman" w:hAnsi="Times New Roman" w:cs="Times New Roman"/>
                <w:noProof/>
                <w:sz w:val="24"/>
                <w:lang w:val="en-GB"/>
              </w:rPr>
              <w:t xml:space="preserve"> policy framework and </w:t>
            </w:r>
            <w:r w:rsidR="009620B8" w:rsidRPr="00E50FA4">
              <w:rPr>
                <w:rFonts w:ascii="Times New Roman" w:hAnsi="Times New Roman" w:cs="Times New Roman"/>
                <w:noProof/>
                <w:sz w:val="24"/>
                <w:lang w:val="en-GB"/>
              </w:rPr>
              <w:t xml:space="preserve">available </w:t>
            </w:r>
            <w:r w:rsidR="00085BAF" w:rsidRPr="00E50FA4">
              <w:rPr>
                <w:rFonts w:ascii="Times New Roman" w:hAnsi="Times New Roman" w:cs="Times New Roman"/>
                <w:noProof/>
                <w:sz w:val="24"/>
                <w:lang w:val="en-GB"/>
              </w:rPr>
              <w:t>benchmarks</w:t>
            </w:r>
            <w:r w:rsidR="00965EF4" w:rsidRPr="00E50FA4">
              <w:rPr>
                <w:rFonts w:ascii="Times New Roman" w:hAnsi="Times New Roman" w:cs="Times New Roman"/>
                <w:noProof/>
                <w:sz w:val="24"/>
                <w:lang w:val="en-GB"/>
              </w:rPr>
              <w:t>.</w:t>
            </w:r>
          </w:p>
        </w:tc>
      </w:tr>
      <w:tr w:rsidR="00085BAF" w:rsidRPr="00E50FA4" w14:paraId="17F9BA3B" w14:textId="77777777" w:rsidTr="004F0BC6">
        <w:trPr>
          <w:trHeight w:val="316"/>
        </w:trPr>
        <w:tc>
          <w:tcPr>
            <w:tcW w:w="1384" w:type="dxa"/>
          </w:tcPr>
          <w:p w14:paraId="1F7E7A30"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(l)</w:t>
            </w:r>
          </w:p>
        </w:tc>
        <w:tc>
          <w:tcPr>
            <w:tcW w:w="7655" w:type="dxa"/>
          </w:tcPr>
          <w:p w14:paraId="52223424" w14:textId="0EB55139" w:rsidR="00085BAF" w:rsidRPr="00E50FA4" w:rsidRDefault="00085BAF" w:rsidP="00085BAF">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CD42E0" w:rsidRPr="00E50FA4">
              <w:rPr>
                <w:rFonts w:ascii="Times New Roman" w:hAnsi="Times New Roman" w:cs="Times New Roman"/>
                <w:noProof/>
                <w:sz w:val="24"/>
                <w:lang w:val="en-GB"/>
              </w:rPr>
              <w:t xml:space="preserve">of </w:t>
            </w:r>
            <w:r w:rsidR="00CD42E0" w:rsidRPr="00E50FA4">
              <w:rPr>
                <w:rFonts w:ascii="Times New Roman" w:hAnsi="Times New Roman"/>
                <w:noProof/>
                <w:sz w:val="24"/>
              </w:rPr>
              <w:t>Regulation (EU) No 575/2013</w:t>
            </w:r>
            <w:r w:rsidR="00264434" w:rsidRPr="00E50FA4">
              <w:rPr>
                <w:rFonts w:ascii="Times New Roman" w:hAnsi="Times New Roman"/>
                <w:noProof/>
                <w:sz w:val="24"/>
              </w:rPr>
              <w:t>,</w:t>
            </w:r>
            <w:r w:rsidR="00CD42E0" w:rsidRPr="00E50FA4">
              <w:rPr>
                <w:rFonts w:ascii="Times New Roman" w:hAnsi="Times New Roman"/>
                <w:noProof/>
                <w:sz w:val="24"/>
              </w:rPr>
              <w:t xml:space="preserve"> </w:t>
            </w:r>
            <w:r w:rsidRPr="00E50FA4">
              <w:rPr>
                <w:rFonts w:ascii="Times New Roman" w:hAnsi="Times New Roman" w:cs="Times New Roman"/>
                <w:noProof/>
                <w:sz w:val="24"/>
                <w:lang w:val="en-GB"/>
              </w:rPr>
              <w:t>in conjunction with Article 435(1), point (a)</w:t>
            </w:r>
            <w:r w:rsidR="00CD42E0"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w:t>
            </w:r>
            <w:r w:rsidR="00CD42E0" w:rsidRPr="00E50FA4">
              <w:rPr>
                <w:rFonts w:ascii="Times New Roman" w:hAnsi="Times New Roman" w:cs="Times New Roman"/>
                <w:noProof/>
                <w:sz w:val="24"/>
                <w:lang w:val="en-GB"/>
              </w:rPr>
              <w:t xml:space="preserve">of that </w:t>
            </w:r>
            <w:r w:rsidR="007F40F6" w:rsidRPr="00E50FA4">
              <w:rPr>
                <w:rFonts w:ascii="Times New Roman" w:hAnsi="Times New Roman" w:cs="Times New Roman"/>
                <w:noProof/>
                <w:sz w:val="24"/>
                <w:lang w:val="en-GB"/>
              </w:rPr>
              <w:t>Regulation</w:t>
            </w:r>
            <w:r w:rsidR="0071684B" w:rsidRPr="00E50FA4">
              <w:rPr>
                <w:rFonts w:ascii="Times New Roman" w:hAnsi="Times New Roman" w:cs="Times New Roman"/>
                <w:noProof/>
                <w:sz w:val="24"/>
                <w:lang w:val="en-GB"/>
              </w:rPr>
              <w:t xml:space="preserve">, institutions shall </w:t>
            </w:r>
            <w:r w:rsidR="00926A84" w:rsidRPr="00E50FA4">
              <w:rPr>
                <w:rFonts w:ascii="Times New Roman" w:hAnsi="Times New Roman" w:cs="Times New Roman"/>
                <w:noProof/>
                <w:sz w:val="24"/>
                <w:lang w:val="en-GB"/>
              </w:rPr>
              <w:t>disclose</w:t>
            </w:r>
            <w:r w:rsidRPr="00E50FA4">
              <w:rPr>
                <w:rFonts w:ascii="Times New Roman" w:eastAsia="Times New Roman" w:hAnsi="Times New Roman" w:cs="Times New Roman"/>
                <w:noProof/>
                <w:sz w:val="24"/>
                <w:lang w:val="en-GB" w:eastAsia="sv-SE"/>
              </w:rPr>
              <w:t>:</w:t>
            </w:r>
          </w:p>
          <w:p w14:paraId="05372578" w14:textId="294EA920" w:rsidR="00085BAF" w:rsidRPr="00E50FA4" w:rsidRDefault="00085BAF" w:rsidP="00B76863">
            <w:pPr>
              <w:pStyle w:val="ListParagraph"/>
              <w:numPr>
                <w:ilvl w:val="0"/>
                <w:numId w:val="52"/>
              </w:numPr>
              <w:autoSpaceDE w:val="0"/>
              <w:autoSpaceDN w:val="0"/>
              <w:adjustRightInd w:val="0"/>
              <w:spacing w:before="120" w:after="120"/>
              <w:ind w:left="350"/>
              <w:jc w:val="both"/>
              <w:rPr>
                <w:rFonts w:ascii="Times New Roman" w:eastAsia="Times New Roman" w:hAnsi="Times New Roman"/>
                <w:noProof/>
                <w:sz w:val="24"/>
                <w:lang w:eastAsia="sv-SE"/>
              </w:rPr>
            </w:pPr>
            <w:r w:rsidRPr="00E50FA4">
              <w:rPr>
                <w:rFonts w:ascii="Times New Roman" w:eastAsia="Times New Roman" w:hAnsi="Times New Roman"/>
                <w:noProof/>
                <w:sz w:val="24"/>
                <w:lang w:eastAsia="sv-SE"/>
              </w:rPr>
              <w:t xml:space="preserve">the processes by which </w:t>
            </w:r>
            <w:r w:rsidR="0063605D" w:rsidRPr="00E50FA4">
              <w:rPr>
                <w:rFonts w:ascii="Times New Roman" w:eastAsia="Times New Roman" w:hAnsi="Times New Roman"/>
                <w:noProof/>
                <w:sz w:val="24"/>
                <w:lang w:eastAsia="sv-SE"/>
              </w:rPr>
              <w:t xml:space="preserve">the </w:t>
            </w:r>
            <w:r w:rsidRPr="00E50FA4">
              <w:rPr>
                <w:rFonts w:ascii="Times New Roman" w:eastAsia="Times New Roman" w:hAnsi="Times New Roman"/>
                <w:noProof/>
                <w:sz w:val="24"/>
                <w:lang w:eastAsia="sv-SE"/>
              </w:rPr>
              <w:t>institution identif</w:t>
            </w:r>
            <w:r w:rsidR="0063605D" w:rsidRPr="00E50FA4">
              <w:rPr>
                <w:rFonts w:ascii="Times New Roman" w:eastAsia="Times New Roman" w:hAnsi="Times New Roman"/>
                <w:noProof/>
                <w:sz w:val="24"/>
                <w:lang w:eastAsia="sv-SE"/>
              </w:rPr>
              <w:t>ies</w:t>
            </w:r>
            <w:r w:rsidRPr="00E50FA4">
              <w:rPr>
                <w:rFonts w:ascii="Times New Roman" w:eastAsia="Times New Roman" w:hAnsi="Times New Roman"/>
                <w:noProof/>
                <w:sz w:val="24"/>
                <w:lang w:eastAsia="sv-SE"/>
              </w:rPr>
              <w:t xml:space="preserve"> and monitor</w:t>
            </w:r>
            <w:r w:rsidR="0063605D" w:rsidRPr="00E50FA4">
              <w:rPr>
                <w:rFonts w:ascii="Times New Roman" w:eastAsia="Times New Roman" w:hAnsi="Times New Roman"/>
                <w:noProof/>
                <w:sz w:val="24"/>
                <w:lang w:eastAsia="sv-SE"/>
              </w:rPr>
              <w:t>s</w:t>
            </w:r>
            <w:r w:rsidRPr="00E50FA4">
              <w:rPr>
                <w:rFonts w:ascii="Times New Roman" w:eastAsia="Times New Roman" w:hAnsi="Times New Roman"/>
                <w:noProof/>
                <w:sz w:val="24"/>
                <w:lang w:eastAsia="sv-SE"/>
              </w:rPr>
              <w:t xml:space="preserve"> its activities and exposures which are sensitive and vulnerable to environmental risks</w:t>
            </w:r>
            <w:r w:rsidR="0063605D" w:rsidRPr="00E50FA4">
              <w:rPr>
                <w:rFonts w:ascii="Times New Roman" w:eastAsia="Times New Roman" w:hAnsi="Times New Roman"/>
                <w:noProof/>
                <w:sz w:val="24"/>
                <w:lang w:eastAsia="sv-SE"/>
              </w:rPr>
              <w:t>,</w:t>
            </w:r>
            <w:r w:rsidRPr="00E50FA4">
              <w:rPr>
                <w:rFonts w:ascii="Times New Roman" w:eastAsia="Times New Roman" w:hAnsi="Times New Roman"/>
                <w:noProof/>
                <w:sz w:val="24"/>
                <w:lang w:eastAsia="sv-SE"/>
              </w:rPr>
              <w:t xml:space="preserve"> including any movable and immovable assets associated with </w:t>
            </w:r>
            <w:r w:rsidR="00264434" w:rsidRPr="00E50FA4">
              <w:rPr>
                <w:rFonts w:ascii="Times New Roman" w:eastAsia="Times New Roman" w:hAnsi="Times New Roman"/>
                <w:noProof/>
                <w:sz w:val="24"/>
                <w:lang w:eastAsia="sv-SE"/>
              </w:rPr>
              <w:t xml:space="preserve">such </w:t>
            </w:r>
            <w:r w:rsidRPr="00E50FA4">
              <w:rPr>
                <w:rFonts w:ascii="Times New Roman" w:eastAsia="Times New Roman" w:hAnsi="Times New Roman"/>
                <w:noProof/>
                <w:sz w:val="24"/>
                <w:lang w:eastAsia="sv-SE"/>
              </w:rPr>
              <w:t>activities and exposures</w:t>
            </w:r>
            <w:r w:rsidR="00B45966" w:rsidRPr="00E50FA4">
              <w:rPr>
                <w:rFonts w:ascii="Times New Roman" w:eastAsia="Times New Roman" w:hAnsi="Times New Roman"/>
                <w:noProof/>
                <w:sz w:val="24"/>
                <w:lang w:eastAsia="sv-SE"/>
              </w:rPr>
              <w:t>;</w:t>
            </w:r>
          </w:p>
          <w:p w14:paraId="2FA51EA6" w14:textId="040809C1" w:rsidR="00085BAF" w:rsidRPr="00E50FA4" w:rsidRDefault="00B45966" w:rsidP="00B76863">
            <w:pPr>
              <w:pStyle w:val="ListParagraph"/>
              <w:numPr>
                <w:ilvl w:val="0"/>
                <w:numId w:val="52"/>
              </w:numPr>
              <w:autoSpaceDE w:val="0"/>
              <w:autoSpaceDN w:val="0"/>
              <w:adjustRightInd w:val="0"/>
              <w:spacing w:before="120" w:after="120"/>
              <w:ind w:left="350"/>
              <w:jc w:val="both"/>
              <w:rPr>
                <w:rFonts w:ascii="Times New Roman" w:eastAsia="Times New Roman" w:hAnsi="Times New Roman"/>
                <w:noProof/>
                <w:sz w:val="24"/>
                <w:lang w:eastAsia="sv-SE"/>
              </w:rPr>
            </w:pPr>
            <w:r w:rsidRPr="00E50FA4">
              <w:rPr>
                <w:rFonts w:ascii="Times New Roman" w:eastAsia="Times New Roman" w:hAnsi="Times New Roman"/>
                <w:noProof/>
                <w:sz w:val="24"/>
                <w:lang w:eastAsia="sv-SE"/>
              </w:rPr>
              <w:t>t</w:t>
            </w:r>
            <w:r w:rsidR="00085BAF" w:rsidRPr="00E50FA4">
              <w:rPr>
                <w:rFonts w:ascii="Times New Roman" w:eastAsia="Times New Roman" w:hAnsi="Times New Roman"/>
                <w:noProof/>
                <w:sz w:val="24"/>
                <w:lang w:eastAsia="sv-SE"/>
              </w:rPr>
              <w:t xml:space="preserve">he processes by which </w:t>
            </w:r>
            <w:r w:rsidR="0063605D" w:rsidRPr="00E50FA4">
              <w:rPr>
                <w:rFonts w:ascii="Times New Roman" w:eastAsia="Times New Roman" w:hAnsi="Times New Roman"/>
                <w:noProof/>
                <w:sz w:val="24"/>
                <w:lang w:eastAsia="sv-SE"/>
              </w:rPr>
              <w:t xml:space="preserve">the </w:t>
            </w:r>
            <w:r w:rsidR="00085BAF" w:rsidRPr="00E50FA4">
              <w:rPr>
                <w:rFonts w:ascii="Times New Roman" w:eastAsia="Times New Roman" w:hAnsi="Times New Roman"/>
                <w:noProof/>
                <w:sz w:val="24"/>
                <w:lang w:eastAsia="sv-SE"/>
              </w:rPr>
              <w:t>institution identif</w:t>
            </w:r>
            <w:r w:rsidR="0063605D" w:rsidRPr="00E50FA4">
              <w:rPr>
                <w:rFonts w:ascii="Times New Roman" w:eastAsia="Times New Roman" w:hAnsi="Times New Roman"/>
                <w:noProof/>
                <w:sz w:val="24"/>
                <w:lang w:eastAsia="sv-SE"/>
              </w:rPr>
              <w:t>ies</w:t>
            </w:r>
            <w:r w:rsidR="00085BAF" w:rsidRPr="00E50FA4">
              <w:rPr>
                <w:rFonts w:ascii="Times New Roman" w:eastAsia="Times New Roman" w:hAnsi="Times New Roman"/>
                <w:noProof/>
                <w:sz w:val="24"/>
                <w:lang w:eastAsia="sv-SE"/>
              </w:rPr>
              <w:t xml:space="preserve"> and monitor</w:t>
            </w:r>
            <w:r w:rsidR="0063605D" w:rsidRPr="00E50FA4">
              <w:rPr>
                <w:rFonts w:ascii="Times New Roman" w:eastAsia="Times New Roman" w:hAnsi="Times New Roman"/>
                <w:noProof/>
                <w:sz w:val="24"/>
                <w:lang w:eastAsia="sv-SE"/>
              </w:rPr>
              <w:t>s</w:t>
            </w:r>
            <w:r w:rsidR="00085BAF" w:rsidRPr="00E50FA4">
              <w:rPr>
                <w:rFonts w:ascii="Times New Roman" w:eastAsia="Times New Roman" w:hAnsi="Times New Roman"/>
                <w:noProof/>
                <w:sz w:val="24"/>
                <w:lang w:eastAsia="sv-SE"/>
              </w:rPr>
              <w:t xml:space="preserve"> environmental risks that are financially material or currently non-material with a prospect to become material in the future. </w:t>
            </w:r>
          </w:p>
          <w:p w14:paraId="6C9586AA" w14:textId="73D0C90E" w:rsidR="00085BAF" w:rsidRPr="00E50FA4" w:rsidRDefault="00085BAF" w:rsidP="00085BAF">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Activities, exposures and assets which are sensitive and vulnerable to environmental risks shall include those related</w:t>
            </w:r>
            <w:r w:rsidR="0063605D" w:rsidRPr="00E50FA4">
              <w:rPr>
                <w:rFonts w:ascii="Times New Roman" w:eastAsia="Times New Roman" w:hAnsi="Times New Roman" w:cs="Times New Roman"/>
                <w:noProof/>
                <w:sz w:val="24"/>
                <w:lang w:val="en-GB" w:eastAsia="sv-SE"/>
              </w:rPr>
              <w:t xml:space="preserve"> </w:t>
            </w:r>
            <w:r w:rsidRPr="00E50FA4">
              <w:rPr>
                <w:rFonts w:ascii="Times New Roman" w:eastAsia="Times New Roman" w:hAnsi="Times New Roman" w:cs="Times New Roman"/>
                <w:noProof/>
                <w:sz w:val="24"/>
                <w:lang w:val="en-GB" w:eastAsia="sv-SE"/>
              </w:rPr>
              <w:t xml:space="preserve">to agriculture, fisheries, forestry, energy sectors in combination with their geographical location, reliance on water or other environmental factors and risks, which may be vulnerable to </w:t>
            </w:r>
            <w:r w:rsidR="00756CAF" w:rsidRPr="00E50FA4">
              <w:rPr>
                <w:rFonts w:ascii="Times New Roman" w:eastAsia="Times New Roman" w:hAnsi="Times New Roman" w:cs="Times New Roman"/>
                <w:noProof/>
                <w:sz w:val="24"/>
                <w:lang w:val="en-GB" w:eastAsia="sv-SE"/>
              </w:rPr>
              <w:t xml:space="preserve">different </w:t>
            </w:r>
            <w:r w:rsidRPr="00E50FA4">
              <w:rPr>
                <w:rFonts w:ascii="Times New Roman" w:eastAsia="Times New Roman" w:hAnsi="Times New Roman" w:cs="Times New Roman"/>
                <w:noProof/>
                <w:sz w:val="24"/>
                <w:lang w:val="en-GB" w:eastAsia="sv-SE"/>
              </w:rPr>
              <w:t>factors</w:t>
            </w:r>
            <w:r w:rsidR="00756CAF" w:rsidRPr="00E50FA4">
              <w:rPr>
                <w:rFonts w:ascii="Times New Roman" w:eastAsia="Times New Roman" w:hAnsi="Times New Roman" w:cs="Times New Roman"/>
                <w:noProof/>
                <w:sz w:val="24"/>
                <w:lang w:val="en-GB" w:eastAsia="sv-SE"/>
              </w:rPr>
              <w:t>, including</w:t>
            </w:r>
            <w:r w:rsidRPr="00E50FA4">
              <w:rPr>
                <w:rFonts w:ascii="Times New Roman" w:eastAsia="Times New Roman" w:hAnsi="Times New Roman" w:cs="Times New Roman"/>
                <w:noProof/>
                <w:sz w:val="24"/>
                <w:lang w:val="en-GB" w:eastAsia="sv-SE"/>
              </w:rPr>
              <w:t xml:space="preserve"> flood, draught, fires, </w:t>
            </w:r>
            <w:r w:rsidR="00B17D66" w:rsidRPr="00E50FA4">
              <w:rPr>
                <w:rFonts w:ascii="Times New Roman" w:eastAsia="Times New Roman" w:hAnsi="Times New Roman" w:cs="Times New Roman"/>
                <w:noProof/>
                <w:sz w:val="24"/>
                <w:lang w:val="en-GB" w:eastAsia="sv-SE"/>
              </w:rPr>
              <w:t>and loss</w:t>
            </w:r>
            <w:r w:rsidRPr="00E50FA4">
              <w:rPr>
                <w:rFonts w:ascii="Times New Roman" w:eastAsia="Times New Roman" w:hAnsi="Times New Roman" w:cs="Times New Roman"/>
                <w:noProof/>
                <w:sz w:val="24"/>
                <w:lang w:val="en-GB" w:eastAsia="sv-SE"/>
              </w:rPr>
              <w:t xml:space="preserve"> of biodiversity. They shall also include concentration of the counterparty’s operations in endangered zones, and they shall be deemed to cover the entire value chain of the counterparty.</w:t>
            </w:r>
          </w:p>
          <w:p w14:paraId="3F5C2916" w14:textId="6E8BC92E" w:rsidR="00085BAF" w:rsidRPr="00E50FA4" w:rsidRDefault="00085BAF" w:rsidP="00FB2D1C">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 xml:space="preserve">When disclosing the </w:t>
            </w:r>
            <w:r w:rsidR="00756CAF" w:rsidRPr="00E50FA4">
              <w:rPr>
                <w:rFonts w:ascii="Times New Roman" w:eastAsia="Times New Roman" w:hAnsi="Times New Roman" w:cs="Times New Roman"/>
                <w:noProof/>
                <w:sz w:val="24"/>
                <w:lang w:val="en-GB" w:eastAsia="sv-SE"/>
              </w:rPr>
              <w:t>information referred to in this point</w:t>
            </w:r>
            <w:r w:rsidRPr="00E50FA4">
              <w:rPr>
                <w:rFonts w:ascii="Times New Roman" w:eastAsia="Times New Roman" w:hAnsi="Times New Roman" w:cs="Times New Roman"/>
                <w:noProof/>
                <w:sz w:val="24"/>
                <w:lang w:val="en-GB" w:eastAsia="sv-SE"/>
              </w:rPr>
              <w:t xml:space="preserve">, institutions shall indicate </w:t>
            </w:r>
            <w:r w:rsidR="00660574" w:rsidRPr="00E50FA4">
              <w:rPr>
                <w:rFonts w:ascii="Times New Roman" w:eastAsia="Times New Roman" w:hAnsi="Times New Roman" w:cs="Times New Roman"/>
                <w:noProof/>
                <w:sz w:val="24"/>
                <w:lang w:val="en-GB" w:eastAsia="sv-SE"/>
              </w:rPr>
              <w:t xml:space="preserve">the </w:t>
            </w:r>
            <w:r w:rsidRPr="00E50FA4">
              <w:rPr>
                <w:rFonts w:ascii="Times New Roman" w:eastAsia="Times New Roman" w:hAnsi="Times New Roman" w:cs="Times New Roman"/>
                <w:noProof/>
                <w:sz w:val="24"/>
                <w:lang w:val="en-GB" w:eastAsia="sv-SE"/>
              </w:rPr>
              <w:t xml:space="preserve">materiality (including double materiality) </w:t>
            </w:r>
            <w:r w:rsidR="00FB2D1C" w:rsidRPr="00E50FA4">
              <w:rPr>
                <w:rFonts w:ascii="Times New Roman" w:eastAsia="Times New Roman" w:hAnsi="Times New Roman" w:cs="Times New Roman"/>
                <w:noProof/>
                <w:sz w:val="24"/>
                <w:lang w:val="en-GB" w:eastAsia="sv-SE"/>
              </w:rPr>
              <w:t xml:space="preserve">which </w:t>
            </w:r>
            <w:r w:rsidR="00660574" w:rsidRPr="00E50FA4">
              <w:rPr>
                <w:rFonts w:ascii="Times New Roman" w:eastAsia="Times New Roman" w:hAnsi="Times New Roman" w:cs="Times New Roman"/>
                <w:noProof/>
                <w:sz w:val="24"/>
                <w:lang w:val="en-GB" w:eastAsia="sv-SE"/>
              </w:rPr>
              <w:t xml:space="preserve">is </w:t>
            </w:r>
            <w:r w:rsidR="00FB2D1C" w:rsidRPr="00E50FA4">
              <w:rPr>
                <w:rFonts w:ascii="Times New Roman" w:eastAsia="Times New Roman" w:hAnsi="Times New Roman" w:cs="Times New Roman"/>
                <w:noProof/>
                <w:sz w:val="24"/>
                <w:lang w:val="en-GB" w:eastAsia="sv-SE"/>
              </w:rPr>
              <w:t xml:space="preserve">to be understood in the sense set out in the definitions contained </w:t>
            </w:r>
            <w:r w:rsidRPr="00E50FA4">
              <w:rPr>
                <w:rFonts w:ascii="Times New Roman" w:eastAsia="Times New Roman" w:hAnsi="Times New Roman" w:cs="Times New Roman"/>
                <w:noProof/>
                <w:sz w:val="24"/>
                <w:lang w:val="en-GB" w:eastAsia="sv-SE"/>
              </w:rPr>
              <w:t xml:space="preserve">in the report </w:t>
            </w:r>
            <w:r w:rsidR="00FB2D1C" w:rsidRPr="00E50FA4">
              <w:rPr>
                <w:rFonts w:ascii="Times New Roman" w:eastAsia="Times New Roman" w:hAnsi="Times New Roman" w:cs="Times New Roman"/>
                <w:noProof/>
                <w:sz w:val="24"/>
                <w:lang w:val="en-GB" w:eastAsia="sv-SE"/>
              </w:rPr>
              <w:t xml:space="preserve">referred to </w:t>
            </w:r>
            <w:r w:rsidR="004254BA" w:rsidRPr="00E50FA4">
              <w:rPr>
                <w:rFonts w:ascii="Times New Roman" w:eastAsia="Times New Roman" w:hAnsi="Times New Roman" w:cs="Times New Roman"/>
                <w:noProof/>
                <w:sz w:val="24"/>
                <w:lang w:val="en-GB" w:eastAsia="sv-SE"/>
              </w:rPr>
              <w:t xml:space="preserve">in </w:t>
            </w:r>
            <w:r w:rsidRPr="00E50FA4">
              <w:rPr>
                <w:rFonts w:ascii="Times New Roman" w:eastAsia="Times New Roman" w:hAnsi="Times New Roman" w:cs="Times New Roman"/>
                <w:noProof/>
                <w:sz w:val="24"/>
                <w:lang w:val="en-GB" w:eastAsia="sv-SE"/>
              </w:rPr>
              <w:t xml:space="preserve">Article 98(8) of </w:t>
            </w:r>
            <w:r w:rsidR="0063605D" w:rsidRPr="00E50FA4">
              <w:rPr>
                <w:rFonts w:ascii="Times New Roman" w:eastAsia="Times New Roman" w:hAnsi="Times New Roman" w:cs="Times New Roman"/>
                <w:noProof/>
                <w:sz w:val="24"/>
                <w:lang w:val="en-GB" w:eastAsia="sv-SE"/>
              </w:rPr>
              <w:t>Directive 2013/36/EU of the European Parliament and of the Council</w:t>
            </w:r>
            <w:r w:rsidR="00CB0BC0" w:rsidRPr="00E50FA4">
              <w:rPr>
                <w:rFonts w:ascii="Times New Roman" w:eastAsia="Times New Roman" w:hAnsi="Times New Roman" w:cs="Times New Roman"/>
                <w:noProof/>
                <w:sz w:val="24"/>
                <w:vertAlign w:val="superscript"/>
                <w:lang w:val="en-GB" w:eastAsia="sv-SE"/>
              </w:rPr>
              <w:t>*</w:t>
            </w:r>
            <w:r w:rsidR="005F2DA5" w:rsidRPr="00E50FA4">
              <w:rPr>
                <w:rFonts w:ascii="Times New Roman" w:eastAsia="Times New Roman" w:hAnsi="Times New Roman" w:cs="Times New Roman"/>
                <w:noProof/>
                <w:sz w:val="24"/>
                <w:vertAlign w:val="superscript"/>
                <w:lang w:val="en-GB" w:eastAsia="sv-SE"/>
              </w:rPr>
              <w:t>10</w:t>
            </w:r>
            <w:r w:rsidRPr="00E50FA4">
              <w:rPr>
                <w:rFonts w:ascii="Times New Roman" w:eastAsia="Times New Roman" w:hAnsi="Times New Roman" w:cs="Times New Roman"/>
                <w:noProof/>
                <w:sz w:val="24"/>
                <w:lang w:val="en-GB" w:eastAsia="sv-SE"/>
              </w:rPr>
              <w:t xml:space="preserve"> and shall cover the life</w:t>
            </w:r>
            <w:r w:rsidR="00660574" w:rsidRPr="00E50FA4">
              <w:rPr>
                <w:rFonts w:ascii="Times New Roman" w:eastAsia="Times New Roman" w:hAnsi="Times New Roman" w:cs="Times New Roman"/>
                <w:noProof/>
                <w:sz w:val="24"/>
                <w:lang w:val="en-GB" w:eastAsia="sv-SE"/>
              </w:rPr>
              <w:t>-</w:t>
            </w:r>
            <w:r w:rsidRPr="00E50FA4">
              <w:rPr>
                <w:rFonts w:ascii="Times New Roman" w:eastAsia="Times New Roman" w:hAnsi="Times New Roman" w:cs="Times New Roman"/>
                <w:noProof/>
                <w:sz w:val="24"/>
                <w:lang w:val="en-GB" w:eastAsia="sv-SE"/>
              </w:rPr>
              <w:t>cycle of exposures</w:t>
            </w:r>
            <w:r w:rsidR="00660574" w:rsidRPr="00E50FA4">
              <w:rPr>
                <w:rFonts w:ascii="Times New Roman" w:eastAsia="Times New Roman" w:hAnsi="Times New Roman" w:cs="Times New Roman"/>
                <w:noProof/>
                <w:sz w:val="24"/>
                <w:lang w:val="en-GB" w:eastAsia="sv-SE"/>
              </w:rPr>
              <w:t>,</w:t>
            </w:r>
            <w:r w:rsidRPr="00E50FA4">
              <w:rPr>
                <w:rFonts w:ascii="Times New Roman" w:eastAsia="Times New Roman" w:hAnsi="Times New Roman" w:cs="Times New Roman"/>
                <w:noProof/>
                <w:sz w:val="24"/>
                <w:lang w:val="en-GB" w:eastAsia="sv-SE"/>
              </w:rPr>
              <w:t xml:space="preserve"> including loan origination together with creditworthiness assessment of the counterparty and monitoring.</w:t>
            </w:r>
          </w:p>
          <w:p w14:paraId="4DA0F840" w14:textId="03B1D7C9" w:rsidR="00085BAF" w:rsidRPr="00E50FA4" w:rsidRDefault="00085BAF" w:rsidP="00085BAF">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 xml:space="preserve">Institutions shall explain the extent to which such assessment covers </w:t>
            </w:r>
            <w:r w:rsidR="00660574" w:rsidRPr="00E50FA4">
              <w:rPr>
                <w:rFonts w:ascii="Times New Roman" w:eastAsia="Times New Roman" w:hAnsi="Times New Roman" w:cs="Times New Roman"/>
                <w:noProof/>
                <w:sz w:val="24"/>
                <w:lang w:val="en-GB" w:eastAsia="sv-SE"/>
              </w:rPr>
              <w:t xml:space="preserve">the </w:t>
            </w:r>
            <w:r w:rsidRPr="00E50FA4">
              <w:rPr>
                <w:rFonts w:ascii="Times New Roman" w:eastAsia="Times New Roman" w:hAnsi="Times New Roman" w:cs="Times New Roman"/>
                <w:noProof/>
                <w:sz w:val="24"/>
                <w:lang w:val="en-GB" w:eastAsia="sv-SE"/>
              </w:rPr>
              <w:t>relevant transmission channels</w:t>
            </w:r>
            <w:r w:rsidR="00660574" w:rsidRPr="00E50FA4">
              <w:rPr>
                <w:rFonts w:ascii="Times New Roman" w:eastAsia="Times New Roman" w:hAnsi="Times New Roman" w:cs="Times New Roman"/>
                <w:noProof/>
                <w:sz w:val="24"/>
                <w:lang w:val="en-GB" w:eastAsia="sv-SE"/>
              </w:rPr>
              <w:t>,</w:t>
            </w:r>
            <w:r w:rsidRPr="00E50FA4">
              <w:rPr>
                <w:rFonts w:ascii="Times New Roman" w:eastAsia="Times New Roman" w:hAnsi="Times New Roman" w:cs="Times New Roman"/>
                <w:noProof/>
                <w:sz w:val="24"/>
                <w:lang w:val="en-GB" w:eastAsia="sv-SE"/>
              </w:rPr>
              <w:t xml:space="preserve"> including (i) lower profitability, (ii) lower real estate value, lower household wealth, (iii) lower asset performance, (iv) increase cost of compliance, and (v) increase legal costs.</w:t>
            </w:r>
          </w:p>
          <w:p w14:paraId="33607F20" w14:textId="758D969B" w:rsidR="00085BAF" w:rsidRPr="00E50FA4" w:rsidRDefault="004254BA" w:rsidP="00660574">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noProof/>
                <w:sz w:val="24"/>
                <w:lang w:val="en-GB"/>
              </w:rPr>
              <w:t>I</w:t>
            </w:r>
            <w:r w:rsidR="00085BAF" w:rsidRPr="00E50FA4">
              <w:rPr>
                <w:rFonts w:ascii="Times New Roman" w:eastAsia="Times New Roman" w:hAnsi="Times New Roman"/>
                <w:noProof/>
                <w:sz w:val="24"/>
                <w:lang w:val="en-GB"/>
              </w:rPr>
              <w:t xml:space="preserve">nstitution </w:t>
            </w:r>
            <w:r w:rsidRPr="00E50FA4">
              <w:rPr>
                <w:rFonts w:ascii="Times New Roman" w:eastAsia="Times New Roman" w:hAnsi="Times New Roman"/>
                <w:noProof/>
                <w:sz w:val="24"/>
                <w:lang w:val="en-GB"/>
              </w:rPr>
              <w:t xml:space="preserve">that </w:t>
            </w:r>
            <w:r w:rsidR="00085BAF" w:rsidRPr="00E50FA4">
              <w:rPr>
                <w:rFonts w:ascii="Times New Roman" w:eastAsia="Times New Roman" w:hAnsi="Times New Roman"/>
                <w:noProof/>
                <w:sz w:val="24"/>
                <w:lang w:val="en-GB"/>
              </w:rPr>
              <w:t xml:space="preserve">identify no environmental risks as material shall </w:t>
            </w:r>
            <w:r w:rsidR="00660574" w:rsidRPr="00E50FA4">
              <w:rPr>
                <w:rFonts w:ascii="Times New Roman" w:eastAsia="Times New Roman" w:hAnsi="Times New Roman"/>
                <w:noProof/>
                <w:sz w:val="24"/>
                <w:lang w:val="en-GB"/>
              </w:rPr>
              <w:t xml:space="preserve">explain and </w:t>
            </w:r>
            <w:r w:rsidR="0063605D" w:rsidRPr="00E50FA4">
              <w:rPr>
                <w:rFonts w:ascii="Times New Roman" w:eastAsia="Times New Roman" w:hAnsi="Times New Roman"/>
                <w:noProof/>
                <w:sz w:val="24"/>
                <w:lang w:val="en-GB"/>
              </w:rPr>
              <w:t>substantiate why that is the case</w:t>
            </w:r>
            <w:r w:rsidR="00085BAF" w:rsidRPr="00E50FA4">
              <w:rPr>
                <w:rFonts w:ascii="Times New Roman" w:eastAsia="Times New Roman" w:hAnsi="Times New Roman"/>
                <w:noProof/>
                <w:sz w:val="24"/>
                <w:lang w:val="en-GB"/>
              </w:rPr>
              <w:t xml:space="preserve"> and </w:t>
            </w:r>
            <w:r w:rsidR="00660574" w:rsidRPr="00E50FA4">
              <w:rPr>
                <w:rFonts w:ascii="Times New Roman" w:eastAsia="Times New Roman" w:hAnsi="Times New Roman"/>
                <w:noProof/>
                <w:sz w:val="24"/>
                <w:lang w:val="en-GB"/>
              </w:rPr>
              <w:t xml:space="preserve">describe </w:t>
            </w:r>
            <w:r w:rsidR="00085BAF" w:rsidRPr="00E50FA4">
              <w:rPr>
                <w:rFonts w:ascii="Times New Roman" w:eastAsia="Times New Roman" w:hAnsi="Times New Roman"/>
                <w:noProof/>
                <w:sz w:val="24"/>
                <w:lang w:val="en-GB"/>
              </w:rPr>
              <w:t xml:space="preserve">the </w:t>
            </w:r>
            <w:r w:rsidR="00660574" w:rsidRPr="00E50FA4">
              <w:rPr>
                <w:rFonts w:ascii="Times New Roman" w:eastAsia="Times New Roman" w:hAnsi="Times New Roman"/>
                <w:noProof/>
                <w:sz w:val="24"/>
                <w:lang w:val="en-GB"/>
              </w:rPr>
              <w:t xml:space="preserve">methods they used to reach such conclusion. </w:t>
            </w:r>
          </w:p>
        </w:tc>
      </w:tr>
      <w:tr w:rsidR="00085BAF" w:rsidRPr="00E50FA4" w14:paraId="39E900BE" w14:textId="77777777" w:rsidTr="004F0BC6">
        <w:trPr>
          <w:trHeight w:val="316"/>
        </w:trPr>
        <w:tc>
          <w:tcPr>
            <w:tcW w:w="1384" w:type="dxa"/>
          </w:tcPr>
          <w:p w14:paraId="626A2779"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(m)</w:t>
            </w:r>
          </w:p>
        </w:tc>
        <w:tc>
          <w:tcPr>
            <w:tcW w:w="7655" w:type="dxa"/>
          </w:tcPr>
          <w:p w14:paraId="1D793615" w14:textId="5BFE9323" w:rsidR="00085BAF" w:rsidRPr="00E50FA4" w:rsidRDefault="00085BAF" w:rsidP="00085BAF">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 accordance with Article 449a </w:t>
            </w:r>
            <w:r w:rsidR="0063605D" w:rsidRPr="00E50FA4">
              <w:rPr>
                <w:rFonts w:ascii="Times New Roman" w:hAnsi="Times New Roman" w:cs="Times New Roman"/>
                <w:noProof/>
                <w:sz w:val="24"/>
                <w:lang w:val="en-GB"/>
              </w:rPr>
              <w:t>of Regulation (EU) No 575/2013</w:t>
            </w:r>
            <w:r w:rsidR="00F11C8B" w:rsidRPr="00E50FA4">
              <w:rPr>
                <w:rFonts w:ascii="Times New Roman" w:hAnsi="Times New Roman" w:cs="Times New Roman"/>
                <w:noProof/>
                <w:sz w:val="24"/>
                <w:lang w:val="en-GB"/>
              </w:rPr>
              <w:t>,</w:t>
            </w:r>
            <w:r w:rsidR="0063605D"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in conjunction with Article 435(1), point (d)</w:t>
            </w:r>
            <w:r w:rsidR="005F2DA5"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w:t>
            </w:r>
            <w:r w:rsidR="0063605D" w:rsidRPr="00E50FA4">
              <w:rPr>
                <w:rFonts w:ascii="Times New Roman" w:hAnsi="Times New Roman" w:cs="Times New Roman"/>
                <w:noProof/>
                <w:sz w:val="24"/>
                <w:lang w:val="en-GB"/>
              </w:rPr>
              <w:t xml:space="preserve">of that </w:t>
            </w:r>
            <w:r w:rsidR="007F40F6" w:rsidRPr="00E50FA4">
              <w:rPr>
                <w:rFonts w:ascii="Times New Roman" w:hAnsi="Times New Roman" w:cs="Times New Roman"/>
                <w:noProof/>
                <w:sz w:val="24"/>
                <w:lang w:val="en-GB"/>
              </w:rPr>
              <w:t>Regulation</w:t>
            </w:r>
            <w:r w:rsidRPr="00E50FA4">
              <w:rPr>
                <w:rFonts w:ascii="Times New Roman" w:hAnsi="Times New Roman" w:cs="Times New Roman"/>
                <w:noProof/>
                <w:sz w:val="24"/>
                <w:lang w:val="en-GB"/>
              </w:rPr>
              <w:t>,</w:t>
            </w:r>
            <w:r w:rsidRPr="00E50FA4">
              <w:rPr>
                <w:rFonts w:ascii="Times New Roman" w:eastAsia="Times New Roman" w:hAnsi="Times New Roman" w:cs="Times New Roman"/>
                <w:noProof/>
                <w:sz w:val="24"/>
                <w:lang w:val="en-GB" w:eastAsia="sv-SE"/>
              </w:rPr>
              <w:t xml:space="preserve"> </w:t>
            </w:r>
            <w:r w:rsidR="004254BA" w:rsidRPr="00E50FA4">
              <w:rPr>
                <w:rFonts w:ascii="Times New Roman" w:hAnsi="Times New Roman" w:cs="Times New Roman"/>
                <w:noProof/>
                <w:sz w:val="24"/>
                <w:lang w:val="en-GB"/>
              </w:rPr>
              <w:t xml:space="preserve">institutions shall </w:t>
            </w:r>
            <w:r w:rsidR="00926A84" w:rsidRPr="00E50FA4">
              <w:rPr>
                <w:rFonts w:ascii="Times New Roman" w:hAnsi="Times New Roman" w:cs="Times New Roman"/>
                <w:noProof/>
                <w:sz w:val="24"/>
                <w:lang w:val="en-GB"/>
              </w:rPr>
              <w:t>provide information on</w:t>
            </w:r>
            <w:r w:rsidR="009620B8" w:rsidRPr="00E50FA4">
              <w:rPr>
                <w:rFonts w:ascii="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eastAsia="sv-SE"/>
              </w:rPr>
              <w:t xml:space="preserve">the activities, commitments, and exposures </w:t>
            </w:r>
            <w:r w:rsidR="004254BA" w:rsidRPr="00E50FA4">
              <w:rPr>
                <w:rFonts w:ascii="Times New Roman" w:eastAsia="Times New Roman" w:hAnsi="Times New Roman" w:cs="Times New Roman"/>
                <w:noProof/>
                <w:sz w:val="24"/>
                <w:lang w:val="en-GB" w:eastAsia="sv-SE"/>
              </w:rPr>
              <w:t xml:space="preserve">they </w:t>
            </w:r>
            <w:r w:rsidR="00F11C8B" w:rsidRPr="00E50FA4">
              <w:rPr>
                <w:rFonts w:ascii="Times New Roman" w:eastAsia="Times New Roman" w:hAnsi="Times New Roman" w:cs="Times New Roman"/>
                <w:noProof/>
                <w:sz w:val="24"/>
                <w:lang w:val="en-GB" w:eastAsia="sv-SE"/>
              </w:rPr>
              <w:t xml:space="preserve">have put </w:t>
            </w:r>
            <w:r w:rsidRPr="00E50FA4">
              <w:rPr>
                <w:rFonts w:ascii="Times New Roman" w:eastAsia="Times New Roman" w:hAnsi="Times New Roman" w:cs="Times New Roman"/>
                <w:noProof/>
                <w:sz w:val="24"/>
                <w:lang w:val="en-GB" w:eastAsia="sv-SE"/>
              </w:rPr>
              <w:t>in place to mitigate environmental risks.</w:t>
            </w:r>
          </w:p>
          <w:p w14:paraId="4E1C9766" w14:textId="6E983BD8" w:rsidR="00085BAF" w:rsidRPr="00E50FA4" w:rsidRDefault="004254BA" w:rsidP="00F11C8B">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Institutions shall </w:t>
            </w:r>
            <w:r w:rsidR="00926A84" w:rsidRPr="00E50FA4">
              <w:rPr>
                <w:rFonts w:ascii="Times New Roman" w:hAnsi="Times New Roman" w:cs="Times New Roman"/>
                <w:noProof/>
                <w:sz w:val="24"/>
                <w:lang w:val="en-GB"/>
              </w:rPr>
              <w:t>disclose</w:t>
            </w:r>
            <w:r w:rsidR="009620B8" w:rsidRPr="00E50FA4">
              <w:rPr>
                <w:rFonts w:ascii="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eastAsia="sv-SE"/>
              </w:rPr>
              <w:t>t</w:t>
            </w:r>
            <w:r w:rsidR="00085BAF" w:rsidRPr="00E50FA4">
              <w:rPr>
                <w:rFonts w:ascii="Times New Roman" w:eastAsia="Times New Roman" w:hAnsi="Times New Roman" w:cs="Times New Roman"/>
                <w:noProof/>
                <w:sz w:val="24"/>
                <w:lang w:val="en-GB" w:eastAsia="sv-SE"/>
              </w:rPr>
              <w:t xml:space="preserve">he </w:t>
            </w:r>
            <w:r w:rsidR="00F11C8B" w:rsidRPr="00E50FA4">
              <w:rPr>
                <w:rFonts w:ascii="Times New Roman" w:eastAsia="Times New Roman" w:hAnsi="Times New Roman" w:cs="Times New Roman"/>
                <w:noProof/>
                <w:sz w:val="24"/>
                <w:lang w:val="en-GB" w:eastAsia="sv-SE"/>
              </w:rPr>
              <w:t xml:space="preserve">methods </w:t>
            </w:r>
            <w:r w:rsidRPr="00E50FA4">
              <w:rPr>
                <w:rFonts w:ascii="Times New Roman" w:eastAsia="Times New Roman" w:hAnsi="Times New Roman" w:cs="Times New Roman"/>
                <w:noProof/>
                <w:sz w:val="24"/>
                <w:lang w:val="en-GB" w:eastAsia="sv-SE"/>
              </w:rPr>
              <w:t xml:space="preserve">they </w:t>
            </w:r>
            <w:r w:rsidR="00085BAF" w:rsidRPr="00E50FA4">
              <w:rPr>
                <w:rFonts w:ascii="Times New Roman" w:eastAsia="Times New Roman" w:hAnsi="Times New Roman" w:cs="Times New Roman"/>
                <w:noProof/>
                <w:sz w:val="24"/>
                <w:lang w:val="en-GB" w:eastAsia="sv-SE"/>
              </w:rPr>
              <w:t>use to identify risk mitigating measures and activities</w:t>
            </w:r>
            <w:r w:rsidR="00F11C8B" w:rsidRPr="00E50FA4">
              <w:rPr>
                <w:rFonts w:ascii="Times New Roman" w:eastAsia="Times New Roman" w:hAnsi="Times New Roman" w:cs="Times New Roman"/>
                <w:noProof/>
                <w:sz w:val="24"/>
                <w:lang w:val="en-GB" w:eastAsia="sv-SE"/>
              </w:rPr>
              <w:t xml:space="preserve">. In addition, they shall provide information on the </w:t>
            </w:r>
            <w:r w:rsidR="00085BAF" w:rsidRPr="00E50FA4">
              <w:rPr>
                <w:rFonts w:ascii="Times New Roman" w:eastAsia="Times New Roman" w:hAnsi="Times New Roman" w:cs="Times New Roman"/>
                <w:noProof/>
                <w:sz w:val="24"/>
                <w:lang w:val="en-GB" w:eastAsia="sv-SE"/>
              </w:rPr>
              <w:t xml:space="preserve">extent </w:t>
            </w:r>
            <w:r w:rsidR="00F11C8B" w:rsidRPr="00E50FA4">
              <w:rPr>
                <w:rFonts w:ascii="Times New Roman" w:eastAsia="Times New Roman" w:hAnsi="Times New Roman" w:cs="Times New Roman"/>
                <w:noProof/>
                <w:sz w:val="24"/>
                <w:lang w:val="en-GB" w:eastAsia="sv-SE"/>
              </w:rPr>
              <w:t xml:space="preserve">to which </w:t>
            </w:r>
            <w:r w:rsidR="00085BAF" w:rsidRPr="00E50FA4">
              <w:rPr>
                <w:rFonts w:ascii="Times New Roman" w:eastAsia="Times New Roman" w:hAnsi="Times New Roman" w:cs="Times New Roman"/>
                <w:noProof/>
                <w:sz w:val="24"/>
                <w:lang w:val="en-GB" w:eastAsia="sv-SE"/>
              </w:rPr>
              <w:t>th</w:t>
            </w:r>
            <w:r w:rsidRPr="00E50FA4">
              <w:rPr>
                <w:rFonts w:ascii="Times New Roman" w:eastAsia="Times New Roman" w:hAnsi="Times New Roman" w:cs="Times New Roman"/>
                <w:noProof/>
                <w:sz w:val="24"/>
                <w:lang w:val="en-GB" w:eastAsia="sv-SE"/>
              </w:rPr>
              <w:t>o</w:t>
            </w:r>
            <w:r w:rsidR="00085BAF" w:rsidRPr="00E50FA4">
              <w:rPr>
                <w:rFonts w:ascii="Times New Roman" w:eastAsia="Times New Roman" w:hAnsi="Times New Roman" w:cs="Times New Roman"/>
                <w:noProof/>
                <w:sz w:val="24"/>
                <w:lang w:val="en-GB" w:eastAsia="sv-SE"/>
              </w:rPr>
              <w:t xml:space="preserve">se activities, commitments and exposures account for relevant transmission channels, </w:t>
            </w:r>
            <w:r w:rsidR="0063605D" w:rsidRPr="00E50FA4">
              <w:rPr>
                <w:rFonts w:ascii="Times New Roman" w:eastAsia="Times New Roman" w:hAnsi="Times New Roman" w:cs="Times New Roman"/>
                <w:noProof/>
                <w:sz w:val="24"/>
                <w:lang w:val="en-GB" w:eastAsia="sv-SE"/>
              </w:rPr>
              <w:t>including</w:t>
            </w:r>
            <w:r w:rsidR="00085BAF" w:rsidRPr="00E50FA4">
              <w:rPr>
                <w:rFonts w:ascii="Times New Roman" w:eastAsia="Times New Roman" w:hAnsi="Times New Roman" w:cs="Times New Roman"/>
                <w:noProof/>
                <w:sz w:val="24"/>
                <w:lang w:val="en-GB" w:eastAsia="sv-SE"/>
              </w:rPr>
              <w:t xml:space="preserve"> (i) lower profitability, (ii) lower real estate value, lower household wealth, (iii) lower asset performance, (iv) increase cost of compliance, and (v) increase legal costs.</w:t>
            </w:r>
          </w:p>
        </w:tc>
      </w:tr>
      <w:tr w:rsidR="00085BAF" w:rsidRPr="00E50FA4" w14:paraId="48B2B1AD" w14:textId="77777777" w:rsidTr="004F0BC6">
        <w:trPr>
          <w:trHeight w:val="316"/>
        </w:trPr>
        <w:tc>
          <w:tcPr>
            <w:tcW w:w="1384" w:type="dxa"/>
          </w:tcPr>
          <w:p w14:paraId="3ACE46F3"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(n)</w:t>
            </w:r>
          </w:p>
        </w:tc>
        <w:tc>
          <w:tcPr>
            <w:tcW w:w="7655" w:type="dxa"/>
          </w:tcPr>
          <w:p w14:paraId="1684AE86" w14:textId="10A40E11" w:rsidR="00085BAF" w:rsidRPr="00E50FA4" w:rsidRDefault="00085BAF" w:rsidP="00085BAF">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63605D" w:rsidRPr="00E50FA4">
              <w:rPr>
                <w:rFonts w:ascii="Times New Roman" w:hAnsi="Times New Roman" w:cs="Times New Roman"/>
                <w:noProof/>
                <w:sz w:val="24"/>
                <w:lang w:val="en-GB"/>
              </w:rPr>
              <w:t>of Regulation (EU) No 575/2013</w:t>
            </w:r>
            <w:r w:rsidR="00745446" w:rsidRPr="00E50FA4">
              <w:rPr>
                <w:rFonts w:ascii="Times New Roman" w:hAnsi="Times New Roman" w:cs="Times New Roman"/>
                <w:noProof/>
                <w:sz w:val="24"/>
                <w:lang w:val="en-GB"/>
              </w:rPr>
              <w:t>,</w:t>
            </w:r>
            <w:r w:rsidR="0063605D"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in conjunction with Article 435(1)</w:t>
            </w:r>
            <w:r w:rsidR="005F2DA5"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point</w:t>
            </w:r>
            <w:r w:rsidR="00B45966" w:rsidRPr="00E50FA4">
              <w:rPr>
                <w:rFonts w:ascii="Times New Roman" w:hAnsi="Times New Roman" w:cs="Times New Roman"/>
                <w:noProof/>
                <w:sz w:val="24"/>
                <w:lang w:val="en-GB"/>
              </w:rPr>
              <w:t>s</w:t>
            </w:r>
            <w:r w:rsidRPr="00E50FA4">
              <w:rPr>
                <w:rFonts w:ascii="Times New Roman" w:hAnsi="Times New Roman" w:cs="Times New Roman"/>
                <w:noProof/>
                <w:sz w:val="24"/>
                <w:lang w:val="en-GB"/>
              </w:rPr>
              <w:t xml:space="preserve"> (a) and (f)</w:t>
            </w:r>
            <w:r w:rsidR="0063605D" w:rsidRPr="00E50FA4">
              <w:rPr>
                <w:rFonts w:ascii="Times New Roman" w:hAnsi="Times New Roman" w:cs="Times New Roman"/>
                <w:noProof/>
                <w:sz w:val="24"/>
                <w:lang w:val="en-GB"/>
              </w:rPr>
              <w:t>, of that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Regulation</w:t>
            </w:r>
            <w:r w:rsidRPr="00E50FA4">
              <w:rPr>
                <w:rFonts w:ascii="Times New Roman" w:hAnsi="Times New Roman" w:cs="Times New Roman"/>
                <w:noProof/>
                <w:sz w:val="24"/>
                <w:lang w:val="en-GB"/>
              </w:rPr>
              <w:t>,</w:t>
            </w:r>
            <w:r w:rsidRPr="00E50FA4">
              <w:rPr>
                <w:rFonts w:ascii="Times New Roman" w:eastAsia="Times New Roman" w:hAnsi="Times New Roman" w:cs="Times New Roman"/>
                <w:noProof/>
                <w:sz w:val="24"/>
                <w:lang w:val="en-GB" w:eastAsia="sv-SE"/>
              </w:rPr>
              <w:t xml:space="preserve"> </w:t>
            </w:r>
            <w:r w:rsidR="004254BA" w:rsidRPr="00E50FA4">
              <w:rPr>
                <w:rFonts w:ascii="Times New Roman" w:hAnsi="Times New Roman" w:cs="Times New Roman"/>
                <w:noProof/>
                <w:sz w:val="24"/>
                <w:lang w:val="en-GB"/>
              </w:rPr>
              <w:t xml:space="preserve">institutions shall </w:t>
            </w:r>
            <w:r w:rsidR="00926A84" w:rsidRPr="00E50FA4">
              <w:rPr>
                <w:rFonts w:ascii="Times New Roman" w:hAnsi="Times New Roman" w:cs="Times New Roman"/>
                <w:noProof/>
                <w:sz w:val="24"/>
                <w:lang w:val="en-GB"/>
              </w:rPr>
              <w:t>provide information on</w:t>
            </w:r>
            <w:r w:rsidR="009620B8" w:rsidRPr="00E50FA4">
              <w:rPr>
                <w:rFonts w:ascii="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eastAsia="sv-SE"/>
              </w:rPr>
              <w:t xml:space="preserve">the implementation tools that </w:t>
            </w:r>
            <w:r w:rsidR="0080001C" w:rsidRPr="00E50FA4">
              <w:rPr>
                <w:rFonts w:ascii="Times New Roman" w:eastAsia="Times New Roman" w:hAnsi="Times New Roman" w:cs="Times New Roman"/>
                <w:noProof/>
                <w:sz w:val="24"/>
                <w:lang w:val="en-GB" w:eastAsia="sv-SE"/>
              </w:rPr>
              <w:t>the</w:t>
            </w:r>
            <w:r w:rsidR="004254BA" w:rsidRPr="00E50FA4">
              <w:rPr>
                <w:rFonts w:ascii="Times New Roman" w:eastAsia="Times New Roman" w:hAnsi="Times New Roman" w:cs="Times New Roman"/>
                <w:noProof/>
                <w:sz w:val="24"/>
                <w:lang w:val="en-GB" w:eastAsia="sv-SE"/>
              </w:rPr>
              <w:t>y use</w:t>
            </w:r>
            <w:r w:rsidRPr="00E50FA4">
              <w:rPr>
                <w:rFonts w:ascii="Times New Roman" w:eastAsia="Times New Roman" w:hAnsi="Times New Roman" w:cs="Times New Roman"/>
                <w:noProof/>
                <w:sz w:val="24"/>
                <w:lang w:val="en-GB" w:eastAsia="sv-SE"/>
              </w:rPr>
              <w:t xml:space="preserve"> </w:t>
            </w:r>
            <w:r w:rsidR="00745446" w:rsidRPr="00E50FA4">
              <w:rPr>
                <w:rFonts w:ascii="Times New Roman" w:eastAsia="Times New Roman" w:hAnsi="Times New Roman" w:cs="Times New Roman"/>
                <w:noProof/>
                <w:sz w:val="24"/>
                <w:lang w:val="en-GB" w:eastAsia="sv-SE"/>
              </w:rPr>
              <w:t>to identify and manage</w:t>
            </w:r>
            <w:r w:rsidRPr="00E50FA4">
              <w:rPr>
                <w:rFonts w:ascii="Times New Roman" w:eastAsia="Times New Roman" w:hAnsi="Times New Roman" w:cs="Times New Roman"/>
                <w:noProof/>
                <w:sz w:val="24"/>
                <w:lang w:val="en-GB" w:eastAsia="sv-SE"/>
              </w:rPr>
              <w:t xml:space="preserve"> environmental risks</w:t>
            </w:r>
            <w:r w:rsidR="00745446" w:rsidRPr="00E50FA4">
              <w:rPr>
                <w:rFonts w:ascii="Times New Roman" w:eastAsia="Times New Roman" w:hAnsi="Times New Roman" w:cs="Times New Roman"/>
                <w:noProof/>
                <w:sz w:val="24"/>
                <w:lang w:val="en-GB" w:eastAsia="sv-SE"/>
              </w:rPr>
              <w:t xml:space="preserve">. Such tools include </w:t>
            </w:r>
            <w:r w:rsidRPr="00E50FA4">
              <w:rPr>
                <w:rFonts w:ascii="Times New Roman" w:eastAsia="Times New Roman" w:hAnsi="Times New Roman" w:cs="Times New Roman"/>
                <w:noProof/>
                <w:sz w:val="24"/>
                <w:lang w:val="en-GB" w:eastAsia="sv-SE"/>
              </w:rPr>
              <w:t>stress test</w:t>
            </w:r>
            <w:r w:rsidR="00745446" w:rsidRPr="00E50FA4">
              <w:rPr>
                <w:rFonts w:ascii="Times New Roman" w:eastAsia="Times New Roman" w:hAnsi="Times New Roman" w:cs="Times New Roman"/>
                <w:noProof/>
                <w:sz w:val="24"/>
                <w:lang w:val="en-GB" w:eastAsia="sv-SE"/>
              </w:rPr>
              <w:t>ing</w:t>
            </w:r>
            <w:r w:rsidRPr="00E50FA4">
              <w:rPr>
                <w:rFonts w:ascii="Times New Roman" w:eastAsia="Times New Roman" w:hAnsi="Times New Roman" w:cs="Times New Roman"/>
                <w:noProof/>
                <w:sz w:val="24"/>
                <w:lang w:val="en-GB" w:eastAsia="sv-SE"/>
              </w:rPr>
              <w:t>, sensitivity analysis or other forward-looking indicators, applied at exposure-level, portfolio-level, counterparty-level or sectoral-level, depending on the materiality of the risk.</w:t>
            </w:r>
          </w:p>
          <w:p w14:paraId="7B2800C6" w14:textId="14DF5146" w:rsidR="00085BAF" w:rsidRPr="00E50FA4" w:rsidRDefault="00745446" w:rsidP="00745446">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 xml:space="preserve">The disclosed information </w:t>
            </w:r>
            <w:r w:rsidR="00085BAF" w:rsidRPr="00E50FA4">
              <w:rPr>
                <w:rFonts w:ascii="Times New Roman" w:eastAsia="Times New Roman" w:hAnsi="Times New Roman" w:cs="Times New Roman"/>
                <w:noProof/>
                <w:sz w:val="24"/>
                <w:lang w:val="en-GB" w:eastAsia="sv-SE"/>
              </w:rPr>
              <w:t xml:space="preserve">shall </w:t>
            </w:r>
            <w:r w:rsidRPr="00E50FA4">
              <w:rPr>
                <w:rFonts w:ascii="Times New Roman" w:eastAsia="Times New Roman" w:hAnsi="Times New Roman" w:cs="Times New Roman"/>
                <w:noProof/>
                <w:sz w:val="24"/>
                <w:lang w:val="en-GB" w:eastAsia="sv-SE"/>
              </w:rPr>
              <w:t>indicate the</w:t>
            </w:r>
            <w:r w:rsidR="00085BAF" w:rsidRPr="00E50FA4">
              <w:rPr>
                <w:rFonts w:ascii="Times New Roman" w:eastAsia="Times New Roman" w:hAnsi="Times New Roman" w:cs="Times New Roman"/>
                <w:noProof/>
                <w:sz w:val="24"/>
                <w:lang w:val="en-GB" w:eastAsia="sv-SE"/>
              </w:rPr>
              <w:t xml:space="preserve"> assumptions and </w:t>
            </w:r>
            <w:r w:rsidRPr="00E50FA4">
              <w:rPr>
                <w:rFonts w:ascii="Times New Roman" w:eastAsia="Times New Roman" w:hAnsi="Times New Roman" w:cs="Times New Roman"/>
                <w:noProof/>
                <w:sz w:val="24"/>
                <w:lang w:val="en-GB" w:eastAsia="sv-SE"/>
              </w:rPr>
              <w:t xml:space="preserve">the </w:t>
            </w:r>
            <w:r w:rsidR="00085BAF" w:rsidRPr="00E50FA4">
              <w:rPr>
                <w:rFonts w:ascii="Times New Roman" w:eastAsia="Times New Roman" w:hAnsi="Times New Roman" w:cs="Times New Roman"/>
                <w:noProof/>
                <w:sz w:val="24"/>
                <w:lang w:val="en-GB" w:eastAsia="sv-SE"/>
              </w:rPr>
              <w:t>method</w:t>
            </w:r>
            <w:r w:rsidRPr="00E50FA4">
              <w:rPr>
                <w:rFonts w:ascii="Times New Roman" w:eastAsia="Times New Roman" w:hAnsi="Times New Roman" w:cs="Times New Roman"/>
                <w:noProof/>
                <w:sz w:val="24"/>
                <w:lang w:val="en-GB" w:eastAsia="sv-SE"/>
              </w:rPr>
              <w:t>s underlying the</w:t>
            </w:r>
            <w:r w:rsidR="00085BAF" w:rsidRPr="00E50FA4">
              <w:rPr>
                <w:rFonts w:ascii="Times New Roman" w:eastAsia="Times New Roman" w:hAnsi="Times New Roman" w:cs="Times New Roman"/>
                <w:noProof/>
                <w:sz w:val="24"/>
                <w:lang w:val="en-GB" w:eastAsia="sv-SE"/>
              </w:rPr>
              <w:t xml:space="preserve"> </w:t>
            </w:r>
            <w:r w:rsidRPr="00E50FA4">
              <w:rPr>
                <w:rFonts w:ascii="Times New Roman" w:eastAsia="Times New Roman" w:hAnsi="Times New Roman" w:cs="Times New Roman"/>
                <w:noProof/>
                <w:sz w:val="24"/>
                <w:lang w:val="en-GB" w:eastAsia="sv-SE"/>
              </w:rPr>
              <w:t xml:space="preserve">relevant </w:t>
            </w:r>
            <w:r w:rsidR="00085BAF" w:rsidRPr="00E50FA4">
              <w:rPr>
                <w:rFonts w:ascii="Times New Roman" w:eastAsia="Times New Roman" w:hAnsi="Times New Roman" w:cs="Times New Roman"/>
                <w:noProof/>
                <w:sz w:val="24"/>
                <w:lang w:val="en-GB" w:eastAsia="sv-SE"/>
              </w:rPr>
              <w:t>implementation tools. Institution</w:t>
            </w:r>
            <w:r w:rsidR="00CC1ED8" w:rsidRPr="00E50FA4">
              <w:rPr>
                <w:rFonts w:ascii="Times New Roman" w:eastAsia="Times New Roman" w:hAnsi="Times New Roman" w:cs="Times New Roman"/>
                <w:noProof/>
                <w:sz w:val="24"/>
                <w:lang w:val="en-GB" w:eastAsia="sv-SE"/>
              </w:rPr>
              <w:t>s</w:t>
            </w:r>
            <w:r w:rsidR="00085BAF" w:rsidRPr="00E50FA4">
              <w:rPr>
                <w:rFonts w:ascii="Times New Roman" w:eastAsia="Times New Roman" w:hAnsi="Times New Roman" w:cs="Times New Roman"/>
                <w:noProof/>
                <w:sz w:val="24"/>
                <w:lang w:val="en-GB" w:eastAsia="sv-SE"/>
              </w:rPr>
              <w:t xml:space="preserve"> shall also indicate the time horizon used for the assessment of environmental risk</w:t>
            </w:r>
            <w:r w:rsidRPr="00E50FA4">
              <w:rPr>
                <w:rFonts w:ascii="Times New Roman" w:eastAsia="Times New Roman" w:hAnsi="Times New Roman" w:cs="Times New Roman"/>
                <w:noProof/>
                <w:sz w:val="24"/>
                <w:lang w:val="en-GB" w:eastAsia="sv-SE"/>
              </w:rPr>
              <w:t>s</w:t>
            </w:r>
            <w:r w:rsidR="00085BAF" w:rsidRPr="00E50FA4">
              <w:rPr>
                <w:rFonts w:ascii="Times New Roman" w:eastAsia="Times New Roman" w:hAnsi="Times New Roman" w:cs="Times New Roman"/>
                <w:noProof/>
                <w:sz w:val="24"/>
                <w:lang w:val="en-GB" w:eastAsia="sv-SE"/>
              </w:rPr>
              <w:t xml:space="preserve"> on</w:t>
            </w:r>
            <w:r w:rsidR="0090281A">
              <w:rPr>
                <w:rFonts w:ascii="Times New Roman" w:eastAsia="Times New Roman" w:hAnsi="Times New Roman" w:cs="Times New Roman"/>
                <w:noProof/>
                <w:sz w:val="24"/>
                <w:lang w:val="en-GB" w:eastAsia="sv-SE"/>
              </w:rPr>
              <w:t xml:space="preserve"> the basis of</w:t>
            </w:r>
            <w:r w:rsidR="00085BAF" w:rsidRPr="00E50FA4">
              <w:rPr>
                <w:rFonts w:ascii="Times New Roman" w:eastAsia="Times New Roman" w:hAnsi="Times New Roman" w:cs="Times New Roman"/>
                <w:noProof/>
                <w:sz w:val="24"/>
                <w:lang w:val="en-GB" w:eastAsia="sv-SE"/>
              </w:rPr>
              <w:t xml:space="preserve"> accounting and prudential metrics, </w:t>
            </w:r>
            <w:r w:rsidR="0063605D" w:rsidRPr="00E50FA4">
              <w:rPr>
                <w:rFonts w:ascii="Times New Roman" w:eastAsia="Times New Roman" w:hAnsi="Times New Roman" w:cs="Times New Roman"/>
                <w:noProof/>
                <w:sz w:val="24"/>
                <w:lang w:val="en-GB" w:eastAsia="sv-SE"/>
              </w:rPr>
              <w:t>that is</w:t>
            </w:r>
            <w:r w:rsidR="00085BAF" w:rsidRPr="00E50FA4">
              <w:rPr>
                <w:rFonts w:ascii="Times New Roman" w:eastAsia="Times New Roman" w:hAnsi="Times New Roman" w:cs="Times New Roman"/>
                <w:noProof/>
                <w:sz w:val="24"/>
                <w:lang w:val="en-GB" w:eastAsia="sv-SE"/>
              </w:rPr>
              <w:t xml:space="preserve"> short-term, medium-term or long-term time horizon</w:t>
            </w:r>
            <w:r w:rsidRPr="00E50FA4">
              <w:rPr>
                <w:rFonts w:ascii="Times New Roman" w:eastAsia="Times New Roman" w:hAnsi="Times New Roman" w:cs="Times New Roman"/>
                <w:noProof/>
                <w:sz w:val="24"/>
                <w:lang w:val="en-GB" w:eastAsia="sv-SE"/>
              </w:rPr>
              <w:t>s</w:t>
            </w:r>
            <w:r w:rsidR="00085BAF" w:rsidRPr="00E50FA4">
              <w:rPr>
                <w:rFonts w:ascii="Times New Roman" w:eastAsia="Times New Roman" w:hAnsi="Times New Roman" w:cs="Times New Roman"/>
                <w:noProof/>
                <w:sz w:val="24"/>
                <w:lang w:val="en-GB" w:eastAsia="sv-SE"/>
              </w:rPr>
              <w:t>.</w:t>
            </w:r>
          </w:p>
        </w:tc>
      </w:tr>
      <w:tr w:rsidR="00085BAF" w:rsidRPr="00E50FA4" w14:paraId="767A76EC" w14:textId="77777777" w:rsidTr="004F0BC6">
        <w:trPr>
          <w:trHeight w:val="316"/>
        </w:trPr>
        <w:tc>
          <w:tcPr>
            <w:tcW w:w="1384" w:type="dxa"/>
          </w:tcPr>
          <w:p w14:paraId="0A571C88"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(o)</w:t>
            </w:r>
          </w:p>
        </w:tc>
        <w:tc>
          <w:tcPr>
            <w:tcW w:w="7655" w:type="dxa"/>
          </w:tcPr>
          <w:p w14:paraId="4AEE4959" w14:textId="7C6A3679" w:rsidR="00085BAF" w:rsidRPr="00E50FA4" w:rsidRDefault="00085BAF" w:rsidP="00085BAF">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63605D" w:rsidRPr="00E50FA4">
              <w:rPr>
                <w:rFonts w:ascii="Times New Roman" w:hAnsi="Times New Roman" w:cs="Times New Roman"/>
                <w:noProof/>
                <w:sz w:val="24"/>
                <w:lang w:val="en-GB"/>
              </w:rPr>
              <w:t>of Regulation (EU) No 575/2013</w:t>
            </w:r>
            <w:r w:rsidR="00D239AC" w:rsidRPr="00E50FA4">
              <w:rPr>
                <w:rFonts w:ascii="Times New Roman" w:hAnsi="Times New Roman" w:cs="Times New Roman"/>
                <w:noProof/>
                <w:sz w:val="24"/>
                <w:lang w:val="en-GB"/>
              </w:rPr>
              <w:t>,</w:t>
            </w:r>
            <w:r w:rsidR="0063605D"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in conjunction with Article 435(1), point</w:t>
            </w:r>
            <w:r w:rsidR="0063605D" w:rsidRPr="00E50FA4">
              <w:rPr>
                <w:rFonts w:ascii="Times New Roman" w:hAnsi="Times New Roman" w:cs="Times New Roman"/>
                <w:noProof/>
                <w:sz w:val="24"/>
                <w:lang w:val="en-GB"/>
              </w:rPr>
              <w:t>s</w:t>
            </w:r>
            <w:r w:rsidRPr="00E50FA4">
              <w:rPr>
                <w:rFonts w:ascii="Times New Roman" w:hAnsi="Times New Roman" w:cs="Times New Roman"/>
                <w:noProof/>
                <w:sz w:val="24"/>
                <w:lang w:val="en-GB"/>
              </w:rPr>
              <w:t xml:space="preserve"> (a) and (f)</w:t>
            </w:r>
            <w:r w:rsidR="0063605D" w:rsidRPr="00E50FA4">
              <w:rPr>
                <w:rFonts w:ascii="Times New Roman" w:hAnsi="Times New Roman" w:cs="Times New Roman"/>
                <w:noProof/>
                <w:sz w:val="24"/>
                <w:lang w:val="en-GB"/>
              </w:rPr>
              <w:t>, of that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Regulation</w:t>
            </w:r>
            <w:r w:rsidRPr="00E50FA4">
              <w:rPr>
                <w:rFonts w:ascii="Times New Roman" w:hAnsi="Times New Roman" w:cs="Times New Roman"/>
                <w:noProof/>
                <w:sz w:val="24"/>
                <w:lang w:val="en-GB"/>
              </w:rPr>
              <w:t>,</w:t>
            </w:r>
            <w:r w:rsidRPr="00E50FA4">
              <w:rPr>
                <w:rFonts w:ascii="Times New Roman" w:eastAsia="Times New Roman" w:hAnsi="Times New Roman" w:cs="Times New Roman"/>
                <w:noProof/>
                <w:sz w:val="24"/>
                <w:lang w:val="en-GB" w:eastAsia="sv-SE"/>
              </w:rPr>
              <w:t xml:space="preserve"> </w:t>
            </w:r>
            <w:r w:rsidR="004254BA" w:rsidRPr="00E50FA4">
              <w:rPr>
                <w:rFonts w:ascii="Times New Roman" w:hAnsi="Times New Roman" w:cs="Times New Roman"/>
                <w:noProof/>
                <w:sz w:val="24"/>
                <w:lang w:val="en-GB"/>
              </w:rPr>
              <w:t>institutions shall</w:t>
            </w:r>
            <w:r w:rsidR="009620B8" w:rsidRPr="00E50FA4">
              <w:rPr>
                <w:rFonts w:ascii="Times New Roman" w:hAnsi="Times New Roman" w:cs="Times New Roman"/>
                <w:noProof/>
                <w:sz w:val="24"/>
                <w:lang w:val="en-GB"/>
              </w:rPr>
              <w:t xml:space="preserve">  </w:t>
            </w:r>
            <w:r w:rsidR="00B41E55" w:rsidRPr="00E50FA4">
              <w:rPr>
                <w:rFonts w:ascii="Times New Roman" w:hAnsi="Times New Roman" w:cs="Times New Roman"/>
                <w:noProof/>
                <w:sz w:val="24"/>
                <w:lang w:val="en-GB"/>
              </w:rPr>
              <w:t>describe</w:t>
            </w:r>
            <w:r w:rsidR="004254BA" w:rsidRPr="00E50FA4">
              <w:rPr>
                <w:rFonts w:ascii="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eastAsia="sv-SE"/>
              </w:rPr>
              <w:t>the outcome of the assessment from the risk tool used in accordance with point 14.</w:t>
            </w:r>
          </w:p>
          <w:p w14:paraId="107F15F8" w14:textId="5BE23EF5" w:rsidR="00085BAF" w:rsidRPr="00E50FA4" w:rsidRDefault="004254BA" w:rsidP="00085BAF">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Institutions shall </w:t>
            </w:r>
            <w:r w:rsidR="00B41E55" w:rsidRPr="00E50FA4">
              <w:rPr>
                <w:rFonts w:ascii="Times New Roman" w:hAnsi="Times New Roman" w:cs="Times New Roman"/>
                <w:noProof/>
                <w:sz w:val="24"/>
                <w:lang w:val="en-GB"/>
              </w:rPr>
              <w:t>provide</w:t>
            </w:r>
            <w:r w:rsidR="00B76863">
              <w:rPr>
                <w:rFonts w:ascii="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eastAsia="sv-SE"/>
              </w:rPr>
              <w:t>t</w:t>
            </w:r>
            <w:r w:rsidR="00085BAF" w:rsidRPr="00E50FA4">
              <w:rPr>
                <w:rFonts w:ascii="Times New Roman" w:eastAsia="Times New Roman" w:hAnsi="Times New Roman" w:cs="Times New Roman"/>
                <w:noProof/>
                <w:sz w:val="24"/>
                <w:lang w:val="en-GB" w:eastAsia="sv-SE"/>
              </w:rPr>
              <w:t xml:space="preserve">he estimated impact of environmental risk, </w:t>
            </w:r>
            <w:r w:rsidR="0063605D" w:rsidRPr="00E50FA4">
              <w:rPr>
                <w:rFonts w:ascii="Times New Roman" w:eastAsia="Times New Roman" w:hAnsi="Times New Roman" w:cs="Times New Roman"/>
                <w:noProof/>
                <w:sz w:val="24"/>
                <w:lang w:val="en-GB" w:eastAsia="sv-SE"/>
              </w:rPr>
              <w:t>including</w:t>
            </w:r>
            <w:r w:rsidR="00085BAF" w:rsidRPr="00E50FA4">
              <w:rPr>
                <w:rFonts w:ascii="Times New Roman" w:eastAsia="Times New Roman" w:hAnsi="Times New Roman" w:cs="Times New Roman"/>
                <w:noProof/>
                <w:sz w:val="24"/>
                <w:lang w:val="en-GB" w:eastAsia="sv-SE"/>
              </w:rPr>
              <w:t xml:space="preserve"> climate change risk, on </w:t>
            </w:r>
            <w:r w:rsidR="002B0B88" w:rsidRPr="00E50FA4">
              <w:rPr>
                <w:rFonts w:ascii="Times New Roman" w:eastAsia="Times New Roman" w:hAnsi="Times New Roman" w:cs="Times New Roman"/>
                <w:noProof/>
                <w:sz w:val="24"/>
                <w:lang w:val="en-GB" w:eastAsia="sv-SE"/>
              </w:rPr>
              <w:t xml:space="preserve">the </w:t>
            </w:r>
            <w:r w:rsidR="00085BAF" w:rsidRPr="00E50FA4">
              <w:rPr>
                <w:rFonts w:ascii="Times New Roman" w:eastAsia="Times New Roman" w:hAnsi="Times New Roman" w:cs="Times New Roman"/>
                <w:noProof/>
                <w:sz w:val="24"/>
                <w:lang w:val="en-GB" w:eastAsia="sv-SE"/>
              </w:rPr>
              <w:t>institution</w:t>
            </w:r>
            <w:r w:rsidR="002B0B88" w:rsidRPr="00E50FA4">
              <w:rPr>
                <w:rFonts w:ascii="Times New Roman" w:eastAsia="Times New Roman" w:hAnsi="Times New Roman" w:cs="Times New Roman"/>
                <w:noProof/>
                <w:sz w:val="24"/>
                <w:lang w:val="en-GB" w:eastAsia="sv-SE"/>
              </w:rPr>
              <w:t>’</w:t>
            </w:r>
            <w:r w:rsidR="00085BAF" w:rsidRPr="00E50FA4">
              <w:rPr>
                <w:rFonts w:ascii="Times New Roman" w:eastAsia="Times New Roman" w:hAnsi="Times New Roman" w:cs="Times New Roman"/>
                <w:noProof/>
                <w:sz w:val="24"/>
                <w:lang w:val="en-GB" w:eastAsia="sv-SE"/>
              </w:rPr>
              <w:t xml:space="preserve">s solvency, regulatory capital requirements and liquidity risk profile in the framework of </w:t>
            </w:r>
            <w:r w:rsidR="00B45966" w:rsidRPr="00E50FA4">
              <w:rPr>
                <w:rFonts w:ascii="Times New Roman" w:eastAsia="Times New Roman" w:hAnsi="Times New Roman" w:cs="Times New Roman"/>
                <w:noProof/>
                <w:sz w:val="24"/>
                <w:lang w:val="en-GB" w:eastAsia="sv-SE"/>
              </w:rPr>
              <w:t>internal capital adequacy assessment process (</w:t>
            </w:r>
            <w:r w:rsidR="00085BAF" w:rsidRPr="00E50FA4">
              <w:rPr>
                <w:rFonts w:ascii="Times New Roman" w:eastAsia="Times New Roman" w:hAnsi="Times New Roman" w:cs="Times New Roman"/>
                <w:noProof/>
                <w:sz w:val="24"/>
                <w:lang w:val="en-GB" w:eastAsia="sv-SE"/>
              </w:rPr>
              <w:t>ICAAP</w:t>
            </w:r>
            <w:r w:rsidR="00B45966" w:rsidRPr="00E50FA4">
              <w:rPr>
                <w:rFonts w:ascii="Times New Roman" w:eastAsia="Times New Roman" w:hAnsi="Times New Roman" w:cs="Times New Roman"/>
                <w:noProof/>
                <w:sz w:val="24"/>
                <w:lang w:val="en-GB" w:eastAsia="sv-SE"/>
              </w:rPr>
              <w:t>)</w:t>
            </w:r>
            <w:r w:rsidR="00085BAF" w:rsidRPr="00E50FA4">
              <w:rPr>
                <w:rFonts w:ascii="Times New Roman" w:eastAsia="Times New Roman" w:hAnsi="Times New Roman" w:cs="Times New Roman"/>
                <w:noProof/>
                <w:sz w:val="24"/>
                <w:lang w:val="en-GB" w:eastAsia="sv-SE"/>
              </w:rPr>
              <w:t xml:space="preserve"> and </w:t>
            </w:r>
            <w:r w:rsidR="00B45966" w:rsidRPr="00E50FA4">
              <w:rPr>
                <w:rFonts w:ascii="Times New Roman" w:eastAsia="Times New Roman" w:hAnsi="Times New Roman" w:cs="Times New Roman"/>
                <w:noProof/>
                <w:sz w:val="24"/>
                <w:lang w:val="en-GB" w:eastAsia="sv-SE"/>
              </w:rPr>
              <w:t>internal liquidity adequacy assessment process (</w:t>
            </w:r>
            <w:r w:rsidR="00085BAF" w:rsidRPr="00E50FA4">
              <w:rPr>
                <w:rFonts w:ascii="Times New Roman" w:eastAsia="Times New Roman" w:hAnsi="Times New Roman" w:cs="Times New Roman"/>
                <w:noProof/>
                <w:sz w:val="24"/>
                <w:lang w:val="en-GB" w:eastAsia="sv-SE"/>
              </w:rPr>
              <w:t>ILAAP</w:t>
            </w:r>
            <w:r w:rsidR="00B45966" w:rsidRPr="00E50FA4">
              <w:rPr>
                <w:rFonts w:ascii="Times New Roman" w:eastAsia="Times New Roman" w:hAnsi="Times New Roman" w:cs="Times New Roman"/>
                <w:noProof/>
                <w:sz w:val="24"/>
                <w:lang w:val="en-GB" w:eastAsia="sv-SE"/>
              </w:rPr>
              <w:t>)</w:t>
            </w:r>
            <w:r w:rsidR="00085BAF" w:rsidRPr="00E50FA4">
              <w:rPr>
                <w:rFonts w:ascii="Times New Roman" w:eastAsia="Times New Roman" w:hAnsi="Times New Roman" w:cs="Times New Roman"/>
                <w:noProof/>
                <w:sz w:val="24"/>
                <w:lang w:val="en-GB" w:eastAsia="sv-SE"/>
              </w:rPr>
              <w:t>.</w:t>
            </w:r>
          </w:p>
        </w:tc>
      </w:tr>
      <w:tr w:rsidR="00085BAF" w:rsidRPr="00E50FA4" w14:paraId="3361CFC5" w14:textId="77777777" w:rsidTr="004F0BC6">
        <w:trPr>
          <w:trHeight w:val="316"/>
        </w:trPr>
        <w:tc>
          <w:tcPr>
            <w:tcW w:w="1384" w:type="dxa"/>
          </w:tcPr>
          <w:p w14:paraId="533145E7"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(p)</w:t>
            </w:r>
          </w:p>
        </w:tc>
        <w:tc>
          <w:tcPr>
            <w:tcW w:w="7655" w:type="dxa"/>
          </w:tcPr>
          <w:p w14:paraId="245386A9" w14:textId="653D50F2" w:rsidR="00085BAF" w:rsidRPr="00E50FA4" w:rsidRDefault="00085BAF" w:rsidP="003725B4">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In accordance with Article 449a</w:t>
            </w:r>
            <w:r w:rsidR="00B45966" w:rsidRPr="00E50FA4">
              <w:rPr>
                <w:rFonts w:ascii="Times New Roman" w:hAnsi="Times New Roman" w:cs="Times New Roman"/>
                <w:noProof/>
                <w:sz w:val="24"/>
                <w:lang w:val="en-GB"/>
              </w:rPr>
              <w:t xml:space="preserve"> of Regulation (EU) No 575/2013</w:t>
            </w:r>
            <w:r w:rsidRPr="00E50FA4">
              <w:rPr>
                <w:rFonts w:ascii="Times New Roman" w:hAnsi="Times New Roman" w:cs="Times New Roman"/>
                <w:noProof/>
                <w:sz w:val="24"/>
                <w:lang w:val="en-GB"/>
              </w:rPr>
              <w:t>,</w:t>
            </w:r>
            <w:r w:rsidRPr="00E50FA4">
              <w:rPr>
                <w:rFonts w:ascii="Times New Roman" w:eastAsia="Times New Roman" w:hAnsi="Times New Roman" w:cs="Times New Roman"/>
                <w:noProof/>
                <w:sz w:val="24"/>
                <w:lang w:val="en-GB" w:eastAsia="sv-SE"/>
              </w:rPr>
              <w:t xml:space="preserve"> </w:t>
            </w:r>
            <w:r w:rsidR="00A82A12" w:rsidRPr="00E50FA4">
              <w:rPr>
                <w:rFonts w:ascii="Times New Roman" w:hAnsi="Times New Roman" w:cs="Times New Roman"/>
                <w:noProof/>
                <w:sz w:val="24"/>
                <w:lang w:val="en-GB"/>
              </w:rPr>
              <w:t xml:space="preserve">institutions shall </w:t>
            </w:r>
            <w:r w:rsidR="00B41E55" w:rsidRPr="00E50FA4">
              <w:rPr>
                <w:rFonts w:ascii="Times New Roman" w:hAnsi="Times New Roman" w:cs="Times New Roman"/>
                <w:noProof/>
                <w:sz w:val="24"/>
                <w:lang w:val="en-GB"/>
              </w:rPr>
              <w:t>provide information on</w:t>
            </w:r>
            <w:r w:rsidR="009620B8" w:rsidRPr="00E50FA4">
              <w:rPr>
                <w:rFonts w:ascii="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eastAsia="sv-SE"/>
              </w:rPr>
              <w:t xml:space="preserve">the data and information available to </w:t>
            </w:r>
            <w:r w:rsidR="00A82A12" w:rsidRPr="00E50FA4">
              <w:rPr>
                <w:rFonts w:ascii="Times New Roman" w:eastAsia="Times New Roman" w:hAnsi="Times New Roman" w:cs="Times New Roman"/>
                <w:noProof/>
                <w:sz w:val="24"/>
                <w:lang w:val="en-GB" w:eastAsia="sv-SE"/>
              </w:rPr>
              <w:t>them</w:t>
            </w:r>
            <w:r w:rsidRPr="00E50FA4">
              <w:rPr>
                <w:rFonts w:ascii="Times New Roman" w:eastAsia="Times New Roman" w:hAnsi="Times New Roman" w:cs="Times New Roman"/>
                <w:noProof/>
                <w:sz w:val="24"/>
                <w:lang w:val="en-GB" w:eastAsia="sv-SE"/>
              </w:rPr>
              <w:t xml:space="preserve"> to carry out the risk management of environmental risks, the key data and information currently missing and measures </w:t>
            </w:r>
            <w:r w:rsidR="00A82A12" w:rsidRPr="00E50FA4">
              <w:rPr>
                <w:rFonts w:ascii="Times New Roman" w:eastAsia="Times New Roman" w:hAnsi="Times New Roman" w:cs="Times New Roman"/>
                <w:noProof/>
                <w:sz w:val="24"/>
                <w:lang w:val="en-GB" w:eastAsia="sv-SE"/>
              </w:rPr>
              <w:t>they</w:t>
            </w:r>
            <w:r w:rsidRPr="00E50FA4">
              <w:rPr>
                <w:rFonts w:ascii="Times New Roman" w:eastAsia="Times New Roman" w:hAnsi="Times New Roman" w:cs="Times New Roman"/>
                <w:noProof/>
                <w:sz w:val="24"/>
                <w:lang w:val="en-GB" w:eastAsia="sv-SE"/>
              </w:rPr>
              <w:t xml:space="preserve"> </w:t>
            </w:r>
            <w:r w:rsidR="00CC1ED8" w:rsidRPr="00E50FA4">
              <w:rPr>
                <w:rFonts w:ascii="Times New Roman" w:eastAsia="Times New Roman" w:hAnsi="Times New Roman" w:cs="Times New Roman"/>
                <w:noProof/>
                <w:sz w:val="24"/>
                <w:lang w:val="en-GB" w:eastAsia="sv-SE"/>
              </w:rPr>
              <w:t xml:space="preserve">are </w:t>
            </w:r>
            <w:r w:rsidR="00B76863" w:rsidRPr="00E50FA4">
              <w:rPr>
                <w:rFonts w:ascii="Times New Roman" w:eastAsia="Times New Roman" w:hAnsi="Times New Roman" w:cs="Times New Roman"/>
                <w:noProof/>
                <w:sz w:val="24"/>
                <w:lang w:val="en-GB" w:eastAsia="sv-SE"/>
              </w:rPr>
              <w:t>taking to</w:t>
            </w:r>
            <w:r w:rsidRPr="00E50FA4">
              <w:rPr>
                <w:rFonts w:ascii="Times New Roman" w:eastAsia="Times New Roman" w:hAnsi="Times New Roman" w:cs="Times New Roman"/>
                <w:noProof/>
                <w:sz w:val="24"/>
                <w:lang w:val="en-GB" w:eastAsia="sv-SE"/>
              </w:rPr>
              <w:t xml:space="preserve"> </w:t>
            </w:r>
            <w:r w:rsidR="003725B4" w:rsidRPr="00E50FA4">
              <w:rPr>
                <w:rFonts w:ascii="Times New Roman" w:eastAsia="Times New Roman" w:hAnsi="Times New Roman" w:cs="Times New Roman"/>
                <w:noProof/>
                <w:sz w:val="24"/>
                <w:lang w:val="en-GB" w:eastAsia="sv-SE"/>
              </w:rPr>
              <w:t xml:space="preserve">address </w:t>
            </w:r>
            <w:r w:rsidR="000468D2" w:rsidRPr="00E50FA4">
              <w:rPr>
                <w:rFonts w:ascii="Times New Roman" w:eastAsia="Times New Roman" w:hAnsi="Times New Roman" w:cs="Times New Roman"/>
                <w:noProof/>
                <w:sz w:val="24"/>
                <w:lang w:val="en-GB" w:eastAsia="sv-SE"/>
              </w:rPr>
              <w:t xml:space="preserve">the </w:t>
            </w:r>
            <w:r w:rsidRPr="00E50FA4">
              <w:rPr>
                <w:rFonts w:ascii="Times New Roman" w:eastAsia="Times New Roman" w:hAnsi="Times New Roman" w:cs="Times New Roman"/>
                <w:noProof/>
                <w:sz w:val="24"/>
                <w:lang w:val="en-GB" w:eastAsia="sv-SE"/>
              </w:rPr>
              <w:t>data gaps and to improve data quality and accuracy.</w:t>
            </w:r>
          </w:p>
        </w:tc>
      </w:tr>
      <w:tr w:rsidR="00085BAF" w:rsidRPr="00E50FA4" w14:paraId="21CCB73A" w14:textId="77777777" w:rsidTr="004F0BC6">
        <w:trPr>
          <w:trHeight w:val="316"/>
        </w:trPr>
        <w:tc>
          <w:tcPr>
            <w:tcW w:w="1384" w:type="dxa"/>
          </w:tcPr>
          <w:p w14:paraId="4A6C9241"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(q)</w:t>
            </w:r>
          </w:p>
        </w:tc>
        <w:tc>
          <w:tcPr>
            <w:tcW w:w="7655" w:type="dxa"/>
          </w:tcPr>
          <w:p w14:paraId="4233B1B6" w14:textId="7C43650A" w:rsidR="00085BAF" w:rsidRPr="00E50FA4" w:rsidRDefault="00085BAF" w:rsidP="00085BAF">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 accordance with Article 449a </w:t>
            </w:r>
            <w:r w:rsidR="0063605D" w:rsidRPr="00E50FA4">
              <w:rPr>
                <w:rFonts w:ascii="Times New Roman" w:hAnsi="Times New Roman" w:cs="Times New Roman"/>
                <w:noProof/>
                <w:sz w:val="24"/>
                <w:lang w:val="en-GB"/>
              </w:rPr>
              <w:t xml:space="preserve">of Regulation (EU) No 575/2013 </w:t>
            </w:r>
            <w:r w:rsidRPr="00E50FA4">
              <w:rPr>
                <w:rFonts w:ascii="Times New Roman" w:hAnsi="Times New Roman" w:cs="Times New Roman"/>
                <w:noProof/>
                <w:sz w:val="24"/>
                <w:lang w:val="en-GB"/>
              </w:rPr>
              <w:t>in conjunction with Article 435(1), point (f)</w:t>
            </w:r>
            <w:r w:rsidR="0063605D" w:rsidRPr="00E50FA4">
              <w:rPr>
                <w:rFonts w:ascii="Times New Roman" w:hAnsi="Times New Roman" w:cs="Times New Roman"/>
                <w:noProof/>
                <w:sz w:val="24"/>
                <w:lang w:val="en-GB"/>
              </w:rPr>
              <w:t>, of that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Regulation</w:t>
            </w:r>
            <w:r w:rsidRPr="00E50FA4">
              <w:rPr>
                <w:rFonts w:ascii="Times New Roman" w:hAnsi="Times New Roman" w:cs="Times New Roman"/>
                <w:noProof/>
                <w:sz w:val="24"/>
                <w:lang w:val="en-GB"/>
              </w:rPr>
              <w:t>,</w:t>
            </w:r>
            <w:r w:rsidRPr="00E50FA4">
              <w:rPr>
                <w:rFonts w:ascii="Times New Roman" w:eastAsia="Times New Roman" w:hAnsi="Times New Roman" w:cs="Times New Roman"/>
                <w:noProof/>
                <w:sz w:val="24"/>
                <w:lang w:val="en-GB" w:eastAsia="sv-SE"/>
              </w:rPr>
              <w:t xml:space="preserve"> </w:t>
            </w:r>
            <w:r w:rsidR="00A82A12" w:rsidRPr="00E50FA4">
              <w:rPr>
                <w:rFonts w:ascii="Times New Roman" w:hAnsi="Times New Roman" w:cs="Times New Roman"/>
                <w:noProof/>
                <w:sz w:val="24"/>
                <w:lang w:val="en-GB"/>
              </w:rPr>
              <w:t xml:space="preserve">institutions shall </w:t>
            </w:r>
            <w:r w:rsidR="00B41E55" w:rsidRPr="00E50FA4">
              <w:rPr>
                <w:rFonts w:ascii="Times New Roman" w:hAnsi="Times New Roman" w:cs="Times New Roman"/>
                <w:noProof/>
                <w:sz w:val="24"/>
                <w:lang w:val="en-GB"/>
              </w:rPr>
              <w:t>provide information</w:t>
            </w:r>
            <w:r w:rsidR="00B76863">
              <w:rPr>
                <w:rFonts w:ascii="Times New Roman" w:hAnsi="Times New Roman" w:cs="Times New Roman"/>
                <w:noProof/>
                <w:sz w:val="24"/>
                <w:lang w:val="en-GB"/>
              </w:rPr>
              <w:t xml:space="preserve"> on</w:t>
            </w:r>
            <w:r w:rsidR="00CA2E29" w:rsidRPr="00E50FA4">
              <w:rPr>
                <w:rFonts w:ascii="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eastAsia="sv-SE"/>
              </w:rPr>
              <w:t xml:space="preserve">the limits </w:t>
            </w:r>
            <w:r w:rsidR="00A82A12" w:rsidRPr="00E50FA4">
              <w:rPr>
                <w:rFonts w:ascii="Times New Roman" w:eastAsia="Times New Roman" w:hAnsi="Times New Roman" w:cs="Times New Roman"/>
                <w:noProof/>
                <w:sz w:val="24"/>
                <w:lang w:val="en-GB" w:eastAsia="sv-SE"/>
              </w:rPr>
              <w:t>they set</w:t>
            </w:r>
            <w:r w:rsidRPr="00E50FA4">
              <w:rPr>
                <w:rFonts w:ascii="Times New Roman" w:eastAsia="Times New Roman" w:hAnsi="Times New Roman" w:cs="Times New Roman"/>
                <w:noProof/>
                <w:sz w:val="24"/>
                <w:lang w:val="en-GB" w:eastAsia="sv-SE"/>
              </w:rPr>
              <w:t xml:space="preserve"> on financing projects or counterparties which significantly harm environmental </w:t>
            </w:r>
            <w:r w:rsidR="00B76863" w:rsidRPr="00E50FA4">
              <w:rPr>
                <w:rFonts w:ascii="Times New Roman" w:eastAsia="Times New Roman" w:hAnsi="Times New Roman" w:cs="Times New Roman"/>
                <w:noProof/>
                <w:sz w:val="24"/>
                <w:lang w:val="en-GB" w:eastAsia="sv-SE"/>
              </w:rPr>
              <w:t>objectives in</w:t>
            </w:r>
            <w:r w:rsidRPr="00E50FA4">
              <w:rPr>
                <w:rFonts w:ascii="Times New Roman" w:eastAsia="Times New Roman" w:hAnsi="Times New Roman" w:cs="Times New Roman"/>
                <w:noProof/>
                <w:sz w:val="24"/>
                <w:lang w:val="en-GB" w:eastAsia="sv-SE"/>
              </w:rPr>
              <w:t xml:space="preserve"> line with </w:t>
            </w:r>
            <w:r w:rsidR="00A82A12" w:rsidRPr="00E50FA4">
              <w:rPr>
                <w:rFonts w:ascii="Times New Roman" w:eastAsia="Times New Roman" w:hAnsi="Times New Roman" w:cs="Times New Roman"/>
                <w:noProof/>
                <w:sz w:val="24"/>
                <w:lang w:val="en-GB" w:eastAsia="sv-SE"/>
              </w:rPr>
              <w:t xml:space="preserve">their </w:t>
            </w:r>
            <w:r w:rsidRPr="00E50FA4">
              <w:rPr>
                <w:rFonts w:ascii="Times New Roman" w:eastAsia="Times New Roman" w:hAnsi="Times New Roman" w:cs="Times New Roman"/>
                <w:noProof/>
                <w:sz w:val="24"/>
                <w:lang w:val="en-GB" w:eastAsia="sv-SE"/>
              </w:rPr>
              <w:t>business strategy.</w:t>
            </w:r>
          </w:p>
          <w:p w14:paraId="543574BF" w14:textId="6FEAC929" w:rsidR="00085BAF" w:rsidRPr="00E50FA4" w:rsidRDefault="00085BAF" w:rsidP="003725B4">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Th</w:t>
            </w:r>
            <w:r w:rsidR="00B45966" w:rsidRPr="00E50FA4">
              <w:rPr>
                <w:rFonts w:ascii="Times New Roman" w:eastAsia="Times New Roman" w:hAnsi="Times New Roman" w:cs="Times New Roman"/>
                <w:noProof/>
                <w:sz w:val="24"/>
                <w:lang w:val="en-GB" w:eastAsia="sv-SE"/>
              </w:rPr>
              <w:t>o</w:t>
            </w:r>
            <w:r w:rsidRPr="00E50FA4">
              <w:rPr>
                <w:rFonts w:ascii="Times New Roman" w:eastAsia="Times New Roman" w:hAnsi="Times New Roman" w:cs="Times New Roman"/>
                <w:noProof/>
                <w:sz w:val="24"/>
                <w:lang w:val="en-GB" w:eastAsia="sv-SE"/>
              </w:rPr>
              <w:t xml:space="preserve">se limits shall include limits set by </w:t>
            </w:r>
            <w:r w:rsidR="0080001C" w:rsidRPr="00E50FA4">
              <w:rPr>
                <w:rFonts w:ascii="Times New Roman" w:eastAsia="Times New Roman" w:hAnsi="Times New Roman" w:cs="Times New Roman"/>
                <w:noProof/>
                <w:sz w:val="24"/>
                <w:lang w:val="en-GB" w:eastAsia="sv-SE"/>
              </w:rPr>
              <w:t xml:space="preserve">the </w:t>
            </w:r>
            <w:r w:rsidRPr="00E50FA4">
              <w:rPr>
                <w:rFonts w:ascii="Times New Roman" w:eastAsia="Times New Roman" w:hAnsi="Times New Roman" w:cs="Times New Roman"/>
                <w:noProof/>
                <w:sz w:val="24"/>
                <w:lang w:val="en-GB" w:eastAsia="sv-SE"/>
              </w:rPr>
              <w:t>institutions at the point of origination and monitoring to avoid or mitigate environmental risks</w:t>
            </w:r>
            <w:r w:rsidR="00A82A12" w:rsidRPr="00E50FA4">
              <w:rPr>
                <w:rFonts w:ascii="Times New Roman" w:eastAsia="Times New Roman" w:hAnsi="Times New Roman" w:cs="Times New Roman"/>
                <w:noProof/>
                <w:sz w:val="24"/>
                <w:lang w:val="en-GB" w:eastAsia="sv-SE"/>
              </w:rPr>
              <w:t>,</w:t>
            </w:r>
            <w:r w:rsidRPr="00E50FA4">
              <w:rPr>
                <w:rFonts w:ascii="Times New Roman" w:eastAsia="Times New Roman" w:hAnsi="Times New Roman" w:cs="Times New Roman"/>
                <w:noProof/>
                <w:sz w:val="24"/>
                <w:lang w:val="en-GB" w:eastAsia="sv-SE"/>
              </w:rPr>
              <w:t xml:space="preserve"> and limits that indicate when a specific exposure would trigger corrective actions, further investigation, internal escalation, or exclusion from portfolio.</w:t>
            </w:r>
          </w:p>
        </w:tc>
      </w:tr>
      <w:tr w:rsidR="00085BAF" w:rsidRPr="00E50FA4" w14:paraId="3BE6EE17" w14:textId="77777777" w:rsidTr="004F0BC6">
        <w:trPr>
          <w:trHeight w:val="316"/>
        </w:trPr>
        <w:tc>
          <w:tcPr>
            <w:tcW w:w="1384" w:type="dxa"/>
          </w:tcPr>
          <w:p w14:paraId="459DFEDE"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(r)</w:t>
            </w:r>
          </w:p>
        </w:tc>
        <w:tc>
          <w:tcPr>
            <w:tcW w:w="7655" w:type="dxa"/>
          </w:tcPr>
          <w:p w14:paraId="59475979" w14:textId="5FAEB087" w:rsidR="00085BAF" w:rsidRPr="00E50FA4" w:rsidRDefault="003725B4" w:rsidP="00085BAF">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Institutions shall describe how</w:t>
            </w:r>
            <w:r w:rsidR="00085BAF" w:rsidRPr="00E50FA4">
              <w:rPr>
                <w:rFonts w:ascii="Times New Roman" w:eastAsia="Times New Roman" w:hAnsi="Times New Roman" w:cs="Times New Roman"/>
                <w:noProof/>
                <w:sz w:val="24"/>
                <w:lang w:val="en-GB" w:eastAsia="sv-SE"/>
              </w:rPr>
              <w:t xml:space="preserve"> </w:t>
            </w:r>
            <w:r w:rsidRPr="00E50FA4">
              <w:rPr>
                <w:rFonts w:ascii="Times New Roman" w:eastAsia="Times New Roman" w:hAnsi="Times New Roman" w:cs="Times New Roman"/>
                <w:noProof/>
                <w:sz w:val="24"/>
                <w:lang w:val="en-GB" w:eastAsia="sv-SE"/>
              </w:rPr>
              <w:t xml:space="preserve">they </w:t>
            </w:r>
            <w:r w:rsidR="00085BAF" w:rsidRPr="00E50FA4">
              <w:rPr>
                <w:rFonts w:ascii="Times New Roman" w:eastAsia="Times New Roman" w:hAnsi="Times New Roman" w:cs="Times New Roman"/>
                <w:noProof/>
                <w:sz w:val="24"/>
                <w:lang w:val="en-GB" w:eastAsia="sv-SE"/>
              </w:rPr>
              <w:t xml:space="preserve">map and link the </w:t>
            </w:r>
            <w:r w:rsidRPr="00E50FA4">
              <w:rPr>
                <w:rFonts w:ascii="Times New Roman" w:eastAsia="Times New Roman" w:hAnsi="Times New Roman" w:cs="Times New Roman"/>
                <w:noProof/>
                <w:sz w:val="24"/>
                <w:lang w:val="en-GB" w:eastAsia="sv-SE"/>
              </w:rPr>
              <w:t xml:space="preserve">emergence </w:t>
            </w:r>
            <w:r w:rsidR="00085BAF" w:rsidRPr="00E50FA4">
              <w:rPr>
                <w:rFonts w:ascii="Times New Roman" w:eastAsia="Times New Roman" w:hAnsi="Times New Roman" w:cs="Times New Roman"/>
                <w:noProof/>
                <w:sz w:val="24"/>
                <w:lang w:val="en-GB" w:eastAsia="sv-SE"/>
              </w:rPr>
              <w:t xml:space="preserve">of environmental risks on </w:t>
            </w:r>
            <w:r w:rsidR="0063605D" w:rsidRPr="00E50FA4">
              <w:rPr>
                <w:rFonts w:ascii="Times New Roman" w:eastAsia="Times New Roman" w:hAnsi="Times New Roman" w:cs="Times New Roman"/>
                <w:noProof/>
                <w:sz w:val="24"/>
                <w:lang w:val="en-GB" w:eastAsia="sv-SE"/>
              </w:rPr>
              <w:t xml:space="preserve">their </w:t>
            </w:r>
            <w:r w:rsidR="00085BAF" w:rsidRPr="00E50FA4">
              <w:rPr>
                <w:rFonts w:ascii="Times New Roman" w:eastAsia="Times New Roman" w:hAnsi="Times New Roman" w:cs="Times New Roman"/>
                <w:noProof/>
                <w:sz w:val="24"/>
                <w:lang w:val="en-GB" w:eastAsia="sv-SE"/>
              </w:rPr>
              <w:t>balance sheet through credit risk, liquidity risk, market risk and operational risk.</w:t>
            </w:r>
          </w:p>
          <w:p w14:paraId="21405418" w14:textId="0B6315D2" w:rsidR="00085BAF" w:rsidRPr="00E50FA4" w:rsidRDefault="003725B4" w:rsidP="00010E8E">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 xml:space="preserve">Institutions are to explain how they </w:t>
            </w:r>
            <w:r w:rsidR="00085BAF" w:rsidRPr="00E50FA4">
              <w:rPr>
                <w:rFonts w:ascii="Times New Roman" w:eastAsia="Times New Roman" w:hAnsi="Times New Roman" w:cs="Times New Roman"/>
                <w:noProof/>
                <w:sz w:val="24"/>
                <w:lang w:val="en-GB" w:eastAsia="sv-SE"/>
              </w:rPr>
              <w:t xml:space="preserve">assess and manage the impact of transition to a low-carbon and climate-resilient economy </w:t>
            </w:r>
            <w:r w:rsidR="00010E8E">
              <w:rPr>
                <w:rFonts w:ascii="Times New Roman" w:eastAsia="Times New Roman" w:hAnsi="Times New Roman" w:cs="Times New Roman"/>
                <w:noProof/>
                <w:sz w:val="24"/>
                <w:lang w:val="en-GB" w:eastAsia="sv-SE"/>
              </w:rPr>
              <w:t>on</w:t>
            </w:r>
            <w:r w:rsidR="00010E8E" w:rsidRPr="00E50FA4">
              <w:rPr>
                <w:rFonts w:ascii="Times New Roman" w:eastAsia="Times New Roman" w:hAnsi="Times New Roman" w:cs="Times New Roman"/>
                <w:noProof/>
                <w:sz w:val="24"/>
                <w:lang w:val="en-GB" w:eastAsia="sv-SE"/>
              </w:rPr>
              <w:t xml:space="preserve"> </w:t>
            </w:r>
            <w:r w:rsidR="00085BAF" w:rsidRPr="00E50FA4">
              <w:rPr>
                <w:rFonts w:ascii="Times New Roman" w:eastAsia="Times New Roman" w:hAnsi="Times New Roman" w:cs="Times New Roman"/>
                <w:noProof/>
                <w:sz w:val="24"/>
                <w:lang w:val="en-GB" w:eastAsia="sv-SE"/>
              </w:rPr>
              <w:t>the prudential risk categories including credit risk, liquidity risk, market risk and operational risk.</w:t>
            </w:r>
          </w:p>
        </w:tc>
      </w:tr>
    </w:tbl>
    <w:p w14:paraId="2548CC3D" w14:textId="77777777" w:rsidR="00305AF8" w:rsidRPr="00E50FA4" w:rsidRDefault="00305AF8" w:rsidP="001A08A2">
      <w:pPr>
        <w:jc w:val="both"/>
        <w:rPr>
          <w:rFonts w:ascii="Times New Roman" w:hAnsi="Times New Roman" w:cs="Times New Roman"/>
          <w:b/>
          <w:noProof/>
          <w:sz w:val="24"/>
          <w:lang w:val="en-GB"/>
        </w:rPr>
      </w:pPr>
    </w:p>
    <w:p w14:paraId="74CFF881" w14:textId="77777777" w:rsidR="00832FB8" w:rsidRPr="00E50FA4" w:rsidRDefault="00832FB8" w:rsidP="001A08A2">
      <w:pPr>
        <w:jc w:val="both"/>
        <w:rPr>
          <w:rFonts w:ascii="Times New Roman" w:hAnsi="Times New Roman" w:cs="Times New Roman"/>
          <w:b/>
          <w:noProof/>
          <w:sz w:val="24"/>
          <w:lang w:val="en-GB"/>
        </w:rPr>
      </w:pPr>
    </w:p>
    <w:bookmarkEnd w:id="0"/>
    <w:bookmarkEnd w:id="1"/>
    <w:bookmarkEnd w:id="2"/>
    <w:bookmarkEnd w:id="3"/>
    <w:bookmarkEnd w:id="4"/>
    <w:bookmarkEnd w:id="5"/>
    <w:bookmarkEnd w:id="6"/>
    <w:bookmarkEnd w:id="7"/>
    <w:bookmarkEnd w:id="8"/>
    <w:bookmarkEnd w:id="9"/>
    <w:p w14:paraId="697D5D7A" w14:textId="77777777" w:rsidR="004D24E6" w:rsidRPr="00E50FA4" w:rsidRDefault="004D24E6" w:rsidP="00720CB4">
      <w:pPr>
        <w:jc w:val="both"/>
        <w:rPr>
          <w:rFonts w:ascii="Times New Roman" w:hAnsi="Times New Roman"/>
          <w:noProof/>
          <w:sz w:val="24"/>
          <w:lang w:val="en-GB"/>
        </w:rPr>
      </w:pPr>
      <w:r w:rsidRPr="00E50FA4">
        <w:rPr>
          <w:rFonts w:ascii="Times New Roman" w:hAnsi="Times New Roman" w:cs="Times New Roman"/>
          <w:b/>
          <w:noProof/>
          <w:sz w:val="24"/>
          <w:lang w:val="en-GB"/>
        </w:rPr>
        <w:t xml:space="preserve">Table </w:t>
      </w:r>
      <w:r w:rsidR="00C168F0" w:rsidRPr="00E50FA4">
        <w:rPr>
          <w:rFonts w:ascii="Times New Roman" w:hAnsi="Times New Roman" w:cs="Times New Roman"/>
          <w:b/>
          <w:noProof/>
          <w:sz w:val="24"/>
          <w:lang w:val="en-GB"/>
        </w:rPr>
        <w:t xml:space="preserve">2 </w:t>
      </w:r>
      <w:r w:rsidRPr="00E50FA4">
        <w:rPr>
          <w:rFonts w:ascii="Times New Roman" w:hAnsi="Times New Roman" w:cs="Times New Roman"/>
          <w:b/>
          <w:noProof/>
          <w:sz w:val="24"/>
          <w:lang w:val="en-GB"/>
        </w:rPr>
        <w:t>– Qualitative information on Social risk: Free format text boxes for disclosure</w:t>
      </w:r>
      <w:r w:rsidRPr="00E50FA4">
        <w:rPr>
          <w:rFonts w:ascii="Times New Roman" w:hAnsi="Times New Roman"/>
          <w:noProof/>
          <w:sz w:val="24"/>
          <w:lang w:val="en-GB"/>
        </w:rPr>
        <w:t xml:space="preserve"> of qualitative information in Annex XXX</w:t>
      </w:r>
      <w:r w:rsidR="00B6543C" w:rsidRPr="00E50FA4">
        <w:rPr>
          <w:rFonts w:ascii="Times New Roman" w:hAnsi="Times New Roman"/>
          <w:noProof/>
          <w:sz w:val="24"/>
          <w:lang w:val="en-GB"/>
        </w:rPr>
        <w:t>VII</w:t>
      </w:r>
    </w:p>
    <w:p w14:paraId="097811D3" w14:textId="669BFD73" w:rsidR="00AC3A94" w:rsidRPr="00E50FA4" w:rsidRDefault="002F142F" w:rsidP="00B76863">
      <w:pPr>
        <w:pStyle w:val="ListParagraph"/>
        <w:numPr>
          <w:ilvl w:val="0"/>
          <w:numId w:val="11"/>
        </w:numPr>
        <w:tabs>
          <w:tab w:val="left" w:pos="567"/>
        </w:tabs>
        <w:spacing w:before="120" w:after="120"/>
        <w:ind w:left="0" w:firstLine="0"/>
        <w:jc w:val="both"/>
        <w:rPr>
          <w:noProof/>
        </w:rPr>
      </w:pPr>
      <w:r w:rsidRPr="00E50FA4">
        <w:rPr>
          <w:rFonts w:ascii="Times New Roman" w:hAnsi="Times New Roman"/>
          <w:noProof/>
          <w:sz w:val="24"/>
        </w:rPr>
        <w:t xml:space="preserve">Institutions shall </w:t>
      </w:r>
      <w:r w:rsidR="00563D41" w:rsidRPr="00E50FA4">
        <w:rPr>
          <w:rFonts w:ascii="Times New Roman" w:hAnsi="Times New Roman"/>
          <w:noProof/>
          <w:sz w:val="24"/>
        </w:rPr>
        <w:t xml:space="preserve">use the </w:t>
      </w:r>
      <w:r w:rsidR="005348FB" w:rsidRPr="00E50FA4">
        <w:rPr>
          <w:rFonts w:ascii="Times New Roman" w:hAnsi="Times New Roman"/>
          <w:noProof/>
          <w:sz w:val="24"/>
        </w:rPr>
        <w:t>follow</w:t>
      </w:r>
      <w:r w:rsidR="00563D41" w:rsidRPr="00E50FA4">
        <w:rPr>
          <w:rFonts w:ascii="Times New Roman" w:hAnsi="Times New Roman"/>
          <w:noProof/>
          <w:sz w:val="24"/>
        </w:rPr>
        <w:t>ing</w:t>
      </w:r>
      <w:r w:rsidRPr="00E50FA4">
        <w:rPr>
          <w:rFonts w:ascii="Times New Roman" w:hAnsi="Times New Roman"/>
          <w:noProof/>
          <w:sz w:val="24"/>
        </w:rPr>
        <w:t xml:space="preserve"> instructions to complete Table 2 – </w:t>
      </w:r>
      <w:r w:rsidR="005348FB" w:rsidRPr="00E50FA4">
        <w:rPr>
          <w:rFonts w:ascii="Times New Roman" w:hAnsi="Times New Roman"/>
          <w:noProof/>
          <w:sz w:val="24"/>
        </w:rPr>
        <w:t>‘</w:t>
      </w:r>
      <w:r w:rsidRPr="00E50FA4">
        <w:rPr>
          <w:rFonts w:ascii="Times New Roman" w:hAnsi="Times New Roman"/>
          <w:noProof/>
          <w:sz w:val="24"/>
        </w:rPr>
        <w:t>Qualitative Information on Social risk</w:t>
      </w:r>
      <w:r w:rsidR="005348FB" w:rsidRPr="00E50FA4">
        <w:rPr>
          <w:rFonts w:ascii="Times New Roman" w:hAnsi="Times New Roman"/>
          <w:noProof/>
          <w:sz w:val="24"/>
        </w:rPr>
        <w:t>’</w:t>
      </w:r>
      <w:r w:rsidRPr="00E50FA4">
        <w:rPr>
          <w:rFonts w:ascii="Times New Roman" w:hAnsi="Times New Roman"/>
          <w:noProof/>
          <w:sz w:val="24"/>
        </w:rPr>
        <w:t xml:space="preserve"> </w:t>
      </w:r>
      <w:r w:rsidR="009906F2" w:rsidRPr="00E50FA4">
        <w:rPr>
          <w:rFonts w:ascii="Times New Roman" w:hAnsi="Times New Roman"/>
          <w:noProof/>
          <w:sz w:val="24"/>
        </w:rPr>
        <w:t>set out</w:t>
      </w:r>
      <w:r w:rsidRPr="00E50FA4">
        <w:rPr>
          <w:rFonts w:ascii="Times New Roman" w:hAnsi="Times New Roman"/>
          <w:noProof/>
          <w:sz w:val="24"/>
        </w:rPr>
        <w:t xml:space="preserve"> in Annex </w:t>
      </w:r>
      <w:r w:rsidR="002C55A3" w:rsidRPr="00E50FA4">
        <w:rPr>
          <w:rFonts w:ascii="Times New Roman" w:hAnsi="Times New Roman"/>
          <w:noProof/>
          <w:sz w:val="24"/>
        </w:rPr>
        <w:t xml:space="preserve">XXXIX </w:t>
      </w:r>
      <w:r w:rsidRPr="00E50FA4">
        <w:rPr>
          <w:rFonts w:ascii="Times New Roman" w:hAnsi="Times New Roman"/>
          <w:noProof/>
          <w:sz w:val="24"/>
        </w:rPr>
        <w:t xml:space="preserve">to this Regulation, in order to </w:t>
      </w:r>
      <w:r w:rsidR="006A0930" w:rsidRPr="00E50FA4">
        <w:rPr>
          <w:rFonts w:ascii="Times New Roman" w:hAnsi="Times New Roman"/>
          <w:noProof/>
          <w:sz w:val="24"/>
        </w:rPr>
        <w:t xml:space="preserve">describe the integration of </w:t>
      </w:r>
      <w:r w:rsidR="001F2096" w:rsidRPr="00E50FA4">
        <w:rPr>
          <w:rFonts w:ascii="Times New Roman" w:hAnsi="Times New Roman"/>
          <w:noProof/>
          <w:sz w:val="24"/>
        </w:rPr>
        <w:t xml:space="preserve">social </w:t>
      </w:r>
      <w:r w:rsidR="006A0930" w:rsidRPr="00E50FA4">
        <w:rPr>
          <w:rFonts w:ascii="Times New Roman" w:hAnsi="Times New Roman"/>
          <w:noProof/>
          <w:sz w:val="24"/>
        </w:rPr>
        <w:t xml:space="preserve">risks in their business strategy and processes, governance and risk management, in </w:t>
      </w:r>
      <w:r w:rsidR="00862D53" w:rsidRPr="00E50FA4">
        <w:rPr>
          <w:rFonts w:ascii="Times New Roman" w:hAnsi="Times New Roman"/>
          <w:noProof/>
          <w:sz w:val="24"/>
        </w:rPr>
        <w:t>accordance with</w:t>
      </w:r>
      <w:r w:rsidR="006A0930" w:rsidRPr="00E50FA4">
        <w:rPr>
          <w:rFonts w:ascii="Times New Roman" w:hAnsi="Times New Roman"/>
          <w:noProof/>
          <w:sz w:val="24"/>
        </w:rPr>
        <w:t xml:space="preserve"> Article 449a </w:t>
      </w:r>
      <w:r w:rsidR="0063605D" w:rsidRPr="00E50FA4">
        <w:rPr>
          <w:rFonts w:ascii="Times New Roman" w:hAnsi="Times New Roman"/>
          <w:noProof/>
          <w:sz w:val="24"/>
        </w:rPr>
        <w:t xml:space="preserve">of Regulation (EU) No 575/2013 </w:t>
      </w:r>
      <w:r w:rsidR="006A0930" w:rsidRPr="00E50FA4">
        <w:rPr>
          <w:rFonts w:ascii="Times New Roman" w:hAnsi="Times New Roman"/>
          <w:noProof/>
          <w:sz w:val="24"/>
        </w:rPr>
        <w:t xml:space="preserve">in conjunction with Article 435 of </w:t>
      </w:r>
      <w:r w:rsidR="0063605D" w:rsidRPr="00E50FA4">
        <w:rPr>
          <w:rFonts w:ascii="Times New Roman" w:hAnsi="Times New Roman"/>
          <w:noProof/>
          <w:sz w:val="24"/>
        </w:rPr>
        <w:t xml:space="preserve">that </w:t>
      </w:r>
      <w:r w:rsidR="007F40F6" w:rsidRPr="00E50FA4">
        <w:rPr>
          <w:rFonts w:ascii="Times New Roman" w:hAnsi="Times New Roman"/>
          <w:noProof/>
          <w:sz w:val="24"/>
        </w:rPr>
        <w:t>Regulation</w:t>
      </w:r>
      <w:r w:rsidR="006A0930" w:rsidRPr="00E50FA4">
        <w:rPr>
          <w:rFonts w:ascii="Times New Roman" w:hAnsi="Times New Roman"/>
          <w:noProof/>
          <w:sz w:val="24"/>
        </w:rPr>
        <w:t>.</w:t>
      </w:r>
      <w:r w:rsidR="009620B8" w:rsidRPr="00E50FA4">
        <w:rPr>
          <w:rFonts w:ascii="Times New Roman" w:hAnsi="Times New Roman"/>
          <w:noProof/>
          <w:sz w:val="24"/>
        </w:rPr>
        <w:t xml:space="preserve">  </w:t>
      </w:r>
    </w:p>
    <w:p w14:paraId="5E5092D5" w14:textId="77777777" w:rsidR="000F505C" w:rsidRPr="00E50FA4" w:rsidRDefault="000F505C" w:rsidP="001A08A2">
      <w:pPr>
        <w:jc w:val="both"/>
        <w:rPr>
          <w:rFonts w:ascii="Times New Roman" w:hAnsi="Times New Roman" w:cs="Times New Roman"/>
          <w:noProof/>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684527" w:rsidRPr="00E50FA4" w14:paraId="19D98408" w14:textId="77777777" w:rsidTr="00453CE1">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DE4A6" w14:textId="77777777" w:rsidR="00684527" w:rsidRPr="00E50FA4" w:rsidRDefault="00684527" w:rsidP="001A08A2">
            <w:pPr>
              <w:jc w:val="both"/>
              <w:rPr>
                <w:rFonts w:ascii="Times New Roman" w:hAnsi="Times New Roman" w:cs="Times New Roman"/>
                <w:b/>
                <w:noProof/>
                <w:sz w:val="24"/>
                <w:lang w:val="en-GB"/>
              </w:rPr>
            </w:pPr>
            <w:r w:rsidRPr="00E50FA4">
              <w:rPr>
                <w:rFonts w:ascii="Times New Roman" w:hAnsi="Times New Roman" w:cs="Times New Roman"/>
                <w:b/>
                <w:noProof/>
                <w:sz w:val="24"/>
                <w:lang w:val="en-GB"/>
              </w:rPr>
              <w:t>Legal references and instructions</w:t>
            </w:r>
          </w:p>
        </w:tc>
      </w:tr>
      <w:tr w:rsidR="00684527" w:rsidRPr="00E50FA4" w14:paraId="75BA9EF2" w14:textId="77777777" w:rsidTr="00453CE1">
        <w:trPr>
          <w:trHeight w:val="238"/>
        </w:trPr>
        <w:tc>
          <w:tcPr>
            <w:tcW w:w="1384" w:type="dxa"/>
            <w:shd w:val="clear" w:color="auto" w:fill="D9D9D9" w:themeFill="background1" w:themeFillShade="D9"/>
          </w:tcPr>
          <w:p w14:paraId="48AAE492" w14:textId="77777777" w:rsidR="00684527" w:rsidRPr="00E50FA4" w:rsidRDefault="00684527" w:rsidP="001A08A2">
            <w:pPr>
              <w:autoSpaceDE w:val="0"/>
              <w:autoSpaceDN w:val="0"/>
              <w:adjustRightInd w:val="0"/>
              <w:jc w:val="both"/>
              <w:rPr>
                <w:rFonts w:ascii="Times New Roman" w:hAnsi="Times New Roman" w:cs="Times New Roman"/>
                <w:b/>
                <w:noProof/>
                <w:sz w:val="24"/>
                <w:lang w:val="en-GB"/>
              </w:rPr>
            </w:pPr>
            <w:r w:rsidRPr="00E50FA4">
              <w:rPr>
                <w:rFonts w:ascii="Times New Roman" w:hAnsi="Times New Roman" w:cs="Times New Roman"/>
                <w:b/>
                <w:noProof/>
                <w:sz w:val="24"/>
                <w:lang w:val="en-GB"/>
              </w:rPr>
              <w:t>Row number</w:t>
            </w:r>
          </w:p>
        </w:tc>
        <w:tc>
          <w:tcPr>
            <w:tcW w:w="7655" w:type="dxa"/>
            <w:shd w:val="clear" w:color="auto" w:fill="D9D9D9" w:themeFill="background1" w:themeFillShade="D9"/>
          </w:tcPr>
          <w:p w14:paraId="5F0FA1AF" w14:textId="77777777" w:rsidR="00684527" w:rsidRPr="00E50FA4" w:rsidRDefault="00684527" w:rsidP="001A08A2">
            <w:pPr>
              <w:autoSpaceDE w:val="0"/>
              <w:autoSpaceDN w:val="0"/>
              <w:adjustRightInd w:val="0"/>
              <w:jc w:val="both"/>
              <w:rPr>
                <w:rFonts w:ascii="Times New Roman" w:hAnsi="Times New Roman" w:cs="Times New Roman"/>
                <w:noProof/>
                <w:color w:val="000000"/>
                <w:sz w:val="24"/>
                <w:lang w:val="en-GB"/>
              </w:rPr>
            </w:pPr>
            <w:r w:rsidRPr="00E50FA4">
              <w:rPr>
                <w:rFonts w:ascii="Times New Roman" w:hAnsi="Times New Roman" w:cs="Times New Roman"/>
                <w:b/>
                <w:noProof/>
                <w:sz w:val="24"/>
                <w:lang w:val="en-GB"/>
              </w:rPr>
              <w:t>Explanation</w:t>
            </w:r>
          </w:p>
        </w:tc>
      </w:tr>
      <w:tr w:rsidR="00684527" w:rsidRPr="00E50FA4" w14:paraId="62D7A501" w14:textId="77777777" w:rsidTr="00453CE1">
        <w:trPr>
          <w:trHeight w:val="423"/>
        </w:trPr>
        <w:tc>
          <w:tcPr>
            <w:tcW w:w="1384" w:type="dxa"/>
            <w:shd w:val="clear" w:color="auto" w:fill="D9D9D9" w:themeFill="background1" w:themeFillShade="D9"/>
          </w:tcPr>
          <w:p w14:paraId="1370AB18" w14:textId="77777777" w:rsidR="00684527" w:rsidRPr="00E50FA4" w:rsidRDefault="00684527" w:rsidP="00D35812">
            <w:pPr>
              <w:pStyle w:val="Applicationdirecte"/>
              <w:spacing w:before="120"/>
              <w:rPr>
                <w:noProof/>
              </w:rPr>
            </w:pPr>
          </w:p>
        </w:tc>
        <w:tc>
          <w:tcPr>
            <w:tcW w:w="7655" w:type="dxa"/>
            <w:shd w:val="clear" w:color="auto" w:fill="D9D9D9" w:themeFill="background1" w:themeFillShade="D9"/>
          </w:tcPr>
          <w:p w14:paraId="646070E3" w14:textId="77777777" w:rsidR="00684527" w:rsidRPr="00E50FA4" w:rsidRDefault="00684527" w:rsidP="001A08A2">
            <w:pPr>
              <w:autoSpaceDE w:val="0"/>
              <w:autoSpaceDN w:val="0"/>
              <w:adjustRightInd w:val="0"/>
              <w:jc w:val="both"/>
              <w:rPr>
                <w:rFonts w:ascii="Times New Roman" w:hAnsi="Times New Roman" w:cs="Times New Roman"/>
                <w:b/>
                <w:noProof/>
                <w:sz w:val="24"/>
                <w:lang w:val="en-GB"/>
              </w:rPr>
            </w:pPr>
            <w:r w:rsidRPr="00E50FA4">
              <w:rPr>
                <w:rFonts w:ascii="Times New Roman" w:hAnsi="Times New Roman" w:cs="Times New Roman"/>
                <w:b/>
                <w:noProof/>
                <w:sz w:val="24"/>
                <w:lang w:val="en-GB"/>
              </w:rPr>
              <w:t>Business strategy and processes</w:t>
            </w:r>
          </w:p>
        </w:tc>
      </w:tr>
      <w:tr w:rsidR="00085BAF" w:rsidRPr="00E50FA4" w14:paraId="052CE091" w14:textId="77777777" w:rsidTr="00684527">
        <w:trPr>
          <w:trHeight w:val="697"/>
        </w:trPr>
        <w:tc>
          <w:tcPr>
            <w:tcW w:w="1384" w:type="dxa"/>
          </w:tcPr>
          <w:p w14:paraId="05E210D3" w14:textId="77777777" w:rsidR="00085BAF" w:rsidRPr="00E50FA4" w:rsidRDefault="00085BAF" w:rsidP="00085BAF">
            <w:pPr>
              <w:pStyle w:val="Applicationdirecte"/>
              <w:spacing w:before="120"/>
              <w:rPr>
                <w:noProof/>
              </w:rPr>
            </w:pPr>
            <w:r w:rsidRPr="00E50FA4">
              <w:rPr>
                <w:noProof/>
              </w:rPr>
              <w:t>(a)</w:t>
            </w:r>
          </w:p>
        </w:tc>
        <w:tc>
          <w:tcPr>
            <w:tcW w:w="7655" w:type="dxa"/>
          </w:tcPr>
          <w:p w14:paraId="4CAC32FD" w14:textId="35E545AF" w:rsidR="00085BAF" w:rsidRPr="00E50FA4" w:rsidRDefault="00085BAF" w:rsidP="00E252FB">
            <w:pPr>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 accordance with Article 449a </w:t>
            </w:r>
            <w:r w:rsidR="0063605D" w:rsidRPr="00E50FA4">
              <w:rPr>
                <w:rFonts w:ascii="Times New Roman" w:hAnsi="Times New Roman" w:cs="Times New Roman"/>
                <w:noProof/>
                <w:sz w:val="24"/>
                <w:lang w:val="en-GB"/>
              </w:rPr>
              <w:t xml:space="preserve">of Regulation (EU) No 575/2013 </w:t>
            </w:r>
            <w:r w:rsidRPr="00E50FA4">
              <w:rPr>
                <w:rFonts w:ascii="Times New Roman" w:hAnsi="Times New Roman" w:cs="Times New Roman"/>
                <w:noProof/>
                <w:sz w:val="24"/>
                <w:lang w:val="en-GB"/>
              </w:rPr>
              <w:t>in conjunction with Article 435(1)</w:t>
            </w:r>
            <w:r w:rsidR="0019287D"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points (a) and (e)</w:t>
            </w:r>
            <w:r w:rsidR="0063605D" w:rsidRPr="00E50FA4">
              <w:rPr>
                <w:rFonts w:ascii="Times New Roman" w:hAnsi="Times New Roman" w:cs="Times New Roman"/>
                <w:noProof/>
                <w:sz w:val="24"/>
                <w:lang w:val="en-GB"/>
              </w:rPr>
              <w:t>, of that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Regulation</w:t>
            </w:r>
            <w:r w:rsidRPr="00E50FA4">
              <w:rPr>
                <w:rFonts w:ascii="Times New Roman" w:hAnsi="Times New Roman" w:cs="Times New Roman"/>
                <w:noProof/>
                <w:sz w:val="24"/>
                <w:lang w:val="en-GB"/>
              </w:rPr>
              <w:t xml:space="preserve">, </w:t>
            </w:r>
            <w:r w:rsidR="00C767CD" w:rsidRPr="00E50FA4">
              <w:rPr>
                <w:rFonts w:ascii="Times New Roman" w:hAnsi="Times New Roman" w:cs="Times New Roman"/>
                <w:noProof/>
                <w:sz w:val="24"/>
                <w:lang w:val="en-GB"/>
              </w:rPr>
              <w:t xml:space="preserve">institutions shall </w:t>
            </w:r>
            <w:r w:rsidR="00B41E55" w:rsidRPr="00E50FA4">
              <w:rPr>
                <w:rFonts w:ascii="Times New Roman" w:hAnsi="Times New Roman" w:cs="Times New Roman"/>
                <w:noProof/>
                <w:sz w:val="24"/>
                <w:lang w:val="en-GB"/>
              </w:rPr>
              <w:t>describe</w:t>
            </w:r>
            <w:r w:rsidR="009620B8"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 xml:space="preserve">how </w:t>
            </w:r>
            <w:r w:rsidR="00C767CD" w:rsidRPr="00E50FA4">
              <w:rPr>
                <w:rFonts w:ascii="Times New Roman" w:hAnsi="Times New Roman" w:cs="Times New Roman"/>
                <w:noProof/>
                <w:sz w:val="24"/>
                <w:lang w:val="en-GB"/>
              </w:rPr>
              <w:t>their</w:t>
            </w:r>
            <w:r w:rsidRPr="00E50FA4">
              <w:rPr>
                <w:rFonts w:ascii="Times New Roman" w:hAnsi="Times New Roman" w:cs="Times New Roman"/>
                <w:noProof/>
                <w:sz w:val="24"/>
                <w:lang w:val="en-GB"/>
              </w:rPr>
              <w:t xml:space="preserve"> business model, strategy</w:t>
            </w:r>
            <w:r w:rsidR="00E252FB"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processes</w:t>
            </w:r>
            <w:r w:rsidR="00C767CD" w:rsidRPr="00E50FA4">
              <w:rPr>
                <w:rFonts w:ascii="Times New Roman" w:hAnsi="Times New Roman" w:cs="Times New Roman"/>
                <w:noProof/>
                <w:sz w:val="24"/>
                <w:lang w:val="en-GB"/>
              </w:rPr>
              <w:t xml:space="preserve"> and </w:t>
            </w:r>
            <w:r w:rsidRPr="00E50FA4">
              <w:rPr>
                <w:rFonts w:ascii="Times New Roman" w:hAnsi="Times New Roman" w:cs="Times New Roman"/>
                <w:noProof/>
                <w:sz w:val="24"/>
                <w:lang w:val="en-GB"/>
              </w:rPr>
              <w:t>financial planning integrate risks stemming from social factors (i.e. social risks) and how th</w:t>
            </w:r>
            <w:r w:rsidR="003076C9" w:rsidRPr="00E50FA4">
              <w:rPr>
                <w:rFonts w:ascii="Times New Roman" w:hAnsi="Times New Roman" w:cs="Times New Roman"/>
                <w:noProof/>
                <w:sz w:val="24"/>
                <w:lang w:val="en-GB"/>
              </w:rPr>
              <w:t>o</w:t>
            </w:r>
            <w:r w:rsidRPr="00E50FA4">
              <w:rPr>
                <w:rFonts w:ascii="Times New Roman" w:hAnsi="Times New Roman" w:cs="Times New Roman"/>
                <w:noProof/>
                <w:sz w:val="24"/>
                <w:lang w:val="en-GB"/>
              </w:rPr>
              <w:t xml:space="preserve">se </w:t>
            </w:r>
            <w:r w:rsidR="00E252FB" w:rsidRPr="00E50FA4">
              <w:rPr>
                <w:rFonts w:ascii="Times New Roman" w:hAnsi="Times New Roman" w:cs="Times New Roman"/>
                <w:noProof/>
                <w:sz w:val="24"/>
                <w:lang w:val="en-GB"/>
              </w:rPr>
              <w:t xml:space="preserve">risk </w:t>
            </w:r>
            <w:r w:rsidRPr="00E50FA4">
              <w:rPr>
                <w:rFonts w:ascii="Times New Roman" w:hAnsi="Times New Roman" w:cs="Times New Roman"/>
                <w:noProof/>
                <w:sz w:val="24"/>
                <w:lang w:val="en-GB"/>
              </w:rPr>
              <w:t>evolve over time given changing technology, policy framework, business environment and stakeholder</w:t>
            </w:r>
            <w:r w:rsidR="00E252FB" w:rsidRPr="00E50FA4">
              <w:rPr>
                <w:rFonts w:ascii="Times New Roman" w:hAnsi="Times New Roman" w:cs="Times New Roman"/>
                <w:noProof/>
                <w:sz w:val="24"/>
                <w:lang w:val="en-GB"/>
              </w:rPr>
              <w:t>s’</w:t>
            </w:r>
            <w:r w:rsidRPr="00E50FA4">
              <w:rPr>
                <w:rFonts w:ascii="Times New Roman" w:hAnsi="Times New Roman" w:cs="Times New Roman"/>
                <w:noProof/>
                <w:sz w:val="24"/>
                <w:lang w:val="en-GB"/>
              </w:rPr>
              <w:t xml:space="preserve"> preferences.</w:t>
            </w:r>
          </w:p>
        </w:tc>
      </w:tr>
      <w:tr w:rsidR="00085BAF" w:rsidRPr="00E50FA4" w14:paraId="38BF1039" w14:textId="77777777" w:rsidTr="00453CE1">
        <w:trPr>
          <w:trHeight w:val="316"/>
        </w:trPr>
        <w:tc>
          <w:tcPr>
            <w:tcW w:w="1384" w:type="dxa"/>
          </w:tcPr>
          <w:p w14:paraId="25AFC72F" w14:textId="77777777" w:rsidR="00085BAF" w:rsidRPr="00E50FA4" w:rsidRDefault="00085BAF" w:rsidP="00085BAF">
            <w:pPr>
              <w:autoSpaceDE w:val="0"/>
              <w:autoSpaceDN w:val="0"/>
              <w:adjustRightInd w:val="0"/>
              <w:jc w:val="both"/>
              <w:rPr>
                <w:rFonts w:ascii="Times New Roman" w:eastAsia="Times New Roman" w:hAnsi="Times New Roman" w:cs="Times New Roman"/>
                <w:noProof/>
                <w:sz w:val="24"/>
                <w:lang w:val="en-GB"/>
              </w:rPr>
            </w:pPr>
            <w:r w:rsidRPr="00E50FA4">
              <w:rPr>
                <w:noProof/>
                <w:lang w:val="en-GB"/>
              </w:rPr>
              <w:t>(b)</w:t>
            </w:r>
          </w:p>
        </w:tc>
        <w:tc>
          <w:tcPr>
            <w:tcW w:w="7655" w:type="dxa"/>
          </w:tcPr>
          <w:p w14:paraId="63792BDE" w14:textId="11CA1F76" w:rsidR="00085BAF" w:rsidRPr="00E50FA4" w:rsidRDefault="00085BAF" w:rsidP="00085BAF">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 accordance with Article 449a </w:t>
            </w:r>
            <w:r w:rsidR="00233F87" w:rsidRPr="00E50FA4">
              <w:rPr>
                <w:rFonts w:ascii="Times New Roman" w:hAnsi="Times New Roman" w:cs="Times New Roman"/>
                <w:noProof/>
                <w:sz w:val="24"/>
                <w:lang w:val="en-GB"/>
              </w:rPr>
              <w:t xml:space="preserve">of Regulation (EU) No 575/2013 </w:t>
            </w:r>
            <w:r w:rsidRPr="00E50FA4">
              <w:rPr>
                <w:rFonts w:ascii="Times New Roman" w:hAnsi="Times New Roman" w:cs="Times New Roman"/>
                <w:noProof/>
                <w:sz w:val="24"/>
                <w:lang w:val="en-GB"/>
              </w:rPr>
              <w:t>in conjunction with Article 435(1), point (a)</w:t>
            </w:r>
            <w:r w:rsidR="003076C9" w:rsidRPr="00E50FA4">
              <w:rPr>
                <w:rFonts w:ascii="Times New Roman" w:hAnsi="Times New Roman" w:cs="Times New Roman"/>
                <w:noProof/>
                <w:sz w:val="24"/>
                <w:lang w:val="en-GB"/>
              </w:rPr>
              <w:t xml:space="preserve"> </w:t>
            </w:r>
            <w:r w:rsidR="00CC1ED8" w:rsidRPr="00E50FA4">
              <w:rPr>
                <w:rFonts w:ascii="Times New Roman" w:hAnsi="Times New Roman" w:cs="Times New Roman"/>
                <w:noProof/>
                <w:sz w:val="24"/>
                <w:lang w:val="en-GB"/>
              </w:rPr>
              <w:t xml:space="preserve">and </w:t>
            </w:r>
            <w:r w:rsidR="005F2DA5" w:rsidRPr="00E50FA4">
              <w:rPr>
                <w:rFonts w:ascii="Times New Roman" w:hAnsi="Times New Roman" w:cs="Times New Roman"/>
                <w:noProof/>
                <w:sz w:val="24"/>
                <w:lang w:val="en-GB"/>
              </w:rPr>
              <w:t xml:space="preserve">points </w:t>
            </w:r>
            <w:r w:rsidR="00CC1ED8" w:rsidRPr="00E50FA4">
              <w:rPr>
                <w:rFonts w:ascii="Times New Roman" w:hAnsi="Times New Roman" w:cs="Times New Roman"/>
                <w:noProof/>
                <w:sz w:val="24"/>
                <w:lang w:val="en-GB"/>
              </w:rPr>
              <w:t xml:space="preserve">(c) </w:t>
            </w:r>
            <w:r w:rsidR="003076C9" w:rsidRPr="00E50FA4">
              <w:rPr>
                <w:rFonts w:ascii="Times New Roman" w:hAnsi="Times New Roman" w:cs="Times New Roman"/>
                <w:noProof/>
                <w:sz w:val="24"/>
                <w:lang w:val="en-GB"/>
              </w:rPr>
              <w:t>to</w:t>
            </w:r>
            <w:r w:rsidRPr="00E50FA4">
              <w:rPr>
                <w:rFonts w:ascii="Times New Roman" w:hAnsi="Times New Roman" w:cs="Times New Roman"/>
                <w:noProof/>
                <w:sz w:val="24"/>
                <w:lang w:val="en-GB"/>
              </w:rPr>
              <w:t xml:space="preserve"> (f)</w:t>
            </w:r>
            <w:r w:rsidR="00233F87" w:rsidRPr="00E50FA4">
              <w:rPr>
                <w:rFonts w:ascii="Times New Roman" w:hAnsi="Times New Roman" w:cs="Times New Roman"/>
                <w:noProof/>
                <w:sz w:val="24"/>
                <w:lang w:val="en-GB"/>
              </w:rPr>
              <w:t>, of that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Regulation</w:t>
            </w:r>
            <w:r w:rsidRPr="00E50FA4">
              <w:rPr>
                <w:rFonts w:ascii="Times New Roman" w:hAnsi="Times New Roman" w:cs="Times New Roman"/>
                <w:noProof/>
                <w:sz w:val="24"/>
                <w:lang w:val="en-GB"/>
              </w:rPr>
              <w:t xml:space="preserve">, </w:t>
            </w:r>
            <w:r w:rsidR="00C767CD" w:rsidRPr="00E50FA4">
              <w:rPr>
                <w:rFonts w:ascii="Times New Roman" w:hAnsi="Times New Roman" w:cs="Times New Roman"/>
                <w:noProof/>
                <w:sz w:val="24"/>
                <w:lang w:val="en-GB"/>
              </w:rPr>
              <w:t xml:space="preserve">institutions shall </w:t>
            </w:r>
            <w:r w:rsidR="006A2CA7" w:rsidRPr="00E50FA4">
              <w:rPr>
                <w:rFonts w:ascii="Times New Roman" w:hAnsi="Times New Roman" w:cs="Times New Roman"/>
                <w:noProof/>
                <w:sz w:val="24"/>
                <w:lang w:val="en-GB"/>
              </w:rPr>
              <w:t>provide a description of</w:t>
            </w:r>
            <w:r w:rsidR="00C767CD" w:rsidRPr="00E50FA4">
              <w:rPr>
                <w:rFonts w:ascii="Times New Roman" w:hAnsi="Times New Roman" w:cs="Times New Roman"/>
                <w:noProof/>
                <w:sz w:val="24"/>
                <w:lang w:val="en-GB"/>
              </w:rPr>
              <w:t xml:space="preserve"> their</w:t>
            </w:r>
            <w:r w:rsidRPr="00E50FA4">
              <w:rPr>
                <w:rFonts w:ascii="Times New Roman" w:hAnsi="Times New Roman" w:cs="Times New Roman"/>
                <w:noProof/>
                <w:sz w:val="24"/>
                <w:lang w:val="en-GB"/>
              </w:rPr>
              <w:t xml:space="preserve"> objectives, targets and limits for the assessment and management of social risks, and </w:t>
            </w:r>
            <w:r w:rsidR="00CC1ED8" w:rsidRPr="00E50FA4">
              <w:rPr>
                <w:rFonts w:ascii="Times New Roman" w:hAnsi="Times New Roman" w:cs="Times New Roman"/>
                <w:noProof/>
                <w:sz w:val="24"/>
                <w:lang w:val="en-GB"/>
              </w:rPr>
              <w:t xml:space="preserve">a description of </w:t>
            </w:r>
            <w:r w:rsidR="00862D53" w:rsidRPr="00E50FA4">
              <w:rPr>
                <w:rFonts w:ascii="Times New Roman" w:hAnsi="Times New Roman" w:cs="Times New Roman"/>
                <w:noProof/>
                <w:sz w:val="24"/>
                <w:lang w:val="en-GB"/>
              </w:rPr>
              <w:t>the processes they use to set out those objectives, targets and limits</w:t>
            </w:r>
            <w:r w:rsidRPr="00E50FA4">
              <w:rPr>
                <w:rFonts w:ascii="Times New Roman" w:hAnsi="Times New Roman" w:cs="Times New Roman"/>
                <w:noProof/>
                <w:sz w:val="24"/>
                <w:lang w:val="en-GB"/>
              </w:rPr>
              <w:t xml:space="preserve">. </w:t>
            </w:r>
          </w:p>
          <w:p w14:paraId="3A94BCAA" w14:textId="1E857334" w:rsidR="00085BAF" w:rsidRPr="00E50FA4" w:rsidRDefault="00C767CD" w:rsidP="00085BAF">
            <w:pPr>
              <w:autoSpaceDE w:val="0"/>
              <w:autoSpaceDN w:val="0"/>
              <w:adjustRightInd w:val="0"/>
              <w:spacing w:before="120" w:after="120"/>
              <w:jc w:val="both"/>
              <w:rPr>
                <w:rFonts w:ascii="Times New Roman" w:eastAsia="Times New Roman" w:hAnsi="Times New Roman"/>
                <w:noProof/>
                <w:sz w:val="24"/>
                <w:lang w:val="en-GB"/>
              </w:rPr>
            </w:pPr>
            <w:r w:rsidRPr="00E50FA4">
              <w:rPr>
                <w:rFonts w:ascii="Times New Roman" w:hAnsi="Times New Roman" w:cs="Times New Roman"/>
                <w:noProof/>
                <w:sz w:val="24"/>
                <w:lang w:val="en-GB"/>
              </w:rPr>
              <w:t xml:space="preserve">Institutions </w:t>
            </w:r>
            <w:r w:rsidR="004C5FA1" w:rsidRPr="00E50FA4">
              <w:rPr>
                <w:rFonts w:ascii="Times New Roman" w:hAnsi="Times New Roman" w:cs="Times New Roman"/>
                <w:noProof/>
                <w:sz w:val="24"/>
                <w:lang w:val="en-GB"/>
              </w:rPr>
              <w:t xml:space="preserve">are to </w:t>
            </w:r>
            <w:r w:rsidRPr="00E50FA4">
              <w:rPr>
                <w:rFonts w:ascii="Times New Roman" w:hAnsi="Times New Roman" w:cs="Times New Roman"/>
                <w:noProof/>
                <w:sz w:val="24"/>
                <w:lang w:val="en-GB"/>
              </w:rPr>
              <w:t>explain</w:t>
            </w:r>
            <w:r w:rsidR="00085BAF" w:rsidRPr="00E50FA4">
              <w:rPr>
                <w:rFonts w:ascii="Times New Roman" w:hAnsi="Times New Roman" w:cs="Times New Roman"/>
                <w:noProof/>
                <w:sz w:val="24"/>
                <w:lang w:val="en-GB"/>
              </w:rPr>
              <w:t xml:space="preserve"> the linkages of th</w:t>
            </w:r>
            <w:r w:rsidR="00330463" w:rsidRPr="00E50FA4">
              <w:rPr>
                <w:rFonts w:ascii="Times New Roman" w:hAnsi="Times New Roman" w:cs="Times New Roman"/>
                <w:noProof/>
                <w:sz w:val="24"/>
                <w:lang w:val="en-GB"/>
              </w:rPr>
              <w:t>o</w:t>
            </w:r>
            <w:r w:rsidR="00085BAF" w:rsidRPr="00E50FA4">
              <w:rPr>
                <w:rFonts w:ascii="Times New Roman" w:hAnsi="Times New Roman" w:cs="Times New Roman"/>
                <w:noProof/>
                <w:sz w:val="24"/>
                <w:lang w:val="en-GB"/>
              </w:rPr>
              <w:t xml:space="preserve">se objectives, targets and limits to the </w:t>
            </w:r>
            <w:r w:rsidR="00193F32" w:rsidRPr="00E50FA4">
              <w:rPr>
                <w:rFonts w:ascii="Times New Roman" w:hAnsi="Times New Roman" w:cs="Times New Roman"/>
                <w:noProof/>
                <w:sz w:val="24"/>
                <w:lang w:val="en-GB"/>
              </w:rPr>
              <w:t>applicable</w:t>
            </w:r>
            <w:r w:rsidR="00085BAF" w:rsidRPr="00E50FA4">
              <w:rPr>
                <w:rFonts w:ascii="Times New Roman" w:hAnsi="Times New Roman" w:cs="Times New Roman"/>
                <w:noProof/>
                <w:sz w:val="24"/>
                <w:lang w:val="en-GB"/>
              </w:rPr>
              <w:t xml:space="preserve"> international and </w:t>
            </w:r>
            <w:r w:rsidR="00330463" w:rsidRPr="00E50FA4">
              <w:rPr>
                <w:rFonts w:ascii="Times New Roman" w:hAnsi="Times New Roman" w:cs="Times New Roman"/>
                <w:noProof/>
                <w:sz w:val="24"/>
                <w:lang w:val="en-GB"/>
              </w:rPr>
              <w:t>Union</w:t>
            </w:r>
            <w:r w:rsidR="00085BAF" w:rsidRPr="00E50FA4">
              <w:rPr>
                <w:rFonts w:ascii="Times New Roman" w:hAnsi="Times New Roman" w:cs="Times New Roman"/>
                <w:noProof/>
                <w:sz w:val="24"/>
                <w:lang w:val="en-GB"/>
              </w:rPr>
              <w:t xml:space="preserve"> policy framework and </w:t>
            </w:r>
            <w:r w:rsidR="004C5FA1" w:rsidRPr="00E50FA4">
              <w:rPr>
                <w:rFonts w:ascii="Times New Roman" w:hAnsi="Times New Roman" w:cs="Times New Roman"/>
                <w:noProof/>
                <w:sz w:val="24"/>
                <w:lang w:val="en-GB"/>
              </w:rPr>
              <w:t xml:space="preserve">to available </w:t>
            </w:r>
            <w:r w:rsidR="00085BAF" w:rsidRPr="00E50FA4">
              <w:rPr>
                <w:rFonts w:ascii="Times New Roman" w:hAnsi="Times New Roman" w:cs="Times New Roman"/>
                <w:noProof/>
                <w:sz w:val="24"/>
                <w:lang w:val="en-GB"/>
              </w:rPr>
              <w:t>benchmarks</w:t>
            </w:r>
            <w:r w:rsidR="00085BAF" w:rsidRPr="00E50FA4">
              <w:rPr>
                <w:rFonts w:ascii="Times New Roman" w:eastAsia="Times New Roman" w:hAnsi="Times New Roman"/>
                <w:noProof/>
                <w:sz w:val="24"/>
                <w:lang w:val="en-GB"/>
              </w:rPr>
              <w:t>.</w:t>
            </w:r>
          </w:p>
          <w:p w14:paraId="77169780" w14:textId="12259BE8" w:rsidR="00F83F48" w:rsidRPr="00E50FA4" w:rsidRDefault="00233F87" w:rsidP="00FF322E">
            <w:pPr>
              <w:autoSpaceDE w:val="0"/>
              <w:autoSpaceDN w:val="0"/>
              <w:adjustRightInd w:val="0"/>
              <w:spacing w:before="120" w:after="120"/>
              <w:jc w:val="both"/>
              <w:rPr>
                <w:rFonts w:ascii="Times New Roman" w:eastAsia="Times New Roman" w:hAnsi="Times New Roman"/>
                <w:noProof/>
                <w:sz w:val="24"/>
                <w:lang w:val="en-GB"/>
              </w:rPr>
            </w:pPr>
            <w:r w:rsidRPr="00E50FA4">
              <w:rPr>
                <w:rFonts w:ascii="Times New Roman" w:eastAsia="Times New Roman" w:hAnsi="Times New Roman"/>
                <w:noProof/>
                <w:sz w:val="24"/>
                <w:lang w:val="en-GB"/>
              </w:rPr>
              <w:t>S</w:t>
            </w:r>
            <w:r w:rsidR="00F83F48" w:rsidRPr="00E50FA4">
              <w:rPr>
                <w:rFonts w:ascii="Times New Roman" w:eastAsia="Times New Roman" w:hAnsi="Times New Roman"/>
                <w:noProof/>
                <w:sz w:val="24"/>
                <w:lang w:val="en-GB"/>
              </w:rPr>
              <w:t xml:space="preserve">ocial aspects include </w:t>
            </w:r>
            <w:r w:rsidR="00F65FE3" w:rsidRPr="00E50FA4">
              <w:rPr>
                <w:rFonts w:ascii="Times New Roman" w:eastAsia="Times New Roman" w:hAnsi="Times New Roman"/>
                <w:noProof/>
                <w:sz w:val="24"/>
                <w:lang w:val="en-GB"/>
              </w:rPr>
              <w:t xml:space="preserve">human rights violation, labour rights, income inequality, lack of human rights, </w:t>
            </w:r>
            <w:r w:rsidR="00F83F48" w:rsidRPr="00E50FA4">
              <w:rPr>
                <w:rFonts w:ascii="Times New Roman" w:eastAsia="Times New Roman" w:hAnsi="Times New Roman"/>
                <w:noProof/>
                <w:sz w:val="24"/>
                <w:lang w:val="en-GB"/>
              </w:rPr>
              <w:t>customer safety and protection, privacy,</w:t>
            </w:r>
            <w:r w:rsidR="0078442C" w:rsidRPr="00E50FA4">
              <w:rPr>
                <w:rFonts w:ascii="Times New Roman" w:eastAsia="Times New Roman" w:hAnsi="Times New Roman"/>
                <w:noProof/>
                <w:sz w:val="24"/>
                <w:lang w:val="en-GB"/>
              </w:rPr>
              <w:t xml:space="preserve"> </w:t>
            </w:r>
            <w:r w:rsidR="00F65FE3" w:rsidRPr="00E50FA4">
              <w:rPr>
                <w:rFonts w:ascii="Times New Roman" w:eastAsia="Times New Roman" w:hAnsi="Times New Roman"/>
                <w:noProof/>
                <w:sz w:val="24"/>
                <w:lang w:val="en-GB"/>
              </w:rPr>
              <w:t xml:space="preserve">poverty </w:t>
            </w:r>
            <w:r w:rsidR="0078442C" w:rsidRPr="00E50FA4">
              <w:rPr>
                <w:rFonts w:ascii="Times New Roman" w:eastAsia="Times New Roman" w:hAnsi="Times New Roman"/>
                <w:noProof/>
                <w:sz w:val="24"/>
                <w:lang w:val="en-GB"/>
              </w:rPr>
              <w:t>and</w:t>
            </w:r>
            <w:r w:rsidR="00F83F48" w:rsidRPr="00E50FA4">
              <w:rPr>
                <w:rFonts w:ascii="Times New Roman" w:eastAsia="Times New Roman" w:hAnsi="Times New Roman"/>
                <w:noProof/>
                <w:sz w:val="24"/>
                <w:lang w:val="en-GB"/>
              </w:rPr>
              <w:t xml:space="preserve"> non-discrimination. Furthermore, climate change and transition to low carbon economy ha</w:t>
            </w:r>
            <w:r w:rsidR="00F65FE3" w:rsidRPr="00E50FA4">
              <w:rPr>
                <w:rFonts w:ascii="Times New Roman" w:eastAsia="Times New Roman" w:hAnsi="Times New Roman"/>
                <w:noProof/>
                <w:sz w:val="24"/>
                <w:lang w:val="en-GB"/>
              </w:rPr>
              <w:t>ve</w:t>
            </w:r>
            <w:r w:rsidR="00F83F48" w:rsidRPr="00E50FA4">
              <w:rPr>
                <w:rFonts w:ascii="Times New Roman" w:eastAsia="Times New Roman" w:hAnsi="Times New Roman"/>
                <w:noProof/>
                <w:sz w:val="24"/>
                <w:lang w:val="en-GB"/>
              </w:rPr>
              <w:t xml:space="preserve"> social impact</w:t>
            </w:r>
            <w:r w:rsidR="00F65FE3" w:rsidRPr="00E50FA4">
              <w:rPr>
                <w:rFonts w:ascii="Times New Roman" w:eastAsia="Times New Roman" w:hAnsi="Times New Roman"/>
                <w:noProof/>
                <w:sz w:val="24"/>
                <w:lang w:val="en-GB"/>
              </w:rPr>
              <w:t>s</w:t>
            </w:r>
            <w:r w:rsidR="00F83F48" w:rsidRPr="00E50FA4">
              <w:rPr>
                <w:rFonts w:ascii="Times New Roman" w:eastAsia="Times New Roman" w:hAnsi="Times New Roman"/>
                <w:noProof/>
                <w:sz w:val="24"/>
                <w:lang w:val="en-GB"/>
              </w:rPr>
              <w:t xml:space="preserve"> </w:t>
            </w:r>
            <w:r w:rsidR="004C5FA1" w:rsidRPr="00E50FA4">
              <w:rPr>
                <w:rFonts w:ascii="Times New Roman" w:eastAsia="Times New Roman" w:hAnsi="Times New Roman"/>
                <w:noProof/>
                <w:sz w:val="24"/>
                <w:lang w:val="en-GB"/>
              </w:rPr>
              <w:t xml:space="preserve">that include </w:t>
            </w:r>
            <w:r w:rsidR="006F7D8E" w:rsidRPr="00E50FA4">
              <w:rPr>
                <w:rFonts w:ascii="Times New Roman" w:eastAsia="Times New Roman" w:hAnsi="Times New Roman"/>
                <w:noProof/>
                <w:sz w:val="24"/>
                <w:lang w:val="en-GB"/>
              </w:rPr>
              <w:t>changes to the job market</w:t>
            </w:r>
            <w:r w:rsidR="00C61831" w:rsidRPr="00E50FA4">
              <w:rPr>
                <w:rFonts w:ascii="Times New Roman" w:eastAsia="Times New Roman" w:hAnsi="Times New Roman"/>
                <w:noProof/>
                <w:sz w:val="24"/>
                <w:lang w:val="en-GB"/>
              </w:rPr>
              <w:t>. These include</w:t>
            </w:r>
            <w:r w:rsidR="006F7D8E" w:rsidRPr="00E50FA4">
              <w:rPr>
                <w:rFonts w:ascii="Times New Roman" w:eastAsia="Times New Roman" w:hAnsi="Times New Roman"/>
                <w:noProof/>
                <w:sz w:val="24"/>
                <w:lang w:val="en-GB"/>
              </w:rPr>
              <w:t xml:space="preserve"> the decrease </w:t>
            </w:r>
            <w:r w:rsidR="00CA2E29" w:rsidRPr="00E50FA4">
              <w:rPr>
                <w:rFonts w:ascii="Times New Roman" w:eastAsia="Times New Roman" w:hAnsi="Times New Roman"/>
                <w:noProof/>
                <w:sz w:val="24"/>
                <w:lang w:val="en-GB"/>
              </w:rPr>
              <w:t>in</w:t>
            </w:r>
            <w:r w:rsidR="006F7D8E" w:rsidRPr="00E50FA4">
              <w:rPr>
                <w:rFonts w:ascii="Times New Roman" w:eastAsia="Times New Roman" w:hAnsi="Times New Roman"/>
                <w:noProof/>
                <w:sz w:val="24"/>
                <w:lang w:val="en-GB"/>
              </w:rPr>
              <w:t xml:space="preserve"> </w:t>
            </w:r>
            <w:r w:rsidR="00CA2E29" w:rsidRPr="00E50FA4">
              <w:rPr>
                <w:rFonts w:ascii="Times New Roman" w:eastAsia="Times New Roman" w:hAnsi="Times New Roman"/>
                <w:noProof/>
                <w:sz w:val="24"/>
                <w:lang w:val="en-GB"/>
              </w:rPr>
              <w:t xml:space="preserve">the </w:t>
            </w:r>
            <w:r w:rsidR="006F7D8E" w:rsidRPr="00E50FA4">
              <w:rPr>
                <w:rFonts w:ascii="Times New Roman" w:eastAsia="Times New Roman" w:hAnsi="Times New Roman"/>
                <w:noProof/>
                <w:sz w:val="24"/>
                <w:lang w:val="en-GB"/>
              </w:rPr>
              <w:t xml:space="preserve">demand </w:t>
            </w:r>
            <w:r w:rsidR="00CA2E29" w:rsidRPr="00E50FA4">
              <w:rPr>
                <w:rFonts w:ascii="Times New Roman" w:eastAsia="Times New Roman" w:hAnsi="Times New Roman"/>
                <w:noProof/>
                <w:sz w:val="24"/>
                <w:lang w:val="en-GB"/>
              </w:rPr>
              <w:t>for</w:t>
            </w:r>
            <w:r w:rsidR="006F7D8E" w:rsidRPr="00E50FA4">
              <w:rPr>
                <w:rFonts w:ascii="Times New Roman" w:eastAsia="Times New Roman" w:hAnsi="Times New Roman"/>
                <w:noProof/>
                <w:sz w:val="24"/>
                <w:lang w:val="en-GB"/>
              </w:rPr>
              <w:t xml:space="preserve"> </w:t>
            </w:r>
            <w:r w:rsidR="00F65FE3" w:rsidRPr="00E50FA4">
              <w:rPr>
                <w:rFonts w:ascii="Times New Roman" w:eastAsia="Times New Roman" w:hAnsi="Times New Roman"/>
                <w:noProof/>
                <w:sz w:val="24"/>
                <w:lang w:val="en-GB"/>
              </w:rPr>
              <w:t xml:space="preserve">certain </w:t>
            </w:r>
            <w:r w:rsidR="00F83F48" w:rsidRPr="00E50FA4">
              <w:rPr>
                <w:rFonts w:ascii="Times New Roman" w:hAnsi="Times New Roman"/>
                <w:bCs/>
                <w:noProof/>
                <w:sz w:val="24"/>
                <w:lang w:val="en-GB"/>
              </w:rPr>
              <w:t>job</w:t>
            </w:r>
            <w:r w:rsidR="006F7D8E" w:rsidRPr="00E50FA4">
              <w:rPr>
                <w:rFonts w:ascii="Times New Roman" w:hAnsi="Times New Roman"/>
                <w:bCs/>
                <w:noProof/>
                <w:sz w:val="24"/>
                <w:lang w:val="en-GB"/>
              </w:rPr>
              <w:t>s</w:t>
            </w:r>
            <w:r w:rsidR="00F65FE3" w:rsidRPr="00E50FA4">
              <w:rPr>
                <w:rFonts w:ascii="Times New Roman" w:hAnsi="Times New Roman"/>
                <w:bCs/>
                <w:noProof/>
                <w:sz w:val="24"/>
                <w:lang w:val="en-GB"/>
              </w:rPr>
              <w:t xml:space="preserve"> and skills</w:t>
            </w:r>
            <w:r w:rsidR="00B76863" w:rsidRPr="00E50FA4">
              <w:rPr>
                <w:rFonts w:ascii="Times New Roman" w:hAnsi="Times New Roman"/>
                <w:bCs/>
                <w:noProof/>
                <w:sz w:val="24"/>
                <w:lang w:val="en-GB"/>
              </w:rPr>
              <w:t>, the</w:t>
            </w:r>
            <w:r w:rsidR="006F7D8E" w:rsidRPr="00E50FA4">
              <w:rPr>
                <w:rFonts w:ascii="Times New Roman" w:hAnsi="Times New Roman"/>
                <w:bCs/>
                <w:noProof/>
                <w:sz w:val="24"/>
                <w:lang w:val="en-GB"/>
              </w:rPr>
              <w:t xml:space="preserve"> </w:t>
            </w:r>
            <w:r w:rsidR="00F65FE3" w:rsidRPr="00E50FA4">
              <w:rPr>
                <w:rFonts w:ascii="Times New Roman" w:hAnsi="Times New Roman"/>
                <w:bCs/>
                <w:noProof/>
                <w:sz w:val="24"/>
                <w:lang w:val="en-GB"/>
              </w:rPr>
              <w:t xml:space="preserve">emergence of </w:t>
            </w:r>
            <w:r w:rsidR="00F83F48" w:rsidRPr="00E50FA4">
              <w:rPr>
                <w:rFonts w:ascii="Times New Roman" w:hAnsi="Times New Roman"/>
                <w:bCs/>
                <w:noProof/>
                <w:sz w:val="24"/>
                <w:lang w:val="en-GB"/>
              </w:rPr>
              <w:t xml:space="preserve">new </w:t>
            </w:r>
            <w:r w:rsidR="00F65FE3" w:rsidRPr="00E50FA4">
              <w:rPr>
                <w:rFonts w:ascii="Times New Roman" w:hAnsi="Times New Roman"/>
                <w:bCs/>
                <w:noProof/>
                <w:sz w:val="24"/>
                <w:lang w:val="en-GB"/>
              </w:rPr>
              <w:t xml:space="preserve">jobs and </w:t>
            </w:r>
            <w:r w:rsidR="00F83F48" w:rsidRPr="00E50FA4">
              <w:rPr>
                <w:rFonts w:ascii="Times New Roman" w:hAnsi="Times New Roman"/>
                <w:bCs/>
                <w:noProof/>
                <w:sz w:val="24"/>
                <w:lang w:val="en-GB"/>
              </w:rPr>
              <w:t>skills, consumers’ changing preferences</w:t>
            </w:r>
            <w:r w:rsidR="006F7D8E" w:rsidRPr="00E50FA4">
              <w:rPr>
                <w:rFonts w:ascii="Times New Roman" w:hAnsi="Times New Roman"/>
                <w:bCs/>
                <w:noProof/>
                <w:sz w:val="24"/>
                <w:lang w:val="en-GB"/>
              </w:rPr>
              <w:t>,</w:t>
            </w:r>
            <w:r w:rsidR="00F83F48" w:rsidRPr="00E50FA4">
              <w:rPr>
                <w:rFonts w:ascii="Times New Roman" w:hAnsi="Times New Roman"/>
                <w:bCs/>
                <w:noProof/>
                <w:sz w:val="24"/>
                <w:lang w:val="en-GB"/>
              </w:rPr>
              <w:t xml:space="preserve"> shareholders</w:t>
            </w:r>
            <w:r w:rsidR="006F7D8E" w:rsidRPr="00E50FA4">
              <w:rPr>
                <w:rFonts w:ascii="Times New Roman" w:hAnsi="Times New Roman"/>
                <w:bCs/>
                <w:noProof/>
                <w:sz w:val="24"/>
                <w:lang w:val="en-GB"/>
              </w:rPr>
              <w:t xml:space="preserve">’ </w:t>
            </w:r>
            <w:r w:rsidR="00C61831" w:rsidRPr="00E50FA4">
              <w:rPr>
                <w:rFonts w:ascii="Times New Roman" w:hAnsi="Times New Roman"/>
                <w:bCs/>
                <w:noProof/>
                <w:sz w:val="24"/>
                <w:lang w:val="en-GB"/>
              </w:rPr>
              <w:t>willingness</w:t>
            </w:r>
            <w:r w:rsidR="00F83F48" w:rsidRPr="00E50FA4">
              <w:rPr>
                <w:rFonts w:ascii="Times New Roman" w:hAnsi="Times New Roman"/>
                <w:bCs/>
                <w:noProof/>
                <w:sz w:val="24"/>
                <w:lang w:val="en-GB"/>
              </w:rPr>
              <w:t xml:space="preserve"> </w:t>
            </w:r>
            <w:r w:rsidR="00C61831" w:rsidRPr="00E50FA4">
              <w:rPr>
                <w:rFonts w:ascii="Times New Roman" w:hAnsi="Times New Roman"/>
                <w:bCs/>
                <w:noProof/>
                <w:sz w:val="24"/>
                <w:lang w:val="en-GB"/>
              </w:rPr>
              <w:t xml:space="preserve">to swiftly integrate </w:t>
            </w:r>
            <w:r w:rsidR="00F83F48" w:rsidRPr="00E50FA4">
              <w:rPr>
                <w:rFonts w:ascii="Times New Roman" w:hAnsi="Times New Roman"/>
                <w:bCs/>
                <w:noProof/>
                <w:sz w:val="24"/>
                <w:lang w:val="en-GB"/>
              </w:rPr>
              <w:t>climate, environmental and social change</w:t>
            </w:r>
            <w:r w:rsidR="006F7D8E" w:rsidRPr="00E50FA4">
              <w:rPr>
                <w:rFonts w:ascii="Times New Roman" w:hAnsi="Times New Roman"/>
                <w:bCs/>
                <w:noProof/>
                <w:sz w:val="24"/>
                <w:lang w:val="en-GB"/>
              </w:rPr>
              <w:t>s in their companies</w:t>
            </w:r>
            <w:r w:rsidR="00F65FE3" w:rsidRPr="00E50FA4">
              <w:rPr>
                <w:rFonts w:ascii="Times New Roman" w:hAnsi="Times New Roman"/>
                <w:bCs/>
                <w:noProof/>
                <w:sz w:val="24"/>
                <w:lang w:val="en-GB"/>
              </w:rPr>
              <w:t xml:space="preserve">, as </w:t>
            </w:r>
            <w:r w:rsidR="00C767CD" w:rsidRPr="00E50FA4">
              <w:rPr>
                <w:rFonts w:ascii="Times New Roman" w:hAnsi="Times New Roman"/>
                <w:bCs/>
                <w:noProof/>
                <w:sz w:val="24"/>
                <w:lang w:val="en-GB"/>
              </w:rPr>
              <w:t xml:space="preserve">set out </w:t>
            </w:r>
            <w:r w:rsidR="00F65FE3" w:rsidRPr="00E50FA4">
              <w:rPr>
                <w:rFonts w:ascii="Times New Roman" w:hAnsi="Times New Roman"/>
                <w:bCs/>
                <w:noProof/>
                <w:sz w:val="24"/>
                <w:lang w:val="en-GB"/>
              </w:rPr>
              <w:t xml:space="preserve">in paragraph 78 of the EBA report </w:t>
            </w:r>
            <w:r w:rsidRPr="00E50FA4">
              <w:rPr>
                <w:rFonts w:ascii="Times New Roman" w:hAnsi="Times New Roman"/>
                <w:bCs/>
                <w:noProof/>
                <w:sz w:val="24"/>
                <w:lang w:val="en-GB"/>
              </w:rPr>
              <w:t xml:space="preserve">adopted </w:t>
            </w:r>
            <w:r w:rsidR="00F65FE3" w:rsidRPr="00E50FA4">
              <w:rPr>
                <w:rFonts w:ascii="Times New Roman" w:hAnsi="Times New Roman"/>
                <w:bCs/>
                <w:noProof/>
                <w:sz w:val="24"/>
                <w:lang w:val="en-GB"/>
              </w:rPr>
              <w:t>under Article 98(8)</w:t>
            </w:r>
            <w:r w:rsidRPr="00E50FA4">
              <w:rPr>
                <w:rFonts w:ascii="Times New Roman" w:hAnsi="Times New Roman"/>
                <w:bCs/>
                <w:noProof/>
                <w:sz w:val="24"/>
                <w:lang w:val="en-GB"/>
              </w:rPr>
              <w:t xml:space="preserve"> of Directive 2013/36/EU</w:t>
            </w:r>
            <w:r w:rsidR="00F65FE3" w:rsidRPr="00E50FA4">
              <w:rPr>
                <w:rFonts w:ascii="Times New Roman" w:hAnsi="Times New Roman"/>
                <w:bCs/>
                <w:noProof/>
                <w:sz w:val="24"/>
                <w:lang w:val="en-GB"/>
              </w:rPr>
              <w:t>.</w:t>
            </w:r>
          </w:p>
        </w:tc>
      </w:tr>
      <w:tr w:rsidR="00085BAF" w:rsidRPr="00E50FA4" w14:paraId="1C55218A" w14:textId="77777777" w:rsidTr="00453CE1">
        <w:trPr>
          <w:trHeight w:val="316"/>
        </w:trPr>
        <w:tc>
          <w:tcPr>
            <w:tcW w:w="1384" w:type="dxa"/>
          </w:tcPr>
          <w:p w14:paraId="14DE24F7" w14:textId="77777777" w:rsidR="00085BAF" w:rsidRPr="00E50FA4" w:rsidRDefault="00085BAF" w:rsidP="00085BAF">
            <w:pPr>
              <w:autoSpaceDE w:val="0"/>
              <w:autoSpaceDN w:val="0"/>
              <w:adjustRightInd w:val="0"/>
              <w:jc w:val="both"/>
              <w:rPr>
                <w:rFonts w:ascii="Times New Roman" w:eastAsia="Times New Roman" w:hAnsi="Times New Roman" w:cs="Times New Roman"/>
                <w:noProof/>
                <w:sz w:val="24"/>
                <w:lang w:val="en-GB"/>
              </w:rPr>
            </w:pPr>
            <w:r w:rsidRPr="00E50FA4">
              <w:rPr>
                <w:noProof/>
                <w:lang w:val="en-GB"/>
              </w:rPr>
              <w:t>(c)</w:t>
            </w:r>
          </w:p>
        </w:tc>
        <w:tc>
          <w:tcPr>
            <w:tcW w:w="7655" w:type="dxa"/>
          </w:tcPr>
          <w:p w14:paraId="293CCB6F" w14:textId="0B00FDC1" w:rsidR="00085BAF" w:rsidRPr="00E50FA4" w:rsidRDefault="00085BAF" w:rsidP="00EF039B">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 accordance with Article 449a </w:t>
            </w:r>
            <w:r w:rsidR="00E97F6F" w:rsidRPr="00E50FA4">
              <w:rPr>
                <w:rFonts w:ascii="Times New Roman" w:hAnsi="Times New Roman" w:cs="Times New Roman"/>
                <w:noProof/>
                <w:sz w:val="24"/>
                <w:lang w:val="en-GB"/>
              </w:rPr>
              <w:t xml:space="preserve">Regulation (EU) No 575/2013, </w:t>
            </w:r>
            <w:r w:rsidRPr="00E50FA4">
              <w:rPr>
                <w:rFonts w:ascii="Times New Roman" w:hAnsi="Times New Roman" w:cs="Times New Roman"/>
                <w:noProof/>
                <w:sz w:val="24"/>
                <w:lang w:val="en-GB"/>
              </w:rPr>
              <w:t>in conjunction with Article 435(1), point (d)</w:t>
            </w:r>
            <w:r w:rsidR="00233F87" w:rsidRPr="00E50FA4">
              <w:rPr>
                <w:rFonts w:ascii="Times New Roman" w:hAnsi="Times New Roman" w:cs="Times New Roman"/>
                <w:noProof/>
                <w:sz w:val="24"/>
                <w:lang w:val="en-GB"/>
              </w:rPr>
              <w:t>, of</w:t>
            </w:r>
            <w:r w:rsidRPr="00E50FA4">
              <w:rPr>
                <w:rFonts w:ascii="Times New Roman" w:hAnsi="Times New Roman" w:cs="Times New Roman"/>
                <w:noProof/>
                <w:sz w:val="24"/>
                <w:lang w:val="en-GB"/>
              </w:rPr>
              <w:t xml:space="preserve"> </w:t>
            </w:r>
            <w:r w:rsidR="00E97F6F" w:rsidRPr="00E50FA4">
              <w:rPr>
                <w:rFonts w:ascii="Times New Roman" w:hAnsi="Times New Roman" w:cs="Times New Roman"/>
                <w:noProof/>
                <w:sz w:val="24"/>
                <w:lang w:val="en-GB"/>
              </w:rPr>
              <w:t xml:space="preserve">that </w:t>
            </w:r>
            <w:r w:rsidR="007F40F6" w:rsidRPr="00E50FA4">
              <w:rPr>
                <w:rFonts w:ascii="Times New Roman" w:hAnsi="Times New Roman" w:cs="Times New Roman"/>
                <w:noProof/>
                <w:sz w:val="24"/>
                <w:lang w:val="en-GB"/>
              </w:rPr>
              <w:t>Regulation</w:t>
            </w:r>
            <w:r w:rsidRPr="00E50FA4">
              <w:rPr>
                <w:rFonts w:ascii="Times New Roman" w:hAnsi="Times New Roman" w:cs="Times New Roman"/>
                <w:noProof/>
                <w:sz w:val="24"/>
                <w:lang w:val="en-GB"/>
              </w:rPr>
              <w:t xml:space="preserve">, </w:t>
            </w:r>
            <w:r w:rsidR="00C767CD" w:rsidRPr="00E50FA4">
              <w:rPr>
                <w:rFonts w:ascii="Times New Roman" w:hAnsi="Times New Roman" w:cs="Times New Roman"/>
                <w:noProof/>
                <w:sz w:val="24"/>
                <w:lang w:val="en-GB"/>
              </w:rPr>
              <w:t xml:space="preserve">institutions shall </w:t>
            </w:r>
            <w:r w:rsidR="006A2CA7" w:rsidRPr="00E50FA4">
              <w:rPr>
                <w:rFonts w:ascii="Times New Roman" w:hAnsi="Times New Roman" w:cs="Times New Roman"/>
                <w:noProof/>
                <w:sz w:val="24"/>
                <w:lang w:val="en-GB"/>
              </w:rPr>
              <w:t>describe</w:t>
            </w:r>
            <w:r w:rsidR="009620B8"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 xml:space="preserve">how </w:t>
            </w:r>
            <w:r w:rsidR="00BB7AAE" w:rsidRPr="00E50FA4">
              <w:rPr>
                <w:rFonts w:ascii="Times New Roman" w:hAnsi="Times New Roman" w:cs="Times New Roman"/>
                <w:noProof/>
                <w:sz w:val="24"/>
                <w:lang w:val="en-GB"/>
              </w:rPr>
              <w:t>the</w:t>
            </w:r>
            <w:r w:rsidR="00C767CD" w:rsidRPr="00E50FA4">
              <w:rPr>
                <w:rFonts w:ascii="Times New Roman" w:hAnsi="Times New Roman" w:cs="Times New Roman"/>
                <w:noProof/>
                <w:sz w:val="24"/>
                <w:lang w:val="en-GB"/>
              </w:rPr>
              <w:t>y</w:t>
            </w:r>
            <w:r w:rsidR="009620B8"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take measures to mitigate risks associated with social factors, including understanding the counterpart</w:t>
            </w:r>
            <w:r w:rsidR="00EF039B" w:rsidRPr="00E50FA4">
              <w:rPr>
                <w:rFonts w:ascii="Times New Roman" w:hAnsi="Times New Roman" w:cs="Times New Roman"/>
                <w:noProof/>
                <w:sz w:val="24"/>
                <w:lang w:val="en-GB"/>
              </w:rPr>
              <w:t>ies’</w:t>
            </w:r>
            <w:r w:rsidRPr="00E50FA4">
              <w:rPr>
                <w:rFonts w:ascii="Times New Roman" w:hAnsi="Times New Roman" w:cs="Times New Roman"/>
                <w:noProof/>
                <w:sz w:val="24"/>
                <w:lang w:val="en-GB"/>
              </w:rPr>
              <w:t xml:space="preserve"> capacity to manage social risks and entering into a dialogue with them to mitigate social risks.</w:t>
            </w:r>
          </w:p>
        </w:tc>
      </w:tr>
      <w:tr w:rsidR="00085BAF" w:rsidRPr="00E50FA4" w14:paraId="4DBB0E13" w14:textId="77777777" w:rsidTr="00453CE1">
        <w:trPr>
          <w:trHeight w:val="547"/>
        </w:trPr>
        <w:tc>
          <w:tcPr>
            <w:tcW w:w="1384" w:type="dxa"/>
            <w:shd w:val="clear" w:color="auto" w:fill="D9D9D9" w:themeFill="background1" w:themeFillShade="D9"/>
          </w:tcPr>
          <w:p w14:paraId="08F4782A" w14:textId="77777777" w:rsidR="00085BAF" w:rsidRPr="00E50FA4" w:rsidRDefault="00085BAF" w:rsidP="00085BAF">
            <w:pPr>
              <w:autoSpaceDE w:val="0"/>
              <w:autoSpaceDN w:val="0"/>
              <w:adjustRightInd w:val="0"/>
              <w:jc w:val="both"/>
              <w:rPr>
                <w:rFonts w:ascii="Times New Roman" w:hAnsi="Times New Roman" w:cs="Times New Roman"/>
                <w:b/>
                <w:noProof/>
                <w:sz w:val="24"/>
                <w:lang w:val="en-GB"/>
              </w:rPr>
            </w:pPr>
          </w:p>
        </w:tc>
        <w:tc>
          <w:tcPr>
            <w:tcW w:w="7655" w:type="dxa"/>
            <w:shd w:val="clear" w:color="auto" w:fill="D9D9D9" w:themeFill="background1" w:themeFillShade="D9"/>
          </w:tcPr>
          <w:p w14:paraId="25B28C3F" w14:textId="77777777" w:rsidR="00085BAF" w:rsidRPr="00E50FA4" w:rsidRDefault="00085BAF" w:rsidP="00085BAF">
            <w:pPr>
              <w:autoSpaceDE w:val="0"/>
              <w:autoSpaceDN w:val="0"/>
              <w:adjustRightInd w:val="0"/>
              <w:jc w:val="both"/>
              <w:rPr>
                <w:rFonts w:ascii="Times New Roman" w:hAnsi="Times New Roman" w:cs="Times New Roman"/>
                <w:b/>
                <w:noProof/>
                <w:sz w:val="24"/>
                <w:lang w:val="en-GB"/>
              </w:rPr>
            </w:pPr>
            <w:r w:rsidRPr="00E50FA4">
              <w:rPr>
                <w:rFonts w:ascii="Times New Roman" w:hAnsi="Times New Roman" w:cs="Times New Roman"/>
                <w:b/>
                <w:noProof/>
                <w:sz w:val="24"/>
                <w:lang w:val="en-GB"/>
              </w:rPr>
              <w:t>Governance</w:t>
            </w:r>
          </w:p>
        </w:tc>
      </w:tr>
      <w:tr w:rsidR="00085BAF" w:rsidRPr="00E50FA4" w14:paraId="77513A85" w14:textId="77777777" w:rsidTr="00453CE1">
        <w:trPr>
          <w:trHeight w:val="316"/>
        </w:trPr>
        <w:tc>
          <w:tcPr>
            <w:tcW w:w="1384" w:type="dxa"/>
          </w:tcPr>
          <w:p w14:paraId="1C17C9CB" w14:textId="77777777" w:rsidR="00085BAF" w:rsidRPr="00E50FA4" w:rsidRDefault="00085BAF" w:rsidP="00085BAF">
            <w:pPr>
              <w:autoSpaceDE w:val="0"/>
              <w:autoSpaceDN w:val="0"/>
              <w:adjustRightInd w:val="0"/>
              <w:jc w:val="both"/>
              <w:rPr>
                <w:rFonts w:ascii="Times New Roman" w:eastAsia="Times New Roman" w:hAnsi="Times New Roman" w:cs="Times New Roman"/>
                <w:noProof/>
                <w:sz w:val="24"/>
                <w:lang w:val="en-GB"/>
              </w:rPr>
            </w:pPr>
            <w:r w:rsidRPr="00E50FA4">
              <w:rPr>
                <w:noProof/>
                <w:lang w:val="en-GB"/>
              </w:rPr>
              <w:t>(d)</w:t>
            </w:r>
          </w:p>
        </w:tc>
        <w:tc>
          <w:tcPr>
            <w:tcW w:w="7655" w:type="dxa"/>
          </w:tcPr>
          <w:p w14:paraId="57A530E2" w14:textId="0579C670" w:rsidR="00085BAF" w:rsidRPr="00E50FA4" w:rsidRDefault="00085BAF" w:rsidP="000478D0">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In accordance with Article 449a</w:t>
            </w:r>
            <w:r w:rsidR="00233F87" w:rsidRPr="00E50FA4">
              <w:rPr>
                <w:rFonts w:ascii="Times New Roman" w:hAnsi="Times New Roman" w:cs="Times New Roman"/>
                <w:noProof/>
                <w:sz w:val="24"/>
                <w:lang w:val="en-GB"/>
              </w:rPr>
              <w:t xml:space="preserve"> of Regulation (EU) No 575/2013</w:t>
            </w:r>
            <w:r w:rsidR="00750F68"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in conjunction </w:t>
            </w:r>
            <w:r w:rsidR="002D17E9" w:rsidRPr="00E50FA4">
              <w:rPr>
                <w:rFonts w:ascii="Times New Roman" w:hAnsi="Times New Roman" w:cs="Times New Roman"/>
                <w:noProof/>
                <w:sz w:val="24"/>
                <w:lang w:val="en-GB"/>
              </w:rPr>
              <w:t xml:space="preserve">with </w:t>
            </w:r>
            <w:r w:rsidRPr="00E50FA4">
              <w:rPr>
                <w:rFonts w:ascii="Times New Roman" w:hAnsi="Times New Roman" w:cs="Times New Roman"/>
                <w:noProof/>
                <w:sz w:val="24"/>
                <w:lang w:val="en-GB"/>
              </w:rPr>
              <w:t>Article 435(1), point (b)</w:t>
            </w:r>
            <w:r w:rsidR="00233F87"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and Article 435(2), points (a)</w:t>
            </w:r>
            <w:r w:rsidR="000478D0" w:rsidRPr="00E50FA4">
              <w:rPr>
                <w:rFonts w:ascii="Times New Roman" w:hAnsi="Times New Roman" w:cs="Times New Roman"/>
                <w:noProof/>
                <w:sz w:val="24"/>
                <w:lang w:val="en-GB"/>
              </w:rPr>
              <w:t>, (b) and (c)</w:t>
            </w:r>
            <w:r w:rsidR="00233F87" w:rsidRPr="00E50FA4">
              <w:rPr>
                <w:rFonts w:ascii="Times New Roman" w:hAnsi="Times New Roman" w:cs="Times New Roman"/>
                <w:noProof/>
                <w:sz w:val="24"/>
                <w:lang w:val="en-GB"/>
              </w:rPr>
              <w:t>, of that Regulation</w:t>
            </w:r>
            <w:r w:rsidRPr="00E50FA4">
              <w:rPr>
                <w:rFonts w:ascii="Times New Roman" w:hAnsi="Times New Roman" w:cs="Times New Roman"/>
                <w:noProof/>
                <w:sz w:val="24"/>
                <w:lang w:val="en-GB"/>
              </w:rPr>
              <w:t xml:space="preserve">, </w:t>
            </w:r>
            <w:r w:rsidR="00C767CD" w:rsidRPr="00E50FA4">
              <w:rPr>
                <w:rFonts w:ascii="Times New Roman" w:hAnsi="Times New Roman" w:cs="Times New Roman"/>
                <w:noProof/>
                <w:sz w:val="24"/>
                <w:lang w:val="en-GB"/>
              </w:rPr>
              <w:t xml:space="preserve">institutions shall </w:t>
            </w:r>
            <w:r w:rsidR="006A2CA7" w:rsidRPr="00E50FA4">
              <w:rPr>
                <w:rFonts w:ascii="Times New Roman" w:hAnsi="Times New Roman" w:cs="Times New Roman"/>
                <w:noProof/>
                <w:sz w:val="24"/>
                <w:lang w:val="en-GB"/>
              </w:rPr>
              <w:t xml:space="preserve">describe </w:t>
            </w:r>
            <w:r w:rsidRPr="00E50FA4">
              <w:rPr>
                <w:rFonts w:ascii="Times New Roman" w:hAnsi="Times New Roman" w:cs="Times New Roman"/>
                <w:noProof/>
                <w:sz w:val="24"/>
                <w:lang w:val="en-GB"/>
              </w:rPr>
              <w:t xml:space="preserve">how </w:t>
            </w:r>
            <w:r w:rsidR="00B76863" w:rsidRPr="00E50FA4">
              <w:rPr>
                <w:rFonts w:ascii="Times New Roman" w:hAnsi="Times New Roman" w:cs="Times New Roman"/>
                <w:noProof/>
                <w:sz w:val="24"/>
                <w:lang w:val="en-GB"/>
              </w:rPr>
              <w:t>their management</w:t>
            </w:r>
            <w:r w:rsidRPr="00E50FA4">
              <w:rPr>
                <w:rFonts w:ascii="Times New Roman" w:hAnsi="Times New Roman" w:cs="Times New Roman"/>
                <w:noProof/>
                <w:sz w:val="24"/>
                <w:lang w:val="en-GB"/>
              </w:rPr>
              <w:t xml:space="preserve"> body is involved in the supervision and management of social risks</w:t>
            </w:r>
            <w:r w:rsidR="00750F68" w:rsidRPr="00E50FA4">
              <w:rPr>
                <w:rFonts w:ascii="Times New Roman" w:hAnsi="Times New Roman" w:cs="Times New Roman"/>
                <w:noProof/>
                <w:sz w:val="24"/>
                <w:lang w:val="en-GB"/>
              </w:rPr>
              <w:t>. Th</w:t>
            </w:r>
            <w:r w:rsidR="000478D0" w:rsidRPr="00E50FA4">
              <w:rPr>
                <w:rFonts w:ascii="Times New Roman" w:hAnsi="Times New Roman" w:cs="Times New Roman"/>
                <w:noProof/>
                <w:sz w:val="24"/>
                <w:lang w:val="en-GB"/>
              </w:rPr>
              <w:t>at</w:t>
            </w:r>
            <w:r w:rsidR="00750F68" w:rsidRPr="00E50FA4">
              <w:rPr>
                <w:rFonts w:ascii="Times New Roman" w:hAnsi="Times New Roman" w:cs="Times New Roman"/>
                <w:noProof/>
                <w:sz w:val="24"/>
                <w:lang w:val="en-GB"/>
              </w:rPr>
              <w:t xml:space="preserve"> information shall cover </w:t>
            </w:r>
            <w:r w:rsidRPr="00E50FA4">
              <w:rPr>
                <w:rFonts w:ascii="Times New Roman" w:hAnsi="Times New Roman" w:cs="Times New Roman"/>
                <w:noProof/>
                <w:sz w:val="24"/>
                <w:lang w:val="en-GB"/>
              </w:rPr>
              <w:t xml:space="preserve">the rationale </w:t>
            </w:r>
            <w:r w:rsidR="00750F68" w:rsidRPr="00E50FA4">
              <w:rPr>
                <w:rFonts w:ascii="Times New Roman" w:hAnsi="Times New Roman" w:cs="Times New Roman"/>
                <w:noProof/>
                <w:sz w:val="24"/>
                <w:lang w:val="en-GB"/>
              </w:rPr>
              <w:t xml:space="preserve">of the approach taken by the management body and take </w:t>
            </w:r>
            <w:r w:rsidRPr="00E50FA4">
              <w:rPr>
                <w:rFonts w:ascii="Times New Roman" w:hAnsi="Times New Roman" w:cs="Times New Roman"/>
                <w:noProof/>
                <w:sz w:val="24"/>
                <w:lang w:val="en-GB"/>
              </w:rPr>
              <w:t>into account a number of social factors</w:t>
            </w:r>
            <w:r w:rsidR="00750F68" w:rsidRPr="00E50FA4">
              <w:rPr>
                <w:rFonts w:ascii="Times New Roman" w:hAnsi="Times New Roman" w:cs="Times New Roman"/>
                <w:noProof/>
                <w:sz w:val="24"/>
                <w:lang w:val="en-GB"/>
              </w:rPr>
              <w:t>. Th</w:t>
            </w:r>
            <w:r w:rsidR="000478D0" w:rsidRPr="00E50FA4">
              <w:rPr>
                <w:rFonts w:ascii="Times New Roman" w:hAnsi="Times New Roman" w:cs="Times New Roman"/>
                <w:noProof/>
                <w:sz w:val="24"/>
                <w:lang w:val="en-GB"/>
              </w:rPr>
              <w:t>o</w:t>
            </w:r>
            <w:r w:rsidR="00750F68" w:rsidRPr="00E50FA4">
              <w:rPr>
                <w:rFonts w:ascii="Times New Roman" w:hAnsi="Times New Roman" w:cs="Times New Roman"/>
                <w:noProof/>
                <w:sz w:val="24"/>
                <w:lang w:val="en-GB"/>
              </w:rPr>
              <w:t>se factors include</w:t>
            </w:r>
            <w:r w:rsidRPr="00E50FA4">
              <w:rPr>
                <w:rFonts w:ascii="Times New Roman" w:hAnsi="Times New Roman" w:cs="Times New Roman"/>
                <w:noProof/>
                <w:sz w:val="24"/>
                <w:lang w:val="en-GB"/>
              </w:rPr>
              <w:t xml:space="preserve"> </w:t>
            </w:r>
            <w:r w:rsidR="006A2CA7" w:rsidRPr="00E50FA4">
              <w:rPr>
                <w:rFonts w:ascii="Times New Roman" w:hAnsi="Times New Roman" w:cs="Times New Roman"/>
                <w:noProof/>
                <w:sz w:val="24"/>
                <w:lang w:val="en-GB"/>
              </w:rPr>
              <w:t xml:space="preserve">the institution’s engagement </w:t>
            </w:r>
            <w:r w:rsidRPr="00E50FA4">
              <w:rPr>
                <w:rFonts w:ascii="Times New Roman" w:hAnsi="Times New Roman" w:cs="Times New Roman"/>
                <w:noProof/>
                <w:sz w:val="24"/>
                <w:lang w:val="en-GB"/>
              </w:rPr>
              <w:t xml:space="preserve">towards the community and society, </w:t>
            </w:r>
            <w:r w:rsidR="006A2CA7" w:rsidRPr="00E50FA4">
              <w:rPr>
                <w:rFonts w:ascii="Times New Roman" w:hAnsi="Times New Roman" w:cs="Times New Roman"/>
                <w:noProof/>
                <w:sz w:val="24"/>
                <w:lang w:val="en-GB"/>
              </w:rPr>
              <w:t xml:space="preserve">its </w:t>
            </w:r>
            <w:r w:rsidRPr="00E50FA4">
              <w:rPr>
                <w:rFonts w:ascii="Times New Roman" w:hAnsi="Times New Roman" w:cs="Times New Roman"/>
                <w:noProof/>
                <w:sz w:val="24"/>
                <w:lang w:val="en-GB"/>
              </w:rPr>
              <w:t xml:space="preserve">relationships </w:t>
            </w:r>
            <w:r w:rsidR="006A2CA7" w:rsidRPr="00E50FA4">
              <w:rPr>
                <w:rFonts w:ascii="Times New Roman" w:hAnsi="Times New Roman" w:cs="Times New Roman"/>
                <w:noProof/>
                <w:sz w:val="24"/>
                <w:lang w:val="en-GB"/>
              </w:rPr>
              <w:t xml:space="preserve">with employees and compliance with </w:t>
            </w:r>
            <w:r w:rsidRPr="00E50FA4">
              <w:rPr>
                <w:rFonts w:ascii="Times New Roman" w:hAnsi="Times New Roman" w:cs="Times New Roman"/>
                <w:noProof/>
                <w:sz w:val="24"/>
                <w:lang w:val="en-GB"/>
              </w:rPr>
              <w:t xml:space="preserve">labour standards, customer protection and product responsibility, </w:t>
            </w:r>
            <w:r w:rsidR="006A2CA7" w:rsidRPr="00E50FA4">
              <w:rPr>
                <w:rFonts w:ascii="Times New Roman" w:hAnsi="Times New Roman" w:cs="Times New Roman"/>
                <w:noProof/>
                <w:sz w:val="24"/>
                <w:lang w:val="en-GB"/>
              </w:rPr>
              <w:t xml:space="preserve">and </w:t>
            </w:r>
            <w:r w:rsidRPr="00E50FA4">
              <w:rPr>
                <w:rFonts w:ascii="Times New Roman" w:hAnsi="Times New Roman" w:cs="Times New Roman"/>
                <w:noProof/>
                <w:sz w:val="24"/>
                <w:lang w:val="en-GB"/>
              </w:rPr>
              <w:t>human rights.</w:t>
            </w:r>
          </w:p>
        </w:tc>
      </w:tr>
      <w:tr w:rsidR="00085BAF" w:rsidRPr="00E50FA4" w14:paraId="07A56FC0" w14:textId="77777777" w:rsidTr="00453CE1">
        <w:trPr>
          <w:trHeight w:val="316"/>
        </w:trPr>
        <w:tc>
          <w:tcPr>
            <w:tcW w:w="1384" w:type="dxa"/>
          </w:tcPr>
          <w:p w14:paraId="023EFA27" w14:textId="77777777" w:rsidR="00085BAF" w:rsidRPr="00E50FA4" w:rsidRDefault="00085BAF" w:rsidP="00085BAF">
            <w:pPr>
              <w:autoSpaceDE w:val="0"/>
              <w:autoSpaceDN w:val="0"/>
              <w:adjustRightInd w:val="0"/>
              <w:jc w:val="both"/>
              <w:rPr>
                <w:rFonts w:ascii="Times New Roman" w:eastAsia="Times New Roman" w:hAnsi="Times New Roman" w:cs="Times New Roman"/>
                <w:noProof/>
                <w:sz w:val="24"/>
                <w:lang w:val="en-GB"/>
              </w:rPr>
            </w:pPr>
            <w:r w:rsidRPr="00E50FA4">
              <w:rPr>
                <w:noProof/>
                <w:lang w:val="en-GB"/>
              </w:rPr>
              <w:t>(e)</w:t>
            </w:r>
          </w:p>
        </w:tc>
        <w:tc>
          <w:tcPr>
            <w:tcW w:w="7655" w:type="dxa"/>
          </w:tcPr>
          <w:p w14:paraId="450F6B21" w14:textId="47ADBE3C" w:rsidR="00085BAF" w:rsidRPr="00E50FA4" w:rsidRDefault="00085BAF" w:rsidP="00085BAF">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In accordance with Article 449a</w:t>
            </w:r>
            <w:r w:rsidR="00233F87" w:rsidRPr="00E50FA4">
              <w:rPr>
                <w:rFonts w:ascii="Times New Roman" w:hAnsi="Times New Roman" w:cs="Times New Roman"/>
                <w:noProof/>
                <w:sz w:val="24"/>
                <w:lang w:val="en-GB"/>
              </w:rPr>
              <w:t xml:space="preserve"> of Regulation (EU) No 575/2013</w:t>
            </w:r>
            <w:r w:rsidR="00270B8C"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in conjunction with Article 435(2), points (a), (b)</w:t>
            </w:r>
            <w:r w:rsidR="0042717D" w:rsidRPr="00E50FA4">
              <w:rPr>
                <w:rFonts w:ascii="Times New Roman" w:hAnsi="Times New Roman" w:cs="Times New Roman"/>
                <w:noProof/>
                <w:sz w:val="24"/>
                <w:lang w:val="en-GB"/>
              </w:rPr>
              <w:t xml:space="preserve"> and</w:t>
            </w:r>
            <w:r w:rsidRPr="00E50FA4">
              <w:rPr>
                <w:rFonts w:ascii="Times New Roman" w:hAnsi="Times New Roman" w:cs="Times New Roman"/>
                <w:noProof/>
                <w:sz w:val="24"/>
                <w:lang w:val="en-GB"/>
              </w:rPr>
              <w:t xml:space="preserve"> (c)</w:t>
            </w:r>
            <w:r w:rsidR="00233F87" w:rsidRPr="00E50FA4">
              <w:rPr>
                <w:rFonts w:ascii="Times New Roman" w:hAnsi="Times New Roman" w:cs="Times New Roman"/>
                <w:noProof/>
                <w:sz w:val="24"/>
                <w:lang w:val="en-GB"/>
              </w:rPr>
              <w:t>, of that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Regulation</w:t>
            </w:r>
            <w:r w:rsidRPr="00E50FA4">
              <w:rPr>
                <w:rFonts w:ascii="Times New Roman" w:hAnsi="Times New Roman" w:cs="Times New Roman"/>
                <w:noProof/>
                <w:sz w:val="24"/>
                <w:lang w:val="en-GB"/>
              </w:rPr>
              <w:t xml:space="preserve">, </w:t>
            </w:r>
            <w:r w:rsidR="00C767CD" w:rsidRPr="00E50FA4">
              <w:rPr>
                <w:rFonts w:ascii="Times New Roman" w:hAnsi="Times New Roman" w:cs="Times New Roman"/>
                <w:noProof/>
                <w:sz w:val="24"/>
                <w:lang w:val="en-GB"/>
              </w:rPr>
              <w:t xml:space="preserve">institutions shall </w:t>
            </w:r>
            <w:r w:rsidR="00B76863" w:rsidRPr="00E50FA4">
              <w:rPr>
                <w:rFonts w:ascii="Times New Roman" w:hAnsi="Times New Roman" w:cs="Times New Roman"/>
                <w:noProof/>
                <w:sz w:val="24"/>
                <w:lang w:val="en-GB"/>
              </w:rPr>
              <w:t>describe how</w:t>
            </w:r>
            <w:r w:rsidRPr="00E50FA4">
              <w:rPr>
                <w:rFonts w:ascii="Times New Roman" w:hAnsi="Times New Roman" w:cs="Times New Roman"/>
                <w:noProof/>
                <w:sz w:val="24"/>
                <w:lang w:val="en-GB"/>
              </w:rPr>
              <w:t xml:space="preserve"> </w:t>
            </w:r>
            <w:r w:rsidR="00BB7AAE" w:rsidRPr="00E50FA4">
              <w:rPr>
                <w:rFonts w:ascii="Times New Roman" w:hAnsi="Times New Roman" w:cs="Times New Roman"/>
                <w:noProof/>
                <w:sz w:val="24"/>
                <w:lang w:val="en-GB"/>
              </w:rPr>
              <w:t>the</w:t>
            </w:r>
            <w:r w:rsidR="00C767CD" w:rsidRPr="00E50FA4">
              <w:rPr>
                <w:rFonts w:ascii="Times New Roman" w:hAnsi="Times New Roman" w:cs="Times New Roman"/>
                <w:noProof/>
                <w:sz w:val="24"/>
                <w:lang w:val="en-GB"/>
              </w:rPr>
              <w:t>y</w:t>
            </w:r>
            <w:r w:rsidR="009620B8"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 xml:space="preserve">organise </w:t>
            </w:r>
            <w:r w:rsidR="00270B8C" w:rsidRPr="00E50FA4">
              <w:rPr>
                <w:rFonts w:ascii="Times New Roman" w:hAnsi="Times New Roman" w:cs="Times New Roman"/>
                <w:noProof/>
                <w:sz w:val="24"/>
                <w:lang w:val="en-GB"/>
              </w:rPr>
              <w:t xml:space="preserve">their </w:t>
            </w:r>
            <w:r w:rsidRPr="00E50FA4">
              <w:rPr>
                <w:rFonts w:ascii="Times New Roman" w:hAnsi="Times New Roman" w:cs="Times New Roman"/>
                <w:noProof/>
                <w:sz w:val="24"/>
                <w:lang w:val="en-GB"/>
              </w:rPr>
              <w:t>risk committees</w:t>
            </w:r>
            <w:r w:rsidR="00270B8C" w:rsidRPr="00E50FA4">
              <w:rPr>
                <w:rFonts w:ascii="Times New Roman" w:hAnsi="Times New Roman" w:cs="Times New Roman"/>
                <w:noProof/>
                <w:sz w:val="24"/>
                <w:lang w:val="en-GB"/>
              </w:rPr>
              <w:t xml:space="preserve"> and</w:t>
            </w:r>
            <w:r w:rsidRPr="00E50FA4">
              <w:rPr>
                <w:rFonts w:ascii="Times New Roman" w:hAnsi="Times New Roman" w:cs="Times New Roman"/>
                <w:noProof/>
                <w:sz w:val="24"/>
                <w:lang w:val="en-GB"/>
              </w:rPr>
              <w:t xml:space="preserve"> </w:t>
            </w:r>
            <w:r w:rsidR="00270B8C" w:rsidRPr="00E50FA4">
              <w:rPr>
                <w:rFonts w:ascii="Times New Roman" w:hAnsi="Times New Roman" w:cs="Times New Roman"/>
                <w:noProof/>
                <w:sz w:val="24"/>
                <w:lang w:val="en-GB"/>
              </w:rPr>
              <w:t xml:space="preserve">how they </w:t>
            </w:r>
            <w:r w:rsidRPr="00E50FA4">
              <w:rPr>
                <w:rFonts w:ascii="Times New Roman" w:hAnsi="Times New Roman" w:cs="Times New Roman"/>
                <w:noProof/>
                <w:sz w:val="24"/>
                <w:lang w:val="en-GB"/>
              </w:rPr>
              <w:t>allocate tasks and responsibilities in the risk management framework to monitor and manage social risks.</w:t>
            </w:r>
          </w:p>
          <w:p w14:paraId="7B8DBD55" w14:textId="0E9AF518" w:rsidR="00F83F48" w:rsidRPr="00E50FA4" w:rsidRDefault="00F83F48" w:rsidP="00EF039B">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Institutions shall provide information on</w:t>
            </w:r>
            <w:r w:rsidR="00270B8C" w:rsidRPr="00E50FA4">
              <w:rPr>
                <w:rFonts w:ascii="Times New Roman" w:hAnsi="Times New Roman" w:cs="Times New Roman"/>
                <w:noProof/>
                <w:sz w:val="24"/>
                <w:lang w:val="en-GB"/>
              </w:rPr>
              <w:t xml:space="preserve"> both their internal and external resources devoted to the assessment of </w:t>
            </w:r>
            <w:r w:rsidRPr="00E50FA4">
              <w:rPr>
                <w:rFonts w:ascii="Times New Roman" w:hAnsi="Times New Roman" w:cs="Times New Roman"/>
                <w:noProof/>
                <w:sz w:val="24"/>
                <w:lang w:val="en-GB"/>
              </w:rPr>
              <w:t>social risk</w:t>
            </w:r>
            <w:r w:rsidR="00270B8C" w:rsidRPr="00E50FA4">
              <w:rPr>
                <w:rFonts w:ascii="Times New Roman" w:hAnsi="Times New Roman" w:cs="Times New Roman"/>
                <w:noProof/>
                <w:sz w:val="24"/>
                <w:lang w:val="en-GB"/>
              </w:rPr>
              <w:t>s</w:t>
            </w:r>
            <w:r w:rsidRPr="00E50FA4">
              <w:rPr>
                <w:rFonts w:ascii="Times New Roman" w:hAnsi="Times New Roman" w:cs="Times New Roman"/>
                <w:noProof/>
                <w:sz w:val="24"/>
                <w:lang w:val="en-GB"/>
              </w:rPr>
              <w:t>.</w:t>
            </w:r>
          </w:p>
        </w:tc>
      </w:tr>
      <w:tr w:rsidR="00085BAF" w:rsidRPr="00E50FA4" w14:paraId="7CEC0C50" w14:textId="77777777" w:rsidTr="00453CE1">
        <w:trPr>
          <w:trHeight w:val="316"/>
        </w:trPr>
        <w:tc>
          <w:tcPr>
            <w:tcW w:w="1384" w:type="dxa"/>
          </w:tcPr>
          <w:p w14:paraId="70BCD49D"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(f)</w:t>
            </w:r>
          </w:p>
        </w:tc>
        <w:tc>
          <w:tcPr>
            <w:tcW w:w="7655" w:type="dxa"/>
          </w:tcPr>
          <w:p w14:paraId="17359043" w14:textId="598EC9C0" w:rsidR="00085BAF" w:rsidRPr="00E50FA4" w:rsidRDefault="00085BAF" w:rsidP="007C337E">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233F87" w:rsidRPr="00E50FA4">
              <w:rPr>
                <w:rFonts w:ascii="Times New Roman" w:hAnsi="Times New Roman" w:cs="Times New Roman"/>
                <w:noProof/>
                <w:sz w:val="24"/>
                <w:lang w:val="en-GB"/>
              </w:rPr>
              <w:t>of Regulation (EU) No 575/2013</w:t>
            </w:r>
            <w:r w:rsidR="00486580"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in conjunction with Article 435(2), point (e)</w:t>
            </w:r>
            <w:r w:rsidR="000478D0"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of</w:t>
            </w:r>
            <w:r w:rsidRPr="00E50FA4">
              <w:rPr>
                <w:rFonts w:ascii="Times New Roman" w:hAnsi="Times New Roman" w:cs="Times New Roman"/>
                <w:noProof/>
                <w:sz w:val="24"/>
                <w:lang w:val="en-GB"/>
              </w:rPr>
              <w:t xml:space="preserve"> </w:t>
            </w:r>
            <w:r w:rsidR="00233F87" w:rsidRPr="00E50FA4">
              <w:rPr>
                <w:rFonts w:ascii="Times New Roman" w:hAnsi="Times New Roman" w:cs="Times New Roman"/>
                <w:noProof/>
                <w:sz w:val="24"/>
                <w:lang w:val="en-GB"/>
              </w:rPr>
              <w:t xml:space="preserve">that </w:t>
            </w:r>
            <w:r w:rsidR="007F40F6" w:rsidRPr="00E50FA4">
              <w:rPr>
                <w:rFonts w:ascii="Times New Roman" w:hAnsi="Times New Roman" w:cs="Times New Roman"/>
                <w:noProof/>
                <w:sz w:val="24"/>
                <w:lang w:val="en-GB"/>
              </w:rPr>
              <w:t>Regulation</w:t>
            </w:r>
            <w:r w:rsidRPr="00E50FA4">
              <w:rPr>
                <w:rFonts w:ascii="Times New Roman" w:hAnsi="Times New Roman" w:cs="Times New Roman"/>
                <w:noProof/>
                <w:sz w:val="24"/>
                <w:lang w:val="en-GB"/>
              </w:rPr>
              <w:t xml:space="preserve">, </w:t>
            </w:r>
            <w:r w:rsidR="00C767CD" w:rsidRPr="00E50FA4">
              <w:rPr>
                <w:rFonts w:ascii="Times New Roman" w:hAnsi="Times New Roman" w:cs="Times New Roman"/>
                <w:noProof/>
                <w:sz w:val="24"/>
                <w:lang w:val="en-GB"/>
              </w:rPr>
              <w:t xml:space="preserve">institutions shall </w:t>
            </w:r>
            <w:r w:rsidR="007C337E" w:rsidRPr="00E50FA4">
              <w:rPr>
                <w:rFonts w:ascii="Times New Roman" w:hAnsi="Times New Roman" w:cs="Times New Roman"/>
                <w:noProof/>
                <w:sz w:val="24"/>
                <w:lang w:val="en-GB"/>
              </w:rPr>
              <w:t xml:space="preserve">describe </w:t>
            </w:r>
            <w:r w:rsidRPr="00E50FA4">
              <w:rPr>
                <w:rFonts w:ascii="Times New Roman" w:hAnsi="Times New Roman" w:cs="Times New Roman"/>
                <w:noProof/>
                <w:sz w:val="24"/>
                <w:lang w:val="en-GB"/>
              </w:rPr>
              <w:t xml:space="preserve">how </w:t>
            </w:r>
            <w:r w:rsidR="00BB7AAE" w:rsidRPr="00E50FA4">
              <w:rPr>
                <w:rFonts w:ascii="Times New Roman" w:hAnsi="Times New Roman" w:cs="Times New Roman"/>
                <w:noProof/>
                <w:sz w:val="24"/>
                <w:lang w:val="en-GB"/>
              </w:rPr>
              <w:t>the</w:t>
            </w:r>
            <w:r w:rsidR="00C767CD" w:rsidRPr="00E50FA4">
              <w:rPr>
                <w:rFonts w:ascii="Times New Roman" w:hAnsi="Times New Roman" w:cs="Times New Roman"/>
                <w:noProof/>
                <w:sz w:val="24"/>
                <w:lang w:val="en-GB"/>
              </w:rPr>
              <w:t>y</w:t>
            </w:r>
            <w:r w:rsidRPr="00E50FA4">
              <w:rPr>
                <w:rFonts w:ascii="Times New Roman" w:hAnsi="Times New Roman" w:cs="Times New Roman"/>
                <w:noProof/>
                <w:sz w:val="24"/>
                <w:lang w:val="en-GB"/>
              </w:rPr>
              <w:t xml:space="preserve"> include social risks into </w:t>
            </w:r>
            <w:r w:rsidR="007C337E" w:rsidRPr="00E50FA4">
              <w:rPr>
                <w:rFonts w:ascii="Times New Roman" w:hAnsi="Times New Roman" w:cs="Times New Roman"/>
                <w:noProof/>
                <w:sz w:val="24"/>
                <w:lang w:val="en-GB"/>
              </w:rPr>
              <w:t xml:space="preserve">their </w:t>
            </w:r>
            <w:r w:rsidRPr="00E50FA4">
              <w:rPr>
                <w:rFonts w:ascii="Times New Roman" w:hAnsi="Times New Roman" w:cs="Times New Roman"/>
                <w:noProof/>
                <w:sz w:val="24"/>
                <w:lang w:val="en-GB"/>
              </w:rPr>
              <w:t xml:space="preserve">internal reporting framework and structure, and </w:t>
            </w:r>
            <w:r w:rsidR="00C767CD" w:rsidRPr="00E50FA4">
              <w:rPr>
                <w:rFonts w:ascii="Times New Roman" w:hAnsi="Times New Roman" w:cs="Times New Roman"/>
                <w:noProof/>
                <w:sz w:val="24"/>
                <w:lang w:val="en-GB"/>
              </w:rPr>
              <w:t xml:space="preserve">set out </w:t>
            </w:r>
            <w:r w:rsidRPr="00E50FA4">
              <w:rPr>
                <w:rFonts w:ascii="Times New Roman" w:hAnsi="Times New Roman" w:cs="Times New Roman"/>
                <w:noProof/>
                <w:sz w:val="24"/>
                <w:lang w:val="en-GB"/>
              </w:rPr>
              <w:t xml:space="preserve">the frequency of </w:t>
            </w:r>
            <w:r w:rsidR="007C337E" w:rsidRPr="00E50FA4">
              <w:rPr>
                <w:rFonts w:ascii="Times New Roman" w:hAnsi="Times New Roman" w:cs="Times New Roman"/>
                <w:noProof/>
                <w:sz w:val="24"/>
                <w:lang w:val="en-GB"/>
              </w:rPr>
              <w:t xml:space="preserve">their </w:t>
            </w:r>
            <w:r w:rsidRPr="00E50FA4">
              <w:rPr>
                <w:rFonts w:ascii="Times New Roman" w:hAnsi="Times New Roman" w:cs="Times New Roman"/>
                <w:noProof/>
                <w:sz w:val="24"/>
                <w:lang w:val="en-GB"/>
              </w:rPr>
              <w:t>internal reporting and information exchange on social risks.</w:t>
            </w:r>
          </w:p>
        </w:tc>
      </w:tr>
      <w:tr w:rsidR="00085BAF" w:rsidRPr="00E50FA4" w14:paraId="1EE7445F" w14:textId="77777777" w:rsidTr="00453CE1">
        <w:trPr>
          <w:trHeight w:val="316"/>
        </w:trPr>
        <w:tc>
          <w:tcPr>
            <w:tcW w:w="1384" w:type="dxa"/>
          </w:tcPr>
          <w:p w14:paraId="06A15F30"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(g)</w:t>
            </w:r>
          </w:p>
        </w:tc>
        <w:tc>
          <w:tcPr>
            <w:tcW w:w="7655" w:type="dxa"/>
          </w:tcPr>
          <w:p w14:paraId="77CD6D4E" w14:textId="7688CD6F" w:rsidR="00085BAF" w:rsidRPr="00E50FA4" w:rsidRDefault="00085BAF" w:rsidP="00EF039B">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233F87" w:rsidRPr="00E50FA4">
              <w:rPr>
                <w:rFonts w:ascii="Times New Roman" w:hAnsi="Times New Roman" w:cs="Times New Roman"/>
                <w:noProof/>
                <w:sz w:val="24"/>
                <w:lang w:val="en-GB"/>
              </w:rPr>
              <w:t>of Regulation (EU) No 575/2013</w:t>
            </w:r>
            <w:r w:rsidR="00486580"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in conjunction with Article 435(2)</w:t>
            </w:r>
            <w:r w:rsidR="002D17E9" w:rsidRPr="00E50FA4">
              <w:rPr>
                <w:rFonts w:ascii="Times New Roman" w:hAnsi="Times New Roman" w:cs="Times New Roman"/>
                <w:noProof/>
                <w:sz w:val="24"/>
                <w:lang w:val="en-GB"/>
              </w:rPr>
              <w:t>,</w:t>
            </w:r>
            <w:r w:rsidRPr="00E50FA4">
              <w:rPr>
                <w:rFonts w:ascii="Times New Roman" w:hAnsi="Times New Roman" w:cs="Times New Roman"/>
                <w:noProof/>
                <w:sz w:val="24"/>
                <w:lang w:val="en-GB"/>
              </w:rPr>
              <w:t xml:space="preserve"> point (e)</w:t>
            </w:r>
            <w:r w:rsidR="00C072C9"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of that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Regulation</w:t>
            </w:r>
            <w:r w:rsidR="00F5689C" w:rsidRPr="00E50FA4">
              <w:rPr>
                <w:rFonts w:ascii="Times New Roman" w:hAnsi="Times New Roman" w:cs="Times New Roman"/>
                <w:noProof/>
                <w:sz w:val="24"/>
                <w:lang w:val="en-GB"/>
              </w:rPr>
              <w:t>,</w:t>
            </w:r>
            <w:r w:rsidR="002D17E9" w:rsidRPr="00E50FA4">
              <w:rPr>
                <w:rFonts w:ascii="Times New Roman" w:eastAsia="Times New Roman" w:hAnsi="Times New Roman" w:cs="Times New Roman"/>
                <w:noProof/>
                <w:sz w:val="24"/>
                <w:lang w:val="en-GB"/>
              </w:rPr>
              <w:t xml:space="preserve"> </w:t>
            </w:r>
            <w:r w:rsidR="00C767CD" w:rsidRPr="00E50FA4">
              <w:rPr>
                <w:rFonts w:ascii="Times New Roman" w:hAnsi="Times New Roman" w:cs="Times New Roman"/>
                <w:noProof/>
                <w:sz w:val="24"/>
                <w:lang w:val="en-GB"/>
              </w:rPr>
              <w:t xml:space="preserve">institutions shall provide </w:t>
            </w:r>
            <w:r w:rsidRPr="00E50FA4">
              <w:rPr>
                <w:rFonts w:ascii="Times New Roman" w:eastAsia="Times New Roman" w:hAnsi="Times New Roman" w:cs="Times New Roman"/>
                <w:noProof/>
                <w:sz w:val="24"/>
                <w:lang w:val="en-GB"/>
              </w:rPr>
              <w:t xml:space="preserve">information on whether social risks are included in </w:t>
            </w:r>
            <w:r w:rsidR="00C767CD" w:rsidRPr="00E50FA4">
              <w:rPr>
                <w:rFonts w:ascii="Times New Roman" w:eastAsia="Times New Roman" w:hAnsi="Times New Roman" w:cs="Times New Roman"/>
                <w:noProof/>
                <w:sz w:val="24"/>
                <w:lang w:val="en-GB"/>
              </w:rPr>
              <w:t>the</w:t>
            </w:r>
            <w:r w:rsidR="00486580" w:rsidRPr="00E50FA4">
              <w:rPr>
                <w:rFonts w:ascii="Times New Roman" w:eastAsia="Times New Roman" w:hAnsi="Times New Roman" w:cs="Times New Roman"/>
                <w:noProof/>
                <w:sz w:val="24"/>
                <w:lang w:val="en-GB"/>
              </w:rPr>
              <w:t>ir</w:t>
            </w:r>
            <w:r w:rsidR="00C767CD"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remuneration policy, </w:t>
            </w:r>
            <w:r w:rsidR="00486580" w:rsidRPr="00E50FA4">
              <w:rPr>
                <w:rFonts w:ascii="Times New Roman" w:eastAsia="Times New Roman" w:hAnsi="Times New Roman" w:cs="Times New Roman"/>
                <w:noProof/>
                <w:sz w:val="24"/>
                <w:lang w:val="en-GB"/>
              </w:rPr>
              <w:t xml:space="preserve">as well as </w:t>
            </w:r>
            <w:r w:rsidR="00C767CD" w:rsidRPr="00E50FA4">
              <w:rPr>
                <w:rFonts w:ascii="Times New Roman" w:eastAsia="Times New Roman" w:hAnsi="Times New Roman" w:cs="Times New Roman"/>
                <w:noProof/>
                <w:sz w:val="24"/>
                <w:lang w:val="en-GB"/>
              </w:rPr>
              <w:t xml:space="preserve">on </w:t>
            </w:r>
            <w:r w:rsidRPr="00E50FA4">
              <w:rPr>
                <w:rFonts w:ascii="Times New Roman" w:eastAsia="Times New Roman" w:hAnsi="Times New Roman" w:cs="Times New Roman"/>
                <w:noProof/>
                <w:sz w:val="24"/>
                <w:lang w:val="en-GB"/>
              </w:rPr>
              <w:t xml:space="preserve">the criteria and metrics used to determine the impact </w:t>
            </w:r>
            <w:r w:rsidR="00EF039B" w:rsidRPr="00E50FA4">
              <w:rPr>
                <w:rFonts w:ascii="Times New Roman" w:eastAsia="Times New Roman" w:hAnsi="Times New Roman" w:cs="Times New Roman"/>
                <w:noProof/>
                <w:sz w:val="24"/>
                <w:lang w:val="en-GB"/>
              </w:rPr>
              <w:t xml:space="preserve">of social risk considerations </w:t>
            </w:r>
            <w:r w:rsidRPr="00E50FA4">
              <w:rPr>
                <w:rFonts w:ascii="Times New Roman" w:eastAsia="Times New Roman" w:hAnsi="Times New Roman" w:cs="Times New Roman"/>
                <w:noProof/>
                <w:sz w:val="24"/>
                <w:lang w:val="en-GB"/>
              </w:rPr>
              <w:t>on variable remuneration</w:t>
            </w:r>
            <w:r w:rsidR="00EF039B" w:rsidRPr="00E50FA4">
              <w:rPr>
                <w:rFonts w:ascii="Times New Roman" w:eastAsia="Times New Roman" w:hAnsi="Times New Roman" w:cs="Times New Roman"/>
                <w:noProof/>
                <w:sz w:val="24"/>
                <w:lang w:val="en-GB"/>
              </w:rPr>
              <w:t>s</w:t>
            </w:r>
            <w:r w:rsidRPr="00E50FA4">
              <w:rPr>
                <w:rFonts w:ascii="Times New Roman" w:eastAsia="Times New Roman" w:hAnsi="Times New Roman" w:cs="Times New Roman"/>
                <w:noProof/>
                <w:sz w:val="24"/>
                <w:lang w:val="en-GB"/>
              </w:rPr>
              <w:t>.</w:t>
            </w:r>
          </w:p>
        </w:tc>
      </w:tr>
      <w:tr w:rsidR="00085BAF" w:rsidRPr="00E50FA4" w14:paraId="2FDEB116" w14:textId="77777777" w:rsidTr="00453CE1">
        <w:trPr>
          <w:trHeight w:val="723"/>
        </w:trPr>
        <w:tc>
          <w:tcPr>
            <w:tcW w:w="1384" w:type="dxa"/>
            <w:shd w:val="clear" w:color="auto" w:fill="D9D9D9" w:themeFill="background1" w:themeFillShade="D9"/>
          </w:tcPr>
          <w:p w14:paraId="2936ADE1"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p>
        </w:tc>
        <w:tc>
          <w:tcPr>
            <w:tcW w:w="7655" w:type="dxa"/>
            <w:shd w:val="clear" w:color="auto" w:fill="D9D9D9" w:themeFill="background1" w:themeFillShade="D9"/>
          </w:tcPr>
          <w:p w14:paraId="31B96183" w14:textId="77777777" w:rsidR="00085BAF" w:rsidRPr="00E50FA4" w:rsidRDefault="00085BAF" w:rsidP="00085BAF">
            <w:pPr>
              <w:autoSpaceDE w:val="0"/>
              <w:autoSpaceDN w:val="0"/>
              <w:adjustRightInd w:val="0"/>
              <w:jc w:val="both"/>
              <w:rPr>
                <w:rFonts w:ascii="Times New Roman" w:hAnsi="Times New Roman" w:cs="Times New Roman"/>
                <w:b/>
                <w:noProof/>
                <w:sz w:val="24"/>
                <w:lang w:val="en-GB"/>
              </w:rPr>
            </w:pPr>
            <w:r w:rsidRPr="00E50FA4">
              <w:rPr>
                <w:rFonts w:ascii="Times New Roman" w:hAnsi="Times New Roman" w:cs="Times New Roman"/>
                <w:b/>
                <w:noProof/>
                <w:sz w:val="24"/>
                <w:lang w:val="en-GB"/>
              </w:rPr>
              <w:t>Risk management</w:t>
            </w:r>
          </w:p>
        </w:tc>
      </w:tr>
      <w:tr w:rsidR="00085BAF" w:rsidRPr="00E50FA4" w14:paraId="5C8AB057" w14:textId="77777777" w:rsidTr="00453CE1">
        <w:trPr>
          <w:trHeight w:val="316"/>
        </w:trPr>
        <w:tc>
          <w:tcPr>
            <w:tcW w:w="1384" w:type="dxa"/>
          </w:tcPr>
          <w:p w14:paraId="0D3C724F"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(h)</w:t>
            </w:r>
          </w:p>
        </w:tc>
        <w:tc>
          <w:tcPr>
            <w:tcW w:w="7655" w:type="dxa"/>
          </w:tcPr>
          <w:p w14:paraId="62FA07F4" w14:textId="47418DD3" w:rsidR="00085BAF" w:rsidRPr="00E50FA4" w:rsidRDefault="00085BAF" w:rsidP="00085BAF">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233F87" w:rsidRPr="00E50FA4">
              <w:rPr>
                <w:rFonts w:ascii="Times New Roman" w:hAnsi="Times New Roman" w:cs="Times New Roman"/>
                <w:noProof/>
                <w:sz w:val="24"/>
                <w:lang w:val="en-GB"/>
              </w:rPr>
              <w:t>of Regulation (EU) No 575/2013</w:t>
            </w:r>
            <w:r w:rsidR="00486580"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in conjunction with Article 435(1), point (a)</w:t>
            </w:r>
            <w:r w:rsidR="00233F87" w:rsidRPr="00E50FA4">
              <w:rPr>
                <w:rFonts w:ascii="Times New Roman" w:hAnsi="Times New Roman" w:cs="Times New Roman"/>
                <w:noProof/>
                <w:sz w:val="24"/>
                <w:lang w:val="en-GB"/>
              </w:rPr>
              <w:t>, of that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Regulation</w:t>
            </w:r>
            <w:r w:rsidRPr="00E50FA4">
              <w:rPr>
                <w:rFonts w:ascii="Times New Roman" w:eastAsia="Times New Roman" w:hAnsi="Times New Roman" w:cs="Times New Roman"/>
                <w:noProof/>
                <w:sz w:val="24"/>
                <w:lang w:val="en-GB" w:eastAsia="sv-SE"/>
              </w:rPr>
              <w:t xml:space="preserve">, </w:t>
            </w:r>
            <w:r w:rsidR="00C767CD" w:rsidRPr="00E50FA4">
              <w:rPr>
                <w:rFonts w:ascii="Times New Roman" w:hAnsi="Times New Roman" w:cs="Times New Roman"/>
                <w:noProof/>
                <w:sz w:val="24"/>
                <w:lang w:val="en-GB"/>
              </w:rPr>
              <w:t xml:space="preserve">institutions shall provide information on </w:t>
            </w:r>
            <w:r w:rsidRPr="00E50FA4">
              <w:rPr>
                <w:rFonts w:ascii="Times New Roman" w:eastAsia="Times New Roman" w:hAnsi="Times New Roman" w:cs="Times New Roman"/>
                <w:noProof/>
                <w:sz w:val="24"/>
                <w:lang w:val="en-GB" w:eastAsia="sv-SE"/>
              </w:rPr>
              <w:t>what method</w:t>
            </w:r>
            <w:r w:rsidR="00486580" w:rsidRPr="00E50FA4">
              <w:rPr>
                <w:rFonts w:ascii="Times New Roman" w:eastAsia="Times New Roman" w:hAnsi="Times New Roman" w:cs="Times New Roman"/>
                <w:noProof/>
                <w:sz w:val="24"/>
                <w:lang w:val="en-GB" w:eastAsia="sv-SE"/>
              </w:rPr>
              <w:t>s</w:t>
            </w:r>
            <w:r w:rsidRPr="00E50FA4">
              <w:rPr>
                <w:rFonts w:ascii="Times New Roman" w:eastAsia="Times New Roman" w:hAnsi="Times New Roman" w:cs="Times New Roman"/>
                <w:noProof/>
                <w:sz w:val="24"/>
                <w:lang w:val="en-GB" w:eastAsia="sv-SE"/>
              </w:rPr>
              <w:t xml:space="preserve">, definitions and standards </w:t>
            </w:r>
            <w:r w:rsidR="00BB7AAE" w:rsidRPr="00E50FA4">
              <w:rPr>
                <w:rFonts w:ascii="Times New Roman" w:eastAsia="Times New Roman" w:hAnsi="Times New Roman" w:cs="Times New Roman"/>
                <w:noProof/>
                <w:sz w:val="24"/>
                <w:lang w:val="en-GB" w:eastAsia="sv-SE"/>
              </w:rPr>
              <w:t>the</w:t>
            </w:r>
            <w:r w:rsidR="00C767CD" w:rsidRPr="00E50FA4">
              <w:rPr>
                <w:rFonts w:ascii="Times New Roman" w:eastAsia="Times New Roman" w:hAnsi="Times New Roman" w:cs="Times New Roman"/>
                <w:noProof/>
                <w:sz w:val="24"/>
                <w:lang w:val="en-GB" w:eastAsia="sv-SE"/>
              </w:rPr>
              <w:t>y</w:t>
            </w:r>
            <w:r w:rsidRPr="00E50FA4">
              <w:rPr>
                <w:rFonts w:ascii="Times New Roman" w:eastAsia="Times New Roman" w:hAnsi="Times New Roman" w:cs="Times New Roman"/>
                <w:noProof/>
                <w:sz w:val="24"/>
                <w:lang w:val="en-GB" w:eastAsia="sv-SE"/>
              </w:rPr>
              <w:t xml:space="preserve"> use for the identification and management of social factors and risks, </w:t>
            </w:r>
            <w:r w:rsidR="00486580" w:rsidRPr="00E50FA4">
              <w:rPr>
                <w:rFonts w:ascii="Times New Roman" w:eastAsia="Times New Roman" w:hAnsi="Times New Roman" w:cs="Times New Roman"/>
                <w:noProof/>
                <w:sz w:val="24"/>
                <w:lang w:val="en-GB" w:eastAsia="sv-SE"/>
              </w:rPr>
              <w:t xml:space="preserve">as well as </w:t>
            </w:r>
            <w:r w:rsidRPr="00E50FA4">
              <w:rPr>
                <w:rFonts w:ascii="Times New Roman" w:eastAsia="Times New Roman" w:hAnsi="Times New Roman" w:cs="Times New Roman"/>
                <w:noProof/>
                <w:sz w:val="24"/>
                <w:lang w:val="en-GB" w:eastAsia="sv-SE"/>
              </w:rPr>
              <w:t>the framework on which th</w:t>
            </w:r>
            <w:r w:rsidR="00A518B4" w:rsidRPr="00E50FA4">
              <w:rPr>
                <w:rFonts w:ascii="Times New Roman" w:eastAsia="Times New Roman" w:hAnsi="Times New Roman" w:cs="Times New Roman"/>
                <w:noProof/>
                <w:sz w:val="24"/>
                <w:lang w:val="en-GB" w:eastAsia="sv-SE"/>
              </w:rPr>
              <w:t>o</w:t>
            </w:r>
            <w:r w:rsidRPr="00E50FA4">
              <w:rPr>
                <w:rFonts w:ascii="Times New Roman" w:eastAsia="Times New Roman" w:hAnsi="Times New Roman" w:cs="Times New Roman"/>
                <w:noProof/>
                <w:sz w:val="24"/>
                <w:lang w:val="en-GB" w:eastAsia="sv-SE"/>
              </w:rPr>
              <w:t>se standards, definitions and method</w:t>
            </w:r>
            <w:r w:rsidR="00486580" w:rsidRPr="00E50FA4">
              <w:rPr>
                <w:rFonts w:ascii="Times New Roman" w:eastAsia="Times New Roman" w:hAnsi="Times New Roman" w:cs="Times New Roman"/>
                <w:noProof/>
                <w:sz w:val="24"/>
                <w:lang w:val="en-GB" w:eastAsia="sv-SE"/>
              </w:rPr>
              <w:t>s</w:t>
            </w:r>
            <w:r w:rsidRPr="00E50FA4">
              <w:rPr>
                <w:rFonts w:ascii="Times New Roman" w:eastAsia="Times New Roman" w:hAnsi="Times New Roman" w:cs="Times New Roman"/>
                <w:noProof/>
                <w:sz w:val="24"/>
                <w:lang w:val="en-GB" w:eastAsia="sv-SE"/>
              </w:rPr>
              <w:t xml:space="preserve"> are based. </w:t>
            </w:r>
          </w:p>
          <w:p w14:paraId="2D1011E1" w14:textId="53F41758" w:rsidR="00085BAF" w:rsidRPr="00E50FA4" w:rsidRDefault="00C767CD" w:rsidP="00EF039B">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Institutions </w:t>
            </w:r>
            <w:r w:rsidR="00EF039B" w:rsidRPr="00E50FA4">
              <w:rPr>
                <w:rFonts w:ascii="Times New Roman" w:hAnsi="Times New Roman" w:cs="Times New Roman"/>
                <w:noProof/>
                <w:sz w:val="24"/>
                <w:lang w:val="en-GB"/>
              </w:rPr>
              <w:t>are to</w:t>
            </w:r>
            <w:r w:rsidR="009620B8" w:rsidRPr="00E50FA4">
              <w:rPr>
                <w:rFonts w:ascii="Times New Roman" w:hAnsi="Times New Roman" w:cs="Times New Roman"/>
                <w:noProof/>
                <w:sz w:val="24"/>
                <w:lang w:val="en-GB"/>
              </w:rPr>
              <w:t xml:space="preserve"> </w:t>
            </w:r>
            <w:r w:rsidR="00085BAF" w:rsidRPr="00E50FA4">
              <w:rPr>
                <w:rFonts w:ascii="Times New Roman" w:eastAsia="Times New Roman" w:hAnsi="Times New Roman" w:cs="Times New Roman"/>
                <w:noProof/>
                <w:sz w:val="24"/>
                <w:lang w:val="en-GB" w:eastAsia="sv-SE"/>
              </w:rPr>
              <w:t>expla</w:t>
            </w:r>
            <w:r w:rsidRPr="00E50FA4">
              <w:rPr>
                <w:rFonts w:ascii="Times New Roman" w:eastAsia="Times New Roman" w:hAnsi="Times New Roman" w:cs="Times New Roman"/>
                <w:noProof/>
                <w:sz w:val="24"/>
                <w:lang w:val="en-GB" w:eastAsia="sv-SE"/>
              </w:rPr>
              <w:t>in</w:t>
            </w:r>
            <w:r w:rsidR="00085BAF" w:rsidRPr="00E50FA4">
              <w:rPr>
                <w:rFonts w:ascii="Times New Roman" w:eastAsia="Times New Roman" w:hAnsi="Times New Roman" w:cs="Times New Roman"/>
                <w:noProof/>
                <w:sz w:val="24"/>
                <w:lang w:val="en-GB" w:eastAsia="sv-SE"/>
              </w:rPr>
              <w:t xml:space="preserve"> </w:t>
            </w:r>
            <w:r w:rsidR="00486580" w:rsidRPr="00E50FA4">
              <w:rPr>
                <w:rFonts w:ascii="Times New Roman" w:eastAsia="Times New Roman" w:hAnsi="Times New Roman" w:cs="Times New Roman"/>
                <w:noProof/>
                <w:sz w:val="24"/>
                <w:lang w:val="en-GB" w:eastAsia="sv-SE"/>
              </w:rPr>
              <w:t xml:space="preserve">how those </w:t>
            </w:r>
            <w:r w:rsidR="00085BAF" w:rsidRPr="00E50FA4">
              <w:rPr>
                <w:rFonts w:ascii="Times New Roman" w:eastAsia="Times New Roman" w:hAnsi="Times New Roman" w:cs="Times New Roman"/>
                <w:noProof/>
                <w:sz w:val="24"/>
                <w:lang w:val="en-GB" w:eastAsia="sv-SE"/>
              </w:rPr>
              <w:t>method</w:t>
            </w:r>
            <w:r w:rsidR="00486580" w:rsidRPr="00E50FA4">
              <w:rPr>
                <w:rFonts w:ascii="Times New Roman" w:eastAsia="Times New Roman" w:hAnsi="Times New Roman" w:cs="Times New Roman"/>
                <w:noProof/>
                <w:sz w:val="24"/>
                <w:lang w:val="en-GB" w:eastAsia="sv-SE"/>
              </w:rPr>
              <w:t>s</w:t>
            </w:r>
            <w:r w:rsidR="00085BAF" w:rsidRPr="00E50FA4">
              <w:rPr>
                <w:rFonts w:ascii="Times New Roman" w:eastAsia="Times New Roman" w:hAnsi="Times New Roman" w:cs="Times New Roman"/>
                <w:noProof/>
                <w:sz w:val="24"/>
                <w:lang w:val="en-GB" w:eastAsia="sv-SE"/>
              </w:rPr>
              <w:t xml:space="preserve">, definitions and standards </w:t>
            </w:r>
            <w:r w:rsidR="00486580" w:rsidRPr="00E50FA4">
              <w:rPr>
                <w:rFonts w:ascii="Times New Roman" w:eastAsia="Times New Roman" w:hAnsi="Times New Roman" w:cs="Times New Roman"/>
                <w:noProof/>
                <w:sz w:val="24"/>
                <w:lang w:val="en-GB" w:eastAsia="sv-SE"/>
              </w:rPr>
              <w:t xml:space="preserve">relate </w:t>
            </w:r>
            <w:r w:rsidR="00085BAF" w:rsidRPr="00E50FA4">
              <w:rPr>
                <w:rFonts w:ascii="Times New Roman" w:eastAsia="Times New Roman" w:hAnsi="Times New Roman" w:cs="Times New Roman"/>
                <w:noProof/>
                <w:sz w:val="24"/>
                <w:lang w:val="en-GB" w:eastAsia="sv-SE"/>
              </w:rPr>
              <w:t xml:space="preserve">to the current </w:t>
            </w:r>
            <w:r w:rsidR="00085BAF" w:rsidRPr="00E50FA4">
              <w:rPr>
                <w:rFonts w:ascii="Times New Roman" w:hAnsi="Times New Roman" w:cs="Times New Roman"/>
                <w:noProof/>
                <w:sz w:val="24"/>
                <w:lang w:val="en-GB"/>
              </w:rPr>
              <w:t xml:space="preserve">international and </w:t>
            </w:r>
            <w:r w:rsidR="00A518B4" w:rsidRPr="00E50FA4">
              <w:rPr>
                <w:rFonts w:ascii="Times New Roman" w:hAnsi="Times New Roman" w:cs="Times New Roman"/>
                <w:noProof/>
                <w:sz w:val="24"/>
                <w:lang w:val="en-GB"/>
              </w:rPr>
              <w:t>Union</w:t>
            </w:r>
            <w:r w:rsidR="00085BAF" w:rsidRPr="00E50FA4">
              <w:rPr>
                <w:rFonts w:ascii="Times New Roman" w:hAnsi="Times New Roman" w:cs="Times New Roman"/>
                <w:noProof/>
                <w:sz w:val="24"/>
                <w:lang w:val="en-GB"/>
              </w:rPr>
              <w:t xml:space="preserve"> policy framework and </w:t>
            </w:r>
            <w:r w:rsidR="00486580" w:rsidRPr="00E50FA4">
              <w:rPr>
                <w:rFonts w:ascii="Times New Roman" w:hAnsi="Times New Roman" w:cs="Times New Roman"/>
                <w:noProof/>
                <w:sz w:val="24"/>
                <w:lang w:val="en-GB"/>
              </w:rPr>
              <w:t xml:space="preserve">available </w:t>
            </w:r>
            <w:r w:rsidR="00085BAF" w:rsidRPr="00E50FA4">
              <w:rPr>
                <w:rFonts w:ascii="Times New Roman" w:hAnsi="Times New Roman" w:cs="Times New Roman"/>
                <w:noProof/>
                <w:sz w:val="24"/>
                <w:lang w:val="en-GB"/>
              </w:rPr>
              <w:t>benchmarks</w:t>
            </w:r>
            <w:r w:rsidR="00085BAF" w:rsidRPr="00E50FA4">
              <w:rPr>
                <w:rFonts w:ascii="Times New Roman" w:eastAsia="Times New Roman" w:hAnsi="Times New Roman"/>
                <w:noProof/>
                <w:sz w:val="24"/>
                <w:lang w:val="en-GB"/>
              </w:rPr>
              <w:t>.</w:t>
            </w:r>
          </w:p>
        </w:tc>
      </w:tr>
      <w:tr w:rsidR="00085BAF" w:rsidRPr="00E50FA4" w14:paraId="4E756BCC" w14:textId="77777777" w:rsidTr="00453CE1">
        <w:trPr>
          <w:trHeight w:val="316"/>
        </w:trPr>
        <w:tc>
          <w:tcPr>
            <w:tcW w:w="1384" w:type="dxa"/>
          </w:tcPr>
          <w:p w14:paraId="4F9BDE02"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(i)</w:t>
            </w:r>
          </w:p>
        </w:tc>
        <w:tc>
          <w:tcPr>
            <w:tcW w:w="7655" w:type="dxa"/>
          </w:tcPr>
          <w:p w14:paraId="29A0DBDA" w14:textId="28C13826" w:rsidR="00085BAF" w:rsidRPr="00E50FA4" w:rsidRDefault="00085BAF" w:rsidP="00085BAF">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233F87" w:rsidRPr="00E50FA4">
              <w:rPr>
                <w:rFonts w:ascii="Times New Roman" w:hAnsi="Times New Roman" w:cs="Times New Roman"/>
                <w:noProof/>
                <w:sz w:val="24"/>
                <w:lang w:val="en-GB"/>
              </w:rPr>
              <w:t>of Regulation (EU) No 575/2013</w:t>
            </w:r>
            <w:r w:rsidR="00486580"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in conjunction with Article 435(1), point (a)</w:t>
            </w:r>
            <w:r w:rsidR="00991A79"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of that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Regulation</w:t>
            </w:r>
            <w:r w:rsidRPr="00E50FA4">
              <w:rPr>
                <w:rFonts w:ascii="Times New Roman" w:eastAsia="Times New Roman" w:hAnsi="Times New Roman" w:cs="Times New Roman"/>
                <w:noProof/>
                <w:sz w:val="24"/>
                <w:lang w:val="en-GB" w:eastAsia="sv-SE"/>
              </w:rPr>
              <w:t xml:space="preserve">, </w:t>
            </w:r>
            <w:r w:rsidR="00C767CD" w:rsidRPr="00E50FA4">
              <w:rPr>
                <w:rFonts w:ascii="Times New Roman" w:hAnsi="Times New Roman" w:cs="Times New Roman"/>
                <w:noProof/>
                <w:sz w:val="24"/>
                <w:lang w:val="en-GB"/>
              </w:rPr>
              <w:t xml:space="preserve">institutions shall </w:t>
            </w:r>
            <w:r w:rsidR="007C337E" w:rsidRPr="00E50FA4">
              <w:rPr>
                <w:rFonts w:ascii="Times New Roman" w:hAnsi="Times New Roman" w:cs="Times New Roman"/>
                <w:noProof/>
                <w:sz w:val="24"/>
                <w:lang w:val="en-GB"/>
              </w:rPr>
              <w:t xml:space="preserve">provide information on </w:t>
            </w:r>
            <w:r w:rsidRPr="00E50FA4">
              <w:rPr>
                <w:rFonts w:ascii="Times New Roman" w:eastAsia="Times New Roman" w:hAnsi="Times New Roman" w:cs="Times New Roman"/>
                <w:noProof/>
                <w:sz w:val="24"/>
                <w:lang w:val="en-GB" w:eastAsia="sv-SE"/>
              </w:rPr>
              <w:t xml:space="preserve">the process by which </w:t>
            </w:r>
            <w:r w:rsidR="002B0B88" w:rsidRPr="00E50FA4">
              <w:rPr>
                <w:rFonts w:ascii="Times New Roman" w:eastAsia="Times New Roman" w:hAnsi="Times New Roman" w:cs="Times New Roman"/>
                <w:noProof/>
                <w:sz w:val="24"/>
                <w:lang w:val="en-GB" w:eastAsia="sv-SE"/>
              </w:rPr>
              <w:t>the</w:t>
            </w:r>
            <w:r w:rsidR="00C767CD" w:rsidRPr="00E50FA4">
              <w:rPr>
                <w:rFonts w:ascii="Times New Roman" w:eastAsia="Times New Roman" w:hAnsi="Times New Roman" w:cs="Times New Roman"/>
                <w:noProof/>
                <w:sz w:val="24"/>
                <w:lang w:val="en-GB" w:eastAsia="sv-SE"/>
              </w:rPr>
              <w:t>y</w:t>
            </w:r>
            <w:r w:rsidR="00486580" w:rsidRPr="00E50FA4">
              <w:rPr>
                <w:rFonts w:ascii="Times New Roman" w:eastAsia="Times New Roman" w:hAnsi="Times New Roman" w:cs="Times New Roman"/>
                <w:noProof/>
                <w:sz w:val="24"/>
                <w:lang w:val="en-GB" w:eastAsia="sv-SE"/>
              </w:rPr>
              <w:t xml:space="preserve"> </w:t>
            </w:r>
            <w:r w:rsidRPr="00E50FA4">
              <w:rPr>
                <w:rFonts w:ascii="Times New Roman" w:eastAsia="Times New Roman" w:hAnsi="Times New Roman" w:cs="Times New Roman"/>
                <w:noProof/>
                <w:sz w:val="24"/>
                <w:lang w:val="en-GB" w:eastAsia="sv-SE"/>
              </w:rPr>
              <w:t>identify and monitor their activities and exposures</w:t>
            </w:r>
            <w:r w:rsidR="00991A79" w:rsidRPr="00E50FA4">
              <w:rPr>
                <w:rFonts w:ascii="Times New Roman" w:eastAsia="Times New Roman" w:hAnsi="Times New Roman" w:cs="Times New Roman"/>
                <w:noProof/>
                <w:sz w:val="24"/>
                <w:lang w:val="en-GB" w:eastAsia="sv-SE"/>
              </w:rPr>
              <w:t>,</w:t>
            </w:r>
            <w:r w:rsidRPr="00E50FA4">
              <w:rPr>
                <w:rFonts w:ascii="Times New Roman" w:eastAsia="Times New Roman" w:hAnsi="Times New Roman" w:cs="Times New Roman"/>
                <w:noProof/>
                <w:sz w:val="24"/>
                <w:lang w:val="en-GB" w:eastAsia="sv-SE"/>
              </w:rPr>
              <w:t xml:space="preserve"> </w:t>
            </w:r>
            <w:r w:rsidR="00486580" w:rsidRPr="00E50FA4">
              <w:rPr>
                <w:rFonts w:ascii="Times New Roman" w:eastAsia="Times New Roman" w:hAnsi="Times New Roman" w:cs="Times New Roman"/>
                <w:noProof/>
                <w:sz w:val="24"/>
                <w:lang w:val="en-GB" w:eastAsia="sv-SE"/>
              </w:rPr>
              <w:t xml:space="preserve">which are </w:t>
            </w:r>
            <w:r w:rsidRPr="00E50FA4">
              <w:rPr>
                <w:rFonts w:ascii="Times New Roman" w:eastAsia="Times New Roman" w:hAnsi="Times New Roman" w:cs="Times New Roman"/>
                <w:noProof/>
                <w:sz w:val="24"/>
                <w:lang w:val="en-GB" w:eastAsia="sv-SE"/>
              </w:rPr>
              <w:t>sensitive to social risks</w:t>
            </w:r>
            <w:r w:rsidR="00233F87" w:rsidRPr="00E50FA4">
              <w:rPr>
                <w:rFonts w:ascii="Times New Roman" w:eastAsia="Times New Roman" w:hAnsi="Times New Roman" w:cs="Times New Roman"/>
                <w:noProof/>
                <w:sz w:val="24"/>
                <w:lang w:val="en-GB" w:eastAsia="sv-SE"/>
              </w:rPr>
              <w:t>, including</w:t>
            </w:r>
            <w:r w:rsidRPr="00E50FA4">
              <w:rPr>
                <w:rFonts w:ascii="Times New Roman" w:eastAsia="Times New Roman" w:hAnsi="Times New Roman" w:cs="Times New Roman"/>
                <w:noProof/>
                <w:sz w:val="24"/>
                <w:lang w:val="en-GB" w:eastAsia="sv-SE"/>
              </w:rPr>
              <w:t xml:space="preserve"> via their counterparties, </w:t>
            </w:r>
            <w:r w:rsidRPr="00E50FA4">
              <w:rPr>
                <w:rFonts w:ascii="Times New Roman" w:eastAsia="Times New Roman" w:hAnsi="Times New Roman" w:cs="Times New Roman"/>
                <w:noProof/>
                <w:sz w:val="24"/>
                <w:lang w:val="en-GB"/>
              </w:rPr>
              <w:t>investment or asset management activities</w:t>
            </w:r>
            <w:r w:rsidR="00233F87" w:rsidRPr="00E50FA4">
              <w:rPr>
                <w:rFonts w:ascii="Times New Roman" w:eastAsia="Times New Roman" w:hAnsi="Times New Roman" w:cs="Times New Roman"/>
                <w:noProof/>
                <w:sz w:val="24"/>
                <w:lang w:val="en-GB" w:eastAsia="sv-SE"/>
              </w:rPr>
              <w:t>, and</w:t>
            </w:r>
            <w:r w:rsidRPr="00E50FA4">
              <w:rPr>
                <w:rFonts w:ascii="Times New Roman" w:eastAsia="Times New Roman" w:hAnsi="Times New Roman" w:cs="Times New Roman"/>
                <w:noProof/>
                <w:sz w:val="24"/>
                <w:lang w:val="en-GB" w:eastAsia="sv-SE"/>
              </w:rPr>
              <w:t xml:space="preserve"> including any movable and immovable assets associated with th</w:t>
            </w:r>
            <w:r w:rsidR="004E45D8" w:rsidRPr="00E50FA4">
              <w:rPr>
                <w:rFonts w:ascii="Times New Roman" w:eastAsia="Times New Roman" w:hAnsi="Times New Roman" w:cs="Times New Roman"/>
                <w:noProof/>
                <w:sz w:val="24"/>
                <w:lang w:val="en-GB" w:eastAsia="sv-SE"/>
              </w:rPr>
              <w:t>o</w:t>
            </w:r>
            <w:r w:rsidRPr="00E50FA4">
              <w:rPr>
                <w:rFonts w:ascii="Times New Roman" w:eastAsia="Times New Roman" w:hAnsi="Times New Roman" w:cs="Times New Roman"/>
                <w:noProof/>
                <w:sz w:val="24"/>
                <w:lang w:val="en-GB" w:eastAsia="sv-SE"/>
              </w:rPr>
              <w:t>se activities and exposures.</w:t>
            </w:r>
          </w:p>
          <w:p w14:paraId="1B1F0DF8" w14:textId="7DFDD69E" w:rsidR="00085BAF" w:rsidRPr="00E50FA4" w:rsidRDefault="00C767CD" w:rsidP="00085BAF">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Institutions </w:t>
            </w:r>
            <w:r w:rsidR="0038290D" w:rsidRPr="00E50FA4">
              <w:rPr>
                <w:rFonts w:ascii="Times New Roman" w:hAnsi="Times New Roman" w:cs="Times New Roman"/>
                <w:noProof/>
                <w:sz w:val="24"/>
                <w:lang w:val="en-GB"/>
              </w:rPr>
              <w:t xml:space="preserve">shall </w:t>
            </w:r>
            <w:r w:rsidR="007C337E" w:rsidRPr="00E50FA4">
              <w:rPr>
                <w:rFonts w:ascii="Times New Roman" w:hAnsi="Times New Roman" w:cs="Times New Roman"/>
                <w:noProof/>
                <w:sz w:val="24"/>
                <w:lang w:val="en-GB"/>
              </w:rPr>
              <w:t xml:space="preserve">provide information </w:t>
            </w:r>
            <w:r w:rsidR="00B76863" w:rsidRPr="00E50FA4">
              <w:rPr>
                <w:rFonts w:ascii="Times New Roman" w:hAnsi="Times New Roman" w:cs="Times New Roman"/>
                <w:noProof/>
                <w:sz w:val="24"/>
                <w:lang w:val="en-GB"/>
              </w:rPr>
              <w:t>on the</w:t>
            </w:r>
            <w:r w:rsidR="00085BAF" w:rsidRPr="00E50FA4">
              <w:rPr>
                <w:rFonts w:ascii="Times New Roman" w:eastAsia="Times New Roman" w:hAnsi="Times New Roman" w:cs="Times New Roman"/>
                <w:noProof/>
                <w:sz w:val="24"/>
                <w:lang w:val="en-GB" w:eastAsia="sv-SE"/>
              </w:rPr>
              <w:t xml:space="preserve"> process by which </w:t>
            </w:r>
            <w:r w:rsidRPr="00E50FA4">
              <w:rPr>
                <w:rFonts w:ascii="Times New Roman" w:eastAsia="Times New Roman" w:hAnsi="Times New Roman" w:cs="Times New Roman"/>
                <w:noProof/>
                <w:sz w:val="24"/>
                <w:lang w:val="en-GB" w:eastAsia="sv-SE"/>
              </w:rPr>
              <w:t xml:space="preserve">they </w:t>
            </w:r>
            <w:r w:rsidR="00085BAF" w:rsidRPr="00E50FA4">
              <w:rPr>
                <w:rFonts w:ascii="Times New Roman" w:eastAsia="Times New Roman" w:hAnsi="Times New Roman" w:cs="Times New Roman"/>
                <w:noProof/>
                <w:sz w:val="24"/>
                <w:lang w:val="en-GB" w:eastAsia="sv-SE"/>
              </w:rPr>
              <w:t xml:space="preserve">identify and monitor social risks that are financially material or currently non-material with a prospect to be material in the future. </w:t>
            </w:r>
          </w:p>
          <w:p w14:paraId="1167996C" w14:textId="2FBAE879" w:rsidR="00211887" w:rsidRPr="00E50FA4" w:rsidRDefault="00085BAF" w:rsidP="00486580">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Such activities, exposures and assets sensitive to social risks may be related to counterparties breaching labour law, human rights or other social laws or rights that may face legal dispute.</w:t>
            </w:r>
            <w:r w:rsidR="00211887" w:rsidRPr="00E50FA4">
              <w:rPr>
                <w:rFonts w:ascii="Times New Roman" w:eastAsia="Times New Roman" w:hAnsi="Times New Roman" w:cs="Times New Roman"/>
                <w:noProof/>
                <w:sz w:val="24"/>
                <w:lang w:val="en-GB" w:eastAsia="sv-SE"/>
              </w:rPr>
              <w:t xml:space="preserve"> More precisely, sectors with enhanced social risk may include </w:t>
            </w:r>
            <w:r w:rsidR="00F65FE3" w:rsidRPr="00E50FA4">
              <w:rPr>
                <w:rFonts w:ascii="Times New Roman" w:hAnsi="Times New Roman" w:cs="Times New Roman"/>
                <w:noProof/>
                <w:sz w:val="24"/>
                <w:lang w:val="en-GB"/>
              </w:rPr>
              <w:t>those</w:t>
            </w:r>
            <w:r w:rsidR="00211887" w:rsidRPr="00E50FA4">
              <w:rPr>
                <w:rFonts w:ascii="Times New Roman" w:hAnsi="Times New Roman" w:cs="Times New Roman"/>
                <w:noProof/>
                <w:sz w:val="24"/>
                <w:lang w:val="en-GB"/>
              </w:rPr>
              <w:t xml:space="preserve"> with migrant workers, low wages</w:t>
            </w:r>
            <w:r w:rsidR="00486580" w:rsidRPr="00E50FA4">
              <w:rPr>
                <w:rFonts w:ascii="Times New Roman" w:hAnsi="Times New Roman" w:cs="Times New Roman"/>
                <w:noProof/>
                <w:sz w:val="24"/>
                <w:lang w:val="en-GB"/>
              </w:rPr>
              <w:t>,</w:t>
            </w:r>
            <w:r w:rsidR="00F65FE3" w:rsidRPr="00E50FA4">
              <w:rPr>
                <w:rFonts w:ascii="Times New Roman" w:hAnsi="Times New Roman" w:cs="Times New Roman"/>
                <w:noProof/>
                <w:sz w:val="24"/>
                <w:lang w:val="en-GB"/>
              </w:rPr>
              <w:t xml:space="preserve"> poor labour standards</w:t>
            </w:r>
            <w:r w:rsidR="00233F87" w:rsidRPr="00E50FA4">
              <w:rPr>
                <w:rFonts w:ascii="Times New Roman" w:hAnsi="Times New Roman" w:cs="Times New Roman"/>
                <w:noProof/>
                <w:sz w:val="24"/>
                <w:lang w:val="en-GB"/>
              </w:rPr>
              <w:t xml:space="preserve"> </w:t>
            </w:r>
            <w:r w:rsidR="00486580" w:rsidRPr="00E50FA4">
              <w:rPr>
                <w:rFonts w:ascii="Times New Roman" w:hAnsi="Times New Roman" w:cs="Times New Roman"/>
                <w:noProof/>
                <w:sz w:val="24"/>
                <w:lang w:val="en-GB"/>
              </w:rPr>
              <w:t xml:space="preserve">or </w:t>
            </w:r>
            <w:r w:rsidR="00F65FE3" w:rsidRPr="00E50FA4">
              <w:rPr>
                <w:rFonts w:ascii="Times New Roman" w:hAnsi="Times New Roman" w:cs="Times New Roman"/>
                <w:noProof/>
                <w:sz w:val="24"/>
                <w:lang w:val="en-GB"/>
              </w:rPr>
              <w:t>poor</w:t>
            </w:r>
            <w:r w:rsidR="000E0A0D" w:rsidRPr="00E50FA4">
              <w:rPr>
                <w:rFonts w:ascii="Times New Roman" w:hAnsi="Times New Roman" w:cs="Times New Roman"/>
                <w:noProof/>
                <w:sz w:val="24"/>
                <w:lang w:val="en-GB"/>
              </w:rPr>
              <w:t xml:space="preserve"> working conditions</w:t>
            </w:r>
            <w:r w:rsidR="00F65FE3" w:rsidRPr="00E50FA4">
              <w:rPr>
                <w:rFonts w:ascii="Times New Roman" w:hAnsi="Times New Roman" w:cs="Times New Roman"/>
                <w:noProof/>
                <w:sz w:val="24"/>
                <w:lang w:val="en-GB"/>
              </w:rPr>
              <w:t xml:space="preserve"> </w:t>
            </w:r>
            <w:r w:rsidR="000E0A0D" w:rsidRPr="00E50FA4">
              <w:rPr>
                <w:rFonts w:ascii="Times New Roman" w:hAnsi="Times New Roman" w:cs="Times New Roman"/>
                <w:noProof/>
                <w:sz w:val="24"/>
                <w:lang w:val="en-GB"/>
              </w:rPr>
              <w:t xml:space="preserve">negatively </w:t>
            </w:r>
            <w:r w:rsidR="00211887" w:rsidRPr="00E50FA4">
              <w:rPr>
                <w:rFonts w:ascii="Times New Roman" w:hAnsi="Times New Roman" w:cs="Times New Roman"/>
                <w:noProof/>
                <w:sz w:val="24"/>
                <w:lang w:val="en-GB"/>
              </w:rPr>
              <w:t>affecting communities</w:t>
            </w:r>
            <w:r w:rsidR="000E0A0D" w:rsidRPr="00E50FA4">
              <w:rPr>
                <w:rFonts w:ascii="Times New Roman" w:hAnsi="Times New Roman" w:cs="Times New Roman"/>
                <w:noProof/>
                <w:sz w:val="24"/>
                <w:lang w:val="en-GB"/>
              </w:rPr>
              <w:t xml:space="preserve"> and </w:t>
            </w:r>
            <w:r w:rsidR="00EF039B" w:rsidRPr="00E50FA4">
              <w:rPr>
                <w:rFonts w:ascii="Times New Roman" w:hAnsi="Times New Roman" w:cs="Times New Roman"/>
                <w:noProof/>
                <w:sz w:val="24"/>
                <w:lang w:val="en-GB"/>
              </w:rPr>
              <w:t xml:space="preserve">having </w:t>
            </w:r>
            <w:r w:rsidR="00233F87" w:rsidRPr="00E50FA4">
              <w:rPr>
                <w:rFonts w:ascii="Times New Roman" w:hAnsi="Times New Roman" w:cs="Times New Roman"/>
                <w:noProof/>
                <w:sz w:val="24"/>
                <w:lang w:val="en-GB"/>
              </w:rPr>
              <w:t xml:space="preserve">an </w:t>
            </w:r>
            <w:r w:rsidR="000E0A0D" w:rsidRPr="00E50FA4">
              <w:rPr>
                <w:rFonts w:ascii="Times New Roman" w:hAnsi="Times New Roman" w:cs="Times New Roman"/>
                <w:noProof/>
                <w:sz w:val="24"/>
                <w:lang w:val="en-GB"/>
              </w:rPr>
              <w:t>enhanced chance of being under public and political scrutiny</w:t>
            </w:r>
            <w:r w:rsidR="00211887" w:rsidRPr="00E50FA4">
              <w:rPr>
                <w:rFonts w:ascii="Times New Roman" w:hAnsi="Times New Roman" w:cs="Times New Roman"/>
                <w:noProof/>
                <w:sz w:val="24"/>
                <w:lang w:val="en-GB"/>
              </w:rPr>
              <w:t>.</w:t>
            </w:r>
          </w:p>
        </w:tc>
      </w:tr>
      <w:tr w:rsidR="00085BAF" w:rsidRPr="00E50FA4" w14:paraId="4A9AF1EA" w14:textId="77777777" w:rsidTr="00453CE1">
        <w:trPr>
          <w:trHeight w:val="316"/>
        </w:trPr>
        <w:tc>
          <w:tcPr>
            <w:tcW w:w="1384" w:type="dxa"/>
          </w:tcPr>
          <w:p w14:paraId="09B5475B"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(j)</w:t>
            </w:r>
          </w:p>
        </w:tc>
        <w:tc>
          <w:tcPr>
            <w:tcW w:w="7655" w:type="dxa"/>
          </w:tcPr>
          <w:p w14:paraId="0A7F2429" w14:textId="7C67B582" w:rsidR="00085BAF" w:rsidRPr="00E50FA4" w:rsidRDefault="00085BAF" w:rsidP="007C337E">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 accordance with Article 449a </w:t>
            </w:r>
            <w:r w:rsidR="00233F87" w:rsidRPr="00E50FA4">
              <w:rPr>
                <w:rFonts w:ascii="Times New Roman" w:hAnsi="Times New Roman" w:cs="Times New Roman"/>
                <w:noProof/>
                <w:sz w:val="24"/>
                <w:lang w:val="en-GB"/>
              </w:rPr>
              <w:t>of Regulation (EU) No 575/2013</w:t>
            </w:r>
            <w:r w:rsidR="00486580"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in conjunction with Article 435(1), point (a)</w:t>
            </w:r>
            <w:r w:rsidR="00633D1A"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of that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Regulation</w:t>
            </w:r>
            <w:r w:rsidRPr="00E50FA4">
              <w:rPr>
                <w:rFonts w:ascii="Times New Roman" w:eastAsia="Times New Roman" w:hAnsi="Times New Roman" w:cs="Times New Roman"/>
                <w:noProof/>
                <w:sz w:val="24"/>
                <w:lang w:val="en-GB" w:eastAsia="sv-SE"/>
              </w:rPr>
              <w:t xml:space="preserve">, </w:t>
            </w:r>
            <w:r w:rsidR="00C767CD" w:rsidRPr="00E50FA4">
              <w:rPr>
                <w:rFonts w:ascii="Times New Roman" w:hAnsi="Times New Roman" w:cs="Times New Roman"/>
                <w:noProof/>
                <w:sz w:val="24"/>
                <w:lang w:val="en-GB"/>
              </w:rPr>
              <w:t xml:space="preserve">institutions shall </w:t>
            </w:r>
            <w:r w:rsidR="007C337E" w:rsidRPr="00E50FA4">
              <w:rPr>
                <w:rFonts w:ascii="Times New Roman" w:hAnsi="Times New Roman" w:cs="Times New Roman"/>
                <w:noProof/>
                <w:sz w:val="24"/>
                <w:lang w:val="en-GB"/>
              </w:rPr>
              <w:t>provide information on</w:t>
            </w:r>
            <w:r w:rsidR="00486580" w:rsidRPr="00E50FA4">
              <w:rPr>
                <w:rFonts w:ascii="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eastAsia="sv-SE"/>
              </w:rPr>
              <w:t xml:space="preserve">the activities, commitments and assets that </w:t>
            </w:r>
            <w:r w:rsidR="00C767CD" w:rsidRPr="00E50FA4">
              <w:rPr>
                <w:rFonts w:ascii="Times New Roman" w:eastAsia="Times New Roman" w:hAnsi="Times New Roman" w:cs="Times New Roman"/>
                <w:noProof/>
                <w:sz w:val="24"/>
                <w:lang w:val="en-GB" w:eastAsia="sv-SE"/>
              </w:rPr>
              <w:t xml:space="preserve">they </w:t>
            </w:r>
            <w:r w:rsidRPr="00E50FA4">
              <w:rPr>
                <w:rFonts w:ascii="Times New Roman" w:eastAsia="Times New Roman" w:hAnsi="Times New Roman" w:cs="Times New Roman"/>
                <w:noProof/>
                <w:sz w:val="24"/>
                <w:lang w:val="en-GB" w:eastAsia="sv-SE"/>
              </w:rPr>
              <w:t>have in place to mitigate social risks</w:t>
            </w:r>
            <w:r w:rsidRPr="00E50FA4">
              <w:rPr>
                <w:rFonts w:ascii="Times New Roman" w:hAnsi="Times New Roman" w:cs="Times New Roman"/>
                <w:noProof/>
                <w:sz w:val="24"/>
                <w:lang w:val="en-GB"/>
              </w:rPr>
              <w:t>.</w:t>
            </w:r>
          </w:p>
        </w:tc>
      </w:tr>
      <w:tr w:rsidR="00085BAF" w:rsidRPr="00E50FA4" w14:paraId="697FE407" w14:textId="77777777" w:rsidTr="00453CE1">
        <w:trPr>
          <w:trHeight w:val="316"/>
        </w:trPr>
        <w:tc>
          <w:tcPr>
            <w:tcW w:w="1384" w:type="dxa"/>
          </w:tcPr>
          <w:p w14:paraId="353F809D"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(k)</w:t>
            </w:r>
          </w:p>
        </w:tc>
        <w:tc>
          <w:tcPr>
            <w:tcW w:w="7655" w:type="dxa"/>
          </w:tcPr>
          <w:p w14:paraId="6035E25F" w14:textId="36442567" w:rsidR="00211887" w:rsidRPr="00E50FA4" w:rsidRDefault="00085BAF" w:rsidP="00085BAF">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233F87" w:rsidRPr="00E50FA4">
              <w:rPr>
                <w:rFonts w:ascii="Times New Roman" w:hAnsi="Times New Roman" w:cs="Times New Roman"/>
                <w:noProof/>
                <w:sz w:val="24"/>
                <w:lang w:val="en-GB"/>
              </w:rPr>
              <w:t>of Regulation (EU) No 575/2013</w:t>
            </w:r>
            <w:r w:rsidR="00486580"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in conjunction with Article 435(1), point (a)</w:t>
            </w:r>
            <w:r w:rsidR="00633D1A"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of that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Regulation</w:t>
            </w:r>
            <w:r w:rsidRPr="00E50FA4">
              <w:rPr>
                <w:rFonts w:ascii="Times New Roman" w:eastAsia="Times New Roman" w:hAnsi="Times New Roman" w:cs="Times New Roman"/>
                <w:noProof/>
                <w:sz w:val="24"/>
                <w:lang w:val="en-GB" w:eastAsia="sv-SE"/>
              </w:rPr>
              <w:t xml:space="preserve">, </w:t>
            </w:r>
            <w:r w:rsidR="00C767CD" w:rsidRPr="00E50FA4">
              <w:rPr>
                <w:rFonts w:ascii="Times New Roman" w:hAnsi="Times New Roman" w:cs="Times New Roman"/>
                <w:noProof/>
                <w:sz w:val="24"/>
                <w:lang w:val="en-GB"/>
              </w:rPr>
              <w:t xml:space="preserve">institutions shall </w:t>
            </w:r>
            <w:r w:rsidR="007C337E" w:rsidRPr="00E50FA4">
              <w:rPr>
                <w:rFonts w:ascii="Times New Roman" w:hAnsi="Times New Roman" w:cs="Times New Roman"/>
                <w:noProof/>
                <w:sz w:val="24"/>
                <w:lang w:val="en-GB"/>
              </w:rPr>
              <w:t xml:space="preserve">provide information on </w:t>
            </w:r>
            <w:r w:rsidRPr="00E50FA4">
              <w:rPr>
                <w:rFonts w:ascii="Times New Roman" w:eastAsia="Times New Roman" w:hAnsi="Times New Roman" w:cs="Times New Roman"/>
                <w:noProof/>
                <w:sz w:val="24"/>
                <w:lang w:val="en-GB" w:eastAsia="sv-SE"/>
              </w:rPr>
              <w:t xml:space="preserve">the implementation tools that </w:t>
            </w:r>
            <w:r w:rsidR="00C767CD" w:rsidRPr="00E50FA4">
              <w:rPr>
                <w:rFonts w:ascii="Times New Roman" w:eastAsia="Times New Roman" w:hAnsi="Times New Roman" w:cs="Times New Roman"/>
                <w:noProof/>
                <w:sz w:val="24"/>
                <w:lang w:val="en-GB" w:eastAsia="sv-SE"/>
              </w:rPr>
              <w:t xml:space="preserve">they </w:t>
            </w:r>
            <w:r w:rsidRPr="00E50FA4">
              <w:rPr>
                <w:rFonts w:ascii="Times New Roman" w:eastAsia="Times New Roman" w:hAnsi="Times New Roman" w:cs="Times New Roman"/>
                <w:noProof/>
                <w:sz w:val="24"/>
                <w:lang w:val="en-GB" w:eastAsia="sv-SE"/>
              </w:rPr>
              <w:t>use for identification and management of social risks</w:t>
            </w:r>
            <w:r w:rsidR="00486580" w:rsidRPr="00E50FA4">
              <w:rPr>
                <w:rFonts w:ascii="Times New Roman" w:eastAsia="Times New Roman" w:hAnsi="Times New Roman" w:cs="Times New Roman"/>
                <w:noProof/>
                <w:sz w:val="24"/>
                <w:lang w:val="en-GB" w:eastAsia="sv-SE"/>
              </w:rPr>
              <w:t>. Such tools include the scenario</w:t>
            </w:r>
            <w:r w:rsidRPr="00E50FA4">
              <w:rPr>
                <w:rFonts w:ascii="Times New Roman" w:eastAsia="Times New Roman" w:hAnsi="Times New Roman" w:cs="Times New Roman"/>
                <w:noProof/>
                <w:sz w:val="24"/>
                <w:lang w:val="en-GB" w:eastAsia="sv-SE"/>
              </w:rPr>
              <w:t xml:space="preserve"> analysis, applied at exposure-level, portfolio-level, counterparty-level or sectoral-level and cover factors </w:t>
            </w:r>
            <w:r w:rsidR="00233F87" w:rsidRPr="00E50FA4">
              <w:rPr>
                <w:rFonts w:ascii="Times New Roman" w:eastAsia="Times New Roman" w:hAnsi="Times New Roman" w:cs="Times New Roman"/>
                <w:noProof/>
                <w:sz w:val="24"/>
                <w:lang w:val="en-GB" w:eastAsia="sv-SE"/>
              </w:rPr>
              <w:t>including</w:t>
            </w:r>
            <w:r w:rsidRPr="00E50FA4">
              <w:rPr>
                <w:rFonts w:ascii="Times New Roman" w:eastAsia="Times New Roman" w:hAnsi="Times New Roman" w:cs="Times New Roman"/>
                <w:noProof/>
                <w:sz w:val="24"/>
                <w:lang w:val="en-GB" w:eastAsia="sv-SE"/>
              </w:rPr>
              <w:t xml:space="preserve"> migration, demographic trends, change in labour force</w:t>
            </w:r>
            <w:r w:rsidR="00233F87" w:rsidRPr="00E50FA4">
              <w:rPr>
                <w:rFonts w:ascii="Times New Roman" w:eastAsia="Times New Roman" w:hAnsi="Times New Roman" w:cs="Times New Roman"/>
                <w:noProof/>
                <w:sz w:val="24"/>
                <w:lang w:val="en-GB" w:eastAsia="sv-SE"/>
              </w:rPr>
              <w:t xml:space="preserve"> and</w:t>
            </w:r>
            <w:r w:rsidRPr="00E50FA4">
              <w:rPr>
                <w:rFonts w:ascii="Times New Roman" w:eastAsia="Times New Roman" w:hAnsi="Times New Roman" w:cs="Times New Roman"/>
                <w:noProof/>
                <w:sz w:val="24"/>
                <w:lang w:val="en-GB" w:eastAsia="sv-SE"/>
              </w:rPr>
              <w:t xml:space="preserve"> technological change.</w:t>
            </w:r>
          </w:p>
          <w:p w14:paraId="0E3A4077" w14:textId="34BAB921" w:rsidR="00211887" w:rsidRPr="00E50FA4" w:rsidRDefault="00C767CD" w:rsidP="00211887">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S</w:t>
            </w:r>
            <w:r w:rsidR="00211887" w:rsidRPr="00E50FA4">
              <w:rPr>
                <w:rFonts w:ascii="Times New Roman" w:eastAsia="Times New Roman" w:hAnsi="Times New Roman" w:cs="Times New Roman"/>
                <w:noProof/>
                <w:sz w:val="24"/>
                <w:lang w:val="en-GB" w:eastAsia="sv-SE"/>
              </w:rPr>
              <w:t xml:space="preserve">ocial risks can </w:t>
            </w:r>
            <w:r w:rsidR="00486580" w:rsidRPr="00E50FA4">
              <w:rPr>
                <w:rFonts w:ascii="Times New Roman" w:eastAsia="Times New Roman" w:hAnsi="Times New Roman" w:cs="Times New Roman"/>
                <w:noProof/>
                <w:sz w:val="24"/>
                <w:lang w:val="en-GB" w:eastAsia="sv-SE"/>
              </w:rPr>
              <w:t xml:space="preserve">also </w:t>
            </w:r>
            <w:r w:rsidR="00211887" w:rsidRPr="00E50FA4">
              <w:rPr>
                <w:rFonts w:ascii="Times New Roman" w:eastAsia="Times New Roman" w:hAnsi="Times New Roman" w:cs="Times New Roman"/>
                <w:noProof/>
                <w:sz w:val="24"/>
                <w:lang w:val="en-GB" w:eastAsia="sv-SE"/>
              </w:rPr>
              <w:t>include change of consumer behaviour, issues around discrimination and social inclusiveness, scenario</w:t>
            </w:r>
            <w:r w:rsidR="00486580" w:rsidRPr="00E50FA4">
              <w:rPr>
                <w:rFonts w:ascii="Times New Roman" w:eastAsia="Times New Roman" w:hAnsi="Times New Roman" w:cs="Times New Roman"/>
                <w:noProof/>
                <w:sz w:val="24"/>
                <w:lang w:val="en-GB" w:eastAsia="sv-SE"/>
              </w:rPr>
              <w:t xml:space="preserve"> analysis on</w:t>
            </w:r>
            <w:r w:rsidR="00211887" w:rsidRPr="00E50FA4">
              <w:rPr>
                <w:rFonts w:ascii="Times New Roman" w:eastAsia="Times New Roman" w:hAnsi="Times New Roman" w:cs="Times New Roman"/>
                <w:noProof/>
                <w:sz w:val="24"/>
                <w:lang w:val="en-GB" w:eastAsia="sv-SE"/>
              </w:rPr>
              <w:t xml:space="preserve"> increasing inequality, social impact of climate change, climate</w:t>
            </w:r>
            <w:r w:rsidR="00633D1A" w:rsidRPr="00E50FA4">
              <w:rPr>
                <w:rFonts w:ascii="Times New Roman" w:eastAsia="Times New Roman" w:hAnsi="Times New Roman" w:cs="Times New Roman"/>
                <w:noProof/>
                <w:sz w:val="24"/>
                <w:lang w:val="en-GB" w:eastAsia="sv-SE"/>
              </w:rPr>
              <w:t xml:space="preserve"> change</w:t>
            </w:r>
            <w:r w:rsidR="00211887" w:rsidRPr="00E50FA4">
              <w:rPr>
                <w:rFonts w:ascii="Times New Roman" w:eastAsia="Times New Roman" w:hAnsi="Times New Roman" w:cs="Times New Roman"/>
                <w:noProof/>
                <w:sz w:val="24"/>
                <w:lang w:val="en-GB" w:eastAsia="sv-SE"/>
              </w:rPr>
              <w:t xml:space="preserve"> adaptation</w:t>
            </w:r>
            <w:r w:rsidR="005F5ED9" w:rsidRPr="00E50FA4">
              <w:rPr>
                <w:rFonts w:ascii="Times New Roman" w:eastAsia="Times New Roman" w:hAnsi="Times New Roman" w:cs="Times New Roman"/>
                <w:noProof/>
                <w:sz w:val="24"/>
                <w:lang w:val="en-GB" w:eastAsia="sv-SE"/>
              </w:rPr>
              <w:t>/mitigation</w:t>
            </w:r>
            <w:r w:rsidR="00211887" w:rsidRPr="00E50FA4">
              <w:rPr>
                <w:rFonts w:ascii="Times New Roman" w:eastAsia="Times New Roman" w:hAnsi="Times New Roman" w:cs="Times New Roman"/>
                <w:noProof/>
                <w:sz w:val="24"/>
                <w:lang w:val="en-GB" w:eastAsia="sv-SE"/>
              </w:rPr>
              <w:t xml:space="preserve"> and environmental </w:t>
            </w:r>
            <w:r w:rsidR="005F5ED9" w:rsidRPr="00E50FA4">
              <w:rPr>
                <w:rFonts w:ascii="Times New Roman" w:eastAsia="Times New Roman" w:hAnsi="Times New Roman" w:cs="Times New Roman"/>
                <w:noProof/>
                <w:sz w:val="24"/>
                <w:lang w:val="en-GB" w:eastAsia="sv-SE"/>
              </w:rPr>
              <w:t>degradation</w:t>
            </w:r>
            <w:r w:rsidR="00211887" w:rsidRPr="00E50FA4">
              <w:rPr>
                <w:rFonts w:ascii="Times New Roman" w:eastAsia="Times New Roman" w:hAnsi="Times New Roman" w:cs="Times New Roman"/>
                <w:noProof/>
                <w:sz w:val="24"/>
                <w:lang w:val="en-GB" w:eastAsia="sv-SE"/>
              </w:rPr>
              <w:t>.</w:t>
            </w:r>
          </w:p>
          <w:p w14:paraId="6BC7C28F" w14:textId="2C42D240" w:rsidR="00085BAF" w:rsidRPr="00E50FA4" w:rsidRDefault="00C767CD" w:rsidP="00486580">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Institutions shall provide information about the a</w:t>
            </w:r>
            <w:r w:rsidR="00085BAF" w:rsidRPr="00E50FA4">
              <w:rPr>
                <w:rFonts w:ascii="Times New Roman" w:eastAsia="Times New Roman" w:hAnsi="Times New Roman" w:cs="Times New Roman"/>
                <w:noProof/>
                <w:sz w:val="24"/>
                <w:lang w:val="en-GB" w:eastAsia="sv-SE"/>
              </w:rPr>
              <w:t xml:space="preserve">ssumptions and </w:t>
            </w:r>
            <w:r w:rsidR="00486580" w:rsidRPr="00E50FA4">
              <w:rPr>
                <w:rFonts w:ascii="Times New Roman" w:eastAsia="Times New Roman" w:hAnsi="Times New Roman" w:cs="Times New Roman"/>
                <w:noProof/>
                <w:sz w:val="24"/>
                <w:lang w:val="en-GB" w:eastAsia="sv-SE"/>
              </w:rPr>
              <w:t>methods</w:t>
            </w:r>
            <w:r w:rsidR="00085BAF" w:rsidRPr="00E50FA4">
              <w:rPr>
                <w:rFonts w:ascii="Times New Roman" w:eastAsia="Times New Roman" w:hAnsi="Times New Roman" w:cs="Times New Roman"/>
                <w:noProof/>
                <w:sz w:val="24"/>
                <w:lang w:val="en-GB" w:eastAsia="sv-SE"/>
              </w:rPr>
              <w:t xml:space="preserve"> </w:t>
            </w:r>
            <w:r w:rsidR="00486580" w:rsidRPr="00E50FA4">
              <w:rPr>
                <w:rFonts w:ascii="Times New Roman" w:eastAsia="Times New Roman" w:hAnsi="Times New Roman" w:cs="Times New Roman"/>
                <w:noProof/>
                <w:sz w:val="24"/>
                <w:lang w:val="en-GB" w:eastAsia="sv-SE"/>
              </w:rPr>
              <w:t xml:space="preserve">used to perform </w:t>
            </w:r>
            <w:r w:rsidR="00085BAF" w:rsidRPr="00E50FA4">
              <w:rPr>
                <w:rFonts w:ascii="Times New Roman" w:eastAsia="Times New Roman" w:hAnsi="Times New Roman" w:cs="Times New Roman"/>
                <w:noProof/>
                <w:sz w:val="24"/>
                <w:lang w:val="en-GB" w:eastAsia="sv-SE"/>
              </w:rPr>
              <w:t xml:space="preserve">such scenario </w:t>
            </w:r>
            <w:r w:rsidR="00486580" w:rsidRPr="00E50FA4">
              <w:rPr>
                <w:rFonts w:ascii="Times New Roman" w:eastAsia="Times New Roman" w:hAnsi="Times New Roman" w:cs="Times New Roman"/>
                <w:noProof/>
                <w:sz w:val="24"/>
                <w:lang w:val="en-GB" w:eastAsia="sv-SE"/>
              </w:rPr>
              <w:t>analysis</w:t>
            </w:r>
            <w:r w:rsidR="00085BAF" w:rsidRPr="00E50FA4">
              <w:rPr>
                <w:rFonts w:ascii="Times New Roman" w:eastAsia="Times New Roman" w:hAnsi="Times New Roman" w:cs="Times New Roman"/>
                <w:noProof/>
                <w:sz w:val="24"/>
                <w:lang w:val="en-GB" w:eastAsia="sv-SE"/>
              </w:rPr>
              <w:t xml:space="preserve">. </w:t>
            </w:r>
            <w:r w:rsidR="00FB2E7A" w:rsidRPr="00E50FA4">
              <w:rPr>
                <w:rFonts w:ascii="Times New Roman" w:eastAsia="Times New Roman" w:hAnsi="Times New Roman" w:cs="Times New Roman"/>
                <w:noProof/>
                <w:sz w:val="24"/>
                <w:lang w:val="en-GB" w:eastAsia="sv-SE"/>
              </w:rPr>
              <w:t xml:space="preserve">Institutions </w:t>
            </w:r>
            <w:r w:rsidR="00085BAF" w:rsidRPr="00E50FA4">
              <w:rPr>
                <w:rFonts w:ascii="Times New Roman" w:eastAsia="Times New Roman" w:hAnsi="Times New Roman" w:cs="Times New Roman"/>
                <w:noProof/>
                <w:sz w:val="24"/>
                <w:lang w:val="en-GB" w:eastAsia="sv-SE"/>
              </w:rPr>
              <w:t xml:space="preserve">shall indicate the time horizon used for the assessment of the social risk on the accounting and prudential metrics, </w:t>
            </w:r>
            <w:r w:rsidR="00F86FB8" w:rsidRPr="00E50FA4">
              <w:rPr>
                <w:rFonts w:ascii="Times New Roman" w:eastAsia="Times New Roman" w:hAnsi="Times New Roman" w:cs="Times New Roman"/>
                <w:noProof/>
                <w:sz w:val="24"/>
                <w:lang w:val="en-GB" w:eastAsia="sv-SE"/>
              </w:rPr>
              <w:t>i.e.</w:t>
            </w:r>
            <w:r w:rsidR="00085BAF" w:rsidRPr="00E50FA4">
              <w:rPr>
                <w:rFonts w:ascii="Times New Roman" w:eastAsia="Times New Roman" w:hAnsi="Times New Roman" w:cs="Times New Roman"/>
                <w:noProof/>
                <w:sz w:val="24"/>
                <w:lang w:val="en-GB" w:eastAsia="sv-SE"/>
              </w:rPr>
              <w:t xml:space="preserve"> short-term, medium-term or long-term time horizon.</w:t>
            </w:r>
          </w:p>
        </w:tc>
      </w:tr>
      <w:tr w:rsidR="00085BAF" w:rsidRPr="00E50FA4" w14:paraId="0BFA423F" w14:textId="77777777" w:rsidTr="00453CE1">
        <w:trPr>
          <w:trHeight w:val="316"/>
        </w:trPr>
        <w:tc>
          <w:tcPr>
            <w:tcW w:w="1384" w:type="dxa"/>
          </w:tcPr>
          <w:p w14:paraId="6A5BD8F3"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(l)</w:t>
            </w:r>
          </w:p>
        </w:tc>
        <w:tc>
          <w:tcPr>
            <w:tcW w:w="7655" w:type="dxa"/>
          </w:tcPr>
          <w:p w14:paraId="609EDE82" w14:textId="15FD4405" w:rsidR="00A1551E" w:rsidRPr="00E50FA4" w:rsidRDefault="00A1551E" w:rsidP="00A1551E">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 accordance with Article 449a </w:t>
            </w:r>
            <w:r w:rsidR="00233F87" w:rsidRPr="00E50FA4">
              <w:rPr>
                <w:rFonts w:ascii="Times New Roman" w:hAnsi="Times New Roman" w:cs="Times New Roman"/>
                <w:noProof/>
                <w:sz w:val="24"/>
                <w:lang w:val="en-GB"/>
              </w:rPr>
              <w:t>of Regulation (EU) No 575/2013</w:t>
            </w:r>
            <w:r w:rsidR="00486580"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in conjunction with Article 435(1), point (f)</w:t>
            </w:r>
            <w:r w:rsidR="00143FAF"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of that</w:t>
            </w:r>
            <w:r w:rsidRPr="00E50FA4">
              <w:rPr>
                <w:rFonts w:ascii="Times New Roman" w:hAnsi="Times New Roman" w:cs="Times New Roman"/>
                <w:noProof/>
                <w:sz w:val="24"/>
                <w:lang w:val="en-GB"/>
              </w:rPr>
              <w:t xml:space="preserve"> </w:t>
            </w:r>
            <w:r w:rsidR="007F40F6" w:rsidRPr="00E50FA4">
              <w:rPr>
                <w:rFonts w:ascii="Times New Roman" w:hAnsi="Times New Roman" w:cs="Times New Roman"/>
                <w:noProof/>
                <w:sz w:val="24"/>
                <w:lang w:val="en-GB"/>
              </w:rPr>
              <w:t>Regulation</w:t>
            </w:r>
            <w:r w:rsidRPr="00E50FA4">
              <w:rPr>
                <w:rFonts w:ascii="Times New Roman" w:hAnsi="Times New Roman" w:cs="Times New Roman"/>
                <w:noProof/>
                <w:sz w:val="24"/>
                <w:lang w:val="en-GB"/>
              </w:rPr>
              <w:t>,</w:t>
            </w:r>
            <w:r w:rsidRPr="00E50FA4">
              <w:rPr>
                <w:rFonts w:ascii="Times New Roman" w:eastAsia="Times New Roman" w:hAnsi="Times New Roman" w:cs="Times New Roman"/>
                <w:noProof/>
                <w:sz w:val="24"/>
                <w:lang w:val="en-GB" w:eastAsia="sv-SE"/>
              </w:rPr>
              <w:t xml:space="preserve"> </w:t>
            </w:r>
            <w:r w:rsidR="00C767CD" w:rsidRPr="00E50FA4">
              <w:rPr>
                <w:rFonts w:ascii="Times New Roman" w:hAnsi="Times New Roman" w:cs="Times New Roman"/>
                <w:noProof/>
                <w:sz w:val="24"/>
                <w:lang w:val="en-GB"/>
              </w:rPr>
              <w:t xml:space="preserve">institutions shall </w:t>
            </w:r>
            <w:r w:rsidR="00FC3CBC" w:rsidRPr="00E50FA4">
              <w:rPr>
                <w:rFonts w:ascii="Times New Roman" w:hAnsi="Times New Roman" w:cs="Times New Roman"/>
                <w:noProof/>
                <w:sz w:val="24"/>
                <w:lang w:val="en-GB"/>
              </w:rPr>
              <w:t>provide information on</w:t>
            </w:r>
            <w:r w:rsidR="00C767CD" w:rsidRPr="00E50FA4">
              <w:rPr>
                <w:rFonts w:ascii="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eastAsia="sv-SE"/>
              </w:rPr>
              <w:t xml:space="preserve">the limits </w:t>
            </w:r>
            <w:r w:rsidR="00C767CD" w:rsidRPr="00E50FA4">
              <w:rPr>
                <w:rFonts w:ascii="Times New Roman" w:eastAsia="Times New Roman" w:hAnsi="Times New Roman" w:cs="Times New Roman"/>
                <w:noProof/>
                <w:sz w:val="24"/>
                <w:lang w:val="en-GB" w:eastAsia="sv-SE"/>
              </w:rPr>
              <w:t xml:space="preserve">they </w:t>
            </w:r>
            <w:r w:rsidRPr="00E50FA4">
              <w:rPr>
                <w:rFonts w:ascii="Times New Roman" w:eastAsia="Times New Roman" w:hAnsi="Times New Roman" w:cs="Times New Roman"/>
                <w:noProof/>
                <w:sz w:val="24"/>
                <w:lang w:val="en-GB" w:eastAsia="sv-SE"/>
              </w:rPr>
              <w:t xml:space="preserve">set </w:t>
            </w:r>
            <w:r w:rsidR="00486580" w:rsidRPr="00E50FA4">
              <w:rPr>
                <w:rFonts w:ascii="Times New Roman" w:eastAsia="Times New Roman" w:hAnsi="Times New Roman" w:cs="Times New Roman"/>
                <w:noProof/>
                <w:sz w:val="24"/>
                <w:lang w:val="en-GB" w:eastAsia="sv-SE"/>
              </w:rPr>
              <w:t xml:space="preserve">out in relation to </w:t>
            </w:r>
            <w:r w:rsidRPr="00E50FA4">
              <w:rPr>
                <w:rFonts w:ascii="Times New Roman" w:eastAsia="Times New Roman" w:hAnsi="Times New Roman" w:cs="Times New Roman"/>
                <w:noProof/>
                <w:sz w:val="24"/>
                <w:lang w:val="en-GB" w:eastAsia="sv-SE"/>
              </w:rPr>
              <w:t xml:space="preserve">financing projects or counterparties which significantly harm </w:t>
            </w:r>
            <w:r w:rsidR="00486580" w:rsidRPr="00E50FA4">
              <w:rPr>
                <w:rFonts w:ascii="Times New Roman" w:eastAsia="Times New Roman" w:hAnsi="Times New Roman" w:cs="Times New Roman"/>
                <w:noProof/>
                <w:sz w:val="24"/>
                <w:lang w:val="en-GB" w:eastAsia="sv-SE"/>
              </w:rPr>
              <w:t xml:space="preserve">the </w:t>
            </w:r>
            <w:r w:rsidRPr="00E50FA4">
              <w:rPr>
                <w:rFonts w:ascii="Times New Roman" w:eastAsia="Times New Roman" w:hAnsi="Times New Roman" w:cs="Times New Roman"/>
                <w:noProof/>
                <w:sz w:val="24"/>
                <w:lang w:val="en-GB" w:eastAsia="sv-SE"/>
              </w:rPr>
              <w:t xml:space="preserve">social objectives </w:t>
            </w:r>
            <w:r w:rsidR="00486580" w:rsidRPr="00E50FA4">
              <w:rPr>
                <w:rFonts w:ascii="Times New Roman" w:eastAsia="Times New Roman" w:hAnsi="Times New Roman" w:cs="Times New Roman"/>
                <w:noProof/>
                <w:sz w:val="24"/>
                <w:lang w:val="en-GB" w:eastAsia="sv-SE"/>
              </w:rPr>
              <w:t>of their</w:t>
            </w:r>
            <w:r w:rsidRPr="00E50FA4">
              <w:rPr>
                <w:rFonts w:ascii="Times New Roman" w:eastAsia="Times New Roman" w:hAnsi="Times New Roman" w:cs="Times New Roman"/>
                <w:noProof/>
                <w:sz w:val="24"/>
                <w:lang w:val="en-GB" w:eastAsia="sv-SE"/>
              </w:rPr>
              <w:t xml:space="preserve">  business strategy.</w:t>
            </w:r>
          </w:p>
          <w:p w14:paraId="49CB0136" w14:textId="7EC4A654" w:rsidR="00085BAF" w:rsidRPr="00E50FA4" w:rsidRDefault="00486580" w:rsidP="00486580">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 xml:space="preserve">Such limits </w:t>
            </w:r>
            <w:r w:rsidR="00A1551E" w:rsidRPr="00E50FA4">
              <w:rPr>
                <w:rFonts w:ascii="Times New Roman" w:eastAsia="Times New Roman" w:hAnsi="Times New Roman" w:cs="Times New Roman"/>
                <w:noProof/>
                <w:sz w:val="24"/>
                <w:lang w:val="en-GB" w:eastAsia="sv-SE"/>
              </w:rPr>
              <w:t xml:space="preserve">shall include </w:t>
            </w:r>
            <w:r w:rsidRPr="00E50FA4">
              <w:rPr>
                <w:rFonts w:ascii="Times New Roman" w:eastAsia="Times New Roman" w:hAnsi="Times New Roman" w:cs="Times New Roman"/>
                <w:noProof/>
                <w:sz w:val="24"/>
                <w:lang w:val="en-GB" w:eastAsia="sv-SE"/>
              </w:rPr>
              <w:t>those set</w:t>
            </w:r>
            <w:r w:rsidR="00A1551E" w:rsidRPr="00E50FA4">
              <w:rPr>
                <w:rFonts w:ascii="Times New Roman" w:eastAsia="Times New Roman" w:hAnsi="Times New Roman" w:cs="Times New Roman"/>
                <w:noProof/>
                <w:sz w:val="24"/>
                <w:lang w:val="en-GB" w:eastAsia="sv-SE"/>
              </w:rPr>
              <w:t xml:space="preserve"> by institutions at the point of origination and monitoring to avoid or mitigate social risks </w:t>
            </w:r>
            <w:r w:rsidRPr="00E50FA4">
              <w:rPr>
                <w:rFonts w:ascii="Times New Roman" w:eastAsia="Times New Roman" w:hAnsi="Times New Roman" w:cs="Times New Roman"/>
                <w:noProof/>
                <w:sz w:val="24"/>
                <w:lang w:val="en-GB" w:eastAsia="sv-SE"/>
              </w:rPr>
              <w:t xml:space="preserve">as well as the </w:t>
            </w:r>
            <w:r w:rsidR="00A1551E" w:rsidRPr="00E50FA4">
              <w:rPr>
                <w:rFonts w:ascii="Times New Roman" w:eastAsia="Times New Roman" w:hAnsi="Times New Roman" w:cs="Times New Roman"/>
                <w:noProof/>
                <w:sz w:val="24"/>
                <w:lang w:val="en-GB" w:eastAsia="sv-SE"/>
              </w:rPr>
              <w:t xml:space="preserve">limits that indicate when a specific exposure would trigger further investigation, internal escalation, </w:t>
            </w:r>
            <w:r w:rsidRPr="00E50FA4">
              <w:rPr>
                <w:rFonts w:ascii="Times New Roman" w:eastAsia="Times New Roman" w:hAnsi="Times New Roman" w:cs="Times New Roman"/>
                <w:noProof/>
                <w:sz w:val="24"/>
                <w:lang w:val="en-GB" w:eastAsia="sv-SE"/>
              </w:rPr>
              <w:t xml:space="preserve">corrective actions </w:t>
            </w:r>
            <w:r w:rsidR="00A1551E" w:rsidRPr="00E50FA4">
              <w:rPr>
                <w:rFonts w:ascii="Times New Roman" w:eastAsia="Times New Roman" w:hAnsi="Times New Roman" w:cs="Times New Roman"/>
                <w:noProof/>
                <w:sz w:val="24"/>
                <w:lang w:val="en-GB" w:eastAsia="sv-SE"/>
              </w:rPr>
              <w:t xml:space="preserve">or exclusion from </w:t>
            </w:r>
            <w:r w:rsidR="00233F87" w:rsidRPr="00E50FA4">
              <w:rPr>
                <w:rFonts w:ascii="Times New Roman" w:eastAsia="Times New Roman" w:hAnsi="Times New Roman" w:cs="Times New Roman"/>
                <w:noProof/>
                <w:sz w:val="24"/>
                <w:lang w:val="en-GB" w:eastAsia="sv-SE"/>
              </w:rPr>
              <w:t xml:space="preserve">the </w:t>
            </w:r>
            <w:r w:rsidR="00A1551E" w:rsidRPr="00E50FA4">
              <w:rPr>
                <w:rFonts w:ascii="Times New Roman" w:eastAsia="Times New Roman" w:hAnsi="Times New Roman" w:cs="Times New Roman"/>
                <w:noProof/>
                <w:sz w:val="24"/>
                <w:lang w:val="en-GB" w:eastAsia="sv-SE"/>
              </w:rPr>
              <w:t>portfolio.</w:t>
            </w:r>
          </w:p>
        </w:tc>
      </w:tr>
      <w:tr w:rsidR="00085BAF" w:rsidRPr="00E50FA4" w14:paraId="65F64E12" w14:textId="77777777" w:rsidTr="00453CE1">
        <w:trPr>
          <w:trHeight w:val="316"/>
        </w:trPr>
        <w:tc>
          <w:tcPr>
            <w:tcW w:w="1384" w:type="dxa"/>
          </w:tcPr>
          <w:p w14:paraId="1ACC2542" w14:textId="77777777" w:rsidR="00085BAF" w:rsidRPr="00E50FA4" w:rsidRDefault="00085BAF" w:rsidP="00085BAF">
            <w:pPr>
              <w:autoSpaceDE w:val="0"/>
              <w:autoSpaceDN w:val="0"/>
              <w:adjustRightInd w:val="0"/>
              <w:jc w:val="both"/>
              <w:rPr>
                <w:rFonts w:ascii="Times New Roman" w:hAnsi="Times New Roman" w:cs="Times New Roman"/>
                <w:noProof/>
                <w:sz w:val="24"/>
                <w:lang w:val="en-GB"/>
              </w:rPr>
            </w:pPr>
            <w:r w:rsidRPr="00E50FA4">
              <w:rPr>
                <w:noProof/>
                <w:lang w:val="en-GB"/>
              </w:rPr>
              <w:t>(m)</w:t>
            </w:r>
          </w:p>
        </w:tc>
        <w:tc>
          <w:tcPr>
            <w:tcW w:w="7655" w:type="dxa"/>
          </w:tcPr>
          <w:p w14:paraId="24BE1B90" w14:textId="7C0CBA40" w:rsidR="00085BAF" w:rsidRPr="00E50FA4" w:rsidRDefault="00085BAF" w:rsidP="00085BAF">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233F87" w:rsidRPr="00E50FA4">
              <w:rPr>
                <w:rFonts w:ascii="Times New Roman" w:hAnsi="Times New Roman" w:cs="Times New Roman"/>
                <w:noProof/>
                <w:sz w:val="24"/>
                <w:lang w:val="en-GB"/>
              </w:rPr>
              <w:t xml:space="preserve">of </w:t>
            </w:r>
            <w:r w:rsidR="007F40F6" w:rsidRPr="00E50FA4">
              <w:rPr>
                <w:rFonts w:ascii="Times New Roman" w:hAnsi="Times New Roman" w:cs="Times New Roman"/>
                <w:noProof/>
                <w:sz w:val="24"/>
                <w:lang w:val="en-GB"/>
              </w:rPr>
              <w:t>Regulation (EU) No 575/2013</w:t>
            </w:r>
            <w:r w:rsidRPr="00E50FA4">
              <w:rPr>
                <w:rFonts w:ascii="Times New Roman" w:eastAsia="Times New Roman" w:hAnsi="Times New Roman" w:cs="Times New Roman"/>
                <w:noProof/>
                <w:sz w:val="24"/>
                <w:lang w:val="en-GB" w:eastAsia="sv-SE"/>
              </w:rPr>
              <w:t xml:space="preserve">, </w:t>
            </w:r>
            <w:r w:rsidR="00C767CD" w:rsidRPr="00E50FA4">
              <w:rPr>
                <w:rFonts w:ascii="Times New Roman" w:hAnsi="Times New Roman" w:cs="Times New Roman"/>
                <w:noProof/>
                <w:sz w:val="24"/>
                <w:lang w:val="en-GB"/>
              </w:rPr>
              <w:t xml:space="preserve">institutions shall </w:t>
            </w:r>
            <w:r w:rsidR="003675DE" w:rsidRPr="00E50FA4">
              <w:rPr>
                <w:rFonts w:ascii="Times New Roman" w:hAnsi="Times New Roman" w:cs="Times New Roman"/>
                <w:noProof/>
                <w:sz w:val="24"/>
                <w:lang w:val="en-GB"/>
              </w:rPr>
              <w:t xml:space="preserve">provide information on </w:t>
            </w:r>
            <w:r w:rsidRPr="00E50FA4">
              <w:rPr>
                <w:rFonts w:ascii="Times New Roman" w:eastAsia="Times New Roman" w:hAnsi="Times New Roman" w:cs="Times New Roman"/>
                <w:noProof/>
                <w:sz w:val="24"/>
                <w:lang w:val="en-GB" w:eastAsia="sv-SE"/>
              </w:rPr>
              <w:t xml:space="preserve">the ways </w:t>
            </w:r>
            <w:r w:rsidR="00233F87" w:rsidRPr="00E50FA4">
              <w:rPr>
                <w:rFonts w:ascii="Times New Roman" w:eastAsia="Times New Roman" w:hAnsi="Times New Roman" w:cs="Times New Roman"/>
                <w:noProof/>
                <w:sz w:val="24"/>
                <w:lang w:val="en-GB" w:eastAsia="sv-SE"/>
              </w:rPr>
              <w:t xml:space="preserve">in which </w:t>
            </w:r>
            <w:r w:rsidRPr="00E50FA4">
              <w:rPr>
                <w:rFonts w:ascii="Times New Roman" w:eastAsia="Times New Roman" w:hAnsi="Times New Roman" w:cs="Times New Roman"/>
                <w:noProof/>
                <w:sz w:val="24"/>
                <w:lang w:val="en-GB" w:eastAsia="sv-SE"/>
              </w:rPr>
              <w:t>the</w:t>
            </w:r>
            <w:r w:rsidR="00C767CD" w:rsidRPr="00E50FA4">
              <w:rPr>
                <w:rFonts w:ascii="Times New Roman" w:eastAsia="Times New Roman" w:hAnsi="Times New Roman" w:cs="Times New Roman"/>
                <w:noProof/>
                <w:sz w:val="24"/>
                <w:lang w:val="en-GB" w:eastAsia="sv-SE"/>
              </w:rPr>
              <w:t>y</w:t>
            </w:r>
            <w:r w:rsidR="00486580" w:rsidRPr="00E50FA4">
              <w:rPr>
                <w:rFonts w:ascii="Times New Roman" w:eastAsia="Times New Roman" w:hAnsi="Times New Roman" w:cs="Times New Roman"/>
                <w:noProof/>
                <w:sz w:val="24"/>
                <w:lang w:val="en-GB" w:eastAsia="sv-SE"/>
              </w:rPr>
              <w:t xml:space="preserve"> </w:t>
            </w:r>
            <w:r w:rsidRPr="00E50FA4">
              <w:rPr>
                <w:rFonts w:ascii="Times New Roman" w:eastAsia="Times New Roman" w:hAnsi="Times New Roman" w:cs="Times New Roman"/>
                <w:noProof/>
                <w:sz w:val="24"/>
                <w:lang w:val="en-GB" w:eastAsia="sv-SE"/>
              </w:rPr>
              <w:t xml:space="preserve">map and link the </w:t>
            </w:r>
            <w:r w:rsidR="00486580" w:rsidRPr="00E50FA4">
              <w:rPr>
                <w:rFonts w:ascii="Times New Roman" w:eastAsia="Times New Roman" w:hAnsi="Times New Roman" w:cs="Times New Roman"/>
                <w:noProof/>
                <w:sz w:val="24"/>
                <w:lang w:val="en-GB" w:eastAsia="sv-SE"/>
              </w:rPr>
              <w:t xml:space="preserve">emergence </w:t>
            </w:r>
            <w:r w:rsidRPr="00E50FA4">
              <w:rPr>
                <w:rFonts w:ascii="Times New Roman" w:eastAsia="Times New Roman" w:hAnsi="Times New Roman" w:cs="Times New Roman"/>
                <w:noProof/>
                <w:sz w:val="24"/>
                <w:lang w:val="en-GB" w:eastAsia="sv-SE"/>
              </w:rPr>
              <w:t>of social risks on their balance sheet through credit risk, liquidity risk, market risk and operational risk.</w:t>
            </w:r>
          </w:p>
          <w:p w14:paraId="2C341AD6" w14:textId="278ECDAC" w:rsidR="00085BAF" w:rsidRPr="00E50FA4" w:rsidRDefault="00C767CD" w:rsidP="00862D53">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Institutions </w:t>
            </w:r>
            <w:r w:rsidR="00862D53" w:rsidRPr="00E50FA4">
              <w:rPr>
                <w:rFonts w:ascii="Times New Roman" w:hAnsi="Times New Roman" w:cs="Times New Roman"/>
                <w:noProof/>
                <w:sz w:val="24"/>
                <w:lang w:val="en-GB"/>
              </w:rPr>
              <w:t xml:space="preserve">are to </w:t>
            </w:r>
            <w:r w:rsidRPr="00E50FA4">
              <w:rPr>
                <w:rFonts w:ascii="Times New Roman" w:hAnsi="Times New Roman" w:cs="Times New Roman"/>
                <w:noProof/>
                <w:sz w:val="24"/>
                <w:lang w:val="en-GB"/>
              </w:rPr>
              <w:t xml:space="preserve">provide information on </w:t>
            </w:r>
            <w:r w:rsidRPr="00E50FA4">
              <w:rPr>
                <w:rFonts w:ascii="Times New Roman" w:eastAsia="Times New Roman" w:hAnsi="Times New Roman" w:cs="Times New Roman"/>
                <w:noProof/>
                <w:sz w:val="24"/>
                <w:lang w:val="en-GB" w:eastAsia="sv-SE"/>
              </w:rPr>
              <w:t>t</w:t>
            </w:r>
            <w:r w:rsidR="00085BAF" w:rsidRPr="00E50FA4">
              <w:rPr>
                <w:rFonts w:ascii="Times New Roman" w:eastAsia="Times New Roman" w:hAnsi="Times New Roman" w:cs="Times New Roman"/>
                <w:noProof/>
                <w:sz w:val="24"/>
                <w:lang w:val="en-GB" w:eastAsia="sv-SE"/>
              </w:rPr>
              <w:t>he ways in which the</w:t>
            </w:r>
            <w:r w:rsidRPr="00E50FA4">
              <w:rPr>
                <w:rFonts w:ascii="Times New Roman" w:eastAsia="Times New Roman" w:hAnsi="Times New Roman" w:cs="Times New Roman"/>
                <w:noProof/>
                <w:sz w:val="24"/>
                <w:lang w:val="en-GB" w:eastAsia="sv-SE"/>
              </w:rPr>
              <w:t>y</w:t>
            </w:r>
            <w:r w:rsidR="00085BAF" w:rsidRPr="00E50FA4">
              <w:rPr>
                <w:rFonts w:ascii="Times New Roman" w:eastAsia="Times New Roman" w:hAnsi="Times New Roman" w:cs="Times New Roman"/>
                <w:noProof/>
                <w:sz w:val="24"/>
                <w:lang w:val="en-GB" w:eastAsia="sv-SE"/>
              </w:rPr>
              <w:t xml:space="preserve"> assess and manage the impact of relevant socially harmful events on the prudential risks categories including credit risk, liquidity risk, market risk and operational risk.</w:t>
            </w:r>
          </w:p>
        </w:tc>
      </w:tr>
    </w:tbl>
    <w:p w14:paraId="351DE992" w14:textId="77777777" w:rsidR="001F2096" w:rsidRPr="00E50FA4" w:rsidRDefault="001F2096" w:rsidP="001A08A2">
      <w:pPr>
        <w:jc w:val="both"/>
        <w:rPr>
          <w:rFonts w:ascii="Times New Roman" w:hAnsi="Times New Roman" w:cs="Times New Roman"/>
          <w:noProof/>
          <w:sz w:val="24"/>
          <w:lang w:val="en-GB"/>
        </w:rPr>
      </w:pPr>
    </w:p>
    <w:p w14:paraId="5796687E" w14:textId="77777777" w:rsidR="007A6AB7" w:rsidRPr="00E50FA4" w:rsidRDefault="007A6AB7" w:rsidP="00720CB4">
      <w:pPr>
        <w:jc w:val="both"/>
        <w:rPr>
          <w:rFonts w:ascii="Times New Roman" w:hAnsi="Times New Roman" w:cs="Times New Roman"/>
          <w:noProof/>
          <w:sz w:val="24"/>
          <w:lang w:val="en-GB"/>
        </w:rPr>
      </w:pPr>
      <w:r w:rsidRPr="00E50FA4">
        <w:rPr>
          <w:rFonts w:ascii="Times New Roman" w:hAnsi="Times New Roman" w:cs="Times New Roman"/>
          <w:b/>
          <w:noProof/>
          <w:sz w:val="24"/>
          <w:lang w:val="en-GB"/>
        </w:rPr>
        <w:t>Table</w:t>
      </w:r>
      <w:r w:rsidR="00C168F0" w:rsidRPr="00E50FA4">
        <w:rPr>
          <w:rFonts w:ascii="Times New Roman" w:hAnsi="Times New Roman" w:cs="Times New Roman"/>
          <w:b/>
          <w:noProof/>
          <w:sz w:val="24"/>
          <w:lang w:val="en-GB"/>
        </w:rPr>
        <w:t xml:space="preserve"> 3</w:t>
      </w:r>
      <w:r w:rsidRPr="00E50FA4">
        <w:rPr>
          <w:rFonts w:ascii="Times New Roman" w:hAnsi="Times New Roman" w:cs="Times New Roman"/>
          <w:b/>
          <w:noProof/>
          <w:sz w:val="24"/>
          <w:lang w:val="en-GB"/>
        </w:rPr>
        <w:t xml:space="preserve"> – Qualitative information on Governance risk:</w:t>
      </w:r>
      <w:r w:rsidRPr="00E50FA4">
        <w:rPr>
          <w:rFonts w:ascii="Times New Roman" w:hAnsi="Times New Roman" w:cs="Times New Roman"/>
          <w:noProof/>
          <w:sz w:val="24"/>
          <w:lang w:val="en-GB"/>
        </w:rPr>
        <w:t xml:space="preserve"> Free format text boxes for disclosure of qualitative information in Annex XXX</w:t>
      </w:r>
      <w:r w:rsidR="00C97892" w:rsidRPr="00E50FA4">
        <w:rPr>
          <w:rFonts w:ascii="Times New Roman" w:hAnsi="Times New Roman" w:cs="Times New Roman"/>
          <w:noProof/>
          <w:sz w:val="24"/>
          <w:lang w:val="en-GB"/>
        </w:rPr>
        <w:t>VII</w:t>
      </w:r>
    </w:p>
    <w:p w14:paraId="40339D8A" w14:textId="06C5D09C" w:rsidR="007A6AB7" w:rsidRPr="00E50FA4" w:rsidRDefault="007A6AB7" w:rsidP="00B76863">
      <w:pPr>
        <w:pStyle w:val="ListParagraph"/>
        <w:numPr>
          <w:ilvl w:val="0"/>
          <w:numId w:val="11"/>
        </w:numPr>
        <w:tabs>
          <w:tab w:val="left" w:pos="567"/>
        </w:tabs>
        <w:spacing w:before="120" w:after="120"/>
        <w:ind w:left="0" w:firstLine="0"/>
        <w:jc w:val="both"/>
        <w:rPr>
          <w:noProof/>
        </w:rPr>
      </w:pPr>
      <w:r w:rsidRPr="00E50FA4">
        <w:rPr>
          <w:rFonts w:ascii="Times New Roman" w:hAnsi="Times New Roman"/>
          <w:noProof/>
          <w:sz w:val="24"/>
        </w:rPr>
        <w:t xml:space="preserve">Institutions shall </w:t>
      </w:r>
      <w:r w:rsidR="001C717A" w:rsidRPr="00E50FA4">
        <w:rPr>
          <w:rFonts w:ascii="Times New Roman" w:hAnsi="Times New Roman"/>
          <w:noProof/>
          <w:sz w:val="24"/>
        </w:rPr>
        <w:t xml:space="preserve">use </w:t>
      </w:r>
      <w:r w:rsidR="00B30352" w:rsidRPr="00E50FA4">
        <w:rPr>
          <w:rFonts w:ascii="Times New Roman" w:hAnsi="Times New Roman"/>
          <w:noProof/>
          <w:sz w:val="24"/>
        </w:rPr>
        <w:t>the</w:t>
      </w:r>
      <w:r w:rsidR="00233F87" w:rsidRPr="00E50FA4">
        <w:rPr>
          <w:rFonts w:ascii="Times New Roman" w:hAnsi="Times New Roman"/>
          <w:noProof/>
          <w:sz w:val="24"/>
        </w:rPr>
        <w:t xml:space="preserve"> following</w:t>
      </w:r>
      <w:r w:rsidR="00B30352" w:rsidRPr="00E50FA4">
        <w:rPr>
          <w:rFonts w:ascii="Times New Roman" w:hAnsi="Times New Roman"/>
          <w:noProof/>
          <w:sz w:val="24"/>
        </w:rPr>
        <w:t xml:space="preserve"> instructions to complete Table</w:t>
      </w:r>
      <w:r w:rsidR="00233F87" w:rsidRPr="00E50FA4">
        <w:rPr>
          <w:rFonts w:ascii="Times New Roman" w:hAnsi="Times New Roman"/>
          <w:noProof/>
          <w:sz w:val="24"/>
        </w:rPr>
        <w:t> </w:t>
      </w:r>
      <w:r w:rsidR="00B30352" w:rsidRPr="00E50FA4">
        <w:rPr>
          <w:rFonts w:ascii="Times New Roman" w:hAnsi="Times New Roman"/>
          <w:noProof/>
          <w:sz w:val="24"/>
        </w:rPr>
        <w:t xml:space="preserve">3 – Qualitative information on Governance risk </w:t>
      </w:r>
      <w:r w:rsidR="009906F2" w:rsidRPr="00E50FA4">
        <w:rPr>
          <w:rFonts w:ascii="Times New Roman" w:hAnsi="Times New Roman"/>
          <w:noProof/>
          <w:sz w:val="24"/>
        </w:rPr>
        <w:t>set out</w:t>
      </w:r>
      <w:r w:rsidR="00B30352" w:rsidRPr="00E50FA4">
        <w:rPr>
          <w:rFonts w:ascii="Times New Roman" w:hAnsi="Times New Roman"/>
          <w:noProof/>
          <w:sz w:val="24"/>
        </w:rPr>
        <w:t xml:space="preserve"> in Annex </w:t>
      </w:r>
      <w:r w:rsidR="002C55A3" w:rsidRPr="00E50FA4">
        <w:rPr>
          <w:rFonts w:ascii="Times New Roman" w:hAnsi="Times New Roman"/>
          <w:noProof/>
          <w:sz w:val="24"/>
        </w:rPr>
        <w:t xml:space="preserve">XXXIX </w:t>
      </w:r>
      <w:r w:rsidR="00B30352" w:rsidRPr="00E50FA4">
        <w:rPr>
          <w:rFonts w:ascii="Times New Roman" w:hAnsi="Times New Roman"/>
          <w:noProof/>
          <w:sz w:val="24"/>
        </w:rPr>
        <w:t xml:space="preserve">to this Regulation in order to </w:t>
      </w:r>
      <w:r w:rsidRPr="00E50FA4">
        <w:rPr>
          <w:rFonts w:ascii="Times New Roman" w:hAnsi="Times New Roman"/>
          <w:noProof/>
          <w:sz w:val="24"/>
        </w:rPr>
        <w:t>describe the integration of governance risks in their governance and risk management</w:t>
      </w:r>
      <w:r w:rsidR="00B30352" w:rsidRPr="00E50FA4">
        <w:rPr>
          <w:rFonts w:ascii="Times New Roman" w:hAnsi="Times New Roman"/>
          <w:noProof/>
          <w:sz w:val="24"/>
        </w:rPr>
        <w:t xml:space="preserve">, </w:t>
      </w:r>
      <w:r w:rsidRPr="00E50FA4">
        <w:rPr>
          <w:rFonts w:ascii="Times New Roman" w:hAnsi="Times New Roman"/>
          <w:noProof/>
          <w:sz w:val="24"/>
        </w:rPr>
        <w:t xml:space="preserve">in </w:t>
      </w:r>
      <w:r w:rsidR="00862D53" w:rsidRPr="00E50FA4">
        <w:rPr>
          <w:rFonts w:ascii="Times New Roman" w:hAnsi="Times New Roman"/>
          <w:noProof/>
          <w:sz w:val="24"/>
        </w:rPr>
        <w:t xml:space="preserve">accordance with </w:t>
      </w:r>
      <w:r w:rsidRPr="00E50FA4">
        <w:rPr>
          <w:rFonts w:ascii="Times New Roman" w:hAnsi="Times New Roman"/>
          <w:noProof/>
          <w:sz w:val="24"/>
        </w:rPr>
        <w:t xml:space="preserve">of Article 449a </w:t>
      </w:r>
      <w:r w:rsidR="00233F87" w:rsidRPr="00E50FA4">
        <w:rPr>
          <w:rFonts w:ascii="Times New Roman" w:hAnsi="Times New Roman"/>
          <w:noProof/>
          <w:sz w:val="24"/>
        </w:rPr>
        <w:t xml:space="preserve">of </w:t>
      </w:r>
      <w:r w:rsidR="00A05771" w:rsidRPr="00E50FA4">
        <w:rPr>
          <w:rFonts w:ascii="Times New Roman" w:hAnsi="Times New Roman"/>
          <w:noProof/>
          <w:sz w:val="24"/>
        </w:rPr>
        <w:t>Regulation (EU) No </w:t>
      </w:r>
      <w:r w:rsidR="00233F87" w:rsidRPr="00E50FA4">
        <w:rPr>
          <w:rFonts w:ascii="Times New Roman" w:hAnsi="Times New Roman"/>
          <w:noProof/>
          <w:sz w:val="24"/>
        </w:rPr>
        <w:t>575/2013</w:t>
      </w:r>
      <w:r w:rsidR="001C717A" w:rsidRPr="00E50FA4">
        <w:rPr>
          <w:rFonts w:ascii="Times New Roman" w:hAnsi="Times New Roman"/>
          <w:noProof/>
          <w:sz w:val="24"/>
        </w:rPr>
        <w:t>,</w:t>
      </w:r>
      <w:r w:rsidR="00233F87" w:rsidRPr="00E50FA4">
        <w:rPr>
          <w:rFonts w:ascii="Times New Roman" w:hAnsi="Times New Roman"/>
          <w:noProof/>
          <w:sz w:val="24"/>
        </w:rPr>
        <w:t xml:space="preserve"> </w:t>
      </w:r>
      <w:r w:rsidR="00862D53" w:rsidRPr="00E50FA4">
        <w:rPr>
          <w:rFonts w:ascii="Times New Roman" w:hAnsi="Times New Roman"/>
          <w:noProof/>
          <w:sz w:val="24"/>
        </w:rPr>
        <w:t xml:space="preserve">read </w:t>
      </w:r>
      <w:r w:rsidRPr="00E50FA4">
        <w:rPr>
          <w:rFonts w:ascii="Times New Roman" w:hAnsi="Times New Roman"/>
          <w:noProof/>
          <w:sz w:val="24"/>
        </w:rPr>
        <w:t xml:space="preserve">in conjunction with Article 435 of </w:t>
      </w:r>
      <w:r w:rsidR="00233F87" w:rsidRPr="00E50FA4">
        <w:rPr>
          <w:rFonts w:ascii="Times New Roman" w:hAnsi="Times New Roman"/>
          <w:noProof/>
          <w:sz w:val="24"/>
        </w:rPr>
        <w:t xml:space="preserve">that </w:t>
      </w:r>
      <w:r w:rsidR="007F40F6" w:rsidRPr="00E50FA4">
        <w:rPr>
          <w:rFonts w:ascii="Times New Roman" w:hAnsi="Times New Roman"/>
          <w:noProof/>
          <w:sz w:val="24"/>
        </w:rPr>
        <w:t>Regulation</w:t>
      </w:r>
      <w:r w:rsidRPr="00E50FA4">
        <w:rPr>
          <w:rFonts w:ascii="Times New Roman" w:hAnsi="Times New Roman"/>
          <w:noProof/>
          <w:sz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7A6AB7" w:rsidRPr="00E50FA4" w14:paraId="14BFEA51" w14:textId="77777777" w:rsidTr="00453CE1">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F82F7" w14:textId="77777777" w:rsidR="007A6AB7" w:rsidRPr="00E50FA4" w:rsidRDefault="007A6AB7" w:rsidP="001A08A2">
            <w:pPr>
              <w:jc w:val="both"/>
              <w:rPr>
                <w:rFonts w:ascii="Times New Roman" w:hAnsi="Times New Roman" w:cs="Times New Roman"/>
                <w:b/>
                <w:noProof/>
                <w:sz w:val="24"/>
                <w:lang w:val="en-GB"/>
              </w:rPr>
            </w:pPr>
            <w:r w:rsidRPr="00E50FA4">
              <w:rPr>
                <w:rFonts w:ascii="Times New Roman" w:hAnsi="Times New Roman" w:cs="Times New Roman"/>
                <w:b/>
                <w:noProof/>
                <w:sz w:val="24"/>
                <w:lang w:val="en-GB"/>
              </w:rPr>
              <w:t>Legal references and instructions</w:t>
            </w:r>
          </w:p>
        </w:tc>
      </w:tr>
      <w:tr w:rsidR="007A6AB7" w:rsidRPr="00E50FA4" w14:paraId="4DA086FB" w14:textId="77777777" w:rsidTr="00453CE1">
        <w:trPr>
          <w:trHeight w:val="238"/>
        </w:trPr>
        <w:tc>
          <w:tcPr>
            <w:tcW w:w="1384" w:type="dxa"/>
            <w:shd w:val="clear" w:color="auto" w:fill="D9D9D9" w:themeFill="background1" w:themeFillShade="D9"/>
          </w:tcPr>
          <w:p w14:paraId="218CDBD3" w14:textId="77777777" w:rsidR="007A6AB7" w:rsidRPr="00E50FA4" w:rsidRDefault="007A6AB7" w:rsidP="001A08A2">
            <w:pPr>
              <w:autoSpaceDE w:val="0"/>
              <w:autoSpaceDN w:val="0"/>
              <w:adjustRightInd w:val="0"/>
              <w:jc w:val="both"/>
              <w:rPr>
                <w:rFonts w:ascii="Times New Roman" w:hAnsi="Times New Roman" w:cs="Times New Roman"/>
                <w:b/>
                <w:noProof/>
                <w:sz w:val="24"/>
                <w:lang w:val="en-GB"/>
              </w:rPr>
            </w:pPr>
            <w:r w:rsidRPr="00E50FA4">
              <w:rPr>
                <w:rFonts w:ascii="Times New Roman" w:hAnsi="Times New Roman" w:cs="Times New Roman"/>
                <w:b/>
                <w:noProof/>
                <w:sz w:val="24"/>
                <w:lang w:val="en-GB"/>
              </w:rPr>
              <w:t>Row number</w:t>
            </w:r>
          </w:p>
        </w:tc>
        <w:tc>
          <w:tcPr>
            <w:tcW w:w="7655" w:type="dxa"/>
            <w:shd w:val="clear" w:color="auto" w:fill="D9D9D9" w:themeFill="background1" w:themeFillShade="D9"/>
          </w:tcPr>
          <w:p w14:paraId="33DA028C" w14:textId="77777777" w:rsidR="007A6AB7" w:rsidRPr="00E50FA4" w:rsidRDefault="007A6AB7" w:rsidP="001A08A2">
            <w:pPr>
              <w:autoSpaceDE w:val="0"/>
              <w:autoSpaceDN w:val="0"/>
              <w:adjustRightInd w:val="0"/>
              <w:jc w:val="both"/>
              <w:rPr>
                <w:rFonts w:ascii="Times New Roman" w:hAnsi="Times New Roman" w:cs="Times New Roman"/>
                <w:noProof/>
                <w:color w:val="000000"/>
                <w:sz w:val="24"/>
                <w:lang w:val="en-GB"/>
              </w:rPr>
            </w:pPr>
            <w:r w:rsidRPr="00E50FA4">
              <w:rPr>
                <w:rFonts w:ascii="Times New Roman" w:hAnsi="Times New Roman" w:cs="Times New Roman"/>
                <w:b/>
                <w:noProof/>
                <w:sz w:val="24"/>
                <w:lang w:val="en-GB"/>
              </w:rPr>
              <w:t>Explanation</w:t>
            </w:r>
          </w:p>
        </w:tc>
      </w:tr>
      <w:tr w:rsidR="007A6AB7" w:rsidRPr="00E50FA4" w14:paraId="77A09835" w14:textId="77777777" w:rsidTr="00453CE1">
        <w:trPr>
          <w:trHeight w:val="547"/>
        </w:trPr>
        <w:tc>
          <w:tcPr>
            <w:tcW w:w="1384" w:type="dxa"/>
            <w:shd w:val="clear" w:color="auto" w:fill="D9D9D9" w:themeFill="background1" w:themeFillShade="D9"/>
          </w:tcPr>
          <w:p w14:paraId="22672806" w14:textId="77777777" w:rsidR="007A6AB7" w:rsidRPr="00E50FA4" w:rsidRDefault="007A6AB7" w:rsidP="001A08A2">
            <w:pPr>
              <w:autoSpaceDE w:val="0"/>
              <w:autoSpaceDN w:val="0"/>
              <w:adjustRightInd w:val="0"/>
              <w:jc w:val="both"/>
              <w:rPr>
                <w:rFonts w:ascii="Times New Roman" w:hAnsi="Times New Roman" w:cs="Times New Roman"/>
                <w:b/>
                <w:noProof/>
                <w:sz w:val="24"/>
                <w:lang w:val="en-GB"/>
              </w:rPr>
            </w:pPr>
          </w:p>
        </w:tc>
        <w:tc>
          <w:tcPr>
            <w:tcW w:w="7655" w:type="dxa"/>
            <w:shd w:val="clear" w:color="auto" w:fill="D9D9D9" w:themeFill="background1" w:themeFillShade="D9"/>
          </w:tcPr>
          <w:p w14:paraId="6A7723AD" w14:textId="77777777" w:rsidR="007A6AB7" w:rsidRPr="00E50FA4" w:rsidRDefault="007A6AB7" w:rsidP="001A08A2">
            <w:pPr>
              <w:autoSpaceDE w:val="0"/>
              <w:autoSpaceDN w:val="0"/>
              <w:adjustRightInd w:val="0"/>
              <w:jc w:val="both"/>
              <w:rPr>
                <w:rFonts w:ascii="Times New Roman" w:hAnsi="Times New Roman" w:cs="Times New Roman"/>
                <w:b/>
                <w:noProof/>
                <w:sz w:val="24"/>
                <w:lang w:val="en-GB"/>
              </w:rPr>
            </w:pPr>
            <w:r w:rsidRPr="00E50FA4">
              <w:rPr>
                <w:rFonts w:ascii="Times New Roman" w:hAnsi="Times New Roman" w:cs="Times New Roman"/>
                <w:b/>
                <w:noProof/>
                <w:sz w:val="24"/>
                <w:lang w:val="en-GB"/>
              </w:rPr>
              <w:t>Governance</w:t>
            </w:r>
          </w:p>
        </w:tc>
      </w:tr>
      <w:tr w:rsidR="007A6AB7" w:rsidRPr="00E50FA4" w14:paraId="344BD5A4" w14:textId="77777777" w:rsidTr="00453CE1">
        <w:trPr>
          <w:trHeight w:val="316"/>
        </w:trPr>
        <w:tc>
          <w:tcPr>
            <w:tcW w:w="1384" w:type="dxa"/>
          </w:tcPr>
          <w:p w14:paraId="66FC2CD3" w14:textId="77777777" w:rsidR="007A6AB7" w:rsidRPr="00E50FA4" w:rsidRDefault="00930E02" w:rsidP="001A08A2">
            <w:pPr>
              <w:autoSpaceDE w:val="0"/>
              <w:autoSpaceDN w:val="0"/>
              <w:adjustRightInd w:val="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(a)</w:t>
            </w:r>
          </w:p>
        </w:tc>
        <w:tc>
          <w:tcPr>
            <w:tcW w:w="7655" w:type="dxa"/>
          </w:tcPr>
          <w:p w14:paraId="7350995A" w14:textId="0DA01A48" w:rsidR="005508BA" w:rsidRPr="00E50FA4" w:rsidRDefault="00853187" w:rsidP="00D35812">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 accordance with Article 449a </w:t>
            </w:r>
            <w:r w:rsidR="00233F87" w:rsidRPr="00E50FA4">
              <w:rPr>
                <w:rFonts w:ascii="Times New Roman" w:hAnsi="Times New Roman" w:cs="Times New Roman"/>
                <w:noProof/>
                <w:sz w:val="24"/>
                <w:lang w:val="en-GB"/>
              </w:rPr>
              <w:t>of Regulation (EU) No 575/2013</w:t>
            </w:r>
            <w:r w:rsidR="001C717A"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 xml:space="preserve">in conjunction with Article 435(2) </w:t>
            </w:r>
            <w:r w:rsidR="00233F87" w:rsidRPr="00E50FA4">
              <w:rPr>
                <w:rFonts w:ascii="Times New Roman" w:hAnsi="Times New Roman" w:cs="Times New Roman"/>
                <w:noProof/>
                <w:sz w:val="24"/>
                <w:lang w:val="en-GB"/>
              </w:rPr>
              <w:t xml:space="preserve">of that </w:t>
            </w:r>
            <w:r w:rsidR="007F40F6" w:rsidRPr="00E50FA4">
              <w:rPr>
                <w:rFonts w:ascii="Times New Roman" w:hAnsi="Times New Roman" w:cs="Times New Roman"/>
                <w:noProof/>
                <w:sz w:val="24"/>
                <w:lang w:val="en-GB"/>
              </w:rPr>
              <w:t>Regulation</w:t>
            </w:r>
            <w:r w:rsidRPr="00E50FA4">
              <w:rPr>
                <w:rFonts w:ascii="Times New Roman" w:eastAsia="Times New Roman" w:hAnsi="Times New Roman" w:cs="Times New Roman"/>
                <w:noProof/>
                <w:sz w:val="24"/>
                <w:lang w:val="en-GB" w:eastAsia="sv-SE"/>
              </w:rPr>
              <w:t xml:space="preserve">, </w:t>
            </w:r>
            <w:r w:rsidR="00C767CD" w:rsidRPr="00E50FA4">
              <w:rPr>
                <w:rFonts w:ascii="Times New Roman" w:hAnsi="Times New Roman" w:cs="Times New Roman"/>
                <w:noProof/>
                <w:sz w:val="24"/>
                <w:lang w:val="en-GB"/>
              </w:rPr>
              <w:t xml:space="preserve">institutions shall </w:t>
            </w:r>
            <w:r w:rsidR="003675DE" w:rsidRPr="00E50FA4">
              <w:rPr>
                <w:rFonts w:ascii="Times New Roman" w:hAnsi="Times New Roman" w:cs="Times New Roman"/>
                <w:noProof/>
                <w:sz w:val="24"/>
                <w:lang w:val="en-GB"/>
              </w:rPr>
              <w:t xml:space="preserve">provide information on </w:t>
            </w:r>
            <w:r w:rsidR="00A65693" w:rsidRPr="00E50FA4">
              <w:rPr>
                <w:rFonts w:ascii="Times New Roman" w:hAnsi="Times New Roman" w:cs="Times New Roman"/>
                <w:noProof/>
                <w:sz w:val="24"/>
                <w:lang w:val="en-GB"/>
              </w:rPr>
              <w:t>t</w:t>
            </w:r>
            <w:r w:rsidR="00000183" w:rsidRPr="00E50FA4">
              <w:rPr>
                <w:rFonts w:ascii="Times New Roman" w:hAnsi="Times New Roman" w:cs="Times New Roman"/>
                <w:noProof/>
                <w:sz w:val="24"/>
                <w:lang w:val="en-GB"/>
              </w:rPr>
              <w:t xml:space="preserve">he ways in which </w:t>
            </w:r>
            <w:r w:rsidR="00C767CD" w:rsidRPr="00E50FA4">
              <w:rPr>
                <w:rFonts w:ascii="Times New Roman" w:hAnsi="Times New Roman" w:cs="Times New Roman"/>
                <w:noProof/>
                <w:sz w:val="24"/>
                <w:lang w:val="en-GB"/>
              </w:rPr>
              <w:t>they</w:t>
            </w:r>
            <w:r w:rsidR="008C4549" w:rsidRPr="00E50FA4">
              <w:rPr>
                <w:rFonts w:ascii="Times New Roman" w:hAnsi="Times New Roman" w:cs="Times New Roman"/>
                <w:noProof/>
                <w:sz w:val="24"/>
                <w:lang w:val="en-GB"/>
              </w:rPr>
              <w:t xml:space="preserve"> integrate </w:t>
            </w:r>
            <w:r w:rsidR="001C717A" w:rsidRPr="00E50FA4">
              <w:rPr>
                <w:rFonts w:ascii="Times New Roman" w:hAnsi="Times New Roman" w:cs="Times New Roman"/>
                <w:noProof/>
                <w:sz w:val="24"/>
                <w:lang w:val="en-GB"/>
              </w:rPr>
              <w:t xml:space="preserve">the counterparty’s </w:t>
            </w:r>
            <w:r w:rsidR="005508BA" w:rsidRPr="00E50FA4">
              <w:rPr>
                <w:rFonts w:ascii="Times New Roman" w:hAnsi="Times New Roman" w:cs="Times New Roman"/>
                <w:noProof/>
                <w:sz w:val="24"/>
                <w:lang w:val="en-GB"/>
              </w:rPr>
              <w:t xml:space="preserve">governance performance in </w:t>
            </w:r>
            <w:r w:rsidRPr="00E50FA4">
              <w:rPr>
                <w:rFonts w:ascii="Times New Roman" w:hAnsi="Times New Roman" w:cs="Times New Roman"/>
                <w:noProof/>
                <w:sz w:val="24"/>
                <w:lang w:val="en-GB"/>
              </w:rPr>
              <w:t>the</w:t>
            </w:r>
            <w:r w:rsidR="00A65693" w:rsidRPr="00E50FA4">
              <w:rPr>
                <w:rFonts w:ascii="Times New Roman" w:hAnsi="Times New Roman" w:cs="Times New Roman"/>
                <w:noProof/>
                <w:sz w:val="24"/>
                <w:lang w:val="en-GB"/>
              </w:rPr>
              <w:t>i</w:t>
            </w:r>
            <w:r w:rsidRPr="00E50FA4">
              <w:rPr>
                <w:rFonts w:ascii="Times New Roman" w:hAnsi="Times New Roman" w:cs="Times New Roman"/>
                <w:noProof/>
                <w:sz w:val="24"/>
                <w:lang w:val="en-GB"/>
              </w:rPr>
              <w:t xml:space="preserve">r </w:t>
            </w:r>
            <w:r w:rsidR="008C4549" w:rsidRPr="00E50FA4">
              <w:rPr>
                <w:rFonts w:ascii="Times New Roman" w:hAnsi="Times New Roman" w:cs="Times New Roman"/>
                <w:noProof/>
                <w:sz w:val="24"/>
                <w:lang w:val="en-GB"/>
              </w:rPr>
              <w:t>governance arrangements</w:t>
            </w:r>
            <w:r w:rsidR="005508BA" w:rsidRPr="00E50FA4">
              <w:rPr>
                <w:rFonts w:ascii="Times New Roman" w:hAnsi="Times New Roman" w:cs="Times New Roman"/>
                <w:noProof/>
                <w:sz w:val="24"/>
                <w:lang w:val="en-GB"/>
              </w:rPr>
              <w:t>.</w:t>
            </w:r>
          </w:p>
          <w:p w14:paraId="15568C2A" w14:textId="20EEE71A" w:rsidR="007A35BC" w:rsidRPr="00E50FA4" w:rsidRDefault="005508BA" w:rsidP="003675DE">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The considerations on the </w:t>
            </w:r>
            <w:r w:rsidR="001C717A" w:rsidRPr="00E50FA4">
              <w:rPr>
                <w:rFonts w:ascii="Times New Roman" w:hAnsi="Times New Roman" w:cs="Times New Roman"/>
                <w:noProof/>
                <w:sz w:val="24"/>
                <w:lang w:val="en-GB"/>
              </w:rPr>
              <w:t xml:space="preserve">counterparty’s </w:t>
            </w:r>
            <w:r w:rsidRPr="00E50FA4">
              <w:rPr>
                <w:rFonts w:ascii="Times New Roman" w:hAnsi="Times New Roman" w:cs="Times New Roman"/>
                <w:noProof/>
                <w:sz w:val="24"/>
                <w:lang w:val="en-GB"/>
              </w:rPr>
              <w:t xml:space="preserve">governance performance </w:t>
            </w:r>
            <w:r w:rsidR="00812027" w:rsidRPr="00E50FA4">
              <w:rPr>
                <w:rFonts w:ascii="Times New Roman" w:hAnsi="Times New Roman" w:cs="Times New Roman"/>
                <w:noProof/>
                <w:sz w:val="24"/>
                <w:lang w:val="en-GB"/>
              </w:rPr>
              <w:t xml:space="preserve">are to </w:t>
            </w:r>
            <w:r w:rsidRPr="00E50FA4">
              <w:rPr>
                <w:rFonts w:ascii="Times New Roman" w:hAnsi="Times New Roman" w:cs="Times New Roman"/>
                <w:noProof/>
                <w:sz w:val="24"/>
                <w:lang w:val="en-GB"/>
              </w:rPr>
              <w:t xml:space="preserve">cover the necessary steps </w:t>
            </w:r>
            <w:r w:rsidR="002D6EA3" w:rsidRPr="00E50FA4">
              <w:rPr>
                <w:rFonts w:ascii="Times New Roman" w:hAnsi="Times New Roman" w:cs="Times New Roman"/>
                <w:noProof/>
                <w:sz w:val="24"/>
                <w:lang w:val="en-GB"/>
              </w:rPr>
              <w:t>of</w:t>
            </w:r>
            <w:r w:rsidRPr="00E50FA4">
              <w:rPr>
                <w:rFonts w:ascii="Times New Roman" w:hAnsi="Times New Roman" w:cs="Times New Roman"/>
                <w:noProof/>
                <w:sz w:val="24"/>
                <w:lang w:val="en-GB"/>
              </w:rPr>
              <w:t xml:space="preserve"> the decision-making, supervision and management processes of the counterparty at all levels</w:t>
            </w:r>
            <w:r w:rsidR="00233F87" w:rsidRPr="00E50FA4">
              <w:rPr>
                <w:rFonts w:ascii="Times New Roman" w:hAnsi="Times New Roman" w:cs="Times New Roman"/>
                <w:noProof/>
                <w:sz w:val="24"/>
                <w:lang w:val="en-GB"/>
              </w:rPr>
              <w:t>, including</w:t>
            </w:r>
            <w:r w:rsidR="00A05771"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committees of the highest governance body</w:t>
            </w:r>
            <w:r w:rsidR="00000183" w:rsidRPr="00E50FA4">
              <w:rPr>
                <w:rFonts w:ascii="Times New Roman" w:hAnsi="Times New Roman" w:cs="Times New Roman"/>
                <w:noProof/>
                <w:sz w:val="24"/>
                <w:lang w:val="en-GB"/>
              </w:rPr>
              <w:t xml:space="preserve"> and</w:t>
            </w:r>
            <w:r w:rsidRPr="00E50FA4">
              <w:rPr>
                <w:rFonts w:ascii="Times New Roman" w:hAnsi="Times New Roman" w:cs="Times New Roman"/>
                <w:noProof/>
                <w:sz w:val="24"/>
                <w:lang w:val="en-GB"/>
              </w:rPr>
              <w:t xml:space="preserve"> committees responsible for decision-making on economic, environmental, and social topics.</w:t>
            </w:r>
          </w:p>
        </w:tc>
      </w:tr>
      <w:tr w:rsidR="007A6AB7" w:rsidRPr="00E50FA4" w14:paraId="6A0A5117" w14:textId="77777777" w:rsidTr="00453CE1">
        <w:trPr>
          <w:trHeight w:val="316"/>
        </w:trPr>
        <w:tc>
          <w:tcPr>
            <w:tcW w:w="1384" w:type="dxa"/>
          </w:tcPr>
          <w:p w14:paraId="5C4FB8C3" w14:textId="77777777" w:rsidR="007A6AB7" w:rsidRPr="00E50FA4" w:rsidRDefault="00930E02" w:rsidP="001A08A2">
            <w:pPr>
              <w:autoSpaceDE w:val="0"/>
              <w:autoSpaceDN w:val="0"/>
              <w:adjustRightInd w:val="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(b)</w:t>
            </w:r>
          </w:p>
        </w:tc>
        <w:tc>
          <w:tcPr>
            <w:tcW w:w="7655" w:type="dxa"/>
          </w:tcPr>
          <w:p w14:paraId="573A137C" w14:textId="67DCB06F" w:rsidR="00E25992" w:rsidRPr="00E50FA4" w:rsidRDefault="00693087" w:rsidP="00693087">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Institutions shall </w:t>
            </w:r>
            <w:r w:rsidR="00812027" w:rsidRPr="00E50FA4">
              <w:rPr>
                <w:rFonts w:ascii="Times New Roman" w:hAnsi="Times New Roman" w:cs="Times New Roman"/>
                <w:noProof/>
                <w:sz w:val="24"/>
                <w:lang w:val="en-GB"/>
              </w:rPr>
              <w:t xml:space="preserve">explain </w:t>
            </w:r>
            <w:r w:rsidR="0086592A" w:rsidRPr="00E50FA4">
              <w:rPr>
                <w:rFonts w:ascii="Times New Roman" w:hAnsi="Times New Roman" w:cs="Times New Roman"/>
                <w:noProof/>
                <w:sz w:val="24"/>
                <w:lang w:val="en-GB"/>
              </w:rPr>
              <w:t xml:space="preserve">how </w:t>
            </w:r>
            <w:r w:rsidRPr="00E50FA4">
              <w:rPr>
                <w:rFonts w:ascii="Times New Roman" w:hAnsi="Times New Roman" w:cs="Times New Roman"/>
                <w:noProof/>
                <w:sz w:val="24"/>
                <w:lang w:val="en-GB"/>
              </w:rPr>
              <w:t>they</w:t>
            </w:r>
            <w:r w:rsidR="007A35BC" w:rsidRPr="00E50FA4">
              <w:rPr>
                <w:rFonts w:ascii="Times New Roman" w:hAnsi="Times New Roman" w:cs="Times New Roman"/>
                <w:noProof/>
                <w:sz w:val="24"/>
                <w:lang w:val="en-GB"/>
              </w:rPr>
              <w:t xml:space="preserve"> </w:t>
            </w:r>
            <w:r w:rsidR="00025534" w:rsidRPr="00E50FA4">
              <w:rPr>
                <w:rFonts w:ascii="Times New Roman" w:hAnsi="Times New Roman" w:cs="Times New Roman"/>
                <w:noProof/>
                <w:sz w:val="24"/>
                <w:lang w:val="en-GB"/>
              </w:rPr>
              <w:t xml:space="preserve">take into </w:t>
            </w:r>
            <w:r w:rsidR="007A35BC" w:rsidRPr="00E50FA4">
              <w:rPr>
                <w:rFonts w:ascii="Times New Roman" w:hAnsi="Times New Roman" w:cs="Times New Roman"/>
                <w:noProof/>
                <w:sz w:val="24"/>
                <w:lang w:val="en-GB"/>
              </w:rPr>
              <w:t xml:space="preserve">account </w:t>
            </w:r>
            <w:r w:rsidR="001A08A2" w:rsidRPr="00E50FA4">
              <w:rPr>
                <w:rFonts w:ascii="Times New Roman" w:hAnsi="Times New Roman" w:cs="Times New Roman"/>
                <w:noProof/>
                <w:sz w:val="24"/>
                <w:lang w:val="en-GB"/>
              </w:rPr>
              <w:t xml:space="preserve">the role of </w:t>
            </w:r>
            <w:r w:rsidR="005508BA" w:rsidRPr="00E50FA4">
              <w:rPr>
                <w:rFonts w:ascii="Times New Roman" w:hAnsi="Times New Roman" w:cs="Times New Roman"/>
                <w:noProof/>
                <w:sz w:val="24"/>
                <w:lang w:val="en-GB"/>
              </w:rPr>
              <w:t>the counterparty</w:t>
            </w:r>
            <w:r w:rsidR="001C717A" w:rsidRPr="00E50FA4">
              <w:rPr>
                <w:rFonts w:ascii="Times New Roman" w:hAnsi="Times New Roman" w:cs="Times New Roman"/>
                <w:noProof/>
                <w:sz w:val="24"/>
                <w:lang w:val="en-GB"/>
              </w:rPr>
              <w:t>’</w:t>
            </w:r>
            <w:r w:rsidR="005508BA" w:rsidRPr="00E50FA4">
              <w:rPr>
                <w:rFonts w:ascii="Times New Roman" w:hAnsi="Times New Roman" w:cs="Times New Roman"/>
                <w:noProof/>
                <w:sz w:val="24"/>
                <w:lang w:val="en-GB"/>
              </w:rPr>
              <w:t xml:space="preserve">s </w:t>
            </w:r>
            <w:r w:rsidR="001C717A" w:rsidRPr="00E50FA4">
              <w:rPr>
                <w:rFonts w:ascii="Times New Roman" w:hAnsi="Times New Roman" w:cs="Times New Roman"/>
                <w:noProof/>
                <w:sz w:val="24"/>
                <w:lang w:val="en-GB"/>
              </w:rPr>
              <w:t xml:space="preserve">top governing </w:t>
            </w:r>
            <w:r w:rsidR="005508BA" w:rsidRPr="00E50FA4">
              <w:rPr>
                <w:rFonts w:ascii="Times New Roman" w:hAnsi="Times New Roman" w:cs="Times New Roman"/>
                <w:noProof/>
                <w:sz w:val="24"/>
                <w:lang w:val="en-GB"/>
              </w:rPr>
              <w:t xml:space="preserve">body in non-financial reporting, </w:t>
            </w:r>
            <w:r w:rsidR="00233F87" w:rsidRPr="00E50FA4">
              <w:rPr>
                <w:rFonts w:ascii="Times New Roman" w:hAnsi="Times New Roman" w:cs="Times New Roman"/>
                <w:noProof/>
                <w:sz w:val="24"/>
                <w:lang w:val="en-GB"/>
              </w:rPr>
              <w:t>including</w:t>
            </w:r>
            <w:r w:rsidR="005508BA" w:rsidRPr="00E50FA4">
              <w:rPr>
                <w:rFonts w:ascii="Times New Roman" w:hAnsi="Times New Roman" w:cs="Times New Roman"/>
                <w:noProof/>
                <w:sz w:val="24"/>
                <w:lang w:val="en-GB"/>
              </w:rPr>
              <w:t xml:space="preserve"> the </w:t>
            </w:r>
            <w:r w:rsidR="001C717A" w:rsidRPr="00E50FA4">
              <w:rPr>
                <w:rFonts w:ascii="Times New Roman" w:hAnsi="Times New Roman" w:cs="Times New Roman"/>
                <w:noProof/>
                <w:sz w:val="24"/>
                <w:lang w:val="en-GB"/>
              </w:rPr>
              <w:t xml:space="preserve">top </w:t>
            </w:r>
            <w:r w:rsidR="005508BA" w:rsidRPr="00E50FA4">
              <w:rPr>
                <w:rFonts w:ascii="Times New Roman" w:hAnsi="Times New Roman" w:cs="Times New Roman"/>
                <w:noProof/>
                <w:sz w:val="24"/>
                <w:lang w:val="en-GB"/>
              </w:rPr>
              <w:t xml:space="preserve">committee or </w:t>
            </w:r>
            <w:r w:rsidR="001C717A" w:rsidRPr="00E50FA4">
              <w:rPr>
                <w:rFonts w:ascii="Times New Roman" w:hAnsi="Times New Roman" w:cs="Times New Roman"/>
                <w:noProof/>
                <w:sz w:val="24"/>
                <w:lang w:val="en-GB"/>
              </w:rPr>
              <w:t xml:space="preserve">functional </w:t>
            </w:r>
            <w:r w:rsidR="005508BA" w:rsidRPr="00E50FA4">
              <w:rPr>
                <w:rFonts w:ascii="Times New Roman" w:hAnsi="Times New Roman" w:cs="Times New Roman"/>
                <w:noProof/>
                <w:sz w:val="24"/>
                <w:lang w:val="en-GB"/>
              </w:rPr>
              <w:t>position that formally reviews and approves the organisation’s sustainability report and ensures that all material topics are covered</w:t>
            </w:r>
            <w:r w:rsidR="007A35BC" w:rsidRPr="00E50FA4">
              <w:rPr>
                <w:rFonts w:ascii="Times New Roman" w:hAnsi="Times New Roman" w:cs="Times New Roman"/>
                <w:noProof/>
                <w:sz w:val="24"/>
                <w:lang w:val="en-GB"/>
              </w:rPr>
              <w:t>.</w:t>
            </w:r>
          </w:p>
        </w:tc>
      </w:tr>
      <w:tr w:rsidR="007A6AB7" w:rsidRPr="00E50FA4" w14:paraId="2158BD8D" w14:textId="77777777" w:rsidTr="00453CE1">
        <w:trPr>
          <w:trHeight w:val="316"/>
        </w:trPr>
        <w:tc>
          <w:tcPr>
            <w:tcW w:w="1384" w:type="dxa"/>
          </w:tcPr>
          <w:p w14:paraId="28D5BF6A" w14:textId="77777777" w:rsidR="007A6AB7" w:rsidRPr="00E50FA4" w:rsidRDefault="00930E02" w:rsidP="001A08A2">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(c)</w:t>
            </w:r>
          </w:p>
        </w:tc>
        <w:tc>
          <w:tcPr>
            <w:tcW w:w="7655" w:type="dxa"/>
          </w:tcPr>
          <w:p w14:paraId="2B1D1A1A" w14:textId="0953076F" w:rsidR="007A35BC" w:rsidRPr="00E50FA4" w:rsidRDefault="00A65693" w:rsidP="00D35812">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noProof/>
                <w:sz w:val="24"/>
                <w:lang w:val="en-GB"/>
              </w:rPr>
              <w:t xml:space="preserve">In accordance with Article 449a </w:t>
            </w:r>
            <w:r w:rsidR="00233F87" w:rsidRPr="00E50FA4">
              <w:rPr>
                <w:rFonts w:ascii="Times New Roman" w:hAnsi="Times New Roman" w:cs="Times New Roman"/>
                <w:noProof/>
                <w:sz w:val="24"/>
                <w:lang w:val="en-GB"/>
              </w:rPr>
              <w:t>of Regulation (EU) No 575/2013</w:t>
            </w:r>
            <w:r w:rsidR="001C717A"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 xml:space="preserve">in conjunction with Article 435(2) </w:t>
            </w:r>
            <w:r w:rsidR="00233F87" w:rsidRPr="00E50FA4">
              <w:rPr>
                <w:rFonts w:ascii="Times New Roman" w:hAnsi="Times New Roman" w:cs="Times New Roman"/>
                <w:noProof/>
                <w:sz w:val="24"/>
                <w:lang w:val="en-GB"/>
              </w:rPr>
              <w:t xml:space="preserve">of that </w:t>
            </w:r>
            <w:r w:rsidR="007F40F6" w:rsidRPr="00E50FA4">
              <w:rPr>
                <w:rFonts w:ascii="Times New Roman" w:hAnsi="Times New Roman" w:cs="Times New Roman"/>
                <w:noProof/>
                <w:sz w:val="24"/>
                <w:lang w:val="en-GB"/>
              </w:rPr>
              <w:t>Regulation</w:t>
            </w:r>
            <w:r w:rsidRPr="00E50FA4">
              <w:rPr>
                <w:rFonts w:ascii="Times New Roman" w:eastAsia="Times New Roman" w:hAnsi="Times New Roman" w:cs="Times New Roman"/>
                <w:noProof/>
                <w:sz w:val="24"/>
                <w:lang w:val="en-GB" w:eastAsia="sv-SE"/>
              </w:rPr>
              <w:t xml:space="preserve">, </w:t>
            </w:r>
            <w:r w:rsidR="00693087" w:rsidRPr="00E50FA4">
              <w:rPr>
                <w:rFonts w:ascii="Times New Roman" w:hAnsi="Times New Roman" w:cs="Times New Roman"/>
                <w:noProof/>
                <w:sz w:val="24"/>
                <w:lang w:val="en-GB"/>
              </w:rPr>
              <w:t xml:space="preserve">institutions shall </w:t>
            </w:r>
            <w:r w:rsidR="00FF5C07" w:rsidRPr="00E50FA4">
              <w:rPr>
                <w:rFonts w:ascii="Times New Roman" w:hAnsi="Times New Roman" w:cs="Times New Roman"/>
                <w:noProof/>
                <w:sz w:val="24"/>
                <w:lang w:val="en-GB"/>
              </w:rPr>
              <w:t xml:space="preserve">provide information on </w:t>
            </w:r>
            <w:r w:rsidR="00693087" w:rsidRPr="00E50FA4">
              <w:rPr>
                <w:rFonts w:ascii="Times New Roman" w:eastAsia="Times New Roman" w:hAnsi="Times New Roman" w:cs="Times New Roman"/>
                <w:noProof/>
                <w:sz w:val="24"/>
                <w:lang w:val="en-GB" w:eastAsia="sv-SE"/>
              </w:rPr>
              <w:t>how they</w:t>
            </w:r>
            <w:r w:rsidR="007A35BC" w:rsidRPr="00E50FA4">
              <w:rPr>
                <w:rFonts w:ascii="Times New Roman" w:eastAsia="Times New Roman" w:hAnsi="Times New Roman" w:cs="Times New Roman"/>
                <w:noProof/>
                <w:sz w:val="24"/>
                <w:lang w:val="en-GB" w:eastAsia="sv-SE"/>
              </w:rPr>
              <w:t xml:space="preserve"> integrate the</w:t>
            </w:r>
            <w:r w:rsidR="001C717A" w:rsidRPr="00E50FA4">
              <w:rPr>
                <w:rFonts w:ascii="Times New Roman" w:eastAsia="Times New Roman" w:hAnsi="Times New Roman" w:cs="Times New Roman"/>
                <w:noProof/>
                <w:sz w:val="24"/>
                <w:lang w:val="en-GB" w:eastAsia="sv-SE"/>
              </w:rPr>
              <w:t>ir counterparties’ governance</w:t>
            </w:r>
            <w:r w:rsidR="007A35BC" w:rsidRPr="00E50FA4">
              <w:rPr>
                <w:rFonts w:ascii="Times New Roman" w:eastAsia="Times New Roman" w:hAnsi="Times New Roman" w:cs="Times New Roman"/>
                <w:noProof/>
                <w:sz w:val="24"/>
                <w:lang w:val="en-GB" w:eastAsia="sv-SE"/>
              </w:rPr>
              <w:t xml:space="preserve"> performance </w:t>
            </w:r>
            <w:r w:rsidR="00AC000C" w:rsidRPr="00E50FA4">
              <w:rPr>
                <w:rFonts w:ascii="Times New Roman" w:eastAsia="Times New Roman" w:hAnsi="Times New Roman" w:cs="Times New Roman"/>
                <w:noProof/>
                <w:sz w:val="24"/>
                <w:lang w:val="en-GB" w:eastAsia="sv-SE"/>
              </w:rPr>
              <w:t xml:space="preserve">in </w:t>
            </w:r>
            <w:r w:rsidR="00F86FB8" w:rsidRPr="00E50FA4">
              <w:rPr>
                <w:rFonts w:ascii="Times New Roman" w:eastAsia="Times New Roman" w:hAnsi="Times New Roman" w:cs="Times New Roman"/>
                <w:noProof/>
                <w:sz w:val="24"/>
                <w:lang w:val="en-GB" w:eastAsia="sv-SE"/>
              </w:rPr>
              <w:t xml:space="preserve">their </w:t>
            </w:r>
            <w:r w:rsidR="00AC000C" w:rsidRPr="00E50FA4">
              <w:rPr>
                <w:rFonts w:ascii="Times New Roman" w:eastAsia="Times New Roman" w:hAnsi="Times New Roman" w:cs="Times New Roman"/>
                <w:noProof/>
                <w:sz w:val="24"/>
                <w:lang w:val="en-GB" w:eastAsia="sv-SE"/>
              </w:rPr>
              <w:t>governance arrangements.</w:t>
            </w:r>
          </w:p>
          <w:p w14:paraId="167F340F" w14:textId="5150DB7B" w:rsidR="007A6AB7" w:rsidRPr="00E50FA4" w:rsidRDefault="007A35BC" w:rsidP="00DA390D">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 xml:space="preserve">The considerations related to the governance performance of the institution’s counterparties </w:t>
            </w:r>
            <w:r w:rsidR="00812027" w:rsidRPr="00E50FA4">
              <w:rPr>
                <w:rFonts w:ascii="Times New Roman" w:eastAsia="Times New Roman" w:hAnsi="Times New Roman" w:cs="Times New Roman"/>
                <w:noProof/>
                <w:sz w:val="24"/>
                <w:lang w:val="en-GB" w:eastAsia="sv-SE"/>
              </w:rPr>
              <w:t xml:space="preserve">are to </w:t>
            </w:r>
            <w:r w:rsidRPr="00E50FA4">
              <w:rPr>
                <w:rFonts w:ascii="Times New Roman" w:eastAsia="Times New Roman" w:hAnsi="Times New Roman" w:cs="Times New Roman"/>
                <w:noProof/>
                <w:sz w:val="24"/>
                <w:lang w:val="en-GB" w:eastAsia="sv-SE"/>
              </w:rPr>
              <w:t>cover</w:t>
            </w:r>
            <w:r w:rsidR="00565454" w:rsidRPr="00E50FA4">
              <w:rPr>
                <w:rFonts w:ascii="Times New Roman" w:eastAsia="Times New Roman" w:hAnsi="Times New Roman" w:cs="Times New Roman"/>
                <w:noProof/>
                <w:sz w:val="24"/>
                <w:lang w:val="en-GB" w:eastAsia="sv-SE"/>
              </w:rPr>
              <w:t xml:space="preserve"> all of the following</w:t>
            </w:r>
            <w:r w:rsidRPr="00E50FA4">
              <w:rPr>
                <w:rFonts w:ascii="Times New Roman" w:eastAsia="Times New Roman" w:hAnsi="Times New Roman" w:cs="Times New Roman"/>
                <w:noProof/>
                <w:sz w:val="24"/>
                <w:lang w:val="en-GB" w:eastAsia="sv-SE"/>
              </w:rPr>
              <w:t>:</w:t>
            </w:r>
          </w:p>
          <w:p w14:paraId="28FCEA68" w14:textId="2600D354" w:rsidR="007A35BC" w:rsidRPr="00E50FA4" w:rsidRDefault="00565454" w:rsidP="00B76863">
            <w:pPr>
              <w:pStyle w:val="ListParagraph"/>
              <w:numPr>
                <w:ilvl w:val="0"/>
                <w:numId w:val="47"/>
              </w:numPr>
              <w:autoSpaceDE w:val="0"/>
              <w:autoSpaceDN w:val="0"/>
              <w:adjustRightInd w:val="0"/>
              <w:spacing w:before="120" w:after="120"/>
              <w:ind w:left="350"/>
              <w:jc w:val="both"/>
              <w:rPr>
                <w:rFonts w:ascii="Times New Roman" w:eastAsia="Times New Roman" w:hAnsi="Times New Roman"/>
                <w:noProof/>
                <w:sz w:val="24"/>
                <w:lang w:eastAsia="sv-SE"/>
              </w:rPr>
            </w:pPr>
            <w:r w:rsidRPr="00E50FA4">
              <w:rPr>
                <w:rFonts w:ascii="Times New Roman" w:eastAsia="Times New Roman" w:hAnsi="Times New Roman"/>
                <w:noProof/>
                <w:sz w:val="24"/>
                <w:lang w:eastAsia="sv-SE"/>
              </w:rPr>
              <w:t>e</w:t>
            </w:r>
            <w:r w:rsidR="007A35BC" w:rsidRPr="00E50FA4">
              <w:rPr>
                <w:rFonts w:ascii="Times New Roman" w:eastAsia="Times New Roman" w:hAnsi="Times New Roman"/>
                <w:noProof/>
                <w:sz w:val="24"/>
                <w:lang w:eastAsia="sv-SE"/>
              </w:rPr>
              <w:t>thical considerations</w:t>
            </w:r>
            <w:r w:rsidR="00233F87" w:rsidRPr="00E50FA4">
              <w:rPr>
                <w:rFonts w:ascii="Times New Roman" w:eastAsia="Times New Roman" w:hAnsi="Times New Roman"/>
                <w:noProof/>
                <w:sz w:val="24"/>
                <w:lang w:eastAsia="sv-SE"/>
              </w:rPr>
              <w:t>, including</w:t>
            </w:r>
            <w:r w:rsidR="007A35BC" w:rsidRPr="00E50FA4">
              <w:rPr>
                <w:rFonts w:ascii="Times New Roman" w:eastAsia="Times New Roman" w:hAnsi="Times New Roman"/>
                <w:noProof/>
                <w:sz w:val="24"/>
                <w:lang w:eastAsia="sv-SE"/>
              </w:rPr>
              <w:t xml:space="preserve"> integrity of conduct, values and ethics, anti-bribery and anti-corruption measures, accountability and rule of law;</w:t>
            </w:r>
          </w:p>
          <w:p w14:paraId="09B97226" w14:textId="08B80899" w:rsidR="007A35BC" w:rsidRPr="00E50FA4" w:rsidRDefault="00565454" w:rsidP="00B76863">
            <w:pPr>
              <w:pStyle w:val="ListParagraph"/>
              <w:numPr>
                <w:ilvl w:val="0"/>
                <w:numId w:val="47"/>
              </w:numPr>
              <w:autoSpaceDE w:val="0"/>
              <w:autoSpaceDN w:val="0"/>
              <w:adjustRightInd w:val="0"/>
              <w:spacing w:before="120" w:after="120"/>
              <w:ind w:left="350"/>
              <w:jc w:val="both"/>
              <w:rPr>
                <w:rFonts w:ascii="Times New Roman" w:eastAsia="Times New Roman" w:hAnsi="Times New Roman"/>
                <w:noProof/>
                <w:sz w:val="24"/>
                <w:lang w:eastAsia="sv-SE"/>
              </w:rPr>
            </w:pPr>
            <w:r w:rsidRPr="00E50FA4">
              <w:rPr>
                <w:rFonts w:ascii="Times New Roman" w:eastAsia="Times New Roman" w:hAnsi="Times New Roman"/>
                <w:noProof/>
                <w:sz w:val="24"/>
                <w:lang w:eastAsia="sv-SE"/>
              </w:rPr>
              <w:t>s</w:t>
            </w:r>
            <w:r w:rsidR="007A35BC" w:rsidRPr="00E50FA4">
              <w:rPr>
                <w:rFonts w:ascii="Times New Roman" w:eastAsia="Times New Roman" w:hAnsi="Times New Roman"/>
                <w:noProof/>
                <w:sz w:val="24"/>
                <w:lang w:eastAsia="sv-SE"/>
              </w:rPr>
              <w:t>trategy and risk management</w:t>
            </w:r>
            <w:r w:rsidR="00233F87" w:rsidRPr="00E50FA4">
              <w:rPr>
                <w:rFonts w:ascii="Times New Roman" w:eastAsia="Times New Roman" w:hAnsi="Times New Roman"/>
                <w:noProof/>
                <w:sz w:val="24"/>
                <w:lang w:eastAsia="sv-SE"/>
              </w:rPr>
              <w:t>, including</w:t>
            </w:r>
            <w:r w:rsidR="007A35BC" w:rsidRPr="00E50FA4">
              <w:rPr>
                <w:rFonts w:ascii="Times New Roman" w:eastAsia="Times New Roman" w:hAnsi="Times New Roman"/>
                <w:noProof/>
                <w:sz w:val="24"/>
                <w:lang w:eastAsia="sv-SE"/>
              </w:rPr>
              <w:t xml:space="preserve"> strategy implementation, operational execution and monitoring, internal controls and risk management policies and procedures;</w:t>
            </w:r>
          </w:p>
          <w:p w14:paraId="2A5CD188" w14:textId="172E8936" w:rsidR="007A35BC" w:rsidRPr="00E50FA4" w:rsidRDefault="00565454" w:rsidP="00B76863">
            <w:pPr>
              <w:pStyle w:val="ListParagraph"/>
              <w:numPr>
                <w:ilvl w:val="0"/>
                <w:numId w:val="47"/>
              </w:numPr>
              <w:autoSpaceDE w:val="0"/>
              <w:autoSpaceDN w:val="0"/>
              <w:adjustRightInd w:val="0"/>
              <w:spacing w:before="120" w:after="120"/>
              <w:ind w:left="350"/>
              <w:jc w:val="both"/>
              <w:rPr>
                <w:rFonts w:ascii="Times New Roman" w:eastAsia="Times New Roman" w:hAnsi="Times New Roman"/>
                <w:noProof/>
                <w:sz w:val="24"/>
                <w:lang w:eastAsia="sv-SE"/>
              </w:rPr>
            </w:pPr>
            <w:r w:rsidRPr="00E50FA4">
              <w:rPr>
                <w:rFonts w:ascii="Times New Roman" w:eastAsia="Times New Roman" w:hAnsi="Times New Roman"/>
                <w:noProof/>
                <w:sz w:val="24"/>
                <w:lang w:eastAsia="sv-SE"/>
              </w:rPr>
              <w:t>i</w:t>
            </w:r>
            <w:r w:rsidR="007A35BC" w:rsidRPr="00E50FA4">
              <w:rPr>
                <w:rFonts w:ascii="Times New Roman" w:eastAsia="Times New Roman" w:hAnsi="Times New Roman"/>
                <w:noProof/>
                <w:sz w:val="24"/>
                <w:lang w:eastAsia="sv-SE"/>
              </w:rPr>
              <w:t xml:space="preserve">nclusiveness; </w:t>
            </w:r>
            <w:r w:rsidR="00F86FB8" w:rsidRPr="00E50FA4">
              <w:rPr>
                <w:rFonts w:ascii="Times New Roman" w:eastAsia="Times New Roman" w:hAnsi="Times New Roman"/>
                <w:noProof/>
                <w:sz w:val="24"/>
                <w:lang w:eastAsia="sv-SE"/>
              </w:rPr>
              <w:t>including,</w:t>
            </w:r>
            <w:r w:rsidR="007A35BC" w:rsidRPr="00E50FA4">
              <w:rPr>
                <w:rFonts w:ascii="Times New Roman" w:eastAsia="Times New Roman" w:hAnsi="Times New Roman"/>
                <w:noProof/>
                <w:sz w:val="24"/>
                <w:lang w:eastAsia="sv-SE"/>
              </w:rPr>
              <w:t xml:space="preserve"> gender gap and representation of people from minority groups in the management, income gap;</w:t>
            </w:r>
          </w:p>
          <w:p w14:paraId="45DF0AF3" w14:textId="6F5295DC" w:rsidR="007A35BC" w:rsidRPr="00E50FA4" w:rsidRDefault="00565454" w:rsidP="00B76863">
            <w:pPr>
              <w:pStyle w:val="ListParagraph"/>
              <w:numPr>
                <w:ilvl w:val="0"/>
                <w:numId w:val="47"/>
              </w:numPr>
              <w:autoSpaceDE w:val="0"/>
              <w:autoSpaceDN w:val="0"/>
              <w:adjustRightInd w:val="0"/>
              <w:spacing w:before="120" w:after="120"/>
              <w:ind w:left="350"/>
              <w:jc w:val="both"/>
              <w:rPr>
                <w:rFonts w:ascii="Times New Roman" w:eastAsia="Times New Roman" w:hAnsi="Times New Roman"/>
                <w:noProof/>
                <w:sz w:val="24"/>
                <w:lang w:eastAsia="sv-SE"/>
              </w:rPr>
            </w:pPr>
            <w:r w:rsidRPr="00E50FA4">
              <w:rPr>
                <w:rFonts w:ascii="Times New Roman" w:eastAsia="Times New Roman" w:hAnsi="Times New Roman"/>
                <w:noProof/>
                <w:sz w:val="24"/>
                <w:lang w:eastAsia="sv-SE"/>
              </w:rPr>
              <w:t>t</w:t>
            </w:r>
            <w:r w:rsidR="007A35BC" w:rsidRPr="00E50FA4">
              <w:rPr>
                <w:rFonts w:ascii="Times New Roman" w:eastAsia="Times New Roman" w:hAnsi="Times New Roman"/>
                <w:noProof/>
                <w:sz w:val="24"/>
                <w:lang w:eastAsia="sv-SE"/>
              </w:rPr>
              <w:t xml:space="preserve">ransparency; </w:t>
            </w:r>
            <w:r w:rsidR="00D5191A" w:rsidRPr="00E50FA4">
              <w:rPr>
                <w:rFonts w:ascii="Times New Roman" w:eastAsia="Times New Roman" w:hAnsi="Times New Roman"/>
                <w:noProof/>
                <w:sz w:val="24"/>
                <w:lang w:eastAsia="sv-SE"/>
              </w:rPr>
              <w:t>including</w:t>
            </w:r>
            <w:r w:rsidR="000F7FF2" w:rsidRPr="00E50FA4">
              <w:rPr>
                <w:rFonts w:ascii="Times New Roman" w:eastAsia="Times New Roman" w:hAnsi="Times New Roman"/>
                <w:noProof/>
                <w:sz w:val="24"/>
                <w:lang w:eastAsia="sv-SE"/>
              </w:rPr>
              <w:t xml:space="preserve"> </w:t>
            </w:r>
            <w:r w:rsidR="007A35BC" w:rsidRPr="00E50FA4">
              <w:rPr>
                <w:rFonts w:ascii="Times New Roman" w:eastAsia="Times New Roman" w:hAnsi="Times New Roman"/>
                <w:noProof/>
                <w:sz w:val="24"/>
                <w:lang w:eastAsia="sv-SE"/>
              </w:rPr>
              <w:t xml:space="preserve">disclosures on discrimination, </w:t>
            </w:r>
            <w:r w:rsidR="004C03C2" w:rsidRPr="00E50FA4">
              <w:rPr>
                <w:rFonts w:ascii="Times New Roman" w:eastAsia="Times New Roman" w:hAnsi="Times New Roman"/>
                <w:noProof/>
                <w:sz w:val="24"/>
                <w:lang w:eastAsia="sv-SE"/>
              </w:rPr>
              <w:t>tax commitments and payments</w:t>
            </w:r>
            <w:r w:rsidR="0078442C" w:rsidRPr="00E50FA4">
              <w:rPr>
                <w:rFonts w:ascii="Times New Roman" w:eastAsia="Times New Roman" w:hAnsi="Times New Roman"/>
                <w:noProof/>
                <w:sz w:val="24"/>
                <w:lang w:eastAsia="sv-SE"/>
              </w:rPr>
              <w:t>,</w:t>
            </w:r>
            <w:r w:rsidR="004C03C2" w:rsidRPr="00E50FA4">
              <w:rPr>
                <w:rFonts w:ascii="Times New Roman" w:eastAsia="Times New Roman" w:hAnsi="Times New Roman"/>
                <w:noProof/>
                <w:sz w:val="24"/>
                <w:lang w:eastAsia="sv-SE"/>
              </w:rPr>
              <w:t xml:space="preserve"> disclosure on lobbying activities, </w:t>
            </w:r>
            <w:r w:rsidR="007A35BC" w:rsidRPr="00E50FA4">
              <w:rPr>
                <w:rFonts w:ascii="Times New Roman" w:eastAsia="Times New Roman" w:hAnsi="Times New Roman"/>
                <w:noProof/>
                <w:sz w:val="24"/>
                <w:lang w:eastAsia="sv-SE"/>
              </w:rPr>
              <w:t>and rules and practices</w:t>
            </w:r>
            <w:r w:rsidR="003B665E" w:rsidRPr="00E50FA4">
              <w:rPr>
                <w:rFonts w:ascii="Times New Roman" w:eastAsia="Times New Roman" w:hAnsi="Times New Roman"/>
                <w:noProof/>
                <w:sz w:val="24"/>
                <w:lang w:eastAsia="sv-SE"/>
              </w:rPr>
              <w:t>;</w:t>
            </w:r>
          </w:p>
          <w:p w14:paraId="18B3DD21" w14:textId="571F415F" w:rsidR="003B665E" w:rsidRPr="00E50FA4" w:rsidRDefault="00F9705C" w:rsidP="00B76863">
            <w:pPr>
              <w:pStyle w:val="ListParagraph"/>
              <w:numPr>
                <w:ilvl w:val="0"/>
                <w:numId w:val="47"/>
              </w:numPr>
              <w:autoSpaceDE w:val="0"/>
              <w:autoSpaceDN w:val="0"/>
              <w:adjustRightInd w:val="0"/>
              <w:spacing w:before="120" w:after="120"/>
              <w:ind w:left="350"/>
              <w:jc w:val="both"/>
              <w:rPr>
                <w:rFonts w:ascii="Times New Roman" w:eastAsia="Times New Roman" w:hAnsi="Times New Roman"/>
                <w:noProof/>
                <w:sz w:val="24"/>
                <w:lang w:eastAsia="sv-SE"/>
              </w:rPr>
            </w:pPr>
            <w:r w:rsidRPr="00E50FA4">
              <w:rPr>
                <w:rFonts w:ascii="Times New Roman" w:eastAsia="Times New Roman" w:hAnsi="Times New Roman"/>
                <w:noProof/>
                <w:sz w:val="24"/>
                <w:lang w:eastAsia="sv-SE"/>
              </w:rPr>
              <w:t>m</w:t>
            </w:r>
            <w:r w:rsidR="003B665E" w:rsidRPr="00E50FA4">
              <w:rPr>
                <w:rFonts w:ascii="Times New Roman" w:eastAsia="Times New Roman" w:hAnsi="Times New Roman"/>
                <w:noProof/>
                <w:sz w:val="24"/>
                <w:lang w:eastAsia="sv-SE"/>
              </w:rPr>
              <w:t xml:space="preserve">anagement of conflict of interest, </w:t>
            </w:r>
            <w:r w:rsidR="00D5191A" w:rsidRPr="00E50FA4">
              <w:rPr>
                <w:rFonts w:ascii="Times New Roman" w:eastAsia="Times New Roman" w:hAnsi="Times New Roman"/>
                <w:noProof/>
                <w:sz w:val="24"/>
                <w:lang w:eastAsia="sv-SE"/>
              </w:rPr>
              <w:t>including</w:t>
            </w:r>
            <w:r w:rsidR="003B665E" w:rsidRPr="00E50FA4">
              <w:rPr>
                <w:rFonts w:ascii="Times New Roman" w:eastAsia="Times New Roman" w:hAnsi="Times New Roman"/>
                <w:noProof/>
                <w:sz w:val="24"/>
                <w:lang w:eastAsia="sv-SE"/>
              </w:rPr>
              <w:t xml:space="preserve"> processes for the highest governance body to ensure that any conflict of interest is avoided, managed and mitigated; and</w:t>
            </w:r>
          </w:p>
          <w:p w14:paraId="4736EE17" w14:textId="765CCB98" w:rsidR="003B665E" w:rsidRPr="00E50FA4" w:rsidRDefault="00F9705C" w:rsidP="00B76863">
            <w:pPr>
              <w:pStyle w:val="ListParagraph"/>
              <w:numPr>
                <w:ilvl w:val="0"/>
                <w:numId w:val="47"/>
              </w:numPr>
              <w:autoSpaceDE w:val="0"/>
              <w:autoSpaceDN w:val="0"/>
              <w:adjustRightInd w:val="0"/>
              <w:spacing w:before="120" w:after="120"/>
              <w:ind w:left="350"/>
              <w:jc w:val="both"/>
              <w:rPr>
                <w:rFonts w:ascii="Times New Roman" w:eastAsia="Times New Roman" w:hAnsi="Times New Roman"/>
                <w:noProof/>
                <w:sz w:val="24"/>
                <w:lang w:eastAsia="sv-SE"/>
              </w:rPr>
            </w:pPr>
            <w:r w:rsidRPr="00E50FA4">
              <w:rPr>
                <w:rFonts w:ascii="Times New Roman" w:eastAsia="Times New Roman" w:hAnsi="Times New Roman"/>
                <w:noProof/>
                <w:sz w:val="24"/>
                <w:lang w:eastAsia="sv-SE"/>
              </w:rPr>
              <w:t>i</w:t>
            </w:r>
            <w:r w:rsidR="003B665E" w:rsidRPr="00E50FA4">
              <w:rPr>
                <w:rFonts w:ascii="Times New Roman" w:eastAsia="Times New Roman" w:hAnsi="Times New Roman"/>
                <w:noProof/>
                <w:sz w:val="24"/>
                <w:lang w:eastAsia="sv-SE"/>
              </w:rPr>
              <w:t xml:space="preserve">nternal communication on critical concerns, </w:t>
            </w:r>
            <w:r w:rsidR="00D5191A" w:rsidRPr="00E50FA4">
              <w:rPr>
                <w:rFonts w:ascii="Times New Roman" w:eastAsia="Times New Roman" w:hAnsi="Times New Roman"/>
                <w:noProof/>
                <w:sz w:val="24"/>
                <w:lang w:eastAsia="sv-SE"/>
              </w:rPr>
              <w:t>including</w:t>
            </w:r>
            <w:r w:rsidR="003B665E" w:rsidRPr="00E50FA4">
              <w:rPr>
                <w:rFonts w:ascii="Times New Roman" w:eastAsia="Times New Roman" w:hAnsi="Times New Roman"/>
                <w:noProof/>
                <w:sz w:val="24"/>
                <w:lang w:eastAsia="sv-SE"/>
              </w:rPr>
              <w:t xml:space="preserve"> how internal process of the counterparty operates for communicating critical concerns to the highest governance body.</w:t>
            </w:r>
          </w:p>
        </w:tc>
      </w:tr>
      <w:tr w:rsidR="007A6AB7" w:rsidRPr="00E50FA4" w14:paraId="6F5AAA01" w14:textId="77777777" w:rsidTr="00C6390F">
        <w:trPr>
          <w:trHeight w:val="493"/>
        </w:trPr>
        <w:tc>
          <w:tcPr>
            <w:tcW w:w="1384" w:type="dxa"/>
            <w:shd w:val="clear" w:color="auto" w:fill="D9D9D9" w:themeFill="background1" w:themeFillShade="D9"/>
          </w:tcPr>
          <w:p w14:paraId="646C91DA" w14:textId="77777777" w:rsidR="007A6AB7" w:rsidRPr="00E50FA4" w:rsidRDefault="007A6AB7" w:rsidP="001A08A2">
            <w:pPr>
              <w:autoSpaceDE w:val="0"/>
              <w:autoSpaceDN w:val="0"/>
              <w:adjustRightInd w:val="0"/>
              <w:jc w:val="both"/>
              <w:rPr>
                <w:rFonts w:ascii="Times New Roman" w:hAnsi="Times New Roman" w:cs="Times New Roman"/>
                <w:noProof/>
                <w:sz w:val="24"/>
                <w:lang w:val="en-GB"/>
              </w:rPr>
            </w:pPr>
          </w:p>
        </w:tc>
        <w:tc>
          <w:tcPr>
            <w:tcW w:w="7655" w:type="dxa"/>
            <w:shd w:val="clear" w:color="auto" w:fill="D9D9D9" w:themeFill="background1" w:themeFillShade="D9"/>
          </w:tcPr>
          <w:p w14:paraId="34244AE9" w14:textId="77777777" w:rsidR="007A6AB7" w:rsidRPr="00E50FA4" w:rsidRDefault="00C6390F" w:rsidP="001A08A2">
            <w:pPr>
              <w:autoSpaceDE w:val="0"/>
              <w:autoSpaceDN w:val="0"/>
              <w:adjustRightInd w:val="0"/>
              <w:jc w:val="both"/>
              <w:rPr>
                <w:rFonts w:ascii="Times New Roman" w:hAnsi="Times New Roman" w:cs="Times New Roman"/>
                <w:b/>
                <w:noProof/>
                <w:sz w:val="24"/>
                <w:lang w:val="en-GB"/>
              </w:rPr>
            </w:pPr>
            <w:r w:rsidRPr="00E50FA4">
              <w:rPr>
                <w:rFonts w:ascii="Times New Roman" w:hAnsi="Times New Roman" w:cs="Times New Roman"/>
                <w:b/>
                <w:noProof/>
                <w:sz w:val="24"/>
                <w:lang w:val="en-GB"/>
              </w:rPr>
              <w:t>Risk management</w:t>
            </w:r>
          </w:p>
        </w:tc>
      </w:tr>
      <w:tr w:rsidR="007A6AB7" w:rsidRPr="00E50FA4" w14:paraId="783CF56B" w14:textId="77777777" w:rsidTr="00453CE1">
        <w:trPr>
          <w:trHeight w:val="316"/>
        </w:trPr>
        <w:tc>
          <w:tcPr>
            <w:tcW w:w="1384" w:type="dxa"/>
          </w:tcPr>
          <w:p w14:paraId="0438CEA5" w14:textId="77777777" w:rsidR="007A6AB7" w:rsidRPr="00E50FA4" w:rsidRDefault="00930E02" w:rsidP="001A08A2">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(d)</w:t>
            </w:r>
          </w:p>
        </w:tc>
        <w:tc>
          <w:tcPr>
            <w:tcW w:w="7655" w:type="dxa"/>
          </w:tcPr>
          <w:p w14:paraId="125C412C" w14:textId="0E1064DD" w:rsidR="000F7FF2" w:rsidRPr="00E50FA4" w:rsidRDefault="00A65693" w:rsidP="00FF5C07">
            <w:pPr>
              <w:autoSpaceDE w:val="0"/>
              <w:autoSpaceDN w:val="0"/>
              <w:adjustRightInd w:val="0"/>
              <w:spacing w:before="120" w:after="120"/>
              <w:jc w:val="both"/>
              <w:rPr>
                <w:noProof/>
                <w:lang w:eastAsia="sv-SE"/>
              </w:rPr>
            </w:pPr>
            <w:r w:rsidRPr="00E50FA4">
              <w:rPr>
                <w:rFonts w:ascii="Times New Roman" w:hAnsi="Times New Roman" w:cs="Times New Roman"/>
                <w:noProof/>
                <w:sz w:val="24"/>
                <w:lang w:val="en-GB"/>
              </w:rPr>
              <w:t xml:space="preserve">In accordance with Article 449a </w:t>
            </w:r>
            <w:r w:rsidR="00233F87" w:rsidRPr="00E50FA4">
              <w:rPr>
                <w:rFonts w:ascii="Times New Roman" w:hAnsi="Times New Roman" w:cs="Times New Roman"/>
                <w:noProof/>
                <w:sz w:val="24"/>
                <w:lang w:val="en-GB"/>
              </w:rPr>
              <w:t>of Regulation (EU) No 575/2013</w:t>
            </w:r>
            <w:r w:rsidR="001C717A" w:rsidRPr="00E50FA4">
              <w:rPr>
                <w:rFonts w:ascii="Times New Roman" w:hAnsi="Times New Roman" w:cs="Times New Roman"/>
                <w:noProof/>
                <w:sz w:val="24"/>
                <w:lang w:val="en-GB"/>
              </w:rPr>
              <w:t>,</w:t>
            </w:r>
            <w:r w:rsidR="00233F87"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in conjunction with Article 435(1</w:t>
            </w:r>
            <w:r w:rsidR="00B76863" w:rsidRPr="00E50FA4">
              <w:rPr>
                <w:rFonts w:ascii="Times New Roman" w:hAnsi="Times New Roman" w:cs="Times New Roman"/>
                <w:noProof/>
                <w:sz w:val="24"/>
                <w:lang w:val="en-GB"/>
              </w:rPr>
              <w:t>) of</w:t>
            </w:r>
            <w:r w:rsidR="00233F87" w:rsidRPr="00E50FA4">
              <w:rPr>
                <w:rFonts w:ascii="Times New Roman" w:hAnsi="Times New Roman" w:cs="Times New Roman"/>
                <w:noProof/>
                <w:sz w:val="24"/>
                <w:lang w:val="en-GB"/>
              </w:rPr>
              <w:t xml:space="preserve"> that </w:t>
            </w:r>
            <w:r w:rsidR="007F40F6" w:rsidRPr="00E50FA4">
              <w:rPr>
                <w:rFonts w:ascii="Times New Roman" w:hAnsi="Times New Roman" w:cs="Times New Roman"/>
                <w:noProof/>
                <w:sz w:val="24"/>
                <w:lang w:val="en-GB"/>
              </w:rPr>
              <w:t>Regulation</w:t>
            </w:r>
            <w:r w:rsidRPr="00E50FA4">
              <w:rPr>
                <w:rFonts w:ascii="Times New Roman" w:eastAsia="Times New Roman" w:hAnsi="Times New Roman" w:cs="Times New Roman"/>
                <w:noProof/>
                <w:sz w:val="24"/>
                <w:lang w:val="en-GB" w:eastAsia="sv-SE"/>
              </w:rPr>
              <w:t xml:space="preserve">, </w:t>
            </w:r>
            <w:r w:rsidR="00693087" w:rsidRPr="00E50FA4">
              <w:rPr>
                <w:rFonts w:ascii="Times New Roman" w:hAnsi="Times New Roman" w:cs="Times New Roman"/>
                <w:noProof/>
                <w:sz w:val="24"/>
                <w:lang w:val="en-GB"/>
              </w:rPr>
              <w:t xml:space="preserve">institutions shall </w:t>
            </w:r>
            <w:r w:rsidR="00FF5C07" w:rsidRPr="00E50FA4">
              <w:rPr>
                <w:rFonts w:ascii="Times New Roman" w:hAnsi="Times New Roman" w:cs="Times New Roman"/>
                <w:noProof/>
                <w:sz w:val="24"/>
                <w:lang w:val="en-GB"/>
              </w:rPr>
              <w:t xml:space="preserve">provide information </w:t>
            </w:r>
            <w:r w:rsidR="00B76863" w:rsidRPr="00E50FA4">
              <w:rPr>
                <w:rFonts w:ascii="Times New Roman" w:hAnsi="Times New Roman" w:cs="Times New Roman"/>
                <w:noProof/>
                <w:sz w:val="24"/>
                <w:lang w:val="en-GB"/>
              </w:rPr>
              <w:t>on how</w:t>
            </w:r>
            <w:r w:rsidR="00693087" w:rsidRPr="00E50FA4">
              <w:rPr>
                <w:rFonts w:ascii="Times New Roman" w:eastAsia="Times New Roman" w:hAnsi="Times New Roman" w:cs="Times New Roman"/>
                <w:noProof/>
                <w:sz w:val="24"/>
                <w:lang w:val="en-GB" w:eastAsia="sv-SE"/>
              </w:rPr>
              <w:t xml:space="preserve"> they</w:t>
            </w:r>
            <w:r w:rsidR="000F7FF2" w:rsidRPr="00E50FA4">
              <w:rPr>
                <w:rFonts w:ascii="Times New Roman" w:eastAsia="Times New Roman" w:hAnsi="Times New Roman" w:cs="Times New Roman"/>
                <w:noProof/>
                <w:sz w:val="24"/>
                <w:lang w:val="en-GB" w:eastAsia="sv-SE"/>
              </w:rPr>
              <w:t xml:space="preserve"> integrate in </w:t>
            </w:r>
            <w:r w:rsidR="00F86FB8" w:rsidRPr="00E50FA4">
              <w:rPr>
                <w:rFonts w:ascii="Times New Roman" w:eastAsia="Times New Roman" w:hAnsi="Times New Roman" w:cs="Times New Roman"/>
                <w:noProof/>
                <w:sz w:val="24"/>
                <w:lang w:val="en-GB" w:eastAsia="sv-SE"/>
              </w:rPr>
              <w:t xml:space="preserve">their </w:t>
            </w:r>
            <w:r w:rsidR="000F7FF2" w:rsidRPr="00E50FA4">
              <w:rPr>
                <w:rFonts w:ascii="Times New Roman" w:eastAsia="Times New Roman" w:hAnsi="Times New Roman" w:cs="Times New Roman"/>
                <w:noProof/>
                <w:sz w:val="24"/>
                <w:lang w:val="en-GB" w:eastAsia="sv-SE"/>
              </w:rPr>
              <w:t>risk management arrangements the governance performance of their counterparties considering</w:t>
            </w:r>
            <w:r w:rsidR="00805E7E" w:rsidRPr="00E50FA4">
              <w:rPr>
                <w:rFonts w:ascii="Times New Roman" w:eastAsia="Times New Roman" w:hAnsi="Times New Roman"/>
                <w:noProof/>
                <w:sz w:val="24"/>
                <w:lang w:val="en-GB" w:eastAsia="sv-SE"/>
              </w:rPr>
              <w:t xml:space="preserve"> aspects </w:t>
            </w:r>
            <w:r w:rsidR="00233F87" w:rsidRPr="00E50FA4">
              <w:rPr>
                <w:rFonts w:ascii="Times New Roman" w:eastAsia="Times New Roman" w:hAnsi="Times New Roman"/>
                <w:noProof/>
                <w:sz w:val="24"/>
                <w:lang w:val="en-GB" w:eastAsia="sv-SE"/>
              </w:rPr>
              <w:t xml:space="preserve">set out </w:t>
            </w:r>
            <w:r w:rsidR="00805E7E" w:rsidRPr="00E50FA4">
              <w:rPr>
                <w:rFonts w:ascii="Times New Roman" w:eastAsia="Times New Roman" w:hAnsi="Times New Roman"/>
                <w:noProof/>
                <w:sz w:val="24"/>
                <w:lang w:val="en-GB" w:eastAsia="sv-SE"/>
              </w:rPr>
              <w:t>in row 3.</w:t>
            </w:r>
          </w:p>
        </w:tc>
      </w:tr>
    </w:tbl>
    <w:p w14:paraId="55A0122A" w14:textId="77777777" w:rsidR="00C168F0" w:rsidRPr="00E50FA4" w:rsidRDefault="00C168F0" w:rsidP="001A08A2">
      <w:pPr>
        <w:jc w:val="both"/>
        <w:rPr>
          <w:rFonts w:ascii="Times New Roman" w:hAnsi="Times New Roman" w:cs="Times New Roman"/>
          <w:b/>
          <w:noProof/>
          <w:sz w:val="24"/>
          <w:lang w:val="en-GB"/>
        </w:rPr>
      </w:pPr>
    </w:p>
    <w:p w14:paraId="78E5BEAE" w14:textId="77777777" w:rsidR="00535F94" w:rsidRPr="00E50FA4" w:rsidRDefault="00535F94">
      <w:pPr>
        <w:rPr>
          <w:rFonts w:ascii="Times New Roman" w:hAnsi="Times New Roman" w:cs="Times New Roman"/>
          <w:b/>
          <w:noProof/>
          <w:sz w:val="24"/>
          <w:lang w:val="en-GB"/>
        </w:rPr>
      </w:pPr>
      <w:r w:rsidRPr="00E50FA4">
        <w:rPr>
          <w:rFonts w:ascii="Times New Roman" w:hAnsi="Times New Roman" w:cs="Times New Roman"/>
          <w:b/>
          <w:noProof/>
          <w:sz w:val="24"/>
          <w:lang w:val="en-GB"/>
        </w:rPr>
        <w:br w:type="page"/>
      </w:r>
    </w:p>
    <w:p w14:paraId="20D108DB" w14:textId="47DAC2EF" w:rsidR="00C168F0" w:rsidRPr="00E50FA4" w:rsidRDefault="00C168F0" w:rsidP="001A08A2">
      <w:pPr>
        <w:jc w:val="both"/>
        <w:rPr>
          <w:rFonts w:ascii="Times New Roman" w:hAnsi="Times New Roman" w:cs="Times New Roman"/>
          <w:noProof/>
          <w:sz w:val="24"/>
          <w:lang w:val="en-GB"/>
        </w:rPr>
      </w:pPr>
      <w:r w:rsidRPr="00E50FA4">
        <w:rPr>
          <w:rFonts w:ascii="Times New Roman" w:hAnsi="Times New Roman" w:cs="Times New Roman"/>
          <w:b/>
          <w:noProof/>
          <w:sz w:val="24"/>
          <w:lang w:val="en-GB"/>
        </w:rPr>
        <w:t>Template 1 - Banking book</w:t>
      </w:r>
      <w:r w:rsidR="00003B3B" w:rsidRPr="00E50FA4">
        <w:rPr>
          <w:rFonts w:ascii="Times New Roman" w:hAnsi="Times New Roman" w:cs="Times New Roman"/>
          <w:b/>
          <w:noProof/>
          <w:sz w:val="24"/>
          <w:lang w:val="en-GB"/>
        </w:rPr>
        <w:t xml:space="preserve"> - </w:t>
      </w:r>
      <w:r w:rsidR="00786654" w:rsidRPr="00E50FA4">
        <w:rPr>
          <w:rFonts w:ascii="Times New Roman" w:hAnsi="Times New Roman" w:cs="Times New Roman"/>
          <w:b/>
          <w:noProof/>
          <w:sz w:val="24"/>
          <w:lang w:val="en-GB"/>
        </w:rPr>
        <w:t xml:space="preserve">Indicators of potential climate </w:t>
      </w:r>
      <w:r w:rsidR="00003B3B" w:rsidRPr="00E50FA4">
        <w:rPr>
          <w:rFonts w:ascii="Times New Roman" w:hAnsi="Times New Roman" w:cs="Times New Roman"/>
          <w:b/>
          <w:noProof/>
          <w:sz w:val="24"/>
          <w:lang w:val="en-GB"/>
        </w:rPr>
        <w:t>change transition risk:</w:t>
      </w:r>
      <w:r w:rsidRPr="00E50FA4">
        <w:rPr>
          <w:rFonts w:ascii="Times New Roman" w:hAnsi="Times New Roman" w:cs="Times New Roman"/>
          <w:b/>
          <w:noProof/>
          <w:sz w:val="24"/>
          <w:lang w:val="en-GB"/>
        </w:rPr>
        <w:t xml:space="preserve"> </w:t>
      </w:r>
      <w:r w:rsidR="00F859D6" w:rsidRPr="00F859D6">
        <w:rPr>
          <w:rFonts w:ascii="Times New Roman" w:hAnsi="Times New Roman" w:cs="Times New Roman"/>
          <w:noProof/>
          <w:sz w:val="24"/>
          <w:lang w:val="en-GB"/>
        </w:rPr>
        <w:t>Credit quality of exposures by sector, emissions and residual maturity</w:t>
      </w:r>
      <w:r w:rsidR="00D51DA4" w:rsidRPr="00E50FA4">
        <w:rPr>
          <w:rFonts w:ascii="Times New Roman" w:hAnsi="Times New Roman" w:cs="Times New Roman"/>
          <w:noProof/>
          <w:sz w:val="24"/>
          <w:lang w:val="en-GB"/>
        </w:rPr>
        <w:t>. Fixed format</w:t>
      </w:r>
      <w:r w:rsidRPr="00E50FA4">
        <w:rPr>
          <w:rFonts w:ascii="Times New Roman" w:hAnsi="Times New Roman" w:cs="Times New Roman"/>
          <w:noProof/>
          <w:sz w:val="24"/>
          <w:lang w:val="en-GB"/>
        </w:rPr>
        <w:t>.</w:t>
      </w:r>
    </w:p>
    <w:p w14:paraId="0E4D85EA" w14:textId="77777777" w:rsidR="00535F94" w:rsidRPr="00E50FA4" w:rsidRDefault="00535F94" w:rsidP="001A08A2">
      <w:pPr>
        <w:jc w:val="both"/>
        <w:rPr>
          <w:rFonts w:ascii="Times New Roman" w:hAnsi="Times New Roman" w:cs="Times New Roman"/>
          <w:b/>
          <w:noProof/>
          <w:sz w:val="24"/>
          <w:lang w:val="en-GB"/>
        </w:rPr>
      </w:pPr>
    </w:p>
    <w:p w14:paraId="4F171901" w14:textId="4705200E" w:rsidR="00C168F0" w:rsidRPr="00E50FA4" w:rsidRDefault="00503B0C" w:rsidP="00B76863">
      <w:pPr>
        <w:pStyle w:val="ListParagraph"/>
        <w:numPr>
          <w:ilvl w:val="0"/>
          <w:numId w:val="58"/>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Institutions shall </w:t>
      </w:r>
      <w:r w:rsidR="001C717A" w:rsidRPr="00E50FA4">
        <w:rPr>
          <w:rFonts w:ascii="Times New Roman" w:hAnsi="Times New Roman"/>
          <w:noProof/>
          <w:color w:val="000000"/>
          <w:sz w:val="24"/>
        </w:rPr>
        <w:t xml:space="preserve">use </w:t>
      </w:r>
      <w:r w:rsidRPr="00E50FA4">
        <w:rPr>
          <w:rFonts w:ascii="Times New Roman" w:hAnsi="Times New Roman"/>
          <w:noProof/>
          <w:color w:val="000000"/>
          <w:sz w:val="24"/>
        </w:rPr>
        <w:t xml:space="preserve">the </w:t>
      </w:r>
      <w:r w:rsidR="00233F87" w:rsidRPr="00E50FA4">
        <w:rPr>
          <w:rFonts w:ascii="Times New Roman" w:hAnsi="Times New Roman"/>
          <w:noProof/>
          <w:color w:val="000000"/>
          <w:sz w:val="24"/>
        </w:rPr>
        <w:t xml:space="preserve">following </w:t>
      </w:r>
      <w:r w:rsidRPr="00E50FA4">
        <w:rPr>
          <w:rFonts w:ascii="Times New Roman" w:hAnsi="Times New Roman"/>
          <w:noProof/>
          <w:color w:val="000000"/>
          <w:sz w:val="24"/>
        </w:rPr>
        <w:t xml:space="preserve">instructions to complete </w:t>
      </w:r>
      <w:r w:rsidR="00C168F0" w:rsidRPr="00E50FA4">
        <w:rPr>
          <w:rFonts w:ascii="Times New Roman" w:hAnsi="Times New Roman"/>
          <w:noProof/>
          <w:sz w:val="24"/>
        </w:rPr>
        <w:t xml:space="preserve">template </w:t>
      </w:r>
      <w:r w:rsidR="00003B3B" w:rsidRPr="00E50FA4">
        <w:rPr>
          <w:rFonts w:ascii="Times New Roman" w:hAnsi="Times New Roman"/>
          <w:noProof/>
          <w:sz w:val="24"/>
        </w:rPr>
        <w:t>1</w:t>
      </w:r>
      <w:r w:rsidR="008846FA" w:rsidRPr="00E50FA4">
        <w:rPr>
          <w:rFonts w:ascii="Times New Roman" w:hAnsi="Times New Roman"/>
          <w:noProof/>
          <w:sz w:val="24"/>
        </w:rPr>
        <w:t xml:space="preserve"> </w:t>
      </w:r>
      <w:r w:rsidR="009906F2" w:rsidRPr="00E50FA4">
        <w:rPr>
          <w:rFonts w:ascii="Times New Roman" w:hAnsi="Times New Roman"/>
          <w:noProof/>
          <w:sz w:val="24"/>
        </w:rPr>
        <w:t>set out</w:t>
      </w:r>
      <w:r w:rsidRPr="00E50FA4">
        <w:rPr>
          <w:rFonts w:ascii="Times New Roman" w:hAnsi="Times New Roman"/>
          <w:noProof/>
          <w:sz w:val="24"/>
        </w:rPr>
        <w:t xml:space="preserve"> in Annex </w:t>
      </w:r>
      <w:r w:rsidR="002C55A3" w:rsidRPr="00E50FA4">
        <w:rPr>
          <w:rFonts w:ascii="Times New Roman" w:hAnsi="Times New Roman"/>
          <w:noProof/>
          <w:sz w:val="24"/>
        </w:rPr>
        <w:t xml:space="preserve">XXXIX </w:t>
      </w:r>
      <w:r w:rsidRPr="00E50FA4">
        <w:rPr>
          <w:rFonts w:ascii="Times New Roman" w:hAnsi="Times New Roman"/>
          <w:noProof/>
          <w:color w:val="000000"/>
          <w:sz w:val="24"/>
        </w:rPr>
        <w:t>to this Regulation</w:t>
      </w:r>
      <w:r w:rsidRPr="00E50FA4">
        <w:rPr>
          <w:rFonts w:ascii="Times New Roman" w:hAnsi="Times New Roman"/>
          <w:noProof/>
          <w:sz w:val="24"/>
        </w:rPr>
        <w:t xml:space="preserve"> </w:t>
      </w:r>
      <w:r w:rsidR="00C168F0" w:rsidRPr="00E50FA4">
        <w:rPr>
          <w:rFonts w:ascii="Times New Roman" w:hAnsi="Times New Roman"/>
          <w:noProof/>
          <w:sz w:val="24"/>
        </w:rPr>
        <w:t xml:space="preserve">to </w:t>
      </w:r>
      <w:r w:rsidRPr="00E50FA4">
        <w:rPr>
          <w:rFonts w:ascii="Times New Roman" w:hAnsi="Times New Roman"/>
          <w:noProof/>
          <w:sz w:val="24"/>
        </w:rPr>
        <w:t xml:space="preserve">provide </w:t>
      </w:r>
      <w:r w:rsidR="00C168F0" w:rsidRPr="00E50FA4">
        <w:rPr>
          <w:rFonts w:ascii="Times New Roman" w:hAnsi="Times New Roman"/>
          <w:noProof/>
          <w:sz w:val="24"/>
        </w:rPr>
        <w:t>information on th</w:t>
      </w:r>
      <w:r w:rsidR="001C717A" w:rsidRPr="00E50FA4">
        <w:rPr>
          <w:rFonts w:ascii="Times New Roman" w:hAnsi="Times New Roman"/>
          <w:noProof/>
          <w:sz w:val="24"/>
        </w:rPr>
        <w:t xml:space="preserve">e </w:t>
      </w:r>
      <w:r w:rsidR="00535F94" w:rsidRPr="00E50FA4">
        <w:rPr>
          <w:rFonts w:ascii="Times New Roman" w:hAnsi="Times New Roman"/>
          <w:noProof/>
          <w:sz w:val="24"/>
        </w:rPr>
        <w:t>exposures</w:t>
      </w:r>
      <w:r w:rsidRPr="00E50FA4">
        <w:rPr>
          <w:rFonts w:ascii="Times New Roman" w:hAnsi="Times New Roman"/>
          <w:noProof/>
          <w:sz w:val="24"/>
        </w:rPr>
        <w:t xml:space="preserve"> </w:t>
      </w:r>
      <w:r w:rsidR="001C717A" w:rsidRPr="00E50FA4">
        <w:rPr>
          <w:rFonts w:ascii="Times New Roman" w:hAnsi="Times New Roman"/>
          <w:noProof/>
          <w:sz w:val="24"/>
        </w:rPr>
        <w:t xml:space="preserve">that are </w:t>
      </w:r>
      <w:r w:rsidR="00C168F0" w:rsidRPr="00E50FA4">
        <w:rPr>
          <w:rFonts w:ascii="Times New Roman" w:hAnsi="Times New Roman"/>
          <w:noProof/>
          <w:sz w:val="24"/>
        </w:rPr>
        <w:t xml:space="preserve">more </w:t>
      </w:r>
      <w:r w:rsidR="00862D53" w:rsidRPr="00E50FA4">
        <w:rPr>
          <w:rFonts w:ascii="Times New Roman" w:hAnsi="Times New Roman"/>
          <w:noProof/>
          <w:sz w:val="24"/>
        </w:rPr>
        <w:t xml:space="preserve">prone </w:t>
      </w:r>
      <w:r w:rsidR="00C168F0" w:rsidRPr="00E50FA4">
        <w:rPr>
          <w:rFonts w:ascii="Times New Roman" w:hAnsi="Times New Roman"/>
          <w:noProof/>
          <w:sz w:val="24"/>
        </w:rPr>
        <w:t>to the risks that institutions may face from the transition to a low-carbon and climate resilient economy</w:t>
      </w:r>
      <w:r w:rsidR="00535F94" w:rsidRPr="00E50FA4">
        <w:rPr>
          <w:rFonts w:ascii="Times New Roman" w:hAnsi="Times New Roman"/>
          <w:noProof/>
          <w:sz w:val="24"/>
        </w:rPr>
        <w:t>.</w:t>
      </w:r>
      <w:r w:rsidRPr="00E50FA4">
        <w:rPr>
          <w:rFonts w:ascii="Times New Roman" w:hAnsi="Times New Roman"/>
          <w:noProof/>
          <w:sz w:val="24"/>
        </w:rPr>
        <w:t xml:space="preserve"> </w:t>
      </w:r>
      <w:r w:rsidR="00862D53" w:rsidRPr="00E50FA4">
        <w:rPr>
          <w:rFonts w:ascii="Times New Roman" w:hAnsi="Times New Roman"/>
          <w:noProof/>
          <w:sz w:val="24"/>
        </w:rPr>
        <w:t xml:space="preserve">For the purposes </w:t>
      </w:r>
      <w:r w:rsidRPr="00E50FA4">
        <w:rPr>
          <w:rFonts w:ascii="Times New Roman" w:hAnsi="Times New Roman"/>
          <w:noProof/>
          <w:sz w:val="24"/>
        </w:rPr>
        <w:t xml:space="preserve">of Article 449a </w:t>
      </w:r>
      <w:r w:rsidR="00581331" w:rsidRPr="00E50FA4">
        <w:rPr>
          <w:rFonts w:ascii="Times New Roman" w:hAnsi="Times New Roman"/>
          <w:noProof/>
          <w:sz w:val="24"/>
        </w:rPr>
        <w:t xml:space="preserve">of </w:t>
      </w:r>
      <w:r w:rsidR="007F40F6" w:rsidRPr="00E50FA4">
        <w:rPr>
          <w:rFonts w:ascii="Times New Roman" w:hAnsi="Times New Roman"/>
          <w:noProof/>
          <w:sz w:val="24"/>
        </w:rPr>
        <w:t>Regulation (EU) No 575/2013</w:t>
      </w:r>
      <w:r w:rsidR="00C168F0" w:rsidRPr="00E50FA4">
        <w:rPr>
          <w:rFonts w:ascii="Times New Roman" w:hAnsi="Times New Roman"/>
          <w:noProof/>
          <w:sz w:val="24"/>
        </w:rPr>
        <w:t>:</w:t>
      </w:r>
    </w:p>
    <w:p w14:paraId="442721A4" w14:textId="2AAB99D2" w:rsidR="00C168F0" w:rsidRPr="00E50FA4" w:rsidRDefault="00C35AC3" w:rsidP="00B76863">
      <w:pPr>
        <w:pStyle w:val="ListParagraph"/>
        <w:spacing w:before="120" w:after="120"/>
        <w:ind w:left="567" w:hanging="567"/>
        <w:jc w:val="both"/>
        <w:rPr>
          <w:rFonts w:ascii="Times New Roman" w:hAnsi="Times New Roman"/>
          <w:noProof/>
          <w:sz w:val="24"/>
        </w:rPr>
      </w:pPr>
      <w:r w:rsidRPr="00E50FA4">
        <w:rPr>
          <w:rFonts w:ascii="Times New Roman" w:hAnsi="Times New Roman"/>
          <w:noProof/>
          <w:sz w:val="24"/>
        </w:rPr>
        <w:t>(a)</w:t>
      </w:r>
      <w:r w:rsidR="002A6EFB" w:rsidRPr="00E50FA4">
        <w:rPr>
          <w:rFonts w:ascii="Times New Roman" w:hAnsi="Times New Roman"/>
          <w:noProof/>
          <w:sz w:val="24"/>
        </w:rPr>
        <w:tab/>
      </w:r>
      <w:r w:rsidR="00581331" w:rsidRPr="00E50FA4">
        <w:rPr>
          <w:rFonts w:ascii="Times New Roman" w:hAnsi="Times New Roman"/>
          <w:noProof/>
          <w:sz w:val="24"/>
        </w:rPr>
        <w:t>institutions</w:t>
      </w:r>
      <w:r w:rsidR="00BF6709" w:rsidRPr="00E50FA4">
        <w:rPr>
          <w:rFonts w:ascii="Times New Roman" w:hAnsi="Times New Roman"/>
          <w:noProof/>
          <w:sz w:val="24"/>
        </w:rPr>
        <w:t xml:space="preserve"> </w:t>
      </w:r>
      <w:r w:rsidR="00C168F0" w:rsidRPr="00E50FA4">
        <w:rPr>
          <w:rFonts w:ascii="Times New Roman" w:hAnsi="Times New Roman"/>
          <w:noProof/>
          <w:sz w:val="24"/>
        </w:rPr>
        <w:t>shall disclose information on their exposures towards non-financial corporates operat</w:t>
      </w:r>
      <w:r w:rsidR="00535F94" w:rsidRPr="00E50FA4">
        <w:rPr>
          <w:rFonts w:ascii="Times New Roman" w:hAnsi="Times New Roman"/>
          <w:noProof/>
          <w:sz w:val="24"/>
        </w:rPr>
        <w:t>ing</w:t>
      </w:r>
      <w:r w:rsidR="00C168F0" w:rsidRPr="00E50FA4">
        <w:rPr>
          <w:rFonts w:ascii="Times New Roman" w:hAnsi="Times New Roman"/>
          <w:noProof/>
          <w:sz w:val="24"/>
        </w:rPr>
        <w:t xml:space="preserve"> in carbon</w:t>
      </w:r>
      <w:r w:rsidR="00535F94" w:rsidRPr="00E50FA4">
        <w:rPr>
          <w:rFonts w:ascii="Times New Roman" w:hAnsi="Times New Roman"/>
          <w:noProof/>
          <w:sz w:val="24"/>
        </w:rPr>
        <w:t>-</w:t>
      </w:r>
      <w:r w:rsidR="00C168F0" w:rsidRPr="00E50FA4">
        <w:rPr>
          <w:rFonts w:ascii="Times New Roman" w:hAnsi="Times New Roman"/>
          <w:noProof/>
          <w:sz w:val="24"/>
        </w:rPr>
        <w:t>related sectors, and on the quality of those exposures</w:t>
      </w:r>
      <w:r w:rsidR="00535F94" w:rsidRPr="00E50FA4">
        <w:rPr>
          <w:rFonts w:ascii="Times New Roman" w:hAnsi="Times New Roman"/>
          <w:noProof/>
          <w:sz w:val="24"/>
        </w:rPr>
        <w:t>,</w:t>
      </w:r>
      <w:r w:rsidR="00C168F0" w:rsidRPr="00E50FA4">
        <w:rPr>
          <w:rFonts w:ascii="Times New Roman" w:hAnsi="Times New Roman"/>
          <w:noProof/>
          <w:sz w:val="24"/>
        </w:rPr>
        <w:t xml:space="preserve"> including </w:t>
      </w:r>
      <w:r w:rsidR="00535F94" w:rsidRPr="00E50FA4">
        <w:rPr>
          <w:rFonts w:ascii="Times New Roman" w:hAnsi="Times New Roman"/>
          <w:noProof/>
          <w:sz w:val="24"/>
        </w:rPr>
        <w:t xml:space="preserve">non-performing status, </w:t>
      </w:r>
      <w:r w:rsidR="00C168F0" w:rsidRPr="00E50FA4">
        <w:rPr>
          <w:rFonts w:ascii="Times New Roman" w:hAnsi="Times New Roman"/>
          <w:noProof/>
          <w:sz w:val="24"/>
        </w:rPr>
        <w:t xml:space="preserve">stage 2 </w:t>
      </w:r>
      <w:r w:rsidR="00535F94" w:rsidRPr="00E50FA4">
        <w:rPr>
          <w:rFonts w:ascii="Times New Roman" w:hAnsi="Times New Roman"/>
          <w:noProof/>
          <w:sz w:val="24"/>
        </w:rPr>
        <w:t>classification</w:t>
      </w:r>
      <w:r w:rsidR="00C168F0" w:rsidRPr="00E50FA4">
        <w:rPr>
          <w:rFonts w:ascii="Times New Roman" w:hAnsi="Times New Roman"/>
          <w:noProof/>
          <w:sz w:val="24"/>
        </w:rPr>
        <w:t>,</w:t>
      </w:r>
      <w:r w:rsidR="00535F94" w:rsidRPr="00E50FA4">
        <w:rPr>
          <w:rFonts w:ascii="Times New Roman" w:hAnsi="Times New Roman"/>
          <w:noProof/>
          <w:sz w:val="24"/>
        </w:rPr>
        <w:t xml:space="preserve"> </w:t>
      </w:r>
      <w:r w:rsidR="00C168F0" w:rsidRPr="00E50FA4">
        <w:rPr>
          <w:rFonts w:ascii="Times New Roman" w:hAnsi="Times New Roman"/>
          <w:noProof/>
          <w:sz w:val="24"/>
        </w:rPr>
        <w:t>and related provisions</w:t>
      </w:r>
      <w:r w:rsidR="009461DC" w:rsidRPr="00E50FA4">
        <w:rPr>
          <w:rFonts w:ascii="Times New Roman" w:hAnsi="Times New Roman"/>
          <w:noProof/>
          <w:sz w:val="24"/>
        </w:rPr>
        <w:t xml:space="preserve"> as well as maturity buckets</w:t>
      </w:r>
      <w:r w:rsidR="00A701A8" w:rsidRPr="00E50FA4">
        <w:rPr>
          <w:rFonts w:ascii="Times New Roman" w:hAnsi="Times New Roman"/>
          <w:noProof/>
          <w:sz w:val="24"/>
        </w:rPr>
        <w:t>;</w:t>
      </w:r>
      <w:r w:rsidR="00C168F0" w:rsidRPr="00E50FA4">
        <w:rPr>
          <w:rFonts w:ascii="Times New Roman" w:hAnsi="Times New Roman"/>
          <w:noProof/>
          <w:sz w:val="24"/>
        </w:rPr>
        <w:t xml:space="preserve"> </w:t>
      </w:r>
    </w:p>
    <w:p w14:paraId="2C426819" w14:textId="6CEF11CE" w:rsidR="00C37C47" w:rsidRPr="00E50FA4" w:rsidRDefault="00C35AC3" w:rsidP="00B76863">
      <w:pPr>
        <w:spacing w:before="120" w:after="120"/>
        <w:ind w:left="567" w:hanging="567"/>
        <w:jc w:val="both"/>
        <w:rPr>
          <w:rFonts w:ascii="Times New Roman" w:hAnsi="Times New Roman"/>
          <w:noProof/>
          <w:sz w:val="24"/>
        </w:rPr>
      </w:pPr>
      <w:r w:rsidRPr="00E50FA4">
        <w:rPr>
          <w:rFonts w:ascii="Times New Roman" w:hAnsi="Times New Roman"/>
          <w:noProof/>
          <w:sz w:val="24"/>
        </w:rPr>
        <w:t>(b)</w:t>
      </w:r>
      <w:r w:rsidR="002A6EFB" w:rsidRPr="00E50FA4">
        <w:rPr>
          <w:rFonts w:ascii="Times New Roman" w:hAnsi="Times New Roman"/>
          <w:noProof/>
          <w:sz w:val="24"/>
        </w:rPr>
        <w:tab/>
      </w:r>
      <w:r w:rsidR="00FF5C07" w:rsidRPr="00E50FA4">
        <w:rPr>
          <w:rFonts w:ascii="Times New Roman" w:hAnsi="Times New Roman"/>
          <w:noProof/>
          <w:sz w:val="24"/>
        </w:rPr>
        <w:t>institutions</w:t>
      </w:r>
      <w:r w:rsidR="00C168F0" w:rsidRPr="00E50FA4">
        <w:rPr>
          <w:rFonts w:ascii="Times New Roman" w:hAnsi="Times New Roman"/>
          <w:noProof/>
          <w:sz w:val="24"/>
        </w:rPr>
        <w:t xml:space="preserve"> shall start disclosing information on </w:t>
      </w:r>
      <w:r w:rsidR="00880367" w:rsidRPr="00E50FA4">
        <w:rPr>
          <w:rFonts w:ascii="Times New Roman" w:hAnsi="Times New Roman"/>
          <w:noProof/>
          <w:sz w:val="24"/>
        </w:rPr>
        <w:t>scope 1, 2 and 3 emissions of their counterparties</w:t>
      </w:r>
      <w:r w:rsidR="00C168F0" w:rsidRPr="00E50FA4">
        <w:rPr>
          <w:rFonts w:ascii="Times New Roman" w:hAnsi="Times New Roman"/>
          <w:noProof/>
          <w:sz w:val="24"/>
        </w:rPr>
        <w:t xml:space="preserve">, if already available, including </w:t>
      </w:r>
      <w:r w:rsidR="00825DA4" w:rsidRPr="00E50FA4">
        <w:rPr>
          <w:rFonts w:ascii="Times New Roman" w:hAnsi="Times New Roman"/>
          <w:noProof/>
          <w:sz w:val="24"/>
        </w:rPr>
        <w:t xml:space="preserve">qualitative </w:t>
      </w:r>
      <w:r w:rsidR="00C168F0" w:rsidRPr="00E50FA4">
        <w:rPr>
          <w:rFonts w:ascii="Times New Roman" w:hAnsi="Times New Roman"/>
          <w:noProof/>
          <w:sz w:val="24"/>
        </w:rPr>
        <w:t xml:space="preserve">information </w:t>
      </w:r>
      <w:r w:rsidR="00825DA4" w:rsidRPr="00E50FA4">
        <w:rPr>
          <w:rFonts w:ascii="Times New Roman" w:hAnsi="Times New Roman"/>
          <w:noProof/>
          <w:sz w:val="24"/>
        </w:rPr>
        <w:t xml:space="preserve">in the narrative accompanying this template </w:t>
      </w:r>
      <w:r w:rsidR="00C168F0" w:rsidRPr="00E50FA4">
        <w:rPr>
          <w:rFonts w:ascii="Times New Roman" w:hAnsi="Times New Roman"/>
          <w:noProof/>
          <w:sz w:val="24"/>
        </w:rPr>
        <w:t>on the methodology and sources used</w:t>
      </w:r>
      <w:r w:rsidR="00880367" w:rsidRPr="00E50FA4">
        <w:rPr>
          <w:rFonts w:ascii="Times New Roman" w:hAnsi="Times New Roman"/>
          <w:noProof/>
          <w:sz w:val="24"/>
        </w:rPr>
        <w:t xml:space="preserve"> for the calculation of th</w:t>
      </w:r>
      <w:r w:rsidR="00581331" w:rsidRPr="00E50FA4">
        <w:rPr>
          <w:rFonts w:ascii="Times New Roman" w:hAnsi="Times New Roman"/>
          <w:noProof/>
          <w:sz w:val="24"/>
        </w:rPr>
        <w:t>o</w:t>
      </w:r>
      <w:r w:rsidR="00880367" w:rsidRPr="00E50FA4">
        <w:rPr>
          <w:rFonts w:ascii="Times New Roman" w:hAnsi="Times New Roman"/>
          <w:noProof/>
          <w:sz w:val="24"/>
        </w:rPr>
        <w:t>se emissions</w:t>
      </w:r>
      <w:r w:rsidR="00C168F0" w:rsidRPr="00E50FA4">
        <w:rPr>
          <w:rFonts w:ascii="Times New Roman" w:hAnsi="Times New Roman"/>
          <w:noProof/>
          <w:sz w:val="24"/>
        </w:rPr>
        <w:t>.</w:t>
      </w:r>
      <w:r w:rsidR="00EF0C69" w:rsidRPr="00E50FA4">
        <w:rPr>
          <w:rFonts w:ascii="Times New Roman" w:hAnsi="Times New Roman"/>
          <w:noProof/>
          <w:sz w:val="24"/>
        </w:rPr>
        <w:t xml:space="preserve"> </w:t>
      </w:r>
      <w:r w:rsidR="00825DA4" w:rsidRPr="00E50FA4">
        <w:rPr>
          <w:rFonts w:ascii="Times New Roman" w:hAnsi="Times New Roman"/>
          <w:noProof/>
          <w:sz w:val="24"/>
        </w:rPr>
        <w:t xml:space="preserve">Where </w:t>
      </w:r>
      <w:r w:rsidR="00C168F0" w:rsidRPr="00E50FA4">
        <w:rPr>
          <w:rFonts w:ascii="Times New Roman" w:hAnsi="Times New Roman"/>
          <w:noProof/>
          <w:sz w:val="24"/>
        </w:rPr>
        <w:t xml:space="preserve">institutions are not yet estimating </w:t>
      </w:r>
      <w:r w:rsidR="00880367" w:rsidRPr="00E50FA4">
        <w:rPr>
          <w:rFonts w:ascii="Times New Roman" w:hAnsi="Times New Roman"/>
          <w:noProof/>
          <w:sz w:val="24"/>
        </w:rPr>
        <w:t xml:space="preserve">their counterparties’ emissions associated with their </w:t>
      </w:r>
      <w:r w:rsidR="000F78D5" w:rsidRPr="00E50FA4">
        <w:rPr>
          <w:rFonts w:ascii="Times New Roman" w:hAnsi="Times New Roman"/>
          <w:noProof/>
          <w:sz w:val="24"/>
        </w:rPr>
        <w:t xml:space="preserve">financing activities, including </w:t>
      </w:r>
      <w:r w:rsidR="00880367" w:rsidRPr="00E50FA4">
        <w:rPr>
          <w:rFonts w:ascii="Times New Roman" w:hAnsi="Times New Roman"/>
          <w:noProof/>
          <w:sz w:val="24"/>
        </w:rPr>
        <w:t>lending and investment activities</w:t>
      </w:r>
      <w:r w:rsidR="00825DA4" w:rsidRPr="00E50FA4">
        <w:rPr>
          <w:rFonts w:ascii="Times New Roman" w:hAnsi="Times New Roman"/>
          <w:noProof/>
          <w:sz w:val="24"/>
        </w:rPr>
        <w:t>, they</w:t>
      </w:r>
      <w:r w:rsidR="00C168F0" w:rsidRPr="00E50FA4">
        <w:rPr>
          <w:rFonts w:ascii="Times New Roman" w:hAnsi="Times New Roman"/>
          <w:noProof/>
          <w:sz w:val="24"/>
        </w:rPr>
        <w:t xml:space="preserve"> shall disclose information on their plans to implement methodologies to estimate and disclose this information. </w:t>
      </w:r>
      <w:r w:rsidR="001C717A" w:rsidRPr="00E50FA4">
        <w:rPr>
          <w:rFonts w:ascii="Times New Roman" w:hAnsi="Times New Roman"/>
          <w:noProof/>
          <w:sz w:val="24"/>
        </w:rPr>
        <w:t>I</w:t>
      </w:r>
      <w:r w:rsidR="002809C1" w:rsidRPr="00E50FA4">
        <w:rPr>
          <w:rFonts w:ascii="Times New Roman" w:hAnsi="Times New Roman"/>
          <w:noProof/>
          <w:sz w:val="24"/>
        </w:rPr>
        <w:t xml:space="preserve">nstitutions shall start disclosing information in columns </w:t>
      </w:r>
      <w:r w:rsidRPr="00E50FA4">
        <w:rPr>
          <w:rFonts w:ascii="Times New Roman" w:hAnsi="Times New Roman"/>
          <w:noProof/>
          <w:sz w:val="24"/>
        </w:rPr>
        <w:t>(</w:t>
      </w:r>
      <w:r w:rsidR="00EB19E7" w:rsidRPr="00E50FA4">
        <w:rPr>
          <w:rFonts w:ascii="Times New Roman" w:hAnsi="Times New Roman"/>
          <w:noProof/>
          <w:sz w:val="24"/>
        </w:rPr>
        <w:t>i</w:t>
      </w:r>
      <w:r w:rsidRPr="00E50FA4">
        <w:rPr>
          <w:rFonts w:ascii="Times New Roman" w:hAnsi="Times New Roman"/>
          <w:noProof/>
          <w:sz w:val="24"/>
        </w:rPr>
        <w:t>)</w:t>
      </w:r>
      <w:r w:rsidR="002809C1" w:rsidRPr="00E50FA4">
        <w:rPr>
          <w:rFonts w:ascii="Times New Roman" w:hAnsi="Times New Roman"/>
          <w:noProof/>
          <w:sz w:val="24"/>
        </w:rPr>
        <w:t xml:space="preserve"> </w:t>
      </w:r>
      <w:r w:rsidR="00EB19E7" w:rsidRPr="00E50FA4">
        <w:rPr>
          <w:rFonts w:ascii="Times New Roman" w:hAnsi="Times New Roman"/>
          <w:noProof/>
          <w:sz w:val="24"/>
        </w:rPr>
        <w:t xml:space="preserve">to </w:t>
      </w:r>
      <w:r w:rsidRPr="00E50FA4">
        <w:rPr>
          <w:rFonts w:ascii="Times New Roman" w:hAnsi="Times New Roman"/>
          <w:noProof/>
          <w:sz w:val="24"/>
        </w:rPr>
        <w:t>(</w:t>
      </w:r>
      <w:r w:rsidR="00EB19E7" w:rsidRPr="00E50FA4">
        <w:rPr>
          <w:rFonts w:ascii="Times New Roman" w:hAnsi="Times New Roman"/>
          <w:noProof/>
          <w:sz w:val="24"/>
        </w:rPr>
        <w:t>k</w:t>
      </w:r>
      <w:r w:rsidRPr="00E50FA4">
        <w:rPr>
          <w:rFonts w:ascii="Times New Roman" w:hAnsi="Times New Roman"/>
          <w:noProof/>
          <w:sz w:val="24"/>
        </w:rPr>
        <w:t>)</w:t>
      </w:r>
      <w:r w:rsidR="002809C1" w:rsidRPr="00E50FA4">
        <w:rPr>
          <w:rFonts w:ascii="Times New Roman" w:hAnsi="Times New Roman"/>
          <w:noProof/>
          <w:sz w:val="24"/>
        </w:rPr>
        <w:t xml:space="preserve"> of the template </w:t>
      </w:r>
      <w:r w:rsidR="00862D53" w:rsidRPr="00E50FA4">
        <w:rPr>
          <w:rFonts w:ascii="Times New Roman" w:hAnsi="Times New Roman"/>
          <w:noProof/>
          <w:sz w:val="24"/>
        </w:rPr>
        <w:t xml:space="preserve">with first disclosure reference date </w:t>
      </w:r>
      <w:r w:rsidR="002A2C5B" w:rsidRPr="00E50FA4">
        <w:rPr>
          <w:rFonts w:ascii="Times New Roman" w:hAnsi="Times New Roman"/>
          <w:noProof/>
          <w:sz w:val="24"/>
        </w:rPr>
        <w:t>as of</w:t>
      </w:r>
      <w:r w:rsidR="00862D53" w:rsidRPr="00E50FA4">
        <w:rPr>
          <w:rFonts w:ascii="Times New Roman" w:hAnsi="Times New Roman"/>
          <w:noProof/>
          <w:sz w:val="24"/>
        </w:rPr>
        <w:t xml:space="preserve"> </w:t>
      </w:r>
      <w:r w:rsidR="00485C52" w:rsidRPr="00E50FA4">
        <w:rPr>
          <w:rFonts w:ascii="Times New Roman" w:hAnsi="Times New Roman"/>
          <w:noProof/>
          <w:sz w:val="24"/>
        </w:rPr>
        <w:t xml:space="preserve">30 </w:t>
      </w:r>
      <w:r w:rsidR="002809C1" w:rsidRPr="00E50FA4">
        <w:rPr>
          <w:rFonts w:ascii="Times New Roman" w:hAnsi="Times New Roman"/>
          <w:noProof/>
          <w:sz w:val="24"/>
        </w:rPr>
        <w:t>June 2024.</w:t>
      </w:r>
    </w:p>
    <w:p w14:paraId="0AA0408E" w14:textId="01ED5070" w:rsidR="00C168F0" w:rsidRPr="00E50FA4" w:rsidRDefault="00C168F0" w:rsidP="00B76863">
      <w:pPr>
        <w:pStyle w:val="ListParagraph"/>
        <w:numPr>
          <w:ilvl w:val="0"/>
          <w:numId w:val="58"/>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Institutions shall </w:t>
      </w:r>
      <w:r w:rsidR="00264E2F" w:rsidRPr="00E50FA4">
        <w:rPr>
          <w:rFonts w:ascii="Times New Roman" w:hAnsi="Times New Roman"/>
          <w:noProof/>
          <w:sz w:val="24"/>
        </w:rPr>
        <w:t xml:space="preserve">include </w:t>
      </w:r>
      <w:r w:rsidRPr="00E50FA4">
        <w:rPr>
          <w:rFonts w:ascii="Times New Roman" w:hAnsi="Times New Roman"/>
          <w:noProof/>
          <w:sz w:val="24"/>
        </w:rPr>
        <w:t>in the narrative accompanying the template</w:t>
      </w:r>
      <w:r w:rsidR="003D0929" w:rsidRPr="00E50FA4">
        <w:rPr>
          <w:rFonts w:ascii="Times New Roman" w:hAnsi="Times New Roman"/>
          <w:noProof/>
          <w:sz w:val="24"/>
        </w:rPr>
        <w:t>,</w:t>
      </w:r>
      <w:r w:rsidRPr="00E50FA4">
        <w:rPr>
          <w:rFonts w:ascii="Times New Roman" w:hAnsi="Times New Roman"/>
          <w:noProof/>
          <w:sz w:val="24"/>
        </w:rPr>
        <w:t xml:space="preserve"> explanations on the information disclosed and the changes compared to previous disclosure periods, </w:t>
      </w:r>
      <w:r w:rsidR="001C717A" w:rsidRPr="00E50FA4">
        <w:rPr>
          <w:rFonts w:ascii="Times New Roman" w:hAnsi="Times New Roman"/>
          <w:noProof/>
          <w:sz w:val="24"/>
        </w:rPr>
        <w:t xml:space="preserve">as well as </w:t>
      </w:r>
      <w:r w:rsidRPr="00E50FA4">
        <w:rPr>
          <w:rFonts w:ascii="Times New Roman" w:hAnsi="Times New Roman"/>
          <w:noProof/>
          <w:sz w:val="24"/>
        </w:rPr>
        <w:t>any implications that th</w:t>
      </w:r>
      <w:r w:rsidR="00581331" w:rsidRPr="00E50FA4">
        <w:rPr>
          <w:rFonts w:ascii="Times New Roman" w:hAnsi="Times New Roman"/>
          <w:noProof/>
          <w:sz w:val="24"/>
        </w:rPr>
        <w:t>o</w:t>
      </w:r>
      <w:r w:rsidRPr="00E50FA4">
        <w:rPr>
          <w:rFonts w:ascii="Times New Roman" w:hAnsi="Times New Roman"/>
          <w:noProof/>
          <w:sz w:val="24"/>
        </w:rPr>
        <w:t xml:space="preserve">se exposures may have in terms of </w:t>
      </w:r>
      <w:r w:rsidR="004D0991" w:rsidRPr="00E50FA4">
        <w:rPr>
          <w:rFonts w:ascii="Times New Roman" w:hAnsi="Times New Roman"/>
          <w:noProof/>
          <w:sz w:val="24"/>
        </w:rPr>
        <w:t xml:space="preserve">credit, market, </w:t>
      </w:r>
      <w:r w:rsidRPr="00E50FA4">
        <w:rPr>
          <w:rFonts w:ascii="Times New Roman" w:hAnsi="Times New Roman"/>
          <w:noProof/>
          <w:sz w:val="24"/>
        </w:rPr>
        <w:t>operational, reputational and liquidity risk</w:t>
      </w:r>
      <w:r w:rsidR="004D0991" w:rsidRPr="00E50FA4">
        <w:rPr>
          <w:rFonts w:ascii="Times New Roman" w:hAnsi="Times New Roman"/>
          <w:noProof/>
          <w:sz w:val="24"/>
        </w:rPr>
        <w:t>s</w:t>
      </w:r>
      <w:r w:rsidRPr="00E50FA4">
        <w:rPr>
          <w:rFonts w:ascii="Times New Roman" w:hAnsi="Times New Roman"/>
          <w:noProof/>
          <w:sz w:val="24"/>
        </w:rPr>
        <w:t xml:space="preserve"> for the institution</w:t>
      </w:r>
      <w:r w:rsidR="00264E2F" w:rsidRPr="00E50FA4">
        <w:rPr>
          <w:rFonts w:ascii="Times New Roman" w:hAnsi="Times New Roman"/>
          <w:noProof/>
          <w:sz w:val="24"/>
        </w:rPr>
        <w:t>s</w:t>
      </w:r>
      <w:r w:rsidRPr="00E50FA4">
        <w:rPr>
          <w:rFonts w:ascii="Times New Roman" w:hAnsi="Times New Roman"/>
          <w:noProof/>
          <w:sz w:val="24"/>
        </w:rPr>
        <w:t>.</w:t>
      </w:r>
    </w:p>
    <w:p w14:paraId="40D94746" w14:textId="4DF42F68" w:rsidR="00C168F0" w:rsidRPr="00E50FA4" w:rsidRDefault="00C168F0" w:rsidP="00B76863">
      <w:pPr>
        <w:pStyle w:val="ListParagraph"/>
        <w:numPr>
          <w:ilvl w:val="0"/>
          <w:numId w:val="58"/>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Institutions shall </w:t>
      </w:r>
      <w:r w:rsidR="00264E2F" w:rsidRPr="00E50FA4">
        <w:rPr>
          <w:rFonts w:ascii="Times New Roman" w:hAnsi="Times New Roman"/>
          <w:noProof/>
          <w:sz w:val="24"/>
        </w:rPr>
        <w:t xml:space="preserve">include in the rows of the template </w:t>
      </w:r>
      <w:r w:rsidRPr="00E50FA4">
        <w:rPr>
          <w:rFonts w:ascii="Times New Roman" w:hAnsi="Times New Roman"/>
          <w:noProof/>
          <w:sz w:val="24"/>
        </w:rPr>
        <w:t xml:space="preserve">the </w:t>
      </w:r>
      <w:r w:rsidR="00264E2F" w:rsidRPr="00E50FA4">
        <w:rPr>
          <w:rFonts w:ascii="Times New Roman" w:hAnsi="Times New Roman"/>
          <w:noProof/>
          <w:sz w:val="24"/>
        </w:rPr>
        <w:t xml:space="preserve">breakdown of the </w:t>
      </w:r>
      <w:r w:rsidRPr="00E50FA4">
        <w:rPr>
          <w:rFonts w:ascii="Times New Roman" w:hAnsi="Times New Roman"/>
          <w:noProof/>
          <w:sz w:val="24"/>
        </w:rPr>
        <w:t xml:space="preserve">gross carrying amount of loans and advances, debt securities and equity </w:t>
      </w:r>
      <w:r w:rsidR="0076092D" w:rsidRPr="00E50FA4">
        <w:rPr>
          <w:rFonts w:ascii="Times New Roman" w:hAnsi="Times New Roman"/>
          <w:noProof/>
          <w:sz w:val="24"/>
        </w:rPr>
        <w:t>instruments</w:t>
      </w:r>
      <w:r w:rsidRPr="00E50FA4">
        <w:rPr>
          <w:rFonts w:ascii="Times New Roman" w:hAnsi="Times New Roman"/>
          <w:noProof/>
          <w:sz w:val="24"/>
        </w:rPr>
        <w:t xml:space="preserve"> to non-financial corporations</w:t>
      </w:r>
      <w:r w:rsidR="00003B3B" w:rsidRPr="00E50FA4">
        <w:rPr>
          <w:rFonts w:ascii="Times New Roman" w:hAnsi="Times New Roman"/>
          <w:noProof/>
          <w:sz w:val="24"/>
        </w:rPr>
        <w:t>,</w:t>
      </w:r>
      <w:r w:rsidRPr="00E50FA4">
        <w:rPr>
          <w:rFonts w:ascii="Times New Roman" w:hAnsi="Times New Roman"/>
          <w:noProof/>
          <w:sz w:val="24"/>
        </w:rPr>
        <w:t xml:space="preserve"> other than those held for trading</w:t>
      </w:r>
      <w:r w:rsidR="00BD656F" w:rsidRPr="00E50FA4">
        <w:rPr>
          <w:rFonts w:ascii="Times New Roman" w:hAnsi="Times New Roman"/>
          <w:noProof/>
          <w:sz w:val="24"/>
        </w:rPr>
        <w:t>,</w:t>
      </w:r>
      <w:r w:rsidRPr="00E50FA4">
        <w:rPr>
          <w:rFonts w:ascii="Times New Roman" w:hAnsi="Times New Roman"/>
          <w:noProof/>
          <w:sz w:val="24"/>
        </w:rPr>
        <w:t xml:space="preserve"> by sector of economic activities using </w:t>
      </w:r>
      <w:r w:rsidR="007215F1" w:rsidRPr="00E50FA4">
        <w:rPr>
          <w:rFonts w:ascii="Times New Roman" w:hAnsi="Times New Roman"/>
          <w:noProof/>
          <w:sz w:val="24"/>
        </w:rPr>
        <w:t xml:space="preserve">the </w:t>
      </w:r>
      <w:r w:rsidR="00136976" w:rsidRPr="00E50FA4">
        <w:rPr>
          <w:rFonts w:ascii="Times New Roman" w:hAnsi="Times New Roman"/>
          <w:noProof/>
          <w:sz w:val="24"/>
        </w:rPr>
        <w:t>Nomenclature of Economic Activities (</w:t>
      </w:r>
      <w:r w:rsidRPr="00E50FA4">
        <w:rPr>
          <w:rFonts w:ascii="Times New Roman" w:hAnsi="Times New Roman"/>
          <w:noProof/>
          <w:sz w:val="24"/>
        </w:rPr>
        <w:t>NACE</w:t>
      </w:r>
      <w:r w:rsidR="00136976" w:rsidRPr="00E50FA4">
        <w:rPr>
          <w:rFonts w:ascii="Times New Roman" w:hAnsi="Times New Roman"/>
          <w:noProof/>
          <w:sz w:val="24"/>
        </w:rPr>
        <w:t>)</w:t>
      </w:r>
      <w:r w:rsidRPr="00E50FA4">
        <w:rPr>
          <w:rFonts w:ascii="Times New Roman" w:hAnsi="Times New Roman"/>
          <w:noProof/>
          <w:sz w:val="24"/>
        </w:rPr>
        <w:t xml:space="preserve"> </w:t>
      </w:r>
      <w:r w:rsidR="00EF08EC" w:rsidRPr="00E50FA4">
        <w:rPr>
          <w:rFonts w:ascii="Times New Roman" w:hAnsi="Times New Roman"/>
          <w:noProof/>
          <w:sz w:val="24"/>
        </w:rPr>
        <w:t>c</w:t>
      </w:r>
      <w:r w:rsidRPr="00E50FA4">
        <w:rPr>
          <w:rFonts w:ascii="Times New Roman" w:hAnsi="Times New Roman"/>
          <w:noProof/>
          <w:sz w:val="24"/>
        </w:rPr>
        <w:t>odes</w:t>
      </w:r>
      <w:r w:rsidR="007215F1" w:rsidRPr="00E50FA4">
        <w:rPr>
          <w:rFonts w:ascii="Times New Roman" w:hAnsi="Times New Roman"/>
          <w:noProof/>
          <w:sz w:val="24"/>
        </w:rPr>
        <w:t>, laid down in Regulation (EC) No 1893/2006 of the European Parliament and of the Council</w:t>
      </w:r>
      <w:r w:rsidR="008676F3" w:rsidRPr="00E50FA4">
        <w:rPr>
          <w:rStyle w:val="FootnoteReference"/>
          <w:rFonts w:ascii="Times New Roman" w:hAnsi="Times New Roman"/>
          <w:noProof/>
          <w:sz w:val="24"/>
          <w:szCs w:val="24"/>
        </w:rPr>
        <w:t>*</w:t>
      </w:r>
      <w:r w:rsidR="00013315" w:rsidRPr="00E50FA4">
        <w:rPr>
          <w:rFonts w:ascii="Times New Roman" w:hAnsi="Times New Roman"/>
          <w:noProof/>
          <w:sz w:val="24"/>
          <w:szCs w:val="24"/>
          <w:vertAlign w:val="superscript"/>
        </w:rPr>
        <w:t>11</w:t>
      </w:r>
      <w:r w:rsidR="007215F1" w:rsidRPr="00E50FA4">
        <w:rPr>
          <w:rFonts w:ascii="Times New Roman" w:hAnsi="Times New Roman"/>
          <w:noProof/>
          <w:sz w:val="24"/>
        </w:rPr>
        <w:t xml:space="preserve">, </w:t>
      </w:r>
      <w:r w:rsidR="001A08A2" w:rsidRPr="00E50FA4">
        <w:rPr>
          <w:rFonts w:ascii="Times New Roman" w:hAnsi="Times New Roman"/>
          <w:noProof/>
          <w:sz w:val="24"/>
        </w:rPr>
        <w:t>based on</w:t>
      </w:r>
      <w:r w:rsidRPr="00E50FA4">
        <w:rPr>
          <w:rFonts w:ascii="Times New Roman" w:hAnsi="Times New Roman"/>
          <w:noProof/>
          <w:sz w:val="24"/>
        </w:rPr>
        <w:t xml:space="preserve"> the principal activity of the counterparty. They </w:t>
      </w:r>
      <w:r w:rsidR="00A55659" w:rsidRPr="00E50FA4">
        <w:rPr>
          <w:rFonts w:ascii="Times New Roman" w:hAnsi="Times New Roman"/>
          <w:noProof/>
          <w:sz w:val="24"/>
        </w:rPr>
        <w:t>shall</w:t>
      </w:r>
      <w:r w:rsidRPr="00E50FA4">
        <w:rPr>
          <w:rFonts w:ascii="Times New Roman" w:hAnsi="Times New Roman"/>
          <w:noProof/>
          <w:sz w:val="24"/>
        </w:rPr>
        <w:t xml:space="preserve"> also </w:t>
      </w:r>
      <w:r w:rsidR="00264E2F" w:rsidRPr="00E50FA4">
        <w:rPr>
          <w:rFonts w:ascii="Times New Roman" w:hAnsi="Times New Roman"/>
          <w:noProof/>
          <w:sz w:val="24"/>
        </w:rPr>
        <w:t xml:space="preserve">include </w:t>
      </w:r>
      <w:r w:rsidR="005E30B4" w:rsidRPr="00E50FA4">
        <w:rPr>
          <w:rFonts w:ascii="Times New Roman" w:hAnsi="Times New Roman"/>
          <w:noProof/>
          <w:sz w:val="24"/>
        </w:rPr>
        <w:t>subtotals that aggregate the g</w:t>
      </w:r>
      <w:r w:rsidRPr="00E50FA4">
        <w:rPr>
          <w:rFonts w:ascii="Times New Roman" w:hAnsi="Times New Roman"/>
          <w:noProof/>
          <w:sz w:val="24"/>
        </w:rPr>
        <w:t>ross carrying amount of exposures towards sectors and subsectors that highly contribute to climate change</w:t>
      </w:r>
      <w:r w:rsidR="00FF5C07" w:rsidRPr="00E50FA4">
        <w:rPr>
          <w:rFonts w:ascii="Times New Roman" w:hAnsi="Times New Roman"/>
          <w:noProof/>
          <w:sz w:val="24"/>
        </w:rPr>
        <w:t xml:space="preserve">. </w:t>
      </w:r>
      <w:r w:rsidR="00013315" w:rsidRPr="00E50FA4">
        <w:rPr>
          <w:rFonts w:ascii="Times New Roman" w:hAnsi="Times New Roman"/>
          <w:noProof/>
          <w:sz w:val="24"/>
        </w:rPr>
        <w:t>In particular</w:t>
      </w:r>
      <w:r w:rsidR="00F0155E" w:rsidRPr="00E50FA4">
        <w:rPr>
          <w:rFonts w:ascii="Times New Roman" w:hAnsi="Times New Roman"/>
          <w:noProof/>
          <w:sz w:val="24"/>
        </w:rPr>
        <w:t xml:space="preserve">, reference is made to </w:t>
      </w:r>
      <w:r w:rsidR="00FF5C07" w:rsidRPr="00E50FA4">
        <w:rPr>
          <w:rFonts w:ascii="Times New Roman" w:hAnsi="Times New Roman"/>
          <w:noProof/>
          <w:sz w:val="24"/>
        </w:rPr>
        <w:t>the sectors listed in Sections A to H and Section L of Annex I to Regulation (EC) No 1893/2006</w:t>
      </w:r>
      <w:r w:rsidR="00F0155E" w:rsidRPr="00E50FA4">
        <w:rPr>
          <w:rFonts w:ascii="Times New Roman" w:hAnsi="Times New Roman"/>
          <w:noProof/>
          <w:sz w:val="24"/>
        </w:rPr>
        <w:t xml:space="preserve">, which </w:t>
      </w:r>
      <w:r w:rsidR="00FF5C07" w:rsidRPr="00E50FA4">
        <w:rPr>
          <w:rFonts w:ascii="Times New Roman" w:hAnsi="Times New Roman"/>
          <w:noProof/>
          <w:sz w:val="24"/>
        </w:rPr>
        <w:t xml:space="preserve">include the oil, gas, mining and transportation sectors, </w:t>
      </w:r>
      <w:r w:rsidR="003D0929" w:rsidRPr="00E50FA4">
        <w:rPr>
          <w:rFonts w:ascii="Times New Roman" w:hAnsi="Times New Roman"/>
          <w:noProof/>
          <w:sz w:val="24"/>
        </w:rPr>
        <w:t xml:space="preserve">as </w:t>
      </w:r>
      <w:r w:rsidR="00FF5C07" w:rsidRPr="00E50FA4">
        <w:rPr>
          <w:rFonts w:ascii="Times New Roman" w:hAnsi="Times New Roman"/>
          <w:noProof/>
          <w:sz w:val="24"/>
        </w:rPr>
        <w:t>sectors that highl</w:t>
      </w:r>
      <w:r w:rsidR="00F0155E" w:rsidRPr="00E50FA4">
        <w:rPr>
          <w:rFonts w:ascii="Times New Roman" w:hAnsi="Times New Roman"/>
          <w:noProof/>
          <w:sz w:val="24"/>
        </w:rPr>
        <w:t xml:space="preserve">y contribute to climate change, </w:t>
      </w:r>
      <w:r w:rsidR="008846FA" w:rsidRPr="00E50FA4">
        <w:rPr>
          <w:rFonts w:ascii="Times New Roman" w:hAnsi="Times New Roman"/>
          <w:noProof/>
          <w:sz w:val="24"/>
        </w:rPr>
        <w:t>as specified in</w:t>
      </w:r>
      <w:r w:rsidRPr="00E50FA4">
        <w:rPr>
          <w:rFonts w:ascii="Times New Roman" w:hAnsi="Times New Roman"/>
          <w:noProof/>
          <w:sz w:val="24"/>
        </w:rPr>
        <w:t xml:space="preserve"> Recital 6 of </w:t>
      </w:r>
      <w:r w:rsidRPr="00E50FA4">
        <w:rPr>
          <w:rFonts w:ascii="Times New Roman" w:eastAsia="Times New Roman" w:hAnsi="Times New Roman"/>
          <w:noProof/>
          <w:sz w:val="24"/>
        </w:rPr>
        <w:t>Commission Delegated Regulation (EU) 2020/1818</w:t>
      </w:r>
      <w:r w:rsidR="00947EFB" w:rsidRPr="00E50FA4">
        <w:rPr>
          <w:rFonts w:ascii="Times New Roman" w:eastAsia="Times New Roman" w:hAnsi="Times New Roman"/>
          <w:noProof/>
          <w:sz w:val="24"/>
          <w:vertAlign w:val="superscript"/>
        </w:rPr>
        <w:t>*</w:t>
      </w:r>
      <w:r w:rsidR="00013315" w:rsidRPr="00E50FA4">
        <w:rPr>
          <w:rFonts w:ascii="Times New Roman" w:eastAsia="Times New Roman" w:hAnsi="Times New Roman"/>
          <w:noProof/>
          <w:sz w:val="24"/>
          <w:vertAlign w:val="superscript"/>
        </w:rPr>
        <w:t>12</w:t>
      </w:r>
      <w:r w:rsidR="00264E2F" w:rsidRPr="00E50FA4">
        <w:rPr>
          <w:rFonts w:ascii="Times New Roman" w:eastAsia="Times New Roman" w:hAnsi="Times New Roman"/>
          <w:noProof/>
          <w:sz w:val="24"/>
        </w:rPr>
        <w:t xml:space="preserve">; </w:t>
      </w:r>
      <w:r w:rsidR="00D712AC" w:rsidRPr="00E50FA4">
        <w:rPr>
          <w:rFonts w:ascii="Times New Roman" w:eastAsia="Times New Roman" w:hAnsi="Times New Roman"/>
          <w:noProof/>
          <w:sz w:val="24"/>
        </w:rPr>
        <w:t>a</w:t>
      </w:r>
      <w:r w:rsidRPr="00E50FA4">
        <w:rPr>
          <w:rFonts w:ascii="Times New Roman" w:eastAsia="Times New Roman" w:hAnsi="Times New Roman"/>
          <w:noProof/>
          <w:sz w:val="24"/>
        </w:rPr>
        <w:t xml:space="preserve">nd a subtotal of exposures towards </w:t>
      </w:r>
      <w:r w:rsidR="00510201" w:rsidRPr="00E50FA4">
        <w:rPr>
          <w:rFonts w:ascii="Times New Roman" w:eastAsia="Times New Roman" w:hAnsi="Times New Roman"/>
          <w:noProof/>
          <w:sz w:val="24"/>
        </w:rPr>
        <w:t>“</w:t>
      </w:r>
      <w:r w:rsidRPr="00E50FA4">
        <w:rPr>
          <w:rFonts w:ascii="Times New Roman" w:eastAsia="Times New Roman" w:hAnsi="Times New Roman"/>
          <w:noProof/>
          <w:sz w:val="24"/>
        </w:rPr>
        <w:t>other sectors</w:t>
      </w:r>
      <w:r w:rsidR="00510201" w:rsidRPr="00E50FA4">
        <w:rPr>
          <w:rFonts w:ascii="Times New Roman" w:eastAsia="Times New Roman" w:hAnsi="Times New Roman"/>
          <w:noProof/>
          <w:sz w:val="24"/>
        </w:rPr>
        <w:t>” not mention</w:t>
      </w:r>
      <w:r w:rsidR="00947EFB" w:rsidRPr="00E50FA4">
        <w:rPr>
          <w:rFonts w:ascii="Times New Roman" w:eastAsia="Times New Roman" w:hAnsi="Times New Roman"/>
          <w:noProof/>
          <w:sz w:val="24"/>
        </w:rPr>
        <w:t>ed</w:t>
      </w:r>
      <w:r w:rsidR="00510201" w:rsidRPr="00E50FA4">
        <w:rPr>
          <w:rFonts w:ascii="Times New Roman" w:eastAsia="Times New Roman" w:hAnsi="Times New Roman"/>
          <w:noProof/>
          <w:sz w:val="24"/>
        </w:rPr>
        <w:t xml:space="preserve"> in th</w:t>
      </w:r>
      <w:r w:rsidR="00947EFB" w:rsidRPr="00E50FA4">
        <w:rPr>
          <w:rFonts w:ascii="Times New Roman" w:eastAsia="Times New Roman" w:hAnsi="Times New Roman"/>
          <w:noProof/>
          <w:sz w:val="24"/>
        </w:rPr>
        <w:t>at</w:t>
      </w:r>
      <w:r w:rsidR="00510201" w:rsidRPr="00E50FA4">
        <w:rPr>
          <w:rFonts w:ascii="Times New Roman" w:eastAsia="Times New Roman" w:hAnsi="Times New Roman"/>
          <w:noProof/>
          <w:sz w:val="24"/>
        </w:rPr>
        <w:t xml:space="preserve"> Recital</w:t>
      </w:r>
      <w:r w:rsidRPr="00E50FA4">
        <w:rPr>
          <w:rFonts w:ascii="Times New Roman" w:eastAsia="Times New Roman" w:hAnsi="Times New Roman"/>
          <w:noProof/>
          <w:sz w:val="24"/>
        </w:rPr>
        <w:t>.</w:t>
      </w:r>
    </w:p>
    <w:p w14:paraId="6A903167" w14:textId="4AE206CC" w:rsidR="00C168F0" w:rsidRPr="00E50FA4" w:rsidRDefault="00C168F0" w:rsidP="00B76863">
      <w:pPr>
        <w:pStyle w:val="ListParagraph"/>
        <w:numPr>
          <w:ilvl w:val="0"/>
          <w:numId w:val="58"/>
        </w:numPr>
        <w:tabs>
          <w:tab w:val="left" w:pos="567"/>
        </w:tabs>
        <w:spacing w:before="120" w:after="120"/>
        <w:ind w:left="0" w:firstLine="66"/>
        <w:jc w:val="both"/>
        <w:rPr>
          <w:rFonts w:ascii="Times New Roman" w:hAnsi="Times New Roman"/>
          <w:noProof/>
          <w:sz w:val="24"/>
        </w:rPr>
      </w:pPr>
      <w:r w:rsidRPr="00E50FA4">
        <w:rPr>
          <w:rFonts w:ascii="Times New Roman" w:hAnsi="Times New Roman"/>
          <w:noProof/>
          <w:sz w:val="24"/>
        </w:rPr>
        <w:t xml:space="preserve">The counterparty NACE sector allocation shall be based on the nature of the </w:t>
      </w:r>
      <w:r w:rsidR="001C717A" w:rsidRPr="00E50FA4">
        <w:rPr>
          <w:rFonts w:ascii="Times New Roman" w:hAnsi="Times New Roman"/>
          <w:noProof/>
          <w:sz w:val="24"/>
        </w:rPr>
        <w:t xml:space="preserve">direct </w:t>
      </w:r>
      <w:r w:rsidRPr="00E50FA4">
        <w:rPr>
          <w:rFonts w:ascii="Times New Roman" w:hAnsi="Times New Roman"/>
          <w:noProof/>
          <w:sz w:val="24"/>
        </w:rPr>
        <w:t>counterparty.</w:t>
      </w:r>
      <w:r w:rsidR="00E30109" w:rsidRPr="00E50FA4">
        <w:rPr>
          <w:noProof/>
        </w:rPr>
        <w:t xml:space="preserve"> </w:t>
      </w:r>
      <w:r w:rsidR="00E30109" w:rsidRPr="00E50FA4">
        <w:rPr>
          <w:rFonts w:ascii="Times New Roman" w:hAnsi="Times New Roman"/>
          <w:noProof/>
          <w:sz w:val="24"/>
        </w:rPr>
        <w:t>Whe</w:t>
      </w:r>
      <w:r w:rsidR="00581331" w:rsidRPr="00E50FA4">
        <w:rPr>
          <w:rFonts w:ascii="Times New Roman" w:hAnsi="Times New Roman"/>
          <w:noProof/>
          <w:sz w:val="24"/>
        </w:rPr>
        <w:t>re</w:t>
      </w:r>
      <w:r w:rsidR="00E30109" w:rsidRPr="00E50FA4">
        <w:rPr>
          <w:rFonts w:ascii="Times New Roman" w:hAnsi="Times New Roman"/>
          <w:noProof/>
          <w:sz w:val="24"/>
        </w:rPr>
        <w:t xml:space="preserve"> </w:t>
      </w:r>
      <w:r w:rsidR="00581331" w:rsidRPr="00E50FA4">
        <w:rPr>
          <w:rFonts w:ascii="Times New Roman" w:hAnsi="Times New Roman"/>
          <w:noProof/>
          <w:sz w:val="24"/>
        </w:rPr>
        <w:t xml:space="preserve">the </w:t>
      </w:r>
      <w:r w:rsidR="00E30109" w:rsidRPr="00E50FA4">
        <w:rPr>
          <w:rFonts w:ascii="Times New Roman" w:hAnsi="Times New Roman"/>
          <w:noProof/>
          <w:sz w:val="24"/>
        </w:rPr>
        <w:t>institution</w:t>
      </w:r>
      <w:r w:rsidR="004D0991" w:rsidRPr="00E50FA4">
        <w:rPr>
          <w:rFonts w:ascii="Times New Roman" w:hAnsi="Times New Roman"/>
          <w:noProof/>
          <w:sz w:val="24"/>
        </w:rPr>
        <w:t>s</w:t>
      </w:r>
      <w:r w:rsidR="00494D10" w:rsidRPr="00E50FA4">
        <w:rPr>
          <w:rFonts w:ascii="Times New Roman" w:hAnsi="Times New Roman"/>
          <w:noProof/>
          <w:sz w:val="24"/>
        </w:rPr>
        <w:t>’</w:t>
      </w:r>
      <w:r w:rsidR="00E30109" w:rsidRPr="00E50FA4">
        <w:rPr>
          <w:rFonts w:ascii="Times New Roman" w:hAnsi="Times New Roman"/>
          <w:noProof/>
          <w:sz w:val="24"/>
        </w:rPr>
        <w:t xml:space="preserve"> counterpart</w:t>
      </w:r>
      <w:r w:rsidR="004D0991" w:rsidRPr="00E50FA4">
        <w:rPr>
          <w:rFonts w:ascii="Times New Roman" w:hAnsi="Times New Roman"/>
          <w:noProof/>
          <w:sz w:val="24"/>
        </w:rPr>
        <w:t>y</w:t>
      </w:r>
      <w:r w:rsidR="00E30109" w:rsidRPr="00E50FA4">
        <w:rPr>
          <w:rFonts w:ascii="Times New Roman" w:hAnsi="Times New Roman"/>
          <w:noProof/>
          <w:sz w:val="24"/>
        </w:rPr>
        <w:t xml:space="preserve"> </w:t>
      </w:r>
      <w:r w:rsidR="004D0991" w:rsidRPr="00E50FA4">
        <w:rPr>
          <w:rFonts w:ascii="Times New Roman" w:hAnsi="Times New Roman"/>
          <w:noProof/>
          <w:sz w:val="24"/>
        </w:rPr>
        <w:t xml:space="preserve">is </w:t>
      </w:r>
      <w:r w:rsidR="009259E7" w:rsidRPr="00E50FA4">
        <w:rPr>
          <w:rFonts w:ascii="Times New Roman" w:hAnsi="Times New Roman"/>
          <w:noProof/>
          <w:sz w:val="24"/>
        </w:rPr>
        <w:t>a</w:t>
      </w:r>
      <w:r w:rsidR="00E30109" w:rsidRPr="00E50FA4">
        <w:rPr>
          <w:rFonts w:ascii="Times New Roman" w:hAnsi="Times New Roman"/>
          <w:noProof/>
          <w:sz w:val="24"/>
        </w:rPr>
        <w:t xml:space="preserve"> holding company</w:t>
      </w:r>
      <w:r w:rsidR="00A31A3E" w:rsidRPr="00E50FA4">
        <w:rPr>
          <w:rFonts w:ascii="Times New Roman" w:hAnsi="Times New Roman"/>
          <w:noProof/>
          <w:sz w:val="24"/>
        </w:rPr>
        <w:t>,</w:t>
      </w:r>
      <w:r w:rsidR="00E30109" w:rsidRPr="00E50FA4">
        <w:rPr>
          <w:rFonts w:ascii="Times New Roman" w:hAnsi="Times New Roman"/>
          <w:noProof/>
          <w:sz w:val="24"/>
        </w:rPr>
        <w:t xml:space="preserve"> institutions shall consider the NACE sector of the specific obligor </w:t>
      </w:r>
      <w:r w:rsidR="004D0991" w:rsidRPr="00E50FA4">
        <w:rPr>
          <w:rFonts w:ascii="Times New Roman" w:hAnsi="Times New Roman"/>
          <w:noProof/>
          <w:sz w:val="24"/>
        </w:rPr>
        <w:t>under</w:t>
      </w:r>
      <w:r w:rsidR="00E30109" w:rsidRPr="00E50FA4">
        <w:rPr>
          <w:rFonts w:ascii="Times New Roman" w:hAnsi="Times New Roman"/>
          <w:noProof/>
          <w:sz w:val="24"/>
        </w:rPr>
        <w:t xml:space="preserve"> the holding company</w:t>
      </w:r>
      <w:r w:rsidR="00A31A3E" w:rsidRPr="00E50FA4">
        <w:rPr>
          <w:rFonts w:ascii="Times New Roman" w:hAnsi="Times New Roman"/>
          <w:noProof/>
          <w:sz w:val="24"/>
        </w:rPr>
        <w:t xml:space="preserve"> (if different </w:t>
      </w:r>
      <w:r w:rsidR="00581331" w:rsidRPr="00E50FA4">
        <w:rPr>
          <w:rFonts w:ascii="Times New Roman" w:hAnsi="Times New Roman"/>
          <w:noProof/>
          <w:sz w:val="24"/>
        </w:rPr>
        <w:t>from</w:t>
      </w:r>
      <w:r w:rsidR="00A31A3E" w:rsidRPr="00E50FA4">
        <w:rPr>
          <w:rFonts w:ascii="Times New Roman" w:hAnsi="Times New Roman"/>
          <w:noProof/>
          <w:sz w:val="24"/>
        </w:rPr>
        <w:t xml:space="preserve"> the holding company) which receives the funding</w:t>
      </w:r>
      <w:r w:rsidR="00E30109" w:rsidRPr="00E50FA4">
        <w:rPr>
          <w:rFonts w:ascii="Times New Roman" w:hAnsi="Times New Roman"/>
          <w:noProof/>
          <w:sz w:val="24"/>
        </w:rPr>
        <w:t xml:space="preserve"> </w:t>
      </w:r>
      <w:r w:rsidR="004D0991" w:rsidRPr="00E50FA4">
        <w:rPr>
          <w:rFonts w:ascii="Times New Roman" w:hAnsi="Times New Roman"/>
          <w:noProof/>
          <w:sz w:val="24"/>
        </w:rPr>
        <w:t xml:space="preserve">(i.e. the specific subsidiary of the holding company in question) </w:t>
      </w:r>
      <w:r w:rsidR="00E30109" w:rsidRPr="00E50FA4">
        <w:rPr>
          <w:rFonts w:ascii="Times New Roman" w:hAnsi="Times New Roman"/>
          <w:noProof/>
          <w:sz w:val="24"/>
        </w:rPr>
        <w:t>rather than that of the holding company</w:t>
      </w:r>
      <w:r w:rsidR="001C717A" w:rsidRPr="00E50FA4">
        <w:rPr>
          <w:rFonts w:ascii="Times New Roman" w:hAnsi="Times New Roman"/>
          <w:noProof/>
          <w:sz w:val="24"/>
        </w:rPr>
        <w:t xml:space="preserve">, </w:t>
      </w:r>
      <w:r w:rsidR="00E30109" w:rsidRPr="00E50FA4">
        <w:rPr>
          <w:rFonts w:ascii="Times New Roman" w:hAnsi="Times New Roman"/>
          <w:noProof/>
          <w:sz w:val="24"/>
        </w:rPr>
        <w:t>particularly in those case</w:t>
      </w:r>
      <w:r w:rsidR="00510201" w:rsidRPr="00E50FA4">
        <w:rPr>
          <w:rFonts w:ascii="Times New Roman" w:hAnsi="Times New Roman"/>
          <w:noProof/>
          <w:sz w:val="24"/>
        </w:rPr>
        <w:t>s</w:t>
      </w:r>
      <w:r w:rsidR="00E30109" w:rsidRPr="00E50FA4">
        <w:rPr>
          <w:rFonts w:ascii="Times New Roman" w:hAnsi="Times New Roman"/>
          <w:noProof/>
          <w:sz w:val="24"/>
        </w:rPr>
        <w:t xml:space="preserve"> where the obligor that is benefiting from the financing is a non-financial corporate. </w:t>
      </w:r>
      <w:r w:rsidR="00CB5006" w:rsidRPr="00E50FA4">
        <w:rPr>
          <w:rFonts w:ascii="Times New Roman" w:hAnsi="Times New Roman"/>
          <w:noProof/>
          <w:sz w:val="24"/>
        </w:rPr>
        <w:t xml:space="preserve">Similarly, when the direct counterparty of </w:t>
      </w:r>
      <w:r w:rsidR="0075792B" w:rsidRPr="00E50FA4">
        <w:rPr>
          <w:rFonts w:ascii="Times New Roman" w:hAnsi="Times New Roman"/>
          <w:noProof/>
          <w:sz w:val="24"/>
        </w:rPr>
        <w:t xml:space="preserve">an </w:t>
      </w:r>
      <w:r w:rsidR="00CB5006" w:rsidRPr="00E50FA4">
        <w:rPr>
          <w:rFonts w:ascii="Times New Roman" w:hAnsi="Times New Roman"/>
          <w:noProof/>
          <w:sz w:val="24"/>
        </w:rPr>
        <w:t>institution (the obligor) is a special purpose vehicle (SPV), institution</w:t>
      </w:r>
      <w:r w:rsidR="0075792B" w:rsidRPr="00E50FA4">
        <w:rPr>
          <w:rFonts w:ascii="Times New Roman" w:hAnsi="Times New Roman"/>
          <w:noProof/>
          <w:sz w:val="24"/>
        </w:rPr>
        <w:t>s</w:t>
      </w:r>
      <w:r w:rsidR="00CB5006" w:rsidRPr="00E50FA4">
        <w:rPr>
          <w:rFonts w:ascii="Times New Roman" w:hAnsi="Times New Roman"/>
          <w:noProof/>
          <w:sz w:val="24"/>
        </w:rPr>
        <w:t xml:space="preserve"> shall disclose the relevant information under the NACE sector associated </w:t>
      </w:r>
      <w:r w:rsidR="005D63A1" w:rsidRPr="00E50FA4">
        <w:rPr>
          <w:rFonts w:ascii="Times New Roman" w:hAnsi="Times New Roman"/>
          <w:noProof/>
          <w:sz w:val="24"/>
        </w:rPr>
        <w:t>with the economic activity of the parent company of the SPV</w:t>
      </w:r>
      <w:r w:rsidR="00CB5006" w:rsidRPr="00E50FA4">
        <w:rPr>
          <w:rFonts w:ascii="Times New Roman" w:hAnsi="Times New Roman"/>
          <w:noProof/>
          <w:sz w:val="24"/>
        </w:rPr>
        <w:t xml:space="preserve">. </w:t>
      </w:r>
      <w:r w:rsidRPr="00E50FA4">
        <w:rPr>
          <w:rFonts w:ascii="Times New Roman" w:hAnsi="Times New Roman"/>
          <w:noProof/>
          <w:sz w:val="24"/>
        </w:rPr>
        <w:t xml:space="preserve">The classification of the exposures incurred jointly by more than one obligor shall be </w:t>
      </w:r>
      <w:r w:rsidR="001A08A2" w:rsidRPr="00E50FA4">
        <w:rPr>
          <w:rFonts w:ascii="Times New Roman" w:hAnsi="Times New Roman"/>
          <w:noProof/>
          <w:sz w:val="24"/>
        </w:rPr>
        <w:t>based on</w:t>
      </w:r>
      <w:r w:rsidRPr="00E50FA4">
        <w:rPr>
          <w:rFonts w:ascii="Times New Roman" w:hAnsi="Times New Roman"/>
          <w:noProof/>
          <w:sz w:val="24"/>
        </w:rPr>
        <w:t xml:space="preserve"> the characteristics of the obligor that was the more relevant, or determinant, for the institution to grant the exposure. The distribution of jointly incurred exposures by NACE codes shall be driven by the characteristics of the more relevant or determinant obligor. Institutions shall disclose information by NACE codes with the level of </w:t>
      </w:r>
      <w:r w:rsidR="00264E2F" w:rsidRPr="00E50FA4">
        <w:rPr>
          <w:rFonts w:ascii="Times New Roman" w:hAnsi="Times New Roman"/>
          <w:noProof/>
          <w:sz w:val="24"/>
        </w:rPr>
        <w:t xml:space="preserve">granularity </w:t>
      </w:r>
      <w:r w:rsidRPr="00E50FA4">
        <w:rPr>
          <w:rFonts w:ascii="Times New Roman" w:hAnsi="Times New Roman"/>
          <w:noProof/>
          <w:sz w:val="24"/>
        </w:rPr>
        <w:t xml:space="preserve">required in the </w:t>
      </w:r>
      <w:r w:rsidR="00264E2F" w:rsidRPr="00E50FA4">
        <w:rPr>
          <w:rFonts w:ascii="Times New Roman" w:hAnsi="Times New Roman"/>
          <w:noProof/>
          <w:sz w:val="24"/>
        </w:rPr>
        <w:t xml:space="preserve">rows of the </w:t>
      </w:r>
      <w:r w:rsidRPr="00E50FA4">
        <w:rPr>
          <w:rFonts w:ascii="Times New Roman" w:hAnsi="Times New Roman"/>
          <w:noProof/>
          <w:sz w:val="24"/>
        </w:rPr>
        <w:t>template.</w:t>
      </w:r>
    </w:p>
    <w:p w14:paraId="38C4289D" w14:textId="77777777" w:rsidR="00C168F0" w:rsidRPr="00E50FA4" w:rsidRDefault="00C168F0" w:rsidP="00DA390D">
      <w:pPr>
        <w:pStyle w:val="ListParagraph"/>
        <w:spacing w:before="120" w:after="120"/>
        <w:jc w:val="both"/>
        <w:rPr>
          <w:rFonts w:ascii="Times New Roman" w:hAnsi="Times New Roman"/>
          <w:noProof/>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879"/>
      </w:tblGrid>
      <w:tr w:rsidR="00C168F0" w:rsidRPr="00E50FA4" w14:paraId="3BD3FC91" w14:textId="77777777" w:rsidTr="00060FFB">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5856F3F6" w14:textId="77777777" w:rsidR="00C168F0" w:rsidRPr="00E50FA4" w:rsidRDefault="00C168F0" w:rsidP="00DA390D">
            <w:pPr>
              <w:spacing w:before="120" w:after="120"/>
              <w:jc w:val="both"/>
              <w:rPr>
                <w:rFonts w:ascii="Times New Roman" w:eastAsia="Times New Roman" w:hAnsi="Times New Roman" w:cs="Times New Roman"/>
                <w:noProof/>
                <w:sz w:val="24"/>
                <w:lang w:val="en-GB" w:bidi="ne-NP"/>
              </w:rPr>
            </w:pPr>
            <w:r w:rsidRPr="00E50FA4">
              <w:rPr>
                <w:rFonts w:ascii="Times New Roman" w:eastAsia="Times New Roman" w:hAnsi="Times New Roman" w:cs="Times New Roman"/>
                <w:noProof/>
                <w:sz w:val="24"/>
                <w:lang w:val="en-GB" w:bidi="ne-NP"/>
              </w:rPr>
              <w:t>Columns</w:t>
            </w:r>
          </w:p>
        </w:tc>
        <w:tc>
          <w:tcPr>
            <w:tcW w:w="7879" w:type="dxa"/>
            <w:tcBorders>
              <w:top w:val="single" w:sz="4" w:space="0" w:color="auto"/>
              <w:left w:val="single" w:sz="4" w:space="0" w:color="auto"/>
              <w:bottom w:val="single" w:sz="4" w:space="0" w:color="auto"/>
              <w:right w:val="single" w:sz="4" w:space="0" w:color="auto"/>
            </w:tcBorders>
            <w:shd w:val="clear" w:color="auto" w:fill="CCCCCC"/>
            <w:hideMark/>
          </w:tcPr>
          <w:p w14:paraId="1ADA17E9" w14:textId="77777777" w:rsidR="00C168F0" w:rsidRPr="00E50FA4" w:rsidRDefault="00C168F0" w:rsidP="001B102C">
            <w:pPr>
              <w:spacing w:before="120" w:after="120"/>
              <w:jc w:val="both"/>
              <w:rPr>
                <w:rFonts w:ascii="Times New Roman" w:eastAsia="Times New Roman" w:hAnsi="Times New Roman" w:cs="Times New Roman"/>
                <w:noProof/>
                <w:sz w:val="24"/>
                <w:lang w:val="en-GB" w:bidi="ne-NP"/>
              </w:rPr>
            </w:pPr>
            <w:r w:rsidRPr="00E50FA4">
              <w:rPr>
                <w:rFonts w:ascii="Times New Roman" w:eastAsia="Times New Roman" w:hAnsi="Times New Roman" w:cs="Times New Roman"/>
                <w:noProof/>
                <w:sz w:val="24"/>
                <w:lang w:val="en-GB" w:bidi="ne-NP"/>
              </w:rPr>
              <w:t>Instructions</w:t>
            </w:r>
          </w:p>
        </w:tc>
      </w:tr>
      <w:tr w:rsidR="00C168F0" w:rsidRPr="00E50FA4" w14:paraId="0DE4DCFC" w14:textId="77777777" w:rsidTr="00060FFB">
        <w:tc>
          <w:tcPr>
            <w:tcW w:w="1188" w:type="dxa"/>
            <w:tcBorders>
              <w:top w:val="single" w:sz="4" w:space="0" w:color="auto"/>
              <w:left w:val="single" w:sz="4" w:space="0" w:color="auto"/>
              <w:bottom w:val="single" w:sz="4" w:space="0" w:color="auto"/>
              <w:right w:val="single" w:sz="4" w:space="0" w:color="auto"/>
            </w:tcBorders>
          </w:tcPr>
          <w:p w14:paraId="4E8D25FC" w14:textId="77777777" w:rsidR="00C168F0" w:rsidRPr="00E50FA4" w:rsidRDefault="00C168F0"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a</w:t>
            </w:r>
          </w:p>
        </w:tc>
        <w:tc>
          <w:tcPr>
            <w:tcW w:w="7879" w:type="dxa"/>
            <w:tcBorders>
              <w:top w:val="single" w:sz="4" w:space="0" w:color="auto"/>
              <w:left w:val="single" w:sz="4" w:space="0" w:color="auto"/>
              <w:bottom w:val="single" w:sz="4" w:space="0" w:color="auto"/>
              <w:right w:val="single" w:sz="4" w:space="0" w:color="auto"/>
            </w:tcBorders>
          </w:tcPr>
          <w:p w14:paraId="17F71030" w14:textId="77777777" w:rsidR="00C168F0" w:rsidRPr="00E50FA4" w:rsidRDefault="00C168F0"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Total gross carrying amount</w:t>
            </w:r>
          </w:p>
          <w:p w14:paraId="7C34BA88" w14:textId="10F1BE64" w:rsidR="00C168F0" w:rsidRPr="00E50FA4" w:rsidRDefault="00750A24" w:rsidP="004B0861">
            <w:pPr>
              <w:jc w:val="both"/>
              <w:rPr>
                <w:rFonts w:ascii="Times New Roman" w:hAnsi="Times New Roman" w:cs="Times New Roman"/>
                <w:noProof/>
                <w:sz w:val="24"/>
                <w:lang w:val="en-GB" w:eastAsia="en-GB"/>
              </w:rPr>
            </w:pPr>
            <w:r w:rsidRPr="00E50FA4">
              <w:rPr>
                <w:rFonts w:ascii="Times New Roman" w:eastAsia="Times New Roman" w:hAnsi="Times New Roman" w:cs="Times New Roman"/>
                <w:noProof/>
                <w:sz w:val="24"/>
                <w:lang w:val="en-GB"/>
              </w:rPr>
              <w:t>Institutions</w:t>
            </w:r>
            <w:r w:rsidR="000468D2" w:rsidRPr="00E50FA4">
              <w:rPr>
                <w:rFonts w:ascii="Times New Roman" w:eastAsia="Times New Roman" w:hAnsi="Times New Roman" w:cs="Times New Roman"/>
                <w:noProof/>
                <w:sz w:val="24"/>
                <w:lang w:val="en-GB"/>
              </w:rPr>
              <w:t xml:space="preserve"> shall</w:t>
            </w:r>
            <w:r w:rsidRPr="00E50FA4">
              <w:rPr>
                <w:rFonts w:ascii="Times New Roman" w:eastAsia="Times New Roman" w:hAnsi="Times New Roman" w:cs="Times New Roman"/>
                <w:noProof/>
                <w:sz w:val="24"/>
                <w:lang w:val="en-GB"/>
              </w:rPr>
              <w:t xml:space="preserve"> disclose t</w:t>
            </w:r>
            <w:r w:rsidR="00C168F0" w:rsidRPr="00E50FA4">
              <w:rPr>
                <w:rFonts w:ascii="Times New Roman" w:eastAsia="Times New Roman" w:hAnsi="Times New Roman" w:cs="Times New Roman"/>
                <w:noProof/>
                <w:sz w:val="24"/>
                <w:lang w:val="en-GB"/>
              </w:rPr>
              <w:t>he gross carrying amount</w:t>
            </w:r>
            <w:r w:rsidR="00BD656F" w:rsidRPr="00E50FA4">
              <w:rPr>
                <w:rFonts w:ascii="Times New Roman" w:eastAsia="Times New Roman" w:hAnsi="Times New Roman" w:cs="Times New Roman"/>
                <w:noProof/>
                <w:sz w:val="24"/>
                <w:lang w:val="en-GB"/>
              </w:rPr>
              <w:t>,</w:t>
            </w:r>
            <w:r w:rsidR="00C168F0" w:rsidRPr="00E50FA4">
              <w:rPr>
                <w:rFonts w:ascii="Times New Roman" w:eastAsia="Times New Roman" w:hAnsi="Times New Roman" w:cs="Times New Roman"/>
                <w:noProof/>
                <w:sz w:val="24"/>
                <w:lang w:val="en-GB"/>
              </w:rPr>
              <w:t xml:space="preserve"> </w:t>
            </w:r>
            <w:r w:rsidR="004A5D9C" w:rsidRPr="00E50FA4">
              <w:rPr>
                <w:rFonts w:ascii="Times New Roman" w:eastAsia="Times New Roman" w:hAnsi="Times New Roman" w:cs="Times New Roman"/>
                <w:noProof/>
                <w:sz w:val="24"/>
                <w:lang w:val="en-GB"/>
              </w:rPr>
              <w:t>referred to</w:t>
            </w:r>
            <w:r w:rsidR="00C168F0" w:rsidRPr="00E50FA4">
              <w:rPr>
                <w:rFonts w:ascii="Times New Roman" w:eastAsia="Times New Roman" w:hAnsi="Times New Roman" w:cs="Times New Roman"/>
                <w:noProof/>
                <w:sz w:val="24"/>
                <w:lang w:val="en-GB"/>
              </w:rPr>
              <w:t xml:space="preserve"> in Part 1 of Annex V </w:t>
            </w:r>
            <w:r w:rsidR="00B76863" w:rsidRPr="00E50FA4">
              <w:rPr>
                <w:rFonts w:ascii="Times New Roman" w:eastAsia="Times New Roman" w:hAnsi="Times New Roman" w:cs="Times New Roman"/>
                <w:noProof/>
                <w:sz w:val="24"/>
                <w:lang w:val="en-GB"/>
              </w:rPr>
              <w:t>to Implementing</w:t>
            </w:r>
            <w:r w:rsidR="00C168F0" w:rsidRPr="00E50FA4">
              <w:rPr>
                <w:rFonts w:ascii="Times New Roman" w:eastAsia="Times New Roman" w:hAnsi="Times New Roman" w:cs="Times New Roman"/>
                <w:noProof/>
                <w:sz w:val="24"/>
                <w:lang w:val="en-GB"/>
              </w:rPr>
              <w:t xml:space="preserve"> Regulation (EU) </w:t>
            </w:r>
            <w:r w:rsidR="0065448A" w:rsidRPr="00E50FA4">
              <w:rPr>
                <w:rFonts w:ascii="Times New Roman" w:eastAsia="Times New Roman" w:hAnsi="Times New Roman" w:cs="Times New Roman"/>
                <w:noProof/>
                <w:sz w:val="24"/>
                <w:lang w:val="en-GB"/>
              </w:rPr>
              <w:t>2021</w:t>
            </w:r>
            <w:r w:rsidR="00C168F0" w:rsidRPr="00E50FA4">
              <w:rPr>
                <w:rFonts w:ascii="Times New Roman" w:eastAsia="Times New Roman" w:hAnsi="Times New Roman" w:cs="Times New Roman"/>
                <w:noProof/>
                <w:sz w:val="24"/>
                <w:lang w:val="en-GB"/>
              </w:rPr>
              <w:t>/</w:t>
            </w:r>
            <w:r w:rsidR="0031031A" w:rsidRPr="00E50FA4">
              <w:rPr>
                <w:rFonts w:ascii="Times New Roman" w:eastAsia="Times New Roman" w:hAnsi="Times New Roman" w:cs="Times New Roman"/>
                <w:noProof/>
                <w:sz w:val="24"/>
                <w:lang w:val="en-GB"/>
              </w:rPr>
              <w:t>451</w:t>
            </w:r>
            <w:r w:rsidR="00BD656F" w:rsidRPr="00E50FA4">
              <w:rPr>
                <w:rFonts w:ascii="Times New Roman" w:eastAsia="Times New Roman" w:hAnsi="Times New Roman" w:cs="Times New Roman"/>
                <w:noProof/>
                <w:sz w:val="24"/>
                <w:lang w:val="en-GB"/>
              </w:rPr>
              <w:t>,</w:t>
            </w:r>
            <w:r w:rsidR="00C168F0" w:rsidRPr="00E50FA4">
              <w:rPr>
                <w:rFonts w:ascii="Times New Roman" w:eastAsia="Times New Roman" w:hAnsi="Times New Roman" w:cs="Times New Roman"/>
                <w:noProof/>
                <w:sz w:val="24"/>
                <w:lang w:val="en-GB"/>
              </w:rPr>
              <w:t xml:space="preserve"> of those exposures towards non-financial corporates, including loans and advances, debt securities and equity </w:t>
            </w:r>
            <w:r w:rsidR="0076092D" w:rsidRPr="00E50FA4">
              <w:rPr>
                <w:rFonts w:ascii="Times New Roman" w:eastAsia="Times New Roman" w:hAnsi="Times New Roman" w:cs="Times New Roman"/>
                <w:noProof/>
                <w:sz w:val="24"/>
                <w:lang w:val="en-GB"/>
              </w:rPr>
              <w:t>instrument</w:t>
            </w:r>
            <w:r w:rsidR="00C168F0" w:rsidRPr="00E50FA4">
              <w:rPr>
                <w:rFonts w:ascii="Times New Roman" w:eastAsia="Times New Roman" w:hAnsi="Times New Roman" w:cs="Times New Roman"/>
                <w:noProof/>
                <w:sz w:val="24"/>
                <w:lang w:val="en-GB"/>
              </w:rPr>
              <w:t xml:space="preserve">s, classified </w:t>
            </w:r>
            <w:r w:rsidR="00BD656F" w:rsidRPr="00E50FA4">
              <w:rPr>
                <w:rFonts w:ascii="Times New Roman" w:eastAsia="Times New Roman" w:hAnsi="Times New Roman" w:cs="Times New Roman"/>
                <w:noProof/>
                <w:sz w:val="24"/>
                <w:lang w:val="en-GB"/>
              </w:rPr>
              <w:t>in</w:t>
            </w:r>
            <w:r w:rsidR="00C168F0" w:rsidRPr="00E50FA4">
              <w:rPr>
                <w:rFonts w:ascii="Times New Roman" w:eastAsia="Times New Roman" w:hAnsi="Times New Roman" w:cs="Times New Roman"/>
                <w:noProof/>
                <w:sz w:val="24"/>
                <w:lang w:val="en-GB"/>
              </w:rPr>
              <w:t xml:space="preserve"> the accounting portfolios in the banking book </w:t>
            </w:r>
            <w:r w:rsidR="00E8145C" w:rsidRPr="00E50FA4">
              <w:rPr>
                <w:rFonts w:ascii="Times New Roman" w:eastAsia="Times New Roman" w:hAnsi="Times New Roman" w:cs="Times New Roman"/>
                <w:noProof/>
                <w:sz w:val="24"/>
                <w:lang w:val="en-GB"/>
              </w:rPr>
              <w:t xml:space="preserve">in </w:t>
            </w:r>
            <w:r w:rsidR="00C168F0" w:rsidRPr="00E50FA4">
              <w:rPr>
                <w:rFonts w:ascii="Times New Roman" w:eastAsia="Times New Roman" w:hAnsi="Times New Roman" w:cs="Times New Roman"/>
                <w:noProof/>
                <w:sz w:val="24"/>
                <w:lang w:val="en-GB"/>
              </w:rPr>
              <w:t>accord</w:t>
            </w:r>
            <w:r w:rsidR="00E8145C" w:rsidRPr="00E50FA4">
              <w:rPr>
                <w:rFonts w:ascii="Times New Roman" w:eastAsia="Times New Roman" w:hAnsi="Times New Roman" w:cs="Times New Roman"/>
                <w:noProof/>
                <w:sz w:val="24"/>
                <w:lang w:val="en-GB"/>
              </w:rPr>
              <w:t>ance with</w:t>
            </w:r>
            <w:r w:rsidR="00C168F0" w:rsidRPr="00E50FA4">
              <w:rPr>
                <w:rFonts w:ascii="Times New Roman" w:eastAsia="Times New Roman" w:hAnsi="Times New Roman" w:cs="Times New Roman"/>
                <w:noProof/>
                <w:sz w:val="24"/>
                <w:lang w:val="en-GB"/>
              </w:rPr>
              <w:t xml:space="preserve"> </w:t>
            </w:r>
            <w:r w:rsidR="004B0861" w:rsidRPr="00E50FA4">
              <w:rPr>
                <w:rFonts w:ascii="Times New Roman" w:eastAsia="Times New Roman" w:hAnsi="Times New Roman" w:cs="Times New Roman"/>
                <w:noProof/>
                <w:sz w:val="24"/>
                <w:lang w:val="en-GB"/>
              </w:rPr>
              <w:t>that</w:t>
            </w:r>
            <w:r w:rsidR="003D0929" w:rsidRPr="00E50FA4">
              <w:rPr>
                <w:rFonts w:ascii="Times New Roman" w:eastAsia="Times New Roman" w:hAnsi="Times New Roman" w:cs="Times New Roman"/>
                <w:noProof/>
                <w:sz w:val="24"/>
                <w:lang w:val="en-GB"/>
              </w:rPr>
              <w:t xml:space="preserve"> </w:t>
            </w:r>
            <w:r w:rsidR="00B64B13" w:rsidRPr="00E50FA4">
              <w:rPr>
                <w:rFonts w:ascii="Times New Roman" w:eastAsia="Times New Roman" w:hAnsi="Times New Roman" w:cs="Times New Roman"/>
                <w:noProof/>
                <w:sz w:val="24"/>
                <w:lang w:val="en-GB"/>
              </w:rPr>
              <w:t xml:space="preserve">Implementing </w:t>
            </w:r>
            <w:r w:rsidR="007459D9" w:rsidRPr="00E50FA4">
              <w:rPr>
                <w:rFonts w:ascii="Times New Roman" w:eastAsia="Times New Roman" w:hAnsi="Times New Roman" w:cs="Times New Roman"/>
                <w:noProof/>
                <w:sz w:val="24"/>
                <w:lang w:val="en-GB"/>
              </w:rPr>
              <w:t>Regulation</w:t>
            </w:r>
            <w:r w:rsidR="00C168F0" w:rsidRPr="00E50FA4">
              <w:rPr>
                <w:rFonts w:ascii="Times New Roman" w:eastAsia="Times New Roman" w:hAnsi="Times New Roman" w:cs="Times New Roman"/>
                <w:noProof/>
                <w:sz w:val="24"/>
                <w:lang w:val="en-GB"/>
              </w:rPr>
              <w:t>, excluding financial assets held for trading</w:t>
            </w:r>
            <w:r w:rsidR="007459D9" w:rsidRPr="00E50FA4">
              <w:rPr>
                <w:rFonts w:ascii="Times New Roman" w:eastAsia="Times New Roman" w:hAnsi="Times New Roman" w:cs="Times New Roman"/>
                <w:noProof/>
                <w:sz w:val="24"/>
                <w:lang w:val="en-GB"/>
              </w:rPr>
              <w:t xml:space="preserve"> or</w:t>
            </w:r>
            <w:r w:rsidR="00C168F0" w:rsidRPr="00E50FA4">
              <w:rPr>
                <w:rFonts w:ascii="Times New Roman" w:eastAsia="Times New Roman" w:hAnsi="Times New Roman" w:cs="Times New Roman"/>
                <w:noProof/>
                <w:sz w:val="24"/>
                <w:lang w:val="en-GB"/>
              </w:rPr>
              <w:t xml:space="preserve"> held for sale assets.</w:t>
            </w:r>
          </w:p>
        </w:tc>
      </w:tr>
      <w:tr w:rsidR="00C168F0" w:rsidRPr="00E50FA4" w14:paraId="295133E6" w14:textId="77777777" w:rsidTr="00060FFB">
        <w:tc>
          <w:tcPr>
            <w:tcW w:w="1188" w:type="dxa"/>
            <w:tcBorders>
              <w:top w:val="single" w:sz="4" w:space="0" w:color="auto"/>
              <w:left w:val="single" w:sz="4" w:space="0" w:color="auto"/>
              <w:bottom w:val="single" w:sz="4" w:space="0" w:color="auto"/>
              <w:right w:val="single" w:sz="4" w:space="0" w:color="auto"/>
            </w:tcBorders>
          </w:tcPr>
          <w:p w14:paraId="1FFE607A" w14:textId="77777777" w:rsidR="00C168F0" w:rsidRPr="00E50FA4" w:rsidRDefault="005E30B4"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b</w:t>
            </w:r>
          </w:p>
        </w:tc>
        <w:tc>
          <w:tcPr>
            <w:tcW w:w="7879" w:type="dxa"/>
            <w:tcBorders>
              <w:top w:val="single" w:sz="4" w:space="0" w:color="auto"/>
              <w:left w:val="single" w:sz="4" w:space="0" w:color="auto"/>
              <w:bottom w:val="single" w:sz="4" w:space="0" w:color="auto"/>
              <w:right w:val="single" w:sz="4" w:space="0" w:color="auto"/>
            </w:tcBorders>
          </w:tcPr>
          <w:p w14:paraId="7CC7F33F" w14:textId="77777777" w:rsidR="00EF08EC" w:rsidRPr="00E50FA4" w:rsidRDefault="00EF08EC" w:rsidP="00EF08EC">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exposures towards companies excluded from EU Paris-aligned Benchmarks</w:t>
            </w:r>
          </w:p>
          <w:p w14:paraId="1DCBAA4E" w14:textId="56D24AFD" w:rsidR="00EF08EC" w:rsidRPr="00E50FA4" w:rsidRDefault="00750A24" w:rsidP="005720C9">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5720C9"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w:t>
            </w:r>
            <w:r w:rsidR="00EF08EC" w:rsidRPr="00E50FA4">
              <w:rPr>
                <w:rFonts w:ascii="Times New Roman" w:eastAsia="Times New Roman" w:hAnsi="Times New Roman" w:cs="Times New Roman"/>
                <w:noProof/>
                <w:sz w:val="24"/>
                <w:lang w:val="en-GB"/>
              </w:rPr>
              <w:t xml:space="preserve">gross carrying amount of those exposures towards counterparties that are excluded from the EU Paris-aligned </w:t>
            </w:r>
            <w:r w:rsidR="001C717A" w:rsidRPr="00E50FA4">
              <w:rPr>
                <w:rFonts w:ascii="Times New Roman" w:eastAsia="Times New Roman" w:hAnsi="Times New Roman" w:cs="Times New Roman"/>
                <w:noProof/>
                <w:sz w:val="24"/>
                <w:lang w:val="en-GB"/>
              </w:rPr>
              <w:t>b</w:t>
            </w:r>
            <w:r w:rsidR="00EF08EC" w:rsidRPr="00E50FA4">
              <w:rPr>
                <w:rFonts w:ascii="Times New Roman" w:eastAsia="Times New Roman" w:hAnsi="Times New Roman" w:cs="Times New Roman"/>
                <w:noProof/>
                <w:sz w:val="24"/>
                <w:lang w:val="en-GB"/>
              </w:rPr>
              <w:t>enchmarks as specified in Article 12</w:t>
            </w:r>
            <w:r w:rsidR="00E8145C" w:rsidRPr="00E50FA4">
              <w:rPr>
                <w:rFonts w:ascii="Times New Roman" w:eastAsia="Times New Roman" w:hAnsi="Times New Roman" w:cs="Times New Roman"/>
                <w:noProof/>
                <w:sz w:val="24"/>
                <w:lang w:val="en-GB"/>
              </w:rPr>
              <w:t>(</w:t>
            </w:r>
            <w:r w:rsidR="00EF08EC" w:rsidRPr="00E50FA4">
              <w:rPr>
                <w:rFonts w:ascii="Times New Roman" w:eastAsia="Times New Roman" w:hAnsi="Times New Roman" w:cs="Times New Roman"/>
                <w:noProof/>
                <w:sz w:val="24"/>
                <w:lang w:val="en-GB"/>
              </w:rPr>
              <w:t>1</w:t>
            </w:r>
            <w:r w:rsidR="00E8145C" w:rsidRPr="00E50FA4">
              <w:rPr>
                <w:rFonts w:ascii="Times New Roman" w:eastAsia="Times New Roman" w:hAnsi="Times New Roman" w:cs="Times New Roman"/>
                <w:noProof/>
                <w:sz w:val="24"/>
                <w:lang w:val="en-GB"/>
              </w:rPr>
              <w:t>)</w:t>
            </w:r>
            <w:r w:rsidR="00EF08EC" w:rsidRPr="00E50FA4">
              <w:rPr>
                <w:rFonts w:ascii="Times New Roman" w:eastAsia="Times New Roman" w:hAnsi="Times New Roman" w:cs="Times New Roman"/>
                <w:noProof/>
                <w:sz w:val="24"/>
                <w:lang w:val="en-GB"/>
              </w:rPr>
              <w:t>, points (d) to (g) and Article 12</w:t>
            </w:r>
            <w:r w:rsidR="00E8145C" w:rsidRPr="00E50FA4">
              <w:rPr>
                <w:rFonts w:ascii="Times New Roman" w:eastAsia="Times New Roman" w:hAnsi="Times New Roman" w:cs="Times New Roman"/>
                <w:noProof/>
                <w:sz w:val="24"/>
                <w:lang w:val="en-GB"/>
              </w:rPr>
              <w:t>(</w:t>
            </w:r>
            <w:r w:rsidR="00EF08EC" w:rsidRPr="00E50FA4">
              <w:rPr>
                <w:rFonts w:ascii="Times New Roman" w:eastAsia="Times New Roman" w:hAnsi="Times New Roman" w:cs="Times New Roman"/>
                <w:noProof/>
                <w:sz w:val="24"/>
                <w:lang w:val="en-GB"/>
              </w:rPr>
              <w:t>2</w:t>
            </w:r>
            <w:r w:rsidR="00E8145C" w:rsidRPr="00E50FA4">
              <w:rPr>
                <w:rFonts w:ascii="Times New Roman" w:eastAsia="Times New Roman" w:hAnsi="Times New Roman" w:cs="Times New Roman"/>
                <w:noProof/>
                <w:sz w:val="24"/>
                <w:lang w:val="en-GB"/>
              </w:rPr>
              <w:t>)</w:t>
            </w:r>
            <w:r w:rsidR="00EF08EC" w:rsidRPr="00E50FA4">
              <w:rPr>
                <w:rFonts w:ascii="Times New Roman" w:eastAsia="Times New Roman" w:hAnsi="Times New Roman" w:cs="Times New Roman"/>
                <w:noProof/>
                <w:sz w:val="24"/>
                <w:lang w:val="en-GB"/>
              </w:rPr>
              <w:t xml:space="preserve"> of</w:t>
            </w:r>
            <w:r w:rsidR="00EF08EC" w:rsidRPr="00E50FA4">
              <w:rPr>
                <w:noProof/>
                <w:lang w:val="en-GB"/>
              </w:rPr>
              <w:t xml:space="preserve"> </w:t>
            </w:r>
            <w:r w:rsidR="00EF08EC" w:rsidRPr="00E50FA4">
              <w:rPr>
                <w:rFonts w:ascii="Times New Roman" w:eastAsia="Times New Roman" w:hAnsi="Times New Roman" w:cs="Times New Roman"/>
                <w:noProof/>
                <w:sz w:val="24"/>
                <w:lang w:val="en-GB"/>
              </w:rPr>
              <w:t>Delegated Regulation (EU) 2020/1818.</w:t>
            </w:r>
          </w:p>
        </w:tc>
      </w:tr>
      <w:tr w:rsidR="00C97892" w:rsidRPr="00E50FA4" w14:paraId="63B9D8FA" w14:textId="77777777" w:rsidTr="00FA28C2">
        <w:tc>
          <w:tcPr>
            <w:tcW w:w="1188" w:type="dxa"/>
            <w:tcBorders>
              <w:top w:val="single" w:sz="4" w:space="0" w:color="auto"/>
              <w:left w:val="single" w:sz="4" w:space="0" w:color="auto"/>
              <w:bottom w:val="single" w:sz="4" w:space="0" w:color="auto"/>
              <w:right w:val="single" w:sz="4" w:space="0" w:color="auto"/>
            </w:tcBorders>
          </w:tcPr>
          <w:p w14:paraId="2B40D5EC" w14:textId="77777777" w:rsidR="00C97892" w:rsidRPr="00E50FA4" w:rsidRDefault="00EF08EC"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c</w:t>
            </w:r>
          </w:p>
        </w:tc>
        <w:tc>
          <w:tcPr>
            <w:tcW w:w="7879" w:type="dxa"/>
            <w:tcBorders>
              <w:top w:val="single" w:sz="4" w:space="0" w:color="auto"/>
              <w:left w:val="single" w:sz="4" w:space="0" w:color="auto"/>
              <w:bottom w:val="single" w:sz="4" w:space="0" w:color="auto"/>
              <w:right w:val="single" w:sz="4" w:space="0" w:color="auto"/>
            </w:tcBorders>
          </w:tcPr>
          <w:p w14:paraId="715B90A1" w14:textId="77777777" w:rsidR="00EF08EC" w:rsidRPr="00E50FA4" w:rsidRDefault="00EF08EC" w:rsidP="00A45166">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environmentally sustainable (CCM)</w:t>
            </w:r>
          </w:p>
          <w:p w14:paraId="60C85EC8" w14:textId="28C75053" w:rsidR="00A45166" w:rsidRPr="00E50FA4" w:rsidRDefault="00750A24" w:rsidP="00720CB4">
            <w:pPr>
              <w:spacing w:before="120" w:after="120"/>
              <w:jc w:val="both"/>
              <w:rPr>
                <w:bCs/>
                <w:noProof/>
              </w:rPr>
            </w:pPr>
            <w:r w:rsidRPr="00E50FA4">
              <w:rPr>
                <w:rFonts w:ascii="Times New Roman" w:eastAsia="Times New Roman" w:hAnsi="Times New Roman" w:cs="Times New Roman"/>
                <w:noProof/>
                <w:sz w:val="24"/>
                <w:lang w:val="en-GB"/>
              </w:rPr>
              <w:t xml:space="preserve">Institutions </w:t>
            </w:r>
            <w:r w:rsidR="005720C9"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w:t>
            </w:r>
            <w:r w:rsidRPr="00E50FA4">
              <w:rPr>
                <w:rFonts w:ascii="Times New Roman" w:eastAsia="Times New Roman" w:hAnsi="Times New Roman" w:cs="Times New Roman"/>
                <w:bCs/>
                <w:noProof/>
                <w:sz w:val="24"/>
                <w:lang w:val="en-GB"/>
              </w:rPr>
              <w:t xml:space="preserve"> exposures </w:t>
            </w:r>
            <w:r w:rsidR="00EF08EC" w:rsidRPr="00E50FA4">
              <w:rPr>
                <w:rFonts w:ascii="Times New Roman" w:eastAsia="Times New Roman" w:hAnsi="Times New Roman" w:cs="Times New Roman"/>
                <w:bCs/>
                <w:noProof/>
                <w:sz w:val="24"/>
                <w:lang w:val="en-GB"/>
              </w:rPr>
              <w:t xml:space="preserve">that qualify as environmentally sustainable because they are financing activities that contribute or enable the environmental objective of climate change mitigation in accordance with Articles 10 and 16 of Regulation (EU) 2020/852, as disclosed in template </w:t>
            </w:r>
            <w:r w:rsidR="0065448A" w:rsidRPr="00E50FA4">
              <w:rPr>
                <w:rFonts w:ascii="Times New Roman" w:eastAsia="Times New Roman" w:hAnsi="Times New Roman" w:cs="Times New Roman"/>
                <w:bCs/>
                <w:noProof/>
                <w:sz w:val="24"/>
                <w:lang w:val="en-GB"/>
              </w:rPr>
              <w:t>7</w:t>
            </w:r>
            <w:r w:rsidR="00EF08EC" w:rsidRPr="00E50FA4">
              <w:rPr>
                <w:rFonts w:ascii="Times New Roman" w:eastAsia="Times New Roman" w:hAnsi="Times New Roman" w:cs="Times New Roman"/>
                <w:bCs/>
                <w:noProof/>
                <w:sz w:val="24"/>
                <w:lang w:val="en-GB"/>
              </w:rPr>
              <w:t xml:space="preserve"> of Annex XXX</w:t>
            </w:r>
            <w:r w:rsidR="0065448A" w:rsidRPr="00E50FA4">
              <w:rPr>
                <w:rFonts w:ascii="Times New Roman" w:eastAsia="Times New Roman" w:hAnsi="Times New Roman" w:cs="Times New Roman"/>
                <w:bCs/>
                <w:noProof/>
                <w:sz w:val="24"/>
                <w:lang w:val="en-GB"/>
              </w:rPr>
              <w:t>IX</w:t>
            </w:r>
            <w:r w:rsidR="00D653B5" w:rsidRPr="00E50FA4">
              <w:rPr>
                <w:rFonts w:ascii="Times New Roman" w:eastAsia="Times New Roman" w:hAnsi="Times New Roman" w:cs="Times New Roman"/>
                <w:bCs/>
                <w:noProof/>
                <w:sz w:val="24"/>
                <w:lang w:val="en-GB"/>
              </w:rPr>
              <w:t xml:space="preserve"> to this Regulation</w:t>
            </w:r>
            <w:r w:rsidR="00EF08EC" w:rsidRPr="00E50FA4">
              <w:rPr>
                <w:rFonts w:ascii="Times New Roman" w:eastAsia="Times New Roman" w:hAnsi="Times New Roman" w:cs="Times New Roman"/>
                <w:bCs/>
                <w:noProof/>
                <w:sz w:val="24"/>
                <w:lang w:val="en-GB"/>
              </w:rPr>
              <w:t>.</w:t>
            </w:r>
          </w:p>
          <w:p w14:paraId="23994142" w14:textId="5131CDD3" w:rsidR="0089627B" w:rsidRPr="00E50FA4" w:rsidRDefault="00A45166" w:rsidP="008F66F5">
            <w:pPr>
              <w:pStyle w:val="Fait"/>
              <w:spacing w:after="120"/>
              <w:rPr>
                <w:noProof/>
              </w:rPr>
            </w:pPr>
            <w:r w:rsidRPr="00E50FA4">
              <w:rPr>
                <w:bCs/>
                <w:noProof/>
              </w:rPr>
              <w:t xml:space="preserve">Institutions shall </w:t>
            </w:r>
            <w:r w:rsidR="00810EBD" w:rsidRPr="00E50FA4">
              <w:rPr>
                <w:bCs/>
                <w:noProof/>
              </w:rPr>
              <w:t xml:space="preserve">start </w:t>
            </w:r>
            <w:r w:rsidRPr="00E50FA4">
              <w:rPr>
                <w:bCs/>
                <w:noProof/>
              </w:rPr>
              <w:t>disclos</w:t>
            </w:r>
            <w:r w:rsidR="00810EBD" w:rsidRPr="00E50FA4">
              <w:rPr>
                <w:bCs/>
                <w:noProof/>
              </w:rPr>
              <w:t>ing</w:t>
            </w:r>
            <w:r w:rsidRPr="00E50FA4">
              <w:rPr>
                <w:bCs/>
                <w:noProof/>
              </w:rPr>
              <w:t xml:space="preserve"> th</w:t>
            </w:r>
            <w:r w:rsidR="004A5D9C" w:rsidRPr="00E50FA4">
              <w:rPr>
                <w:bCs/>
                <w:noProof/>
              </w:rPr>
              <w:t>at</w:t>
            </w:r>
            <w:r w:rsidRPr="00E50FA4">
              <w:rPr>
                <w:bCs/>
                <w:noProof/>
              </w:rPr>
              <w:t xml:space="preserve"> information </w:t>
            </w:r>
            <w:r w:rsidR="008F66F5" w:rsidRPr="00E50FA4">
              <w:rPr>
                <w:bCs/>
                <w:noProof/>
              </w:rPr>
              <w:t xml:space="preserve">in 2024, with first disclosure reference date </w:t>
            </w:r>
            <w:r w:rsidR="002A2C5B" w:rsidRPr="00E50FA4">
              <w:rPr>
                <w:bCs/>
                <w:noProof/>
              </w:rPr>
              <w:t>as of</w:t>
            </w:r>
            <w:r w:rsidR="008F66F5" w:rsidRPr="00E50FA4">
              <w:rPr>
                <w:bCs/>
                <w:noProof/>
              </w:rPr>
              <w:t xml:space="preserve"> 31 December 2023,</w:t>
            </w:r>
            <w:r w:rsidR="001A66AA" w:rsidRPr="00E50FA4">
              <w:rPr>
                <w:noProof/>
              </w:rPr>
              <w:t xml:space="preserve"> for exposures included in the numerator of the GAR</w:t>
            </w:r>
            <w:r w:rsidR="008F66F5" w:rsidRPr="00E50FA4">
              <w:rPr>
                <w:noProof/>
              </w:rPr>
              <w:t xml:space="preserve">. </w:t>
            </w:r>
          </w:p>
          <w:p w14:paraId="01E906E3" w14:textId="7EB1E559" w:rsidR="00C97892" w:rsidRPr="00E50FA4" w:rsidRDefault="008F66F5" w:rsidP="002A2C5B">
            <w:pPr>
              <w:pStyle w:val="Fait"/>
              <w:spacing w:after="120"/>
              <w:rPr>
                <w:noProof/>
              </w:rPr>
            </w:pPr>
            <w:r w:rsidRPr="00E50FA4">
              <w:rPr>
                <w:noProof/>
              </w:rPr>
              <w:t>Institutions</w:t>
            </w:r>
            <w:r w:rsidR="001A66AA" w:rsidRPr="00E50FA4">
              <w:rPr>
                <w:noProof/>
              </w:rPr>
              <w:t xml:space="preserve"> </w:t>
            </w:r>
            <w:r w:rsidR="00C71E7E" w:rsidRPr="00E50FA4">
              <w:rPr>
                <w:noProof/>
              </w:rPr>
              <w:t xml:space="preserve">may </w:t>
            </w:r>
            <w:r w:rsidRPr="00E50FA4">
              <w:rPr>
                <w:noProof/>
              </w:rPr>
              <w:t xml:space="preserve">start disclosing </w:t>
            </w:r>
            <w:r w:rsidR="004A5D9C" w:rsidRPr="00E50FA4">
              <w:rPr>
                <w:noProof/>
              </w:rPr>
              <w:t>that information</w:t>
            </w:r>
            <w:r w:rsidRPr="00E50FA4">
              <w:rPr>
                <w:noProof/>
              </w:rPr>
              <w:t xml:space="preserve"> in 2025,</w:t>
            </w:r>
            <w:r w:rsidR="004A5D9C" w:rsidRPr="00E50FA4">
              <w:rPr>
                <w:noProof/>
              </w:rPr>
              <w:t xml:space="preserve"> </w:t>
            </w:r>
            <w:r w:rsidRPr="00E50FA4">
              <w:rPr>
                <w:noProof/>
              </w:rPr>
              <w:t>with first disclosure reference date</w:t>
            </w:r>
            <w:r w:rsidR="0089627B" w:rsidRPr="00E50FA4">
              <w:rPr>
                <w:noProof/>
              </w:rPr>
              <w:t xml:space="preserve"> </w:t>
            </w:r>
            <w:r w:rsidR="002A2C5B" w:rsidRPr="00E50FA4">
              <w:rPr>
                <w:noProof/>
              </w:rPr>
              <w:t>as of</w:t>
            </w:r>
            <w:r w:rsidR="0089627B" w:rsidRPr="00E50FA4">
              <w:rPr>
                <w:noProof/>
              </w:rPr>
              <w:t xml:space="preserve"> 31 December 2024</w:t>
            </w:r>
            <w:r w:rsidRPr="00E50FA4">
              <w:rPr>
                <w:noProof/>
              </w:rPr>
              <w:t>,</w:t>
            </w:r>
            <w:r w:rsidR="001A66AA" w:rsidRPr="00E50FA4">
              <w:rPr>
                <w:noProof/>
              </w:rPr>
              <w:t xml:space="preserve"> for those exposures included in the numerator of the BTAR but not in the numerator of the GAR</w:t>
            </w:r>
            <w:r w:rsidR="00810EBD" w:rsidRPr="00E50FA4">
              <w:rPr>
                <w:noProof/>
              </w:rPr>
              <w:t>.</w:t>
            </w:r>
          </w:p>
        </w:tc>
      </w:tr>
      <w:tr w:rsidR="00EF08EC" w:rsidRPr="00E50FA4" w14:paraId="25D03272" w14:textId="77777777" w:rsidTr="00FA28C2">
        <w:tc>
          <w:tcPr>
            <w:tcW w:w="1188" w:type="dxa"/>
            <w:tcBorders>
              <w:top w:val="single" w:sz="4" w:space="0" w:color="auto"/>
              <w:left w:val="single" w:sz="4" w:space="0" w:color="auto"/>
              <w:bottom w:val="single" w:sz="4" w:space="0" w:color="auto"/>
              <w:right w:val="single" w:sz="4" w:space="0" w:color="auto"/>
            </w:tcBorders>
          </w:tcPr>
          <w:p w14:paraId="6BC5D699" w14:textId="77777777" w:rsidR="00EF08EC" w:rsidRPr="00E50FA4" w:rsidRDefault="00EF08EC"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d</w:t>
            </w:r>
          </w:p>
        </w:tc>
        <w:tc>
          <w:tcPr>
            <w:tcW w:w="7879" w:type="dxa"/>
            <w:tcBorders>
              <w:top w:val="single" w:sz="4" w:space="0" w:color="auto"/>
              <w:left w:val="single" w:sz="4" w:space="0" w:color="auto"/>
              <w:bottom w:val="single" w:sz="4" w:space="0" w:color="auto"/>
              <w:right w:val="single" w:sz="4" w:space="0" w:color="auto"/>
            </w:tcBorders>
          </w:tcPr>
          <w:p w14:paraId="1FC68C04" w14:textId="77777777" w:rsidR="00EF08EC" w:rsidRPr="00E50FA4" w:rsidRDefault="00EF08EC" w:rsidP="00EF08EC">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stage 2</w:t>
            </w:r>
          </w:p>
          <w:p w14:paraId="1EF6469A" w14:textId="09B89566" w:rsidR="00EF08EC" w:rsidRPr="00E50FA4" w:rsidRDefault="00EF08EC" w:rsidP="00EF08E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applying </w:t>
            </w:r>
            <w:r w:rsidR="007A7437" w:rsidRPr="00E50FA4">
              <w:rPr>
                <w:rFonts w:ascii="Times New Roman" w:eastAsia="Times New Roman" w:hAnsi="Times New Roman" w:cs="Times New Roman"/>
                <w:noProof/>
                <w:sz w:val="24"/>
                <w:lang w:val="en-GB"/>
              </w:rPr>
              <w:t>the International Financial Reporting Standards (</w:t>
            </w:r>
            <w:r w:rsidRPr="00E50FA4">
              <w:rPr>
                <w:rFonts w:ascii="Times New Roman" w:eastAsia="Times New Roman" w:hAnsi="Times New Roman" w:cs="Times New Roman"/>
                <w:noProof/>
                <w:sz w:val="24"/>
                <w:lang w:val="en-GB"/>
              </w:rPr>
              <w:t>IFRS</w:t>
            </w:r>
            <w:r w:rsidR="007A7437"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shall disclose the gross carrying amount of ‘Stage 2’ instruments as </w:t>
            </w:r>
            <w:r w:rsidR="004A5D9C"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IFRS 9. </w:t>
            </w:r>
          </w:p>
          <w:p w14:paraId="68FF50EB" w14:textId="09482C85" w:rsidR="00EF08EC" w:rsidRPr="00E50FA4" w:rsidRDefault="00EF08EC" w:rsidP="00D653B5">
            <w:pPr>
              <w:jc w:val="both"/>
              <w:rPr>
                <w:rFonts w:ascii="Times New Roman" w:hAnsi="Times New Roman" w:cs="Times New Roman"/>
                <w:noProof/>
                <w:sz w:val="24"/>
                <w:lang w:val="en-GB" w:eastAsia="en-GB"/>
              </w:rPr>
            </w:pPr>
            <w:r w:rsidRPr="00E50FA4">
              <w:rPr>
                <w:rFonts w:ascii="Times New Roman" w:eastAsia="Times New Roman" w:hAnsi="Times New Roman" w:cs="Times New Roman"/>
                <w:noProof/>
                <w:sz w:val="24"/>
                <w:lang w:val="en-GB"/>
              </w:rPr>
              <w:t xml:space="preserve">The columns on ‘Of which stage 2’ shall not be disclosed by institutions that apply national generally accepted accounting principles based on </w:t>
            </w:r>
            <w:r w:rsidRPr="00E50FA4">
              <w:rPr>
                <w:rFonts w:ascii="Times New Roman" w:hAnsi="Times New Roman" w:cs="Times New Roman"/>
                <w:noProof/>
                <w:sz w:val="24"/>
                <w:lang w:val="en-GB"/>
              </w:rPr>
              <w:t>Council Directive 86/635/EEC</w:t>
            </w:r>
            <w:r w:rsidR="007A7437" w:rsidRPr="00E50FA4">
              <w:rPr>
                <w:rFonts w:ascii="Times New Roman" w:hAnsi="Times New Roman" w:cs="Times New Roman"/>
                <w:noProof/>
                <w:sz w:val="24"/>
                <w:vertAlign w:val="superscript"/>
                <w:lang w:val="en-GB"/>
              </w:rPr>
              <w:t>*</w:t>
            </w:r>
            <w:r w:rsidR="00D653B5" w:rsidRPr="00E50FA4">
              <w:rPr>
                <w:rFonts w:ascii="Times New Roman" w:hAnsi="Times New Roman" w:cs="Times New Roman"/>
                <w:noProof/>
                <w:sz w:val="24"/>
                <w:vertAlign w:val="superscript"/>
                <w:lang w:val="en-GB"/>
              </w:rPr>
              <w:t>1</w:t>
            </w:r>
            <w:r w:rsidR="009D1B92" w:rsidRPr="00E50FA4">
              <w:rPr>
                <w:rFonts w:ascii="Times New Roman" w:hAnsi="Times New Roman" w:cs="Times New Roman"/>
                <w:noProof/>
                <w:sz w:val="24"/>
                <w:vertAlign w:val="superscript"/>
                <w:lang w:val="en-GB"/>
              </w:rPr>
              <w:t>3</w:t>
            </w:r>
            <w:r w:rsidRPr="00E50FA4">
              <w:rPr>
                <w:rFonts w:ascii="Times New Roman" w:hAnsi="Times New Roman" w:cs="Times New Roman"/>
                <w:noProof/>
                <w:sz w:val="24"/>
                <w:lang w:val="en-GB"/>
              </w:rPr>
              <w:t>.</w:t>
            </w:r>
          </w:p>
        </w:tc>
      </w:tr>
      <w:tr w:rsidR="00921167" w:rsidRPr="00E50FA4" w14:paraId="02DDA4A8" w14:textId="77777777" w:rsidTr="00060FFB">
        <w:tc>
          <w:tcPr>
            <w:tcW w:w="1188" w:type="dxa"/>
            <w:tcBorders>
              <w:top w:val="single" w:sz="4" w:space="0" w:color="auto"/>
              <w:left w:val="single" w:sz="4" w:space="0" w:color="auto"/>
              <w:bottom w:val="single" w:sz="4" w:space="0" w:color="auto"/>
              <w:right w:val="single" w:sz="4" w:space="0" w:color="auto"/>
            </w:tcBorders>
          </w:tcPr>
          <w:p w14:paraId="3F2C088B" w14:textId="77777777" w:rsidR="00921167" w:rsidRPr="00E50FA4" w:rsidRDefault="002B014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e</w:t>
            </w:r>
          </w:p>
        </w:tc>
        <w:tc>
          <w:tcPr>
            <w:tcW w:w="7879" w:type="dxa"/>
            <w:tcBorders>
              <w:top w:val="single" w:sz="4" w:space="0" w:color="auto"/>
              <w:left w:val="single" w:sz="4" w:space="0" w:color="auto"/>
              <w:bottom w:val="single" w:sz="4" w:space="0" w:color="auto"/>
              <w:right w:val="single" w:sz="4" w:space="0" w:color="auto"/>
            </w:tcBorders>
          </w:tcPr>
          <w:p w14:paraId="1750A121" w14:textId="77777777" w:rsidR="00921167" w:rsidRPr="00E50FA4" w:rsidRDefault="00921167" w:rsidP="00DA390D">
            <w:pPr>
              <w:tabs>
                <w:tab w:val="left" w:pos="4104"/>
              </w:tabs>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non-performing exposures</w:t>
            </w:r>
          </w:p>
          <w:p w14:paraId="0B42204B" w14:textId="34BBDECA" w:rsidR="00921167" w:rsidRPr="00E50FA4" w:rsidRDefault="00750A24" w:rsidP="005720C9">
            <w:pPr>
              <w:pStyle w:val="Fait"/>
              <w:spacing w:before="0" w:after="120"/>
              <w:rPr>
                <w:b/>
                <w:noProof/>
                <w:u w:val="single"/>
              </w:rPr>
            </w:pPr>
            <w:r w:rsidRPr="00E50FA4">
              <w:rPr>
                <w:noProof/>
              </w:rPr>
              <w:t xml:space="preserve">Institutions </w:t>
            </w:r>
            <w:r w:rsidR="005720C9" w:rsidRPr="00E50FA4">
              <w:rPr>
                <w:noProof/>
              </w:rPr>
              <w:t>shall</w:t>
            </w:r>
            <w:r w:rsidRPr="00E50FA4">
              <w:rPr>
                <w:noProof/>
              </w:rPr>
              <w:t xml:space="preserve"> disclose non</w:t>
            </w:r>
            <w:r w:rsidR="00921167" w:rsidRPr="00E50FA4">
              <w:rPr>
                <w:noProof/>
              </w:rPr>
              <w:t>-performing exposures as defined in Article 47a</w:t>
            </w:r>
            <w:r w:rsidR="007459D9" w:rsidRPr="00E50FA4">
              <w:rPr>
                <w:noProof/>
              </w:rPr>
              <w:t xml:space="preserve">(3) </w:t>
            </w:r>
            <w:r w:rsidR="00581331" w:rsidRPr="00E50FA4">
              <w:rPr>
                <w:noProof/>
              </w:rPr>
              <w:t xml:space="preserve">of </w:t>
            </w:r>
            <w:r w:rsidR="007F40F6" w:rsidRPr="00E50FA4">
              <w:rPr>
                <w:noProof/>
              </w:rPr>
              <w:t>Regulation (EU) No 575/2013</w:t>
            </w:r>
            <w:r w:rsidR="007459D9" w:rsidRPr="00E50FA4">
              <w:rPr>
                <w:noProof/>
              </w:rPr>
              <w:t>.</w:t>
            </w:r>
          </w:p>
        </w:tc>
      </w:tr>
      <w:tr w:rsidR="002B014E" w:rsidRPr="00E50FA4" w14:paraId="4EA3C92C" w14:textId="77777777" w:rsidTr="00060FFB">
        <w:tc>
          <w:tcPr>
            <w:tcW w:w="1188" w:type="dxa"/>
            <w:tcBorders>
              <w:top w:val="single" w:sz="4" w:space="0" w:color="auto"/>
              <w:left w:val="single" w:sz="4" w:space="0" w:color="auto"/>
              <w:bottom w:val="single" w:sz="4" w:space="0" w:color="auto"/>
              <w:right w:val="single" w:sz="4" w:space="0" w:color="auto"/>
            </w:tcBorders>
          </w:tcPr>
          <w:p w14:paraId="0C02787B" w14:textId="77777777" w:rsidR="002B014E" w:rsidRPr="00E50FA4" w:rsidRDefault="002B014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f</w:t>
            </w:r>
          </w:p>
        </w:tc>
        <w:tc>
          <w:tcPr>
            <w:tcW w:w="7879" w:type="dxa"/>
            <w:tcBorders>
              <w:top w:val="single" w:sz="4" w:space="0" w:color="auto"/>
              <w:left w:val="single" w:sz="4" w:space="0" w:color="auto"/>
              <w:bottom w:val="single" w:sz="4" w:space="0" w:color="auto"/>
              <w:right w:val="single" w:sz="4" w:space="0" w:color="auto"/>
            </w:tcBorders>
          </w:tcPr>
          <w:p w14:paraId="55D4CA0C" w14:textId="77777777" w:rsidR="0063718E" w:rsidRPr="00E50FA4" w:rsidRDefault="0063718E" w:rsidP="0063718E">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Accumulated impairment, accumulated negative changes in fair value due to credit risk and provisions</w:t>
            </w:r>
          </w:p>
          <w:p w14:paraId="5F580424" w14:textId="08EE2A6E" w:rsidR="002B014E" w:rsidRPr="00E50FA4" w:rsidRDefault="00750A24" w:rsidP="005720C9">
            <w:pPr>
              <w:tabs>
                <w:tab w:val="left" w:pos="4104"/>
              </w:tabs>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Institutions </w:t>
            </w:r>
            <w:r w:rsidR="00B76863"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w:t>
            </w:r>
            <w:r w:rsidR="0063718E" w:rsidRPr="00E50FA4">
              <w:rPr>
                <w:rFonts w:ascii="Times New Roman" w:eastAsia="Times New Roman" w:hAnsi="Times New Roman" w:cs="Times New Roman"/>
                <w:noProof/>
                <w:sz w:val="24"/>
                <w:lang w:val="en-GB"/>
              </w:rPr>
              <w:t xml:space="preserve">amounts </w:t>
            </w:r>
            <w:r w:rsidR="00581331" w:rsidRPr="00E50FA4">
              <w:rPr>
                <w:rFonts w:ascii="Times New Roman" w:eastAsia="Times New Roman" w:hAnsi="Times New Roman" w:cs="Times New Roman"/>
                <w:noProof/>
                <w:sz w:val="24"/>
                <w:lang w:val="en-GB"/>
              </w:rPr>
              <w:t>set out in</w:t>
            </w:r>
            <w:r w:rsidR="0063718E" w:rsidRPr="00E50FA4">
              <w:rPr>
                <w:rFonts w:ascii="Times New Roman" w:eastAsia="Times New Roman" w:hAnsi="Times New Roman" w:cs="Times New Roman"/>
                <w:noProof/>
                <w:sz w:val="24"/>
                <w:lang w:val="en-GB"/>
              </w:rPr>
              <w:t xml:space="preserve"> </w:t>
            </w:r>
            <w:r w:rsidR="003E4DB5" w:rsidRPr="00E50FA4">
              <w:rPr>
                <w:rFonts w:ascii="Times New Roman" w:eastAsia="Times New Roman" w:hAnsi="Times New Roman" w:cs="Times New Roman"/>
                <w:noProof/>
                <w:sz w:val="24"/>
                <w:lang w:val="en-GB"/>
              </w:rPr>
              <w:t xml:space="preserve">Part 2, </w:t>
            </w:r>
            <w:r w:rsidR="0025458E" w:rsidRPr="00E50FA4">
              <w:rPr>
                <w:rFonts w:ascii="Times New Roman" w:eastAsia="Times New Roman" w:hAnsi="Times New Roman" w:cs="Times New Roman"/>
                <w:noProof/>
                <w:sz w:val="24"/>
                <w:lang w:val="en-GB"/>
              </w:rPr>
              <w:t xml:space="preserve">points </w:t>
            </w:r>
            <w:r w:rsidR="0063718E" w:rsidRPr="00E50FA4">
              <w:rPr>
                <w:rFonts w:ascii="Times New Roman" w:eastAsia="Times New Roman" w:hAnsi="Times New Roman" w:cs="Times New Roman"/>
                <w:noProof/>
                <w:sz w:val="24"/>
                <w:lang w:val="en-GB"/>
              </w:rPr>
              <w:t>11, 69</w:t>
            </w:r>
            <w:r w:rsidR="00004679" w:rsidRPr="00E50FA4">
              <w:rPr>
                <w:rFonts w:ascii="Times New Roman" w:eastAsia="Times New Roman" w:hAnsi="Times New Roman" w:cs="Times New Roman"/>
                <w:noProof/>
                <w:sz w:val="24"/>
                <w:lang w:val="en-GB"/>
              </w:rPr>
              <w:t>, 70,</w:t>
            </w:r>
            <w:r w:rsidR="0063718E" w:rsidRPr="00E50FA4">
              <w:rPr>
                <w:rFonts w:ascii="Times New Roman" w:eastAsia="Times New Roman" w:hAnsi="Times New Roman" w:cs="Times New Roman"/>
                <w:noProof/>
                <w:sz w:val="24"/>
                <w:lang w:val="en-GB"/>
              </w:rPr>
              <w:t xml:space="preserve"> 71, 106 and 110</w:t>
            </w:r>
            <w:r w:rsidR="003E4DB5" w:rsidRPr="00E50FA4">
              <w:rPr>
                <w:rFonts w:ascii="Times New Roman" w:eastAsia="Times New Roman" w:hAnsi="Times New Roman" w:cs="Times New Roman"/>
                <w:noProof/>
                <w:sz w:val="24"/>
                <w:lang w:val="en-GB"/>
              </w:rPr>
              <w:t>,</w:t>
            </w:r>
            <w:r w:rsidR="0063718E" w:rsidRPr="00E50FA4">
              <w:rPr>
                <w:rFonts w:ascii="Times New Roman" w:eastAsia="Times New Roman" w:hAnsi="Times New Roman" w:cs="Times New Roman"/>
                <w:noProof/>
                <w:sz w:val="24"/>
                <w:lang w:val="en-GB"/>
              </w:rPr>
              <w:t xml:space="preserve"> of Annex V to Implementing Regulation (EU) 2021/451.</w:t>
            </w:r>
          </w:p>
        </w:tc>
      </w:tr>
      <w:tr w:rsidR="00C168F0" w:rsidRPr="00E50FA4" w14:paraId="5337695D" w14:textId="77777777" w:rsidTr="00060FFB">
        <w:tc>
          <w:tcPr>
            <w:tcW w:w="1188" w:type="dxa"/>
            <w:tcBorders>
              <w:top w:val="single" w:sz="4" w:space="0" w:color="auto"/>
              <w:left w:val="single" w:sz="4" w:space="0" w:color="auto"/>
              <w:bottom w:val="single" w:sz="4" w:space="0" w:color="auto"/>
              <w:right w:val="single" w:sz="4" w:space="0" w:color="auto"/>
            </w:tcBorders>
          </w:tcPr>
          <w:p w14:paraId="7C696CA1" w14:textId="77777777" w:rsidR="00C168F0" w:rsidRPr="00E50FA4" w:rsidRDefault="002B014E"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g</w:t>
            </w:r>
          </w:p>
        </w:tc>
        <w:tc>
          <w:tcPr>
            <w:tcW w:w="7879" w:type="dxa"/>
            <w:tcBorders>
              <w:top w:val="single" w:sz="4" w:space="0" w:color="auto"/>
              <w:left w:val="single" w:sz="4" w:space="0" w:color="auto"/>
              <w:bottom w:val="single" w:sz="4" w:space="0" w:color="auto"/>
              <w:right w:val="single" w:sz="4" w:space="0" w:color="auto"/>
            </w:tcBorders>
          </w:tcPr>
          <w:p w14:paraId="73795FE9" w14:textId="77777777" w:rsidR="002B014E" w:rsidRPr="00E50FA4" w:rsidRDefault="002B014E" w:rsidP="002B014E">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stage 2</w:t>
            </w:r>
          </w:p>
          <w:p w14:paraId="12615E91" w14:textId="001D08DA" w:rsidR="00702661" w:rsidRPr="00E50FA4" w:rsidRDefault="006A6F6D" w:rsidP="002B014E">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5720C9"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accumulated </w:t>
            </w:r>
            <w:r w:rsidR="00702661" w:rsidRPr="00E50FA4">
              <w:rPr>
                <w:rFonts w:ascii="Times New Roman" w:eastAsia="Times New Roman" w:hAnsi="Times New Roman" w:cs="Times New Roman"/>
                <w:noProof/>
                <w:sz w:val="24"/>
                <w:lang w:val="en-GB"/>
              </w:rPr>
              <w:t>impairment amount of stage 2 exposures.</w:t>
            </w:r>
          </w:p>
          <w:p w14:paraId="3C7589F6" w14:textId="32018069" w:rsidR="00702661" w:rsidRPr="00E50FA4" w:rsidRDefault="002B014E" w:rsidP="002B014E">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applying IFRS </w:t>
            </w:r>
            <w:r w:rsidR="000F73A4" w:rsidRPr="00E50FA4">
              <w:rPr>
                <w:rFonts w:ascii="Times New Roman" w:eastAsia="Times New Roman" w:hAnsi="Times New Roman" w:cs="Times New Roman"/>
                <w:noProof/>
                <w:sz w:val="24"/>
                <w:lang w:val="en-GB"/>
              </w:rPr>
              <w:t xml:space="preserve">are to </w:t>
            </w:r>
            <w:r w:rsidRPr="00E50FA4">
              <w:rPr>
                <w:rFonts w:ascii="Times New Roman" w:eastAsia="Times New Roman" w:hAnsi="Times New Roman" w:cs="Times New Roman"/>
                <w:noProof/>
                <w:sz w:val="24"/>
                <w:lang w:val="en-GB"/>
              </w:rPr>
              <w:t xml:space="preserve">disclose the gross carrying amount of ‘Stage 2’ instruments as </w:t>
            </w:r>
            <w:r w:rsidR="00581331" w:rsidRPr="00E50FA4">
              <w:rPr>
                <w:rFonts w:ascii="Times New Roman" w:eastAsia="Times New Roman" w:hAnsi="Times New Roman" w:cs="Times New Roman"/>
                <w:noProof/>
                <w:sz w:val="24"/>
                <w:lang w:val="en-GB"/>
              </w:rPr>
              <w:t xml:space="preserve">set out </w:t>
            </w:r>
            <w:r w:rsidRPr="00E50FA4">
              <w:rPr>
                <w:rFonts w:ascii="Times New Roman" w:eastAsia="Times New Roman" w:hAnsi="Times New Roman" w:cs="Times New Roman"/>
                <w:noProof/>
                <w:sz w:val="24"/>
                <w:lang w:val="en-GB"/>
              </w:rPr>
              <w:t>in IFRS 9.</w:t>
            </w:r>
          </w:p>
          <w:p w14:paraId="043A7F6F" w14:textId="125D2AD7" w:rsidR="00C168F0" w:rsidRPr="00E50FA4" w:rsidRDefault="002B014E" w:rsidP="00CA6FCE">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columns on ‘Of which stage 2’ shall not be disclosed by institutions that apply national generally accepted accounting principles based on </w:t>
            </w:r>
            <w:r w:rsidRPr="00E50FA4">
              <w:rPr>
                <w:rFonts w:ascii="Times New Roman" w:hAnsi="Times New Roman" w:cs="Times New Roman"/>
                <w:noProof/>
                <w:sz w:val="24"/>
                <w:lang w:val="en-GB"/>
              </w:rPr>
              <w:t>Directive 86/635/EEC.</w:t>
            </w:r>
          </w:p>
        </w:tc>
      </w:tr>
      <w:tr w:rsidR="002B014E" w:rsidRPr="00E50FA4" w14:paraId="44EB1B0C" w14:textId="77777777" w:rsidTr="00060FFB">
        <w:tc>
          <w:tcPr>
            <w:tcW w:w="1188" w:type="dxa"/>
            <w:tcBorders>
              <w:top w:val="single" w:sz="4" w:space="0" w:color="auto"/>
              <w:left w:val="single" w:sz="4" w:space="0" w:color="auto"/>
              <w:bottom w:val="single" w:sz="4" w:space="0" w:color="auto"/>
              <w:right w:val="single" w:sz="4" w:space="0" w:color="auto"/>
            </w:tcBorders>
          </w:tcPr>
          <w:p w14:paraId="0FD1FCCA" w14:textId="77777777" w:rsidR="002B014E" w:rsidRPr="00E50FA4" w:rsidRDefault="002B014E"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h</w:t>
            </w:r>
          </w:p>
        </w:tc>
        <w:tc>
          <w:tcPr>
            <w:tcW w:w="7879" w:type="dxa"/>
            <w:tcBorders>
              <w:top w:val="single" w:sz="4" w:space="0" w:color="auto"/>
              <w:left w:val="single" w:sz="4" w:space="0" w:color="auto"/>
              <w:bottom w:val="single" w:sz="4" w:space="0" w:color="auto"/>
              <w:right w:val="single" w:sz="4" w:space="0" w:color="auto"/>
            </w:tcBorders>
          </w:tcPr>
          <w:p w14:paraId="05DB895C" w14:textId="77777777" w:rsidR="002B014E" w:rsidRPr="00E50FA4" w:rsidRDefault="002B014E" w:rsidP="00720CB4">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non-performing exposures</w:t>
            </w:r>
          </w:p>
          <w:p w14:paraId="523135D5" w14:textId="29BD81B0" w:rsidR="002B014E" w:rsidRPr="00E50FA4" w:rsidRDefault="00750A24" w:rsidP="005720C9">
            <w:pPr>
              <w:spacing w:before="120" w:after="120"/>
              <w:jc w:val="both"/>
              <w:rPr>
                <w:rFonts w:ascii="Times New Roman" w:eastAsia="Times New Roman" w:hAnsi="Times New Roman" w:cs="Times New Roman"/>
                <w:bCs/>
                <w:noProof/>
                <w:sz w:val="24"/>
                <w:lang w:val="en-GB"/>
              </w:rPr>
            </w:pPr>
            <w:r w:rsidRPr="00E50FA4">
              <w:rPr>
                <w:rFonts w:ascii="Times New Roman" w:eastAsia="Times New Roman" w:hAnsi="Times New Roman" w:cs="Times New Roman"/>
                <w:noProof/>
                <w:sz w:val="24"/>
                <w:lang w:val="en-GB"/>
              </w:rPr>
              <w:t xml:space="preserve">Institutions </w:t>
            </w:r>
            <w:r w:rsidR="005720C9"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w:t>
            </w:r>
            <w:r w:rsidRPr="00E50FA4">
              <w:rPr>
                <w:rFonts w:ascii="Times New Roman" w:eastAsia="Times New Roman" w:hAnsi="Times New Roman" w:cs="Times New Roman"/>
                <w:bCs/>
                <w:noProof/>
                <w:sz w:val="24"/>
                <w:lang w:val="en-GB"/>
              </w:rPr>
              <w:t xml:space="preserve"> non</w:t>
            </w:r>
            <w:r w:rsidR="002B014E" w:rsidRPr="00E50FA4">
              <w:rPr>
                <w:rFonts w:ascii="Times New Roman" w:eastAsia="Times New Roman" w:hAnsi="Times New Roman" w:cs="Times New Roman"/>
                <w:bCs/>
                <w:noProof/>
                <w:sz w:val="24"/>
                <w:lang w:val="en-GB"/>
              </w:rPr>
              <w:t xml:space="preserve">-performing exposures as </w:t>
            </w:r>
            <w:r w:rsidR="00581331" w:rsidRPr="00E50FA4">
              <w:rPr>
                <w:rFonts w:ascii="Times New Roman" w:eastAsia="Times New Roman" w:hAnsi="Times New Roman" w:cs="Times New Roman"/>
                <w:bCs/>
                <w:noProof/>
                <w:sz w:val="24"/>
                <w:lang w:val="en-GB"/>
              </w:rPr>
              <w:t xml:space="preserve">referred to </w:t>
            </w:r>
            <w:r w:rsidR="002B014E" w:rsidRPr="00E50FA4">
              <w:rPr>
                <w:rFonts w:ascii="Times New Roman" w:eastAsia="Times New Roman" w:hAnsi="Times New Roman" w:cs="Times New Roman"/>
                <w:bCs/>
                <w:noProof/>
                <w:sz w:val="24"/>
                <w:lang w:val="en-GB"/>
              </w:rPr>
              <w:t xml:space="preserve">in Article 47a(3) </w:t>
            </w:r>
            <w:r w:rsidR="007F40F6" w:rsidRPr="00E50FA4">
              <w:rPr>
                <w:rFonts w:ascii="Times New Roman" w:eastAsia="Times New Roman" w:hAnsi="Times New Roman" w:cs="Times New Roman"/>
                <w:bCs/>
                <w:noProof/>
                <w:sz w:val="24"/>
                <w:lang w:val="en-GB"/>
              </w:rPr>
              <w:t>Regulation (EU) No 575/2013</w:t>
            </w:r>
            <w:r w:rsidR="002B014E" w:rsidRPr="00E50FA4">
              <w:rPr>
                <w:rFonts w:ascii="Times New Roman" w:eastAsia="Times New Roman" w:hAnsi="Times New Roman" w:cs="Times New Roman"/>
                <w:bCs/>
                <w:noProof/>
                <w:sz w:val="24"/>
                <w:lang w:val="en-GB"/>
              </w:rPr>
              <w:t>.</w:t>
            </w:r>
          </w:p>
        </w:tc>
      </w:tr>
      <w:tr w:rsidR="00C168F0" w:rsidRPr="00E50FA4" w14:paraId="4830897E" w14:textId="77777777" w:rsidTr="00060FFB">
        <w:tc>
          <w:tcPr>
            <w:tcW w:w="1188" w:type="dxa"/>
            <w:tcBorders>
              <w:top w:val="single" w:sz="4" w:space="0" w:color="auto"/>
              <w:left w:val="single" w:sz="4" w:space="0" w:color="auto"/>
              <w:bottom w:val="single" w:sz="4" w:space="0" w:color="auto"/>
              <w:right w:val="single" w:sz="4" w:space="0" w:color="auto"/>
            </w:tcBorders>
          </w:tcPr>
          <w:p w14:paraId="0A798011" w14:textId="77777777" w:rsidR="00C168F0" w:rsidRPr="00E50FA4" w:rsidRDefault="00AC03F6"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w:t>
            </w:r>
          </w:p>
        </w:tc>
        <w:tc>
          <w:tcPr>
            <w:tcW w:w="7879" w:type="dxa"/>
            <w:tcBorders>
              <w:top w:val="single" w:sz="4" w:space="0" w:color="auto"/>
              <w:left w:val="single" w:sz="4" w:space="0" w:color="auto"/>
              <w:bottom w:val="single" w:sz="4" w:space="0" w:color="auto"/>
              <w:right w:val="single" w:sz="4" w:space="0" w:color="auto"/>
            </w:tcBorders>
          </w:tcPr>
          <w:p w14:paraId="7232C472" w14:textId="77777777" w:rsidR="00FA43A9" w:rsidRPr="00E50FA4" w:rsidRDefault="000F453E"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GHG financed emissions (scope 1, scope 2 and scope 3 emissions of the </w:t>
            </w:r>
            <w:r w:rsidR="00FA43A9" w:rsidRPr="00E50FA4">
              <w:rPr>
                <w:rFonts w:ascii="Times New Roman" w:eastAsia="Times New Roman" w:hAnsi="Times New Roman" w:cs="Times New Roman"/>
                <w:b/>
                <w:noProof/>
                <w:sz w:val="24"/>
                <w:u w:val="single"/>
                <w:lang w:val="en-GB"/>
              </w:rPr>
              <w:t>counterparty</w:t>
            </w:r>
            <w:r w:rsidRPr="00E50FA4">
              <w:rPr>
                <w:rFonts w:ascii="Times New Roman" w:eastAsia="Times New Roman" w:hAnsi="Times New Roman" w:cs="Times New Roman"/>
                <w:b/>
                <w:noProof/>
                <w:sz w:val="24"/>
                <w:u w:val="single"/>
                <w:lang w:val="en-GB"/>
              </w:rPr>
              <w:t>) (in tons of CO2 equivalent)</w:t>
            </w:r>
          </w:p>
          <w:p w14:paraId="20A73311" w14:textId="176DCC65" w:rsidR="00E9693D" w:rsidRPr="00E50FA4" w:rsidRDefault="00C168F0"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Whe</w:t>
            </w:r>
            <w:r w:rsidR="00E9693D" w:rsidRPr="00E50FA4">
              <w:rPr>
                <w:rFonts w:ascii="Times New Roman" w:eastAsia="Times New Roman" w:hAnsi="Times New Roman" w:cs="Times New Roman"/>
                <w:noProof/>
                <w:sz w:val="24"/>
                <w:lang w:val="en-GB"/>
              </w:rPr>
              <w:t>re</w:t>
            </w:r>
            <w:r w:rsidRPr="00E50FA4">
              <w:rPr>
                <w:rFonts w:ascii="Times New Roman" w:eastAsia="Times New Roman" w:hAnsi="Times New Roman" w:cs="Times New Roman"/>
                <w:noProof/>
                <w:sz w:val="24"/>
                <w:lang w:val="en-GB"/>
              </w:rPr>
              <w:t xml:space="preserve"> th</w:t>
            </w:r>
            <w:r w:rsidR="00E9693D" w:rsidRPr="00E50FA4">
              <w:rPr>
                <w:rFonts w:ascii="Times New Roman" w:eastAsia="Times New Roman" w:hAnsi="Times New Roman" w:cs="Times New Roman"/>
                <w:noProof/>
                <w:sz w:val="24"/>
                <w:lang w:val="en-GB"/>
              </w:rPr>
              <w:t>e</w:t>
            </w:r>
            <w:r w:rsidRPr="00E50FA4">
              <w:rPr>
                <w:rFonts w:ascii="Times New Roman" w:eastAsia="Times New Roman" w:hAnsi="Times New Roman" w:cs="Times New Roman"/>
                <w:noProof/>
                <w:sz w:val="24"/>
                <w:lang w:val="en-GB"/>
              </w:rPr>
              <w:t xml:space="preserve"> information is available, </w:t>
            </w:r>
            <w:r w:rsidR="006871C4" w:rsidRPr="00E50FA4">
              <w:rPr>
                <w:rFonts w:ascii="Times New Roman" w:eastAsia="Times New Roman" w:hAnsi="Times New Roman" w:cs="Times New Roman"/>
                <w:noProof/>
                <w:sz w:val="24"/>
                <w:lang w:val="en-GB"/>
              </w:rPr>
              <w:t xml:space="preserve">institutions </w:t>
            </w:r>
            <w:r w:rsidR="005720C9" w:rsidRPr="00E50FA4">
              <w:rPr>
                <w:rFonts w:ascii="Times New Roman" w:eastAsia="Times New Roman" w:hAnsi="Times New Roman" w:cs="Times New Roman"/>
                <w:noProof/>
                <w:sz w:val="24"/>
                <w:lang w:val="en-GB"/>
              </w:rPr>
              <w:t>shall</w:t>
            </w:r>
            <w:r w:rsidR="008C59EB" w:rsidRPr="00E50FA4">
              <w:rPr>
                <w:rFonts w:ascii="Times New Roman" w:eastAsia="Times New Roman" w:hAnsi="Times New Roman" w:cs="Times New Roman"/>
                <w:noProof/>
                <w:sz w:val="24"/>
                <w:lang w:val="en-GB"/>
              </w:rPr>
              <w:t xml:space="preserve"> </w:t>
            </w:r>
            <w:r w:rsidR="006871C4" w:rsidRPr="00E50FA4">
              <w:rPr>
                <w:rFonts w:ascii="Times New Roman" w:eastAsia="Times New Roman" w:hAnsi="Times New Roman" w:cs="Times New Roman"/>
                <w:noProof/>
                <w:sz w:val="24"/>
                <w:lang w:val="en-GB"/>
              </w:rPr>
              <w:t xml:space="preserve">disclose </w:t>
            </w:r>
            <w:r w:rsidR="00E9693D" w:rsidRPr="00E50FA4">
              <w:rPr>
                <w:rFonts w:ascii="Times New Roman" w:eastAsia="Times New Roman" w:hAnsi="Times New Roman" w:cs="Times New Roman"/>
                <w:noProof/>
                <w:sz w:val="24"/>
                <w:lang w:val="en-GB"/>
              </w:rPr>
              <w:t xml:space="preserve">the estimates of the </w:t>
            </w:r>
            <w:r w:rsidRPr="00E50FA4">
              <w:rPr>
                <w:rFonts w:ascii="Times New Roman" w:eastAsia="Times New Roman" w:hAnsi="Times New Roman" w:cs="Times New Roman"/>
                <w:noProof/>
                <w:sz w:val="24"/>
                <w:lang w:val="en-GB"/>
              </w:rPr>
              <w:t xml:space="preserve">scope </w:t>
            </w:r>
            <w:r w:rsidR="006871C4" w:rsidRPr="00E50FA4">
              <w:rPr>
                <w:rFonts w:ascii="Times New Roman" w:eastAsia="Times New Roman" w:hAnsi="Times New Roman" w:cs="Times New Roman"/>
                <w:noProof/>
                <w:sz w:val="24"/>
                <w:lang w:val="en-GB"/>
              </w:rPr>
              <w:t xml:space="preserve">of their </w:t>
            </w:r>
            <w:r w:rsidR="00626E9A">
              <w:rPr>
                <w:rFonts w:ascii="Times New Roman" w:eastAsia="Times New Roman" w:hAnsi="Times New Roman" w:cs="Times New Roman"/>
                <w:noProof/>
                <w:sz w:val="24"/>
                <w:lang w:val="en-GB"/>
              </w:rPr>
              <w:t xml:space="preserve">scope </w:t>
            </w:r>
            <w:r w:rsidRPr="00E50FA4">
              <w:rPr>
                <w:rFonts w:ascii="Times New Roman" w:eastAsia="Times New Roman" w:hAnsi="Times New Roman" w:cs="Times New Roman"/>
                <w:noProof/>
                <w:sz w:val="24"/>
                <w:lang w:val="en-GB"/>
              </w:rPr>
              <w:t>3 GHG emissions</w:t>
            </w:r>
            <w:r w:rsidR="00E9693D"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in </w:t>
            </w:r>
            <w:r w:rsidR="00E9693D" w:rsidRPr="00E50FA4">
              <w:rPr>
                <w:rFonts w:ascii="Times New Roman" w:eastAsia="Times New Roman" w:hAnsi="Times New Roman" w:cs="Times New Roman"/>
                <w:noProof/>
                <w:sz w:val="24"/>
                <w:lang w:val="en-GB"/>
              </w:rPr>
              <w:t>CO2 tonnes (</w:t>
            </w:r>
            <w:r w:rsidRPr="00E50FA4">
              <w:rPr>
                <w:rFonts w:ascii="Times New Roman" w:eastAsia="Times New Roman" w:hAnsi="Times New Roman" w:cs="Times New Roman"/>
                <w:noProof/>
                <w:sz w:val="24"/>
                <w:lang w:val="en-GB"/>
              </w:rPr>
              <w:t>TCO2</w:t>
            </w:r>
            <w:r w:rsidR="00E9693D"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w:t>
            </w:r>
            <w:r w:rsidR="00AC03F6" w:rsidRPr="00E50FA4">
              <w:rPr>
                <w:rFonts w:ascii="Times New Roman" w:eastAsia="Times New Roman" w:hAnsi="Times New Roman" w:cs="Times New Roman"/>
                <w:noProof/>
                <w:sz w:val="24"/>
                <w:lang w:val="en-GB"/>
              </w:rPr>
              <w:t xml:space="preserve">as part of column </w:t>
            </w:r>
            <w:r w:rsidR="00507E2B" w:rsidRPr="00E50FA4">
              <w:rPr>
                <w:rFonts w:ascii="Times New Roman" w:eastAsia="Times New Roman" w:hAnsi="Times New Roman" w:cs="Times New Roman"/>
                <w:noProof/>
                <w:sz w:val="24"/>
                <w:lang w:val="en-GB"/>
              </w:rPr>
              <w:t>(</w:t>
            </w:r>
            <w:r w:rsidR="00AC03F6" w:rsidRPr="00E50FA4">
              <w:rPr>
                <w:rFonts w:ascii="Times New Roman" w:eastAsia="Times New Roman" w:hAnsi="Times New Roman" w:cs="Times New Roman"/>
                <w:noProof/>
                <w:sz w:val="24"/>
                <w:lang w:val="en-GB"/>
              </w:rPr>
              <w:t>i</w:t>
            </w:r>
            <w:r w:rsidR="00507E2B" w:rsidRPr="00E50FA4">
              <w:rPr>
                <w:rFonts w:ascii="Times New Roman" w:eastAsia="Times New Roman" w:hAnsi="Times New Roman" w:cs="Times New Roman"/>
                <w:noProof/>
                <w:sz w:val="24"/>
                <w:lang w:val="en-GB"/>
              </w:rPr>
              <w:t>)</w:t>
            </w:r>
            <w:r w:rsidR="00E9693D" w:rsidRPr="00E50FA4">
              <w:rPr>
                <w:rFonts w:ascii="Times New Roman" w:eastAsia="Times New Roman" w:hAnsi="Times New Roman" w:cs="Times New Roman"/>
                <w:noProof/>
                <w:sz w:val="24"/>
                <w:lang w:val="en-GB"/>
              </w:rPr>
              <w:t>. The disclosure cover</w:t>
            </w:r>
            <w:r w:rsidR="008C59EB" w:rsidRPr="00E50FA4">
              <w:rPr>
                <w:rFonts w:ascii="Times New Roman" w:eastAsia="Times New Roman" w:hAnsi="Times New Roman" w:cs="Times New Roman"/>
                <w:noProof/>
                <w:sz w:val="24"/>
                <w:lang w:val="en-GB"/>
              </w:rPr>
              <w:t>s</w:t>
            </w:r>
            <w:r w:rsidR="00E9693D" w:rsidRPr="00E50FA4">
              <w:rPr>
                <w:rFonts w:ascii="Times New Roman" w:eastAsia="Times New Roman" w:hAnsi="Times New Roman" w:cs="Times New Roman"/>
                <w:noProof/>
                <w:sz w:val="24"/>
                <w:lang w:val="en-GB"/>
              </w:rPr>
              <w:t xml:space="preserve"> all</w:t>
            </w:r>
            <w:r w:rsidRPr="00E50FA4">
              <w:rPr>
                <w:rFonts w:ascii="Times New Roman" w:eastAsia="Times New Roman" w:hAnsi="Times New Roman" w:cs="Times New Roman"/>
                <w:noProof/>
                <w:sz w:val="24"/>
                <w:lang w:val="en-GB"/>
              </w:rPr>
              <w:t xml:space="preserve"> sectors and subsectors that highly contribute to climate change</w:t>
            </w:r>
            <w:r w:rsidR="00750A24" w:rsidRPr="00E50FA4">
              <w:rPr>
                <w:rFonts w:ascii="Times New Roman" w:eastAsia="Times New Roman" w:hAnsi="Times New Roman" w:cs="Times New Roman"/>
                <w:noProof/>
                <w:sz w:val="24"/>
                <w:lang w:val="en-GB"/>
              </w:rPr>
              <w:t xml:space="preserve">, </w:t>
            </w:r>
            <w:r w:rsidR="008C59EB" w:rsidRPr="00E50FA4">
              <w:rPr>
                <w:rFonts w:ascii="Times New Roman" w:eastAsia="Times New Roman" w:hAnsi="Times New Roman" w:cs="Times New Roman"/>
                <w:noProof/>
                <w:sz w:val="24"/>
                <w:lang w:val="en-GB"/>
              </w:rPr>
              <w:t>including</w:t>
            </w:r>
            <w:r w:rsidR="00750A24" w:rsidRPr="00E50FA4">
              <w:rPr>
                <w:rFonts w:ascii="Times New Roman" w:eastAsia="Times New Roman" w:hAnsi="Times New Roman" w:cs="Times New Roman"/>
                <w:noProof/>
                <w:sz w:val="24"/>
                <w:lang w:val="en-GB"/>
              </w:rPr>
              <w:t xml:space="preserve"> the </w:t>
            </w:r>
            <w:r w:rsidR="00750A24" w:rsidRPr="00E50FA4">
              <w:rPr>
                <w:rFonts w:ascii="Times New Roman" w:hAnsi="Times New Roman"/>
                <w:noProof/>
                <w:sz w:val="24"/>
              </w:rPr>
              <w:t>oil, gas, mining and transportation sectors,</w:t>
            </w:r>
            <w:r w:rsidRPr="00E50FA4">
              <w:rPr>
                <w:rFonts w:ascii="Times New Roman" w:eastAsia="Times New Roman" w:hAnsi="Times New Roman" w:cs="Times New Roman"/>
                <w:noProof/>
                <w:sz w:val="24"/>
                <w:lang w:val="en-GB"/>
              </w:rPr>
              <w:t xml:space="preserve"> </w:t>
            </w:r>
            <w:r w:rsidR="008C59EB" w:rsidRPr="00E50FA4">
              <w:rPr>
                <w:rFonts w:ascii="Times New Roman" w:eastAsia="Times New Roman" w:hAnsi="Times New Roman" w:cs="Times New Roman"/>
                <w:noProof/>
                <w:sz w:val="24"/>
                <w:lang w:val="en-GB"/>
              </w:rPr>
              <w:t xml:space="preserve">- </w:t>
            </w:r>
            <w:r w:rsidR="00E9693D" w:rsidRPr="00E50FA4">
              <w:rPr>
                <w:rFonts w:ascii="Times New Roman" w:eastAsia="Times New Roman" w:hAnsi="Times New Roman" w:cs="Times New Roman"/>
                <w:noProof/>
                <w:sz w:val="24"/>
                <w:lang w:val="en-GB"/>
              </w:rPr>
              <w:t>as specified in</w:t>
            </w:r>
            <w:r w:rsidRPr="00E50FA4">
              <w:rPr>
                <w:rFonts w:ascii="Times New Roman" w:eastAsia="Times New Roman" w:hAnsi="Times New Roman" w:cs="Times New Roman"/>
                <w:noProof/>
                <w:sz w:val="24"/>
                <w:lang w:val="en-GB"/>
              </w:rPr>
              <w:t xml:space="preserve"> recital 6 of </w:t>
            </w:r>
            <w:r w:rsidR="00E9693D" w:rsidRPr="00E50FA4">
              <w:rPr>
                <w:rFonts w:ascii="Times New Roman" w:eastAsia="Times New Roman" w:hAnsi="Times New Roman"/>
                <w:noProof/>
                <w:sz w:val="24"/>
                <w:lang w:val="en-GB"/>
              </w:rPr>
              <w:t>Delegated Regulation (EU) 2020/1818</w:t>
            </w:r>
            <w:r w:rsidR="008C59EB" w:rsidRPr="00E50FA4">
              <w:rPr>
                <w:rFonts w:ascii="Times New Roman" w:eastAsia="Times New Roman" w:hAnsi="Times New Roman"/>
                <w:noProof/>
                <w:sz w:val="24"/>
                <w:lang w:val="en-GB"/>
              </w:rPr>
              <w:t xml:space="preserve"> -</w:t>
            </w:r>
            <w:r w:rsidR="00802AB8" w:rsidRPr="00E50FA4">
              <w:rPr>
                <w:rFonts w:ascii="Times New Roman" w:eastAsia="Times New Roman" w:hAnsi="Times New Roman"/>
                <w:noProof/>
                <w:sz w:val="24"/>
                <w:lang w:val="en-GB"/>
              </w:rPr>
              <w:t xml:space="preserve"> included in rows 2 to 52 of the template</w:t>
            </w:r>
            <w:r w:rsidRPr="00E50FA4">
              <w:rPr>
                <w:rFonts w:ascii="Times New Roman" w:eastAsia="Times New Roman" w:hAnsi="Times New Roman" w:cs="Times New Roman"/>
                <w:noProof/>
                <w:sz w:val="24"/>
                <w:lang w:val="en-GB"/>
              </w:rPr>
              <w:t xml:space="preserve">. </w:t>
            </w:r>
          </w:p>
          <w:p w14:paraId="495ECB26" w14:textId="55455B27" w:rsidR="00E9693D" w:rsidRPr="00E50FA4" w:rsidRDefault="008C59EB" w:rsidP="00F12A7B">
            <w:pPr>
              <w:spacing w:before="120" w:after="120"/>
              <w:jc w:val="both"/>
              <w:rPr>
                <w:rFonts w:ascii="Times New Roman" w:hAnsi="Times New Roman" w:cs="Times New Roman"/>
                <w:bCs/>
                <w:noProof/>
                <w:sz w:val="24"/>
                <w:lang w:val="en-GB"/>
              </w:rPr>
            </w:pPr>
            <w:r w:rsidRPr="00E50FA4">
              <w:rPr>
                <w:rFonts w:ascii="Times New Roman" w:eastAsia="Times New Roman" w:hAnsi="Times New Roman" w:cs="Times New Roman"/>
                <w:noProof/>
                <w:sz w:val="24"/>
                <w:lang w:val="en-GB"/>
              </w:rPr>
              <w:t xml:space="preserve">Institutions </w:t>
            </w:r>
            <w:r w:rsidR="005720C9"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base the </w:t>
            </w:r>
            <w:r w:rsidR="00E9693D" w:rsidRPr="00E50FA4">
              <w:rPr>
                <w:rFonts w:ascii="Times New Roman" w:eastAsia="Times New Roman" w:hAnsi="Times New Roman" w:cs="Times New Roman"/>
                <w:noProof/>
                <w:sz w:val="24"/>
                <w:lang w:val="en-GB"/>
              </w:rPr>
              <w:t xml:space="preserve">estimation of scope 3 emissions on </w:t>
            </w:r>
            <w:r w:rsidRPr="00E50FA4">
              <w:rPr>
                <w:rFonts w:ascii="Times New Roman" w:eastAsia="Times New Roman" w:hAnsi="Times New Roman" w:cs="Times New Roman"/>
                <w:noProof/>
                <w:sz w:val="24"/>
                <w:lang w:val="en-GB"/>
              </w:rPr>
              <w:t xml:space="preserve">the </w:t>
            </w:r>
            <w:r w:rsidR="00E9693D" w:rsidRPr="00E50FA4">
              <w:rPr>
                <w:rFonts w:ascii="Times New Roman" w:eastAsia="Times New Roman" w:hAnsi="Times New Roman" w:cs="Times New Roman"/>
                <w:noProof/>
                <w:sz w:val="24"/>
                <w:lang w:val="en-GB"/>
              </w:rPr>
              <w:t xml:space="preserve">information on emissions </w:t>
            </w:r>
            <w:r w:rsidRPr="00E50FA4">
              <w:rPr>
                <w:rFonts w:ascii="Times New Roman" w:eastAsia="Times New Roman" w:hAnsi="Times New Roman" w:cs="Times New Roman"/>
                <w:noProof/>
                <w:sz w:val="24"/>
                <w:lang w:val="en-GB"/>
              </w:rPr>
              <w:t xml:space="preserve">gathered </w:t>
            </w:r>
            <w:r w:rsidR="00E9693D" w:rsidRPr="00E50FA4">
              <w:rPr>
                <w:rFonts w:ascii="Times New Roman" w:eastAsia="Times New Roman" w:hAnsi="Times New Roman" w:cs="Times New Roman"/>
                <w:noProof/>
                <w:sz w:val="24"/>
                <w:lang w:val="en-GB"/>
              </w:rPr>
              <w:t xml:space="preserve">from </w:t>
            </w:r>
            <w:r w:rsidR="005E331B" w:rsidRPr="00E50FA4">
              <w:rPr>
                <w:rFonts w:ascii="Times New Roman" w:eastAsia="Times New Roman" w:hAnsi="Times New Roman" w:cs="Times New Roman"/>
                <w:noProof/>
                <w:sz w:val="24"/>
                <w:lang w:val="en-GB"/>
              </w:rPr>
              <w:t>their</w:t>
            </w:r>
            <w:r w:rsidR="00E9693D" w:rsidRPr="00E50FA4">
              <w:rPr>
                <w:rFonts w:ascii="Times New Roman" w:eastAsia="Times New Roman" w:hAnsi="Times New Roman" w:cs="Times New Roman"/>
                <w:noProof/>
                <w:sz w:val="24"/>
                <w:lang w:val="en-GB"/>
              </w:rPr>
              <w:t xml:space="preserve"> counterparties and on </w:t>
            </w:r>
            <w:r w:rsidRPr="00E50FA4">
              <w:rPr>
                <w:rFonts w:ascii="Times New Roman" w:eastAsia="Times New Roman" w:hAnsi="Times New Roman" w:cs="Times New Roman"/>
                <w:noProof/>
                <w:sz w:val="24"/>
                <w:lang w:val="en-GB"/>
              </w:rPr>
              <w:t xml:space="preserve">the </w:t>
            </w:r>
            <w:r w:rsidR="00E9693D" w:rsidRPr="00E50FA4">
              <w:rPr>
                <w:rFonts w:ascii="Times New Roman" w:eastAsia="Times New Roman" w:hAnsi="Times New Roman" w:cs="Times New Roman"/>
                <w:noProof/>
                <w:sz w:val="24"/>
                <w:lang w:val="en-GB"/>
              </w:rPr>
              <w:t>information on sector-average emissions intensity.</w:t>
            </w:r>
            <w:r w:rsidR="00E9693D" w:rsidRPr="00E50FA4">
              <w:rPr>
                <w:rFonts w:ascii="Times New Roman" w:hAnsi="Times New Roman" w:cs="Times New Roman"/>
                <w:bCs/>
                <w:noProof/>
                <w:sz w:val="24"/>
                <w:lang w:val="en-GB"/>
              </w:rPr>
              <w:t xml:space="preserve"> </w:t>
            </w:r>
            <w:r w:rsidRPr="00E50FA4">
              <w:rPr>
                <w:rFonts w:ascii="Times New Roman" w:hAnsi="Times New Roman" w:cs="Times New Roman"/>
                <w:bCs/>
                <w:noProof/>
                <w:sz w:val="24"/>
                <w:lang w:val="en-GB"/>
              </w:rPr>
              <w:t>The m</w:t>
            </w:r>
            <w:r w:rsidR="00E9693D" w:rsidRPr="00E50FA4">
              <w:rPr>
                <w:rFonts w:ascii="Times New Roman" w:hAnsi="Times New Roman" w:cs="Times New Roman"/>
                <w:bCs/>
                <w:noProof/>
                <w:sz w:val="24"/>
                <w:lang w:val="en-GB"/>
              </w:rPr>
              <w:t>ethod</w:t>
            </w:r>
            <w:r w:rsidRPr="00E50FA4">
              <w:rPr>
                <w:rFonts w:ascii="Times New Roman" w:hAnsi="Times New Roman" w:cs="Times New Roman"/>
                <w:bCs/>
                <w:noProof/>
                <w:sz w:val="24"/>
                <w:lang w:val="en-GB"/>
              </w:rPr>
              <w:t>s</w:t>
            </w:r>
            <w:r w:rsidR="00E9693D" w:rsidRPr="00E50FA4">
              <w:rPr>
                <w:rFonts w:ascii="Times New Roman" w:hAnsi="Times New Roman" w:cs="Times New Roman"/>
                <w:bCs/>
                <w:noProof/>
                <w:sz w:val="24"/>
                <w:lang w:val="en-GB"/>
              </w:rPr>
              <w:t xml:space="preserve"> to compute the carbon emission of companies include</w:t>
            </w:r>
            <w:r w:rsidR="00F12A7B" w:rsidRPr="00E50FA4">
              <w:rPr>
                <w:rFonts w:ascii="Times New Roman" w:hAnsi="Times New Roman" w:cs="Times New Roman"/>
                <w:bCs/>
                <w:noProof/>
                <w:sz w:val="24"/>
                <w:lang w:val="en-GB"/>
              </w:rPr>
              <w:t xml:space="preserve"> </w:t>
            </w:r>
            <w:r w:rsidR="00E9693D" w:rsidRPr="00E50FA4">
              <w:rPr>
                <w:rFonts w:ascii="Times New Roman" w:hAnsi="Times New Roman" w:cs="Times New Roman"/>
                <w:bCs/>
                <w:noProof/>
                <w:sz w:val="24"/>
                <w:lang w:val="en-GB"/>
              </w:rPr>
              <w:t>the Global GHG Accounting and Reporting Standard for the Financial Industry, developed by the Partnership for Carbon Accounting Financials</w:t>
            </w:r>
            <w:r w:rsidR="00CB0BC0" w:rsidRPr="00E50FA4">
              <w:rPr>
                <w:rFonts w:ascii="Times New Roman" w:hAnsi="Times New Roman" w:cs="Times New Roman"/>
                <w:bCs/>
                <w:noProof/>
                <w:sz w:val="24"/>
                <w:vertAlign w:val="superscript"/>
                <w:lang w:val="en-GB"/>
              </w:rPr>
              <w:t>*</w:t>
            </w:r>
            <w:r w:rsidR="00D65FBF" w:rsidRPr="00E50FA4">
              <w:rPr>
                <w:rFonts w:ascii="Times New Roman" w:hAnsi="Times New Roman" w:cs="Times New Roman"/>
                <w:bCs/>
                <w:noProof/>
                <w:sz w:val="24"/>
                <w:vertAlign w:val="superscript"/>
                <w:lang w:val="en-GB"/>
              </w:rPr>
              <w:t>1</w:t>
            </w:r>
            <w:r w:rsidR="005E331B" w:rsidRPr="00E50FA4">
              <w:rPr>
                <w:rFonts w:ascii="Times New Roman" w:hAnsi="Times New Roman" w:cs="Times New Roman"/>
                <w:bCs/>
                <w:noProof/>
                <w:sz w:val="24"/>
                <w:vertAlign w:val="superscript"/>
                <w:lang w:val="en-GB"/>
              </w:rPr>
              <w:t>4</w:t>
            </w:r>
            <w:r w:rsidR="00F12A7B" w:rsidRPr="00E50FA4">
              <w:rPr>
                <w:rFonts w:ascii="Times New Roman" w:hAnsi="Times New Roman" w:cs="Times New Roman"/>
                <w:bCs/>
                <w:noProof/>
                <w:sz w:val="24"/>
                <w:lang w:val="en-GB"/>
              </w:rPr>
              <w:t xml:space="preserve"> (PCAF, of particular relevance for the TCFD), or </w:t>
            </w:r>
            <w:r w:rsidR="00E9693D" w:rsidRPr="00E50FA4">
              <w:rPr>
                <w:rFonts w:ascii="Times New Roman" w:hAnsi="Times New Roman" w:cs="Times New Roman"/>
                <w:bCs/>
                <w:noProof/>
                <w:sz w:val="24"/>
                <w:lang w:val="en-GB"/>
              </w:rPr>
              <w:t>the Carbon Disclosure Project</w:t>
            </w:r>
            <w:r w:rsidR="00697641" w:rsidRPr="00E50FA4">
              <w:rPr>
                <w:rFonts w:ascii="Times New Roman" w:hAnsi="Times New Roman" w:cs="Times New Roman"/>
                <w:bCs/>
                <w:noProof/>
                <w:sz w:val="24"/>
                <w:vertAlign w:val="superscript"/>
                <w:lang w:val="en-GB"/>
              </w:rPr>
              <w:t>*</w:t>
            </w:r>
            <w:r w:rsidR="00D65FBF" w:rsidRPr="00E50FA4">
              <w:rPr>
                <w:rFonts w:ascii="Times New Roman" w:hAnsi="Times New Roman" w:cs="Times New Roman"/>
                <w:bCs/>
                <w:noProof/>
                <w:sz w:val="24"/>
                <w:vertAlign w:val="superscript"/>
                <w:lang w:val="en-GB"/>
              </w:rPr>
              <w:t>1</w:t>
            </w:r>
            <w:r w:rsidR="005E331B" w:rsidRPr="00E50FA4">
              <w:rPr>
                <w:rFonts w:ascii="Times New Roman" w:hAnsi="Times New Roman" w:cs="Times New Roman"/>
                <w:bCs/>
                <w:noProof/>
                <w:sz w:val="24"/>
                <w:vertAlign w:val="superscript"/>
                <w:lang w:val="en-GB"/>
              </w:rPr>
              <w:t>5</w:t>
            </w:r>
            <w:r w:rsidR="00E9693D" w:rsidRPr="00E50FA4">
              <w:rPr>
                <w:rFonts w:ascii="Times New Roman" w:hAnsi="Times New Roman" w:cs="Times New Roman"/>
                <w:bCs/>
                <w:noProof/>
                <w:sz w:val="24"/>
                <w:lang w:val="en-GB"/>
              </w:rPr>
              <w:t>.</w:t>
            </w:r>
          </w:p>
          <w:p w14:paraId="54A43E94" w14:textId="7977B460" w:rsidR="00E9693D" w:rsidRPr="00E50FA4" w:rsidRDefault="008C59EB" w:rsidP="008D522D">
            <w:pPr>
              <w:spacing w:before="120" w:after="120"/>
              <w:jc w:val="both"/>
              <w:rPr>
                <w:rFonts w:ascii="Times New Roman" w:eastAsia="Times New Roman" w:hAnsi="Times New Roman" w:cs="Times New Roman"/>
                <w:noProof/>
                <w:sz w:val="24"/>
                <w:lang w:val="en-GB"/>
              </w:rPr>
            </w:pPr>
            <w:bookmarkStart w:id="10" w:name="_Hlk87344561"/>
            <w:r w:rsidRPr="00E50FA4">
              <w:rPr>
                <w:rFonts w:ascii="Times New Roman" w:eastAsia="Times New Roman" w:hAnsi="Times New Roman" w:cs="Times New Roman"/>
                <w:noProof/>
                <w:sz w:val="24"/>
                <w:lang w:val="en-GB"/>
              </w:rPr>
              <w:t xml:space="preserve">Institutions </w:t>
            </w:r>
            <w:r w:rsidR="005720C9"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estimate the </w:t>
            </w:r>
            <w:r w:rsidR="00E9693D" w:rsidRPr="00E50FA4">
              <w:rPr>
                <w:rFonts w:ascii="Times New Roman" w:eastAsia="Times New Roman" w:hAnsi="Times New Roman" w:cs="Times New Roman"/>
                <w:noProof/>
                <w:sz w:val="24"/>
                <w:lang w:val="en-GB"/>
              </w:rPr>
              <w:t xml:space="preserve">scope 3 emissions per sector in a proportionate </w:t>
            </w:r>
            <w:r w:rsidRPr="00E50FA4">
              <w:rPr>
                <w:rFonts w:ascii="Times New Roman" w:eastAsia="Times New Roman" w:hAnsi="Times New Roman" w:cs="Times New Roman"/>
                <w:noProof/>
                <w:sz w:val="24"/>
                <w:lang w:val="en-GB"/>
              </w:rPr>
              <w:t>manner</w:t>
            </w:r>
            <w:r w:rsidR="004A6465" w:rsidRPr="00E50FA4">
              <w:rPr>
                <w:rFonts w:ascii="Times New Roman" w:eastAsia="Times New Roman" w:hAnsi="Times New Roman" w:cs="Times New Roman"/>
                <w:noProof/>
                <w:sz w:val="24"/>
                <w:lang w:val="en-GB"/>
              </w:rPr>
              <w:t>, including</w:t>
            </w:r>
            <w:r w:rsidR="00E9693D" w:rsidRPr="00E50FA4">
              <w:rPr>
                <w:rFonts w:ascii="Times New Roman" w:eastAsia="Times New Roman" w:hAnsi="Times New Roman" w:cs="Times New Roman"/>
                <w:noProof/>
                <w:sz w:val="24"/>
                <w:lang w:val="en-GB"/>
              </w:rPr>
              <w:t xml:space="preserve"> by taking</w:t>
            </w:r>
            <w:r w:rsidR="0017223E">
              <w:rPr>
                <w:rFonts w:ascii="Times New Roman" w:eastAsia="Times New Roman" w:hAnsi="Times New Roman" w:cs="Times New Roman"/>
                <w:noProof/>
                <w:sz w:val="24"/>
                <w:lang w:val="en-GB"/>
              </w:rPr>
              <w:t xml:space="preserve"> into account</w:t>
            </w:r>
            <w:r w:rsidR="00E9693D" w:rsidRPr="00E50FA4">
              <w:rPr>
                <w:rFonts w:ascii="Times New Roman" w:eastAsia="Times New Roman" w:hAnsi="Times New Roman" w:cs="Times New Roman"/>
                <w:noProof/>
                <w:sz w:val="24"/>
                <w:lang w:val="en-GB"/>
              </w:rPr>
              <w:t xml:space="preserve"> </w:t>
            </w:r>
            <w:r w:rsidR="00B76863" w:rsidRPr="00E50FA4">
              <w:rPr>
                <w:rFonts w:ascii="Times New Roman" w:eastAsia="Times New Roman" w:hAnsi="Times New Roman" w:cs="Times New Roman"/>
                <w:noProof/>
                <w:sz w:val="24"/>
                <w:lang w:val="en-GB"/>
              </w:rPr>
              <w:t>their exposures</w:t>
            </w:r>
            <w:r w:rsidR="00E9693D" w:rsidRPr="00E50FA4">
              <w:rPr>
                <w:rFonts w:ascii="Times New Roman" w:eastAsia="Times New Roman" w:hAnsi="Times New Roman" w:cs="Times New Roman"/>
                <w:noProof/>
                <w:sz w:val="24"/>
                <w:lang w:val="en-GB"/>
              </w:rPr>
              <w:t xml:space="preserve"> (</w:t>
            </w:r>
            <w:r w:rsidR="002F00EF" w:rsidRPr="00E50FA4">
              <w:rPr>
                <w:rFonts w:ascii="Times New Roman" w:eastAsia="Times New Roman" w:hAnsi="Times New Roman" w:cs="Times New Roman"/>
                <w:noProof/>
                <w:sz w:val="24"/>
                <w:lang w:val="en-GB"/>
              </w:rPr>
              <w:t>loans and advances, debt securities and equity holdings</w:t>
            </w:r>
            <w:r w:rsidR="00E9693D" w:rsidRPr="00E50FA4">
              <w:rPr>
                <w:rFonts w:ascii="Times New Roman" w:eastAsia="Times New Roman" w:hAnsi="Times New Roman" w:cs="Times New Roman"/>
                <w:noProof/>
                <w:sz w:val="24"/>
                <w:lang w:val="en-GB"/>
              </w:rPr>
              <w:t>) towards the counterparty compared to the total liabilities (</w:t>
            </w:r>
            <w:r w:rsidR="002F00EF" w:rsidRPr="00E50FA4">
              <w:rPr>
                <w:rFonts w:ascii="Times New Roman" w:eastAsia="Times New Roman" w:hAnsi="Times New Roman" w:cs="Times New Roman"/>
                <w:noProof/>
                <w:sz w:val="24"/>
                <w:lang w:val="en-GB"/>
              </w:rPr>
              <w:t>accounting liabilities and shareholders’ equity</w:t>
            </w:r>
            <w:r w:rsidR="00E9693D" w:rsidRPr="00E50FA4">
              <w:rPr>
                <w:rFonts w:ascii="Times New Roman" w:eastAsia="Times New Roman" w:hAnsi="Times New Roman" w:cs="Times New Roman"/>
                <w:noProof/>
                <w:sz w:val="24"/>
                <w:lang w:val="en-GB"/>
              </w:rPr>
              <w:t xml:space="preserve">) </w:t>
            </w:r>
            <w:bookmarkEnd w:id="10"/>
            <w:r w:rsidR="00E9693D" w:rsidRPr="00E50FA4">
              <w:rPr>
                <w:rFonts w:ascii="Times New Roman" w:eastAsia="Times New Roman" w:hAnsi="Times New Roman" w:cs="Times New Roman"/>
                <w:noProof/>
                <w:sz w:val="24"/>
                <w:lang w:val="en-GB"/>
              </w:rPr>
              <w:t>of the counterparty.</w:t>
            </w:r>
          </w:p>
          <w:p w14:paraId="3C01A26F" w14:textId="7118B9B2" w:rsidR="0041578E" w:rsidRPr="00E50FA4" w:rsidRDefault="00E9693D"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w:t>
            </w:r>
            <w:r w:rsidR="00C168F0" w:rsidRPr="00E50FA4">
              <w:rPr>
                <w:rFonts w:ascii="Times New Roman" w:eastAsia="Times New Roman" w:hAnsi="Times New Roman" w:cs="Times New Roman"/>
                <w:noProof/>
                <w:sz w:val="24"/>
                <w:lang w:val="en-GB"/>
              </w:rPr>
              <w:t xml:space="preserve">n the narrative </w:t>
            </w:r>
            <w:r w:rsidR="008C59EB" w:rsidRPr="00E50FA4">
              <w:rPr>
                <w:rFonts w:ascii="Times New Roman" w:eastAsia="Times New Roman" w:hAnsi="Times New Roman" w:cs="Times New Roman"/>
                <w:noProof/>
                <w:sz w:val="24"/>
                <w:lang w:val="en-GB"/>
              </w:rPr>
              <w:t xml:space="preserve">part </w:t>
            </w:r>
            <w:r w:rsidR="00C168F0" w:rsidRPr="00E50FA4">
              <w:rPr>
                <w:rFonts w:ascii="Times New Roman" w:eastAsia="Times New Roman" w:hAnsi="Times New Roman" w:cs="Times New Roman"/>
                <w:noProof/>
                <w:sz w:val="24"/>
                <w:lang w:val="en-GB"/>
              </w:rPr>
              <w:t>accompanying the template</w:t>
            </w:r>
            <w:r w:rsidR="006871C4" w:rsidRPr="00E50FA4">
              <w:rPr>
                <w:rFonts w:ascii="Times New Roman" w:eastAsia="Times New Roman" w:hAnsi="Times New Roman" w:cs="Times New Roman"/>
                <w:noProof/>
                <w:sz w:val="24"/>
                <w:lang w:val="en-GB"/>
              </w:rPr>
              <w:t>,</w:t>
            </w:r>
            <w:r w:rsidR="00C168F0" w:rsidRPr="00E50FA4">
              <w:rPr>
                <w:rFonts w:ascii="Times New Roman" w:eastAsia="Times New Roman" w:hAnsi="Times New Roman" w:cs="Times New Roman"/>
                <w:noProof/>
                <w:sz w:val="24"/>
                <w:lang w:val="en-GB"/>
              </w:rPr>
              <w:t xml:space="preserve"> </w:t>
            </w:r>
            <w:r w:rsidR="00455919" w:rsidRPr="00E50FA4">
              <w:rPr>
                <w:rFonts w:ascii="Times New Roman" w:eastAsia="Times New Roman" w:hAnsi="Times New Roman" w:cs="Times New Roman"/>
                <w:noProof/>
                <w:sz w:val="24"/>
                <w:lang w:val="en-GB"/>
              </w:rPr>
              <w:t xml:space="preserve">institutions shall provide </w:t>
            </w:r>
            <w:r w:rsidR="00C168F0" w:rsidRPr="00E50FA4">
              <w:rPr>
                <w:rFonts w:ascii="Times New Roman" w:eastAsia="Times New Roman" w:hAnsi="Times New Roman" w:cs="Times New Roman"/>
                <w:noProof/>
                <w:sz w:val="24"/>
                <w:lang w:val="en-GB"/>
              </w:rPr>
              <w:t xml:space="preserve">detailed explanations </w:t>
            </w:r>
            <w:r w:rsidR="00455919" w:rsidRPr="00E50FA4">
              <w:rPr>
                <w:rFonts w:ascii="Times New Roman" w:eastAsia="Times New Roman" w:hAnsi="Times New Roman" w:cs="Times New Roman"/>
                <w:noProof/>
                <w:sz w:val="24"/>
                <w:lang w:val="en-GB"/>
              </w:rPr>
              <w:t xml:space="preserve">of the data sources used and of </w:t>
            </w:r>
            <w:r w:rsidR="00C168F0" w:rsidRPr="00E50FA4">
              <w:rPr>
                <w:rFonts w:ascii="Times New Roman" w:eastAsia="Times New Roman" w:hAnsi="Times New Roman" w:cs="Times New Roman"/>
                <w:noProof/>
                <w:sz w:val="24"/>
                <w:lang w:val="en-GB"/>
              </w:rPr>
              <w:t xml:space="preserve">the methodology that they have applied for the </w:t>
            </w:r>
            <w:r w:rsidR="00597B5C" w:rsidRPr="00E50FA4">
              <w:rPr>
                <w:rFonts w:ascii="Times New Roman" w:eastAsia="Times New Roman" w:hAnsi="Times New Roman" w:cs="Times New Roman"/>
                <w:noProof/>
                <w:sz w:val="24"/>
                <w:lang w:val="en-GB"/>
              </w:rPr>
              <w:t xml:space="preserve">estimation </w:t>
            </w:r>
            <w:r w:rsidR="00C168F0" w:rsidRPr="00E50FA4">
              <w:rPr>
                <w:rFonts w:ascii="Times New Roman" w:eastAsia="Times New Roman" w:hAnsi="Times New Roman" w:cs="Times New Roman"/>
                <w:noProof/>
                <w:sz w:val="24"/>
                <w:lang w:val="en-GB"/>
              </w:rPr>
              <w:t>of their scope 3 GHG emissions.</w:t>
            </w:r>
            <w:r w:rsidR="00B860FE" w:rsidRPr="00E50FA4">
              <w:rPr>
                <w:rFonts w:ascii="Times New Roman" w:eastAsia="Times New Roman" w:hAnsi="Times New Roman" w:cs="Times New Roman"/>
                <w:noProof/>
                <w:sz w:val="24"/>
                <w:lang w:val="en-GB"/>
              </w:rPr>
              <w:t xml:space="preserve"> In particular, </w:t>
            </w:r>
            <w:r w:rsidR="00F351E2" w:rsidRPr="00E50FA4">
              <w:rPr>
                <w:rFonts w:ascii="Times New Roman" w:eastAsia="Times New Roman" w:hAnsi="Times New Roman" w:cs="Times New Roman"/>
                <w:noProof/>
                <w:sz w:val="24"/>
                <w:lang w:val="en-GB"/>
              </w:rPr>
              <w:t>institutions</w:t>
            </w:r>
            <w:r w:rsidR="00B860FE" w:rsidRPr="00E50FA4">
              <w:rPr>
                <w:rFonts w:ascii="Times New Roman" w:eastAsia="Times New Roman" w:hAnsi="Times New Roman" w:cs="Times New Roman"/>
                <w:noProof/>
                <w:sz w:val="24"/>
                <w:lang w:val="en-GB"/>
              </w:rPr>
              <w:t xml:space="preserve"> shall explain whether they are disclosing</w:t>
            </w:r>
            <w:r w:rsidR="006D6E07" w:rsidRPr="00E50FA4">
              <w:rPr>
                <w:rFonts w:ascii="Times New Roman" w:eastAsia="Times New Roman" w:hAnsi="Times New Roman" w:cs="Times New Roman"/>
                <w:noProof/>
                <w:sz w:val="24"/>
                <w:lang w:val="en-GB"/>
              </w:rPr>
              <w:t xml:space="preserve"> any of the following</w:t>
            </w:r>
            <w:r w:rsidR="0041578E" w:rsidRPr="00E50FA4">
              <w:rPr>
                <w:rFonts w:ascii="Times New Roman" w:eastAsia="Times New Roman" w:hAnsi="Times New Roman" w:cs="Times New Roman"/>
                <w:noProof/>
                <w:sz w:val="24"/>
                <w:lang w:val="en-GB"/>
              </w:rPr>
              <w:t>:</w:t>
            </w:r>
          </w:p>
          <w:p w14:paraId="25C16108" w14:textId="5C98C77D" w:rsidR="0041578E" w:rsidRPr="00E50FA4" w:rsidRDefault="00B860FE" w:rsidP="006871C4">
            <w:pPr>
              <w:spacing w:before="120" w:after="120"/>
              <w:ind w:left="539" w:hanging="539"/>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w:t>
            </w:r>
            <w:r w:rsidR="006D6E07" w:rsidRPr="00E50FA4">
              <w:rPr>
                <w:rFonts w:ascii="Times New Roman" w:eastAsia="Times New Roman" w:hAnsi="Times New Roman" w:cs="Times New Roman"/>
                <w:noProof/>
                <w:sz w:val="24"/>
                <w:lang w:val="en-GB"/>
              </w:rPr>
              <w:t>a</w:t>
            </w:r>
            <w:r w:rsidRPr="00E50FA4">
              <w:rPr>
                <w:rFonts w:ascii="Times New Roman" w:eastAsia="Times New Roman" w:hAnsi="Times New Roman" w:cs="Times New Roman"/>
                <w:noProof/>
                <w:sz w:val="24"/>
                <w:lang w:val="en-GB"/>
              </w:rPr>
              <w:t>)</w:t>
            </w:r>
            <w:r w:rsidR="006871C4" w:rsidRPr="00E50FA4">
              <w:rPr>
                <w:noProof/>
              </w:rPr>
              <w:tab/>
            </w:r>
            <w:r w:rsidRPr="00E50FA4">
              <w:rPr>
                <w:rFonts w:ascii="Times New Roman" w:eastAsia="Times New Roman" w:hAnsi="Times New Roman" w:cs="Times New Roman"/>
                <w:noProof/>
                <w:sz w:val="24"/>
                <w:lang w:val="en-GB"/>
              </w:rPr>
              <w:t xml:space="preserve">reported emissions (emissions are collected from the borrower or investee company directly); </w:t>
            </w:r>
          </w:p>
          <w:p w14:paraId="06B4282E" w14:textId="0CF1379B" w:rsidR="0041578E" w:rsidRPr="00E50FA4" w:rsidRDefault="00B860FE" w:rsidP="006871C4">
            <w:pPr>
              <w:spacing w:before="120" w:after="120"/>
              <w:ind w:left="539" w:hanging="539"/>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w:t>
            </w:r>
            <w:r w:rsidR="006D6E07" w:rsidRPr="00E50FA4">
              <w:rPr>
                <w:rFonts w:ascii="Times New Roman" w:eastAsia="Times New Roman" w:hAnsi="Times New Roman" w:cs="Times New Roman"/>
                <w:noProof/>
                <w:sz w:val="24"/>
                <w:lang w:val="en-GB"/>
              </w:rPr>
              <w:t>b</w:t>
            </w:r>
            <w:r w:rsidRPr="00E50FA4">
              <w:rPr>
                <w:rFonts w:ascii="Times New Roman" w:eastAsia="Times New Roman" w:hAnsi="Times New Roman" w:cs="Times New Roman"/>
                <w:noProof/>
                <w:sz w:val="24"/>
                <w:lang w:val="en-GB"/>
              </w:rPr>
              <w:t>)</w:t>
            </w:r>
            <w:r w:rsidR="006871C4" w:rsidRPr="00E50FA4">
              <w:rPr>
                <w:noProof/>
              </w:rPr>
              <w:tab/>
            </w:r>
            <w:r w:rsidRPr="00E50FA4">
              <w:rPr>
                <w:rFonts w:ascii="Times New Roman" w:eastAsia="Times New Roman" w:hAnsi="Times New Roman" w:cs="Times New Roman"/>
                <w:noProof/>
                <w:sz w:val="24"/>
                <w:lang w:val="en-GB"/>
              </w:rPr>
              <w:t>physical activity-based emissions (emissions are estimated by the reporting financial institution based on primary physical activity data collected from the borrower or investee)</w:t>
            </w:r>
            <w:r w:rsidR="0041578E"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 </w:t>
            </w:r>
          </w:p>
          <w:p w14:paraId="48762FFF" w14:textId="30E7B4FB" w:rsidR="00C168F0" w:rsidRPr="00E50FA4" w:rsidRDefault="00B860FE" w:rsidP="00B76863">
            <w:pPr>
              <w:spacing w:before="120" w:after="120"/>
              <w:ind w:left="539" w:hanging="539"/>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w:t>
            </w:r>
            <w:r w:rsidR="00887550" w:rsidRPr="00E50FA4">
              <w:rPr>
                <w:rFonts w:ascii="Times New Roman" w:eastAsia="Times New Roman" w:hAnsi="Times New Roman" w:cs="Times New Roman"/>
                <w:noProof/>
                <w:sz w:val="24"/>
                <w:lang w:val="en-GB"/>
              </w:rPr>
              <w:t>c</w:t>
            </w:r>
            <w:r w:rsidRPr="00E50FA4">
              <w:rPr>
                <w:rFonts w:ascii="Times New Roman" w:eastAsia="Times New Roman" w:hAnsi="Times New Roman" w:cs="Times New Roman"/>
                <w:noProof/>
                <w:sz w:val="24"/>
                <w:lang w:val="en-GB"/>
              </w:rPr>
              <w:t>)</w:t>
            </w:r>
            <w:r w:rsidR="006871C4" w:rsidRPr="00E50FA4">
              <w:rPr>
                <w:noProof/>
              </w:rPr>
              <w:tab/>
            </w:r>
            <w:r w:rsidRPr="00E50FA4">
              <w:rPr>
                <w:rFonts w:ascii="Times New Roman" w:eastAsia="Times New Roman" w:hAnsi="Times New Roman" w:cs="Times New Roman"/>
                <w:noProof/>
                <w:sz w:val="24"/>
                <w:lang w:val="en-GB"/>
              </w:rPr>
              <w:t>economic activity-based emissions (emissions are estimated by the reporting financial institution based on economic activity data collected from the borrower or investee company).</w:t>
            </w:r>
          </w:p>
          <w:p w14:paraId="1A1A566D" w14:textId="7437ACFC" w:rsidR="00C168F0" w:rsidRDefault="00EB19E7" w:rsidP="002A2C5B">
            <w:pPr>
              <w:spacing w:before="120" w:after="120"/>
              <w:jc w:val="both"/>
              <w:rPr>
                <w:rFonts w:ascii="Times New Roman" w:hAnsi="Times New Roman"/>
                <w:noProof/>
                <w:sz w:val="24"/>
                <w:lang w:val="en-GB"/>
              </w:rPr>
            </w:pPr>
            <w:r w:rsidRPr="00E50FA4">
              <w:rPr>
                <w:rFonts w:ascii="Times New Roman" w:hAnsi="Times New Roman"/>
                <w:noProof/>
                <w:sz w:val="24"/>
                <w:lang w:val="en-GB"/>
              </w:rPr>
              <w:t xml:space="preserve">Where institutions are not yet estimating their counterparties’ emissions associated </w:t>
            </w:r>
            <w:r w:rsidR="008C59EB" w:rsidRPr="00E50FA4">
              <w:rPr>
                <w:rFonts w:ascii="Times New Roman" w:hAnsi="Times New Roman"/>
                <w:noProof/>
                <w:sz w:val="24"/>
                <w:lang w:val="en-GB"/>
              </w:rPr>
              <w:t xml:space="preserve">to </w:t>
            </w:r>
            <w:r w:rsidRPr="00E50FA4">
              <w:rPr>
                <w:rFonts w:ascii="Times New Roman" w:hAnsi="Times New Roman"/>
                <w:noProof/>
                <w:sz w:val="24"/>
                <w:lang w:val="en-GB"/>
              </w:rPr>
              <w:t xml:space="preserve">their financing activities, including lending and investment activities, they shall disclose information on their plans to implement </w:t>
            </w:r>
            <w:r w:rsidR="008C59EB" w:rsidRPr="00E50FA4">
              <w:rPr>
                <w:rFonts w:ascii="Times New Roman" w:hAnsi="Times New Roman"/>
                <w:noProof/>
                <w:sz w:val="24"/>
                <w:lang w:val="en-GB"/>
              </w:rPr>
              <w:t xml:space="preserve">methods </w:t>
            </w:r>
            <w:r w:rsidRPr="00E50FA4">
              <w:rPr>
                <w:rFonts w:ascii="Times New Roman" w:hAnsi="Times New Roman"/>
                <w:noProof/>
                <w:sz w:val="24"/>
                <w:lang w:val="en-GB"/>
              </w:rPr>
              <w:t>to estimate th</w:t>
            </w:r>
            <w:r w:rsidR="004A6465" w:rsidRPr="00E50FA4">
              <w:rPr>
                <w:rFonts w:ascii="Times New Roman" w:hAnsi="Times New Roman"/>
                <w:noProof/>
                <w:sz w:val="24"/>
                <w:lang w:val="en-GB"/>
              </w:rPr>
              <w:t>at</w:t>
            </w:r>
            <w:r w:rsidRPr="00E50FA4">
              <w:rPr>
                <w:rFonts w:ascii="Times New Roman" w:hAnsi="Times New Roman"/>
                <w:noProof/>
                <w:sz w:val="24"/>
                <w:lang w:val="en-GB"/>
              </w:rPr>
              <w:t xml:space="preserve"> information. </w:t>
            </w:r>
            <w:r w:rsidR="00CA79F3" w:rsidRPr="00E50FA4">
              <w:rPr>
                <w:rFonts w:ascii="Times New Roman" w:hAnsi="Times New Roman"/>
                <w:noProof/>
                <w:sz w:val="24"/>
                <w:lang w:val="en-GB"/>
              </w:rPr>
              <w:t xml:space="preserve">Institutions </w:t>
            </w:r>
            <w:r w:rsidRPr="00E50FA4">
              <w:rPr>
                <w:rFonts w:ascii="Times New Roman" w:hAnsi="Times New Roman"/>
                <w:noProof/>
                <w:sz w:val="24"/>
                <w:lang w:val="en-GB"/>
              </w:rPr>
              <w:t>shall disclos</w:t>
            </w:r>
            <w:r w:rsidR="00790DE1" w:rsidRPr="00E50FA4">
              <w:rPr>
                <w:rFonts w:ascii="Times New Roman" w:hAnsi="Times New Roman"/>
                <w:noProof/>
                <w:sz w:val="24"/>
                <w:lang w:val="en-GB"/>
              </w:rPr>
              <w:t>e</w:t>
            </w:r>
            <w:r w:rsidRPr="00E50FA4">
              <w:rPr>
                <w:rFonts w:ascii="Times New Roman" w:hAnsi="Times New Roman"/>
                <w:noProof/>
                <w:sz w:val="24"/>
                <w:lang w:val="en-GB"/>
              </w:rPr>
              <w:t xml:space="preserve"> </w:t>
            </w:r>
            <w:r w:rsidR="006871C4" w:rsidRPr="00E50FA4">
              <w:rPr>
                <w:rFonts w:ascii="Times New Roman" w:hAnsi="Times New Roman"/>
                <w:noProof/>
                <w:sz w:val="24"/>
                <w:lang w:val="en-GB"/>
              </w:rPr>
              <w:t xml:space="preserve">the </w:t>
            </w:r>
            <w:r w:rsidRPr="00E50FA4">
              <w:rPr>
                <w:rFonts w:ascii="Times New Roman" w:hAnsi="Times New Roman"/>
                <w:noProof/>
                <w:sz w:val="24"/>
                <w:lang w:val="en-GB"/>
              </w:rPr>
              <w:t xml:space="preserve">information in columns </w:t>
            </w:r>
            <w:r w:rsidR="0041578E" w:rsidRPr="00E50FA4">
              <w:rPr>
                <w:rFonts w:ascii="Times New Roman" w:hAnsi="Times New Roman"/>
                <w:noProof/>
                <w:sz w:val="24"/>
                <w:lang w:val="en-GB"/>
              </w:rPr>
              <w:t>(</w:t>
            </w:r>
            <w:r w:rsidRPr="00E50FA4">
              <w:rPr>
                <w:rFonts w:ascii="Times New Roman" w:hAnsi="Times New Roman"/>
                <w:noProof/>
                <w:sz w:val="24"/>
                <w:lang w:val="en-GB"/>
              </w:rPr>
              <w:t>i</w:t>
            </w:r>
            <w:r w:rsidR="0041578E" w:rsidRPr="00E50FA4">
              <w:rPr>
                <w:rFonts w:ascii="Times New Roman" w:hAnsi="Times New Roman"/>
                <w:noProof/>
                <w:sz w:val="24"/>
                <w:lang w:val="en-GB"/>
              </w:rPr>
              <w:t>)</w:t>
            </w:r>
            <w:r w:rsidR="00FF6493" w:rsidRPr="00E50FA4">
              <w:rPr>
                <w:rFonts w:ascii="Times New Roman" w:hAnsi="Times New Roman"/>
                <w:noProof/>
                <w:sz w:val="24"/>
                <w:lang w:val="en-GB"/>
              </w:rPr>
              <w:t>, (j) and</w:t>
            </w:r>
            <w:r w:rsidRPr="00E50FA4">
              <w:rPr>
                <w:rFonts w:ascii="Times New Roman" w:hAnsi="Times New Roman"/>
                <w:noProof/>
                <w:sz w:val="24"/>
                <w:lang w:val="en-GB"/>
              </w:rPr>
              <w:t xml:space="preserve"> </w:t>
            </w:r>
            <w:r w:rsidR="0041578E" w:rsidRPr="00E50FA4">
              <w:rPr>
                <w:rFonts w:ascii="Times New Roman" w:hAnsi="Times New Roman"/>
                <w:noProof/>
                <w:sz w:val="24"/>
                <w:lang w:val="en-GB"/>
              </w:rPr>
              <w:t>(</w:t>
            </w:r>
            <w:r w:rsidRPr="00E50FA4">
              <w:rPr>
                <w:rFonts w:ascii="Times New Roman" w:hAnsi="Times New Roman"/>
                <w:noProof/>
                <w:sz w:val="24"/>
                <w:lang w:val="en-GB"/>
              </w:rPr>
              <w:t>k</w:t>
            </w:r>
            <w:r w:rsidR="0041578E" w:rsidRPr="00E50FA4">
              <w:rPr>
                <w:rFonts w:ascii="Times New Roman" w:hAnsi="Times New Roman"/>
                <w:noProof/>
                <w:sz w:val="24"/>
                <w:lang w:val="en-GB"/>
              </w:rPr>
              <w:t>)</w:t>
            </w:r>
            <w:r w:rsidRPr="00E50FA4">
              <w:rPr>
                <w:rFonts w:ascii="Times New Roman" w:hAnsi="Times New Roman"/>
                <w:noProof/>
                <w:sz w:val="24"/>
                <w:lang w:val="en-GB"/>
              </w:rPr>
              <w:t xml:space="preserve"> of the template </w:t>
            </w:r>
            <w:r w:rsidR="006871C4" w:rsidRPr="00E50FA4">
              <w:rPr>
                <w:rFonts w:ascii="Times New Roman" w:hAnsi="Times New Roman"/>
                <w:noProof/>
                <w:sz w:val="24"/>
                <w:lang w:val="en-GB"/>
              </w:rPr>
              <w:t>with first disclosure reference date</w:t>
            </w:r>
            <w:r w:rsidR="001D0251" w:rsidRPr="00E50FA4">
              <w:rPr>
                <w:rFonts w:ascii="Times New Roman" w:hAnsi="Times New Roman"/>
                <w:noProof/>
                <w:sz w:val="24"/>
                <w:lang w:val="en-GB"/>
              </w:rPr>
              <w:t xml:space="preserve"> </w:t>
            </w:r>
            <w:r w:rsidR="002A2C5B" w:rsidRPr="00E50FA4">
              <w:rPr>
                <w:rFonts w:ascii="Times New Roman" w:hAnsi="Times New Roman"/>
                <w:noProof/>
                <w:sz w:val="24"/>
                <w:lang w:val="en-GB"/>
              </w:rPr>
              <w:t>as of</w:t>
            </w:r>
            <w:r w:rsidR="006871C4" w:rsidRPr="00E50FA4">
              <w:rPr>
                <w:rFonts w:ascii="Times New Roman" w:hAnsi="Times New Roman"/>
                <w:noProof/>
                <w:sz w:val="24"/>
                <w:lang w:val="en-GB"/>
              </w:rPr>
              <w:t xml:space="preserve"> </w:t>
            </w:r>
            <w:r w:rsidR="00790DE1" w:rsidRPr="00E50FA4">
              <w:rPr>
                <w:rFonts w:ascii="Times New Roman" w:hAnsi="Times New Roman"/>
                <w:noProof/>
                <w:sz w:val="24"/>
                <w:lang w:val="en-GB"/>
              </w:rPr>
              <w:t>30 June 2024</w:t>
            </w:r>
            <w:r w:rsidRPr="00E50FA4">
              <w:rPr>
                <w:rFonts w:ascii="Times New Roman" w:hAnsi="Times New Roman"/>
                <w:noProof/>
                <w:sz w:val="24"/>
                <w:lang w:val="en-GB"/>
              </w:rPr>
              <w:t>.</w:t>
            </w:r>
          </w:p>
          <w:p w14:paraId="791C27D2" w14:textId="7F725C46" w:rsidR="00107E03" w:rsidRPr="00E50FA4" w:rsidRDefault="00107E03" w:rsidP="002A2C5B">
            <w:pPr>
              <w:spacing w:before="120" w:after="120"/>
              <w:jc w:val="both"/>
              <w:rPr>
                <w:rFonts w:ascii="Times New Roman" w:eastAsia="Times New Roman" w:hAnsi="Times New Roman" w:cs="Times New Roman"/>
                <w:noProof/>
                <w:sz w:val="24"/>
                <w:lang w:val="en-GB"/>
              </w:rPr>
            </w:pPr>
            <w:r w:rsidRPr="00E50FA4">
              <w:rPr>
                <w:rFonts w:ascii="Times New Roman" w:hAnsi="Times New Roman"/>
                <w:noProof/>
                <w:sz w:val="24"/>
                <w:lang w:val="en-GB"/>
              </w:rPr>
              <w:t>Institutions may decide to start disclosing this information earlier, i.e. with first disclosure reference date as of 31 December 2022</w:t>
            </w:r>
            <w:r w:rsidRPr="00B76863">
              <w:rPr>
                <w:rFonts w:ascii="Times New Roman" w:hAnsi="Times New Roman"/>
                <w:noProof/>
                <w:sz w:val="24"/>
              </w:rPr>
              <w:t>.</w:t>
            </w:r>
          </w:p>
        </w:tc>
      </w:tr>
      <w:tr w:rsidR="00274FF7" w:rsidRPr="00E50FA4" w14:paraId="66ECD03B" w14:textId="77777777" w:rsidTr="00060FFB">
        <w:tc>
          <w:tcPr>
            <w:tcW w:w="1188" w:type="dxa"/>
            <w:tcBorders>
              <w:top w:val="single" w:sz="4" w:space="0" w:color="auto"/>
              <w:left w:val="single" w:sz="4" w:space="0" w:color="auto"/>
              <w:bottom w:val="single" w:sz="4" w:space="0" w:color="auto"/>
              <w:right w:val="single" w:sz="4" w:space="0" w:color="auto"/>
            </w:tcBorders>
          </w:tcPr>
          <w:p w14:paraId="09177753" w14:textId="77777777" w:rsidR="00274FF7" w:rsidRPr="00E50FA4" w:rsidRDefault="00274FF7"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j</w:t>
            </w:r>
          </w:p>
        </w:tc>
        <w:tc>
          <w:tcPr>
            <w:tcW w:w="7879" w:type="dxa"/>
            <w:tcBorders>
              <w:top w:val="single" w:sz="4" w:space="0" w:color="auto"/>
              <w:left w:val="single" w:sz="4" w:space="0" w:color="auto"/>
              <w:bottom w:val="single" w:sz="4" w:space="0" w:color="auto"/>
              <w:right w:val="single" w:sz="4" w:space="0" w:color="auto"/>
            </w:tcBorders>
          </w:tcPr>
          <w:p w14:paraId="644968BE" w14:textId="77777777" w:rsidR="00274FF7" w:rsidRPr="00E50FA4" w:rsidRDefault="001B39BA"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Scope 3 financed emissions</w:t>
            </w:r>
          </w:p>
          <w:p w14:paraId="6F4426B3" w14:textId="719DFE0B" w:rsidR="006D22C8" w:rsidRPr="00E50FA4" w:rsidRDefault="001B39BA"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bCs/>
                <w:noProof/>
                <w:sz w:val="24"/>
                <w:lang w:val="en-GB"/>
              </w:rPr>
              <w:t xml:space="preserve">Institutions </w:t>
            </w:r>
            <w:r w:rsidR="005720C9" w:rsidRPr="00E50FA4">
              <w:rPr>
                <w:rFonts w:ascii="Times New Roman" w:eastAsia="Times New Roman" w:hAnsi="Times New Roman" w:cs="Times New Roman"/>
                <w:bCs/>
                <w:noProof/>
                <w:sz w:val="24"/>
                <w:lang w:val="en-GB"/>
              </w:rPr>
              <w:t>shall</w:t>
            </w:r>
            <w:r w:rsidR="000F73A4" w:rsidRPr="00E50FA4">
              <w:rPr>
                <w:rFonts w:ascii="Times New Roman" w:eastAsia="Times New Roman" w:hAnsi="Times New Roman" w:cs="Times New Roman"/>
                <w:bCs/>
                <w:noProof/>
                <w:sz w:val="24"/>
                <w:lang w:val="en-GB"/>
              </w:rPr>
              <w:t xml:space="preserve"> </w:t>
            </w:r>
            <w:r w:rsidRPr="00E50FA4">
              <w:rPr>
                <w:rFonts w:ascii="Times New Roman" w:eastAsia="Times New Roman" w:hAnsi="Times New Roman" w:cs="Times New Roman"/>
                <w:bCs/>
                <w:noProof/>
                <w:sz w:val="24"/>
                <w:lang w:val="en-GB"/>
              </w:rPr>
              <w:t xml:space="preserve">disclose their counterparties’ scope 3 emissions associated with institutions’ lending and investment activities. </w:t>
            </w:r>
            <w:r w:rsidRPr="00E50FA4">
              <w:rPr>
                <w:rFonts w:ascii="Times New Roman" w:hAnsi="Times New Roman"/>
                <w:noProof/>
                <w:sz w:val="24"/>
                <w:lang w:val="en-GB"/>
              </w:rPr>
              <w:t xml:space="preserve">Where institutions are not yet estimating their scope 3 emissions, they shall leave column </w:t>
            </w:r>
            <w:r w:rsidR="00DA04D8" w:rsidRPr="00E50FA4">
              <w:rPr>
                <w:rFonts w:ascii="Times New Roman" w:hAnsi="Times New Roman"/>
                <w:noProof/>
                <w:sz w:val="24"/>
                <w:lang w:val="en-GB"/>
              </w:rPr>
              <w:t>(</w:t>
            </w:r>
            <w:r w:rsidRPr="00E50FA4">
              <w:rPr>
                <w:rFonts w:ascii="Times New Roman" w:hAnsi="Times New Roman"/>
                <w:noProof/>
                <w:sz w:val="24"/>
                <w:lang w:val="en-GB"/>
              </w:rPr>
              <w:t>j</w:t>
            </w:r>
            <w:r w:rsidR="00DA04D8" w:rsidRPr="00E50FA4">
              <w:rPr>
                <w:rFonts w:ascii="Times New Roman" w:hAnsi="Times New Roman"/>
                <w:noProof/>
                <w:sz w:val="24"/>
                <w:lang w:val="en-GB"/>
              </w:rPr>
              <w:t>)</w:t>
            </w:r>
            <w:r w:rsidRPr="00E50FA4">
              <w:rPr>
                <w:rFonts w:ascii="Times New Roman" w:hAnsi="Times New Roman"/>
                <w:noProof/>
                <w:sz w:val="24"/>
                <w:lang w:val="en-GB"/>
              </w:rPr>
              <w:t xml:space="preserve"> blank </w:t>
            </w:r>
            <w:r w:rsidR="00125C05" w:rsidRPr="00E50FA4">
              <w:rPr>
                <w:rFonts w:ascii="Times New Roman" w:hAnsi="Times New Roman"/>
                <w:noProof/>
                <w:sz w:val="24"/>
                <w:lang w:val="en-GB"/>
              </w:rPr>
              <w:t>and, in the narrative</w:t>
            </w:r>
            <w:r w:rsidRPr="00E50FA4">
              <w:rPr>
                <w:rFonts w:ascii="Times New Roman" w:hAnsi="Times New Roman"/>
                <w:noProof/>
                <w:sz w:val="24"/>
                <w:lang w:val="en-GB"/>
              </w:rPr>
              <w:t xml:space="preserve"> </w:t>
            </w:r>
            <w:r w:rsidR="00914A93" w:rsidRPr="00E50FA4">
              <w:rPr>
                <w:rFonts w:ascii="Times New Roman" w:hAnsi="Times New Roman"/>
                <w:noProof/>
                <w:sz w:val="24"/>
                <w:lang w:val="en-GB"/>
              </w:rPr>
              <w:t xml:space="preserve">part </w:t>
            </w:r>
            <w:r w:rsidRPr="00E50FA4">
              <w:rPr>
                <w:rFonts w:ascii="Times New Roman" w:hAnsi="Times New Roman"/>
                <w:noProof/>
                <w:sz w:val="24"/>
                <w:lang w:val="en-GB"/>
              </w:rPr>
              <w:t xml:space="preserve">accompanying the template, </w:t>
            </w:r>
            <w:r w:rsidR="00914A93" w:rsidRPr="00E50FA4">
              <w:rPr>
                <w:rFonts w:ascii="Times New Roman" w:hAnsi="Times New Roman"/>
                <w:noProof/>
                <w:sz w:val="24"/>
                <w:lang w:val="en-GB"/>
              </w:rPr>
              <w:t xml:space="preserve">they shall </w:t>
            </w:r>
            <w:r w:rsidRPr="00E50FA4">
              <w:rPr>
                <w:rFonts w:ascii="Times New Roman" w:hAnsi="Times New Roman"/>
                <w:noProof/>
                <w:sz w:val="24"/>
                <w:lang w:val="en-GB"/>
              </w:rPr>
              <w:t>disclose their plans to implement method</w:t>
            </w:r>
            <w:r w:rsidR="004C61E0" w:rsidRPr="00E50FA4">
              <w:rPr>
                <w:rFonts w:ascii="Times New Roman" w:hAnsi="Times New Roman"/>
                <w:noProof/>
                <w:sz w:val="24"/>
                <w:lang w:val="en-GB"/>
              </w:rPr>
              <w:t>s</w:t>
            </w:r>
            <w:r w:rsidRPr="00E50FA4">
              <w:rPr>
                <w:rFonts w:ascii="Times New Roman" w:hAnsi="Times New Roman"/>
                <w:noProof/>
                <w:sz w:val="24"/>
                <w:lang w:val="en-GB"/>
              </w:rPr>
              <w:t xml:space="preserve"> to estimate and disclose th</w:t>
            </w:r>
            <w:r w:rsidR="006871C4" w:rsidRPr="00E50FA4">
              <w:rPr>
                <w:rFonts w:ascii="Times New Roman" w:hAnsi="Times New Roman"/>
                <w:noProof/>
                <w:sz w:val="24"/>
                <w:lang w:val="en-GB"/>
              </w:rPr>
              <w:t>at</w:t>
            </w:r>
            <w:r w:rsidRPr="00E50FA4">
              <w:rPr>
                <w:rFonts w:ascii="Times New Roman" w:hAnsi="Times New Roman"/>
                <w:noProof/>
                <w:sz w:val="24"/>
                <w:lang w:val="en-GB"/>
              </w:rPr>
              <w:t xml:space="preserve"> information.</w:t>
            </w:r>
          </w:p>
          <w:p w14:paraId="248D8D87" w14:textId="4AE15654" w:rsidR="006D22C8" w:rsidRPr="00E50FA4" w:rsidRDefault="006871C4" w:rsidP="006D22C8">
            <w:pPr>
              <w:pStyle w:val="Tabledata"/>
              <w:rPr>
                <w:rFonts w:ascii="Times New Roman" w:eastAsiaTheme="minorEastAsia" w:hAnsi="Times New Roman" w:cs="Times New Roman"/>
                <w:bCs w:val="0"/>
                <w:noProof/>
                <w:color w:val="auto"/>
                <w:sz w:val="24"/>
                <w:szCs w:val="24"/>
                <w:lang w:eastAsia="en-US"/>
              </w:rPr>
            </w:pPr>
            <w:r w:rsidRPr="00E50FA4">
              <w:rPr>
                <w:rFonts w:ascii="Times New Roman" w:eastAsiaTheme="minorEastAsia" w:hAnsi="Times New Roman" w:cs="Times New Roman"/>
                <w:bCs w:val="0"/>
                <w:noProof/>
                <w:color w:val="auto"/>
                <w:sz w:val="24"/>
                <w:szCs w:val="24"/>
                <w:lang w:eastAsia="en-US"/>
              </w:rPr>
              <w:t xml:space="preserve">Institutions </w:t>
            </w:r>
            <w:r w:rsidR="005720C9" w:rsidRPr="00E50FA4">
              <w:rPr>
                <w:rFonts w:ascii="Times New Roman" w:eastAsiaTheme="minorEastAsia" w:hAnsi="Times New Roman" w:cs="Times New Roman"/>
                <w:bCs w:val="0"/>
                <w:noProof/>
                <w:color w:val="auto"/>
                <w:sz w:val="24"/>
                <w:szCs w:val="24"/>
                <w:lang w:eastAsia="en-US"/>
              </w:rPr>
              <w:t>shall</w:t>
            </w:r>
            <w:r w:rsidR="000F73A4" w:rsidRPr="00E50FA4">
              <w:rPr>
                <w:rFonts w:ascii="Times New Roman" w:eastAsiaTheme="minorEastAsia" w:hAnsi="Times New Roman" w:cs="Times New Roman"/>
                <w:bCs w:val="0"/>
                <w:noProof/>
                <w:color w:val="auto"/>
                <w:sz w:val="24"/>
                <w:szCs w:val="24"/>
                <w:lang w:eastAsia="en-US"/>
              </w:rPr>
              <w:t xml:space="preserve"> </w:t>
            </w:r>
            <w:r w:rsidRPr="00E50FA4">
              <w:rPr>
                <w:rFonts w:ascii="Times New Roman" w:eastAsiaTheme="minorEastAsia" w:hAnsi="Times New Roman" w:cs="Times New Roman"/>
                <w:bCs w:val="0"/>
                <w:noProof/>
                <w:color w:val="auto"/>
                <w:sz w:val="24"/>
                <w:szCs w:val="24"/>
                <w:lang w:eastAsia="en-US"/>
              </w:rPr>
              <w:t>disclose their s</w:t>
            </w:r>
            <w:r w:rsidR="006D22C8" w:rsidRPr="00E50FA4">
              <w:rPr>
                <w:rFonts w:ascii="Times New Roman" w:eastAsiaTheme="minorEastAsia" w:hAnsi="Times New Roman" w:cs="Times New Roman"/>
                <w:bCs w:val="0"/>
                <w:noProof/>
                <w:color w:val="auto"/>
                <w:sz w:val="24"/>
                <w:szCs w:val="24"/>
                <w:lang w:eastAsia="en-US"/>
              </w:rPr>
              <w:t>cope 3 emissions on a best effort basis</w:t>
            </w:r>
            <w:r w:rsidRPr="00E50FA4">
              <w:rPr>
                <w:rFonts w:ascii="Times New Roman" w:eastAsiaTheme="minorEastAsia" w:hAnsi="Times New Roman" w:cs="Times New Roman"/>
                <w:bCs w:val="0"/>
                <w:noProof/>
                <w:color w:val="auto"/>
                <w:sz w:val="24"/>
                <w:szCs w:val="24"/>
                <w:lang w:eastAsia="en-US"/>
              </w:rPr>
              <w:t>,</w:t>
            </w:r>
            <w:r w:rsidR="006D22C8" w:rsidRPr="00E50FA4">
              <w:rPr>
                <w:rFonts w:ascii="Times New Roman" w:eastAsiaTheme="minorEastAsia" w:hAnsi="Times New Roman" w:cs="Times New Roman"/>
                <w:bCs w:val="0"/>
                <w:noProof/>
                <w:color w:val="auto"/>
                <w:sz w:val="24"/>
                <w:szCs w:val="24"/>
                <w:lang w:eastAsia="en-US"/>
              </w:rPr>
              <w:t xml:space="preserve"> covering the most relevant sectors in line with PCAF approach</w:t>
            </w:r>
            <w:r w:rsidR="00A217F7" w:rsidRPr="00E50FA4">
              <w:rPr>
                <w:rFonts w:ascii="Times New Roman" w:eastAsiaTheme="minorEastAsia" w:hAnsi="Times New Roman" w:cs="Times New Roman"/>
                <w:bCs w:val="0"/>
                <w:noProof/>
                <w:color w:val="auto"/>
                <w:sz w:val="24"/>
                <w:szCs w:val="24"/>
                <w:lang w:eastAsia="en-US"/>
              </w:rPr>
              <w:t xml:space="preserve"> and </w:t>
            </w:r>
            <w:r w:rsidR="006D22C8" w:rsidRPr="00E50FA4">
              <w:rPr>
                <w:rFonts w:ascii="Times New Roman" w:eastAsiaTheme="minorEastAsia" w:hAnsi="Times New Roman" w:cs="Times New Roman"/>
                <w:bCs w:val="0"/>
                <w:noProof/>
                <w:color w:val="auto"/>
                <w:sz w:val="24"/>
                <w:szCs w:val="24"/>
                <w:lang w:eastAsia="en-US"/>
              </w:rPr>
              <w:t>the phased-in approach for scope 3 emissions included in Article</w:t>
            </w:r>
            <w:r w:rsidRPr="00E50FA4">
              <w:rPr>
                <w:rFonts w:ascii="Times New Roman" w:eastAsiaTheme="minorEastAsia" w:hAnsi="Times New Roman" w:cs="Times New Roman"/>
                <w:bCs w:val="0"/>
                <w:noProof/>
                <w:color w:val="auto"/>
                <w:sz w:val="24"/>
                <w:szCs w:val="24"/>
                <w:lang w:eastAsia="en-US"/>
              </w:rPr>
              <w:t> </w:t>
            </w:r>
            <w:r w:rsidR="006D22C8" w:rsidRPr="00E50FA4">
              <w:rPr>
                <w:rFonts w:ascii="Times New Roman" w:eastAsiaTheme="minorEastAsia" w:hAnsi="Times New Roman" w:cs="Times New Roman"/>
                <w:bCs w:val="0"/>
                <w:noProof/>
                <w:color w:val="auto"/>
                <w:sz w:val="24"/>
                <w:szCs w:val="24"/>
                <w:lang w:eastAsia="en-US"/>
              </w:rPr>
              <w:t>5 of Delegated Regulation (EU) 2020/</w:t>
            </w:r>
            <w:r w:rsidR="00DA04D8" w:rsidRPr="00E50FA4">
              <w:rPr>
                <w:rFonts w:ascii="Times New Roman" w:eastAsiaTheme="minorEastAsia" w:hAnsi="Times New Roman" w:cs="Times New Roman"/>
                <w:bCs w:val="0"/>
                <w:noProof/>
                <w:color w:val="auto"/>
                <w:sz w:val="24"/>
                <w:szCs w:val="24"/>
                <w:lang w:eastAsia="en-US"/>
              </w:rPr>
              <w:t>18</w:t>
            </w:r>
            <w:r w:rsidR="006D22C8" w:rsidRPr="00E50FA4">
              <w:rPr>
                <w:rFonts w:ascii="Times New Roman" w:eastAsiaTheme="minorEastAsia" w:hAnsi="Times New Roman" w:cs="Times New Roman"/>
                <w:bCs w:val="0"/>
                <w:noProof/>
                <w:color w:val="auto"/>
                <w:sz w:val="24"/>
                <w:szCs w:val="24"/>
                <w:lang w:eastAsia="en-US"/>
              </w:rPr>
              <w:t>18.</w:t>
            </w:r>
          </w:p>
          <w:p w14:paraId="657B281E" w14:textId="2F45B8B2" w:rsidR="006D22C8" w:rsidRPr="00E50FA4" w:rsidRDefault="00960690" w:rsidP="006D22C8">
            <w:pPr>
              <w:pStyle w:val="Tabledata"/>
              <w:rPr>
                <w:rFonts w:ascii="Times New Roman" w:eastAsiaTheme="minorEastAsia" w:hAnsi="Times New Roman" w:cs="Times New Roman"/>
                <w:bCs w:val="0"/>
                <w:noProof/>
                <w:color w:val="auto"/>
                <w:sz w:val="24"/>
                <w:szCs w:val="24"/>
                <w:lang w:eastAsia="en-US"/>
              </w:rPr>
            </w:pPr>
            <w:r w:rsidRPr="00E50FA4">
              <w:rPr>
                <w:rFonts w:ascii="Times New Roman" w:eastAsiaTheme="minorEastAsia" w:hAnsi="Times New Roman" w:cs="Times New Roman"/>
                <w:bCs w:val="0"/>
                <w:noProof/>
                <w:color w:val="auto"/>
                <w:sz w:val="24"/>
                <w:szCs w:val="24"/>
                <w:lang w:eastAsia="en-US"/>
              </w:rPr>
              <w:t>I</w:t>
            </w:r>
            <w:r w:rsidR="004A6465" w:rsidRPr="00E50FA4">
              <w:rPr>
                <w:rFonts w:ascii="Times New Roman" w:eastAsiaTheme="minorEastAsia" w:hAnsi="Times New Roman" w:cs="Times New Roman"/>
                <w:bCs w:val="0"/>
                <w:noProof/>
                <w:color w:val="auto"/>
                <w:sz w:val="24"/>
                <w:szCs w:val="24"/>
                <w:lang w:eastAsia="en-US"/>
              </w:rPr>
              <w:t xml:space="preserve">nstitutions </w:t>
            </w:r>
            <w:r w:rsidR="005720C9" w:rsidRPr="00E50FA4">
              <w:rPr>
                <w:rFonts w:ascii="Times New Roman" w:eastAsiaTheme="minorEastAsia" w:hAnsi="Times New Roman" w:cs="Times New Roman"/>
                <w:bCs w:val="0"/>
                <w:noProof/>
                <w:color w:val="auto"/>
                <w:sz w:val="24"/>
                <w:szCs w:val="24"/>
                <w:lang w:eastAsia="en-US"/>
              </w:rPr>
              <w:t>shall</w:t>
            </w:r>
            <w:r w:rsidR="000F73A4" w:rsidRPr="00E50FA4">
              <w:rPr>
                <w:rFonts w:ascii="Times New Roman" w:eastAsiaTheme="minorEastAsia" w:hAnsi="Times New Roman" w:cs="Times New Roman"/>
                <w:bCs w:val="0"/>
                <w:noProof/>
                <w:color w:val="auto"/>
                <w:sz w:val="24"/>
                <w:szCs w:val="24"/>
                <w:lang w:eastAsia="en-US"/>
              </w:rPr>
              <w:t xml:space="preserve"> </w:t>
            </w:r>
            <w:r w:rsidR="004A6465" w:rsidRPr="00E50FA4">
              <w:rPr>
                <w:rFonts w:ascii="Times New Roman" w:eastAsiaTheme="minorEastAsia" w:hAnsi="Times New Roman" w:cs="Times New Roman"/>
                <w:bCs w:val="0"/>
                <w:noProof/>
                <w:color w:val="auto"/>
                <w:sz w:val="24"/>
                <w:szCs w:val="24"/>
                <w:lang w:eastAsia="en-US"/>
              </w:rPr>
              <w:t>disclose i</w:t>
            </w:r>
            <w:r w:rsidR="009B7417" w:rsidRPr="00E50FA4">
              <w:rPr>
                <w:rFonts w:ascii="Times New Roman" w:eastAsiaTheme="minorEastAsia" w:hAnsi="Times New Roman" w:cs="Times New Roman"/>
                <w:bCs w:val="0"/>
                <w:noProof/>
                <w:color w:val="auto"/>
                <w:sz w:val="24"/>
                <w:szCs w:val="24"/>
                <w:lang w:eastAsia="en-US"/>
              </w:rPr>
              <w:t xml:space="preserve">nformation on scope 3 emissions of the counterparty for all sectors included in the template </w:t>
            </w:r>
            <w:r w:rsidR="004136C3" w:rsidRPr="00E50FA4">
              <w:rPr>
                <w:rFonts w:ascii="Times New Roman" w:eastAsiaTheme="minorEastAsia" w:hAnsi="Times New Roman" w:cs="Times New Roman"/>
                <w:bCs w:val="0"/>
                <w:noProof/>
                <w:color w:val="auto"/>
                <w:sz w:val="24"/>
                <w:szCs w:val="24"/>
                <w:lang w:eastAsia="en-US"/>
              </w:rPr>
              <w:t>with</w:t>
            </w:r>
            <w:r w:rsidR="004136C3" w:rsidRPr="00B76863">
              <w:rPr>
                <w:rFonts w:ascii="Times New Roman" w:eastAsiaTheme="minorEastAsia" w:hAnsi="Times New Roman"/>
                <w:noProof/>
                <w:color w:val="auto"/>
                <w:sz w:val="24"/>
              </w:rPr>
              <w:t xml:space="preserve"> first reference date</w:t>
            </w:r>
            <w:r w:rsidR="009620B8" w:rsidRPr="00E50FA4">
              <w:rPr>
                <w:rFonts w:ascii="Times New Roman" w:eastAsiaTheme="minorEastAsia" w:hAnsi="Times New Roman" w:cs="Times New Roman"/>
                <w:bCs w:val="0"/>
                <w:noProof/>
                <w:color w:val="auto"/>
                <w:sz w:val="24"/>
                <w:szCs w:val="24"/>
                <w:lang w:eastAsia="en-US"/>
              </w:rPr>
              <w:t xml:space="preserve"> </w:t>
            </w:r>
            <w:r w:rsidR="006209B6" w:rsidRPr="00E50FA4">
              <w:rPr>
                <w:rFonts w:ascii="Times New Roman" w:eastAsiaTheme="minorEastAsia" w:hAnsi="Times New Roman" w:cs="Times New Roman"/>
                <w:bCs w:val="0"/>
                <w:noProof/>
                <w:color w:val="auto"/>
                <w:sz w:val="24"/>
                <w:szCs w:val="24"/>
                <w:lang w:eastAsia="en-US"/>
              </w:rPr>
              <w:t xml:space="preserve">as of </w:t>
            </w:r>
            <w:r w:rsidR="00790DE1" w:rsidRPr="00E50FA4">
              <w:rPr>
                <w:rFonts w:ascii="Times New Roman" w:hAnsi="Times New Roman"/>
                <w:noProof/>
                <w:sz w:val="24"/>
              </w:rPr>
              <w:t>30 June 2024</w:t>
            </w:r>
            <w:r w:rsidR="004136C3" w:rsidRPr="00B76863">
              <w:rPr>
                <w:rFonts w:ascii="Times New Roman" w:hAnsi="Times New Roman"/>
                <w:noProof/>
                <w:sz w:val="24"/>
              </w:rPr>
              <w:t>.</w:t>
            </w:r>
          </w:p>
          <w:p w14:paraId="40BEE9F4" w14:textId="37BC8169" w:rsidR="006D22C8" w:rsidRPr="00E50FA4" w:rsidRDefault="006D22C8" w:rsidP="006D22C8">
            <w:pPr>
              <w:pStyle w:val="Tabledata"/>
              <w:rPr>
                <w:rFonts w:ascii="Times New Roman" w:eastAsiaTheme="minorEastAsia" w:hAnsi="Times New Roman" w:cs="Times New Roman"/>
                <w:bCs w:val="0"/>
                <w:noProof/>
                <w:color w:val="auto"/>
                <w:sz w:val="24"/>
                <w:szCs w:val="24"/>
                <w:lang w:eastAsia="en-US"/>
              </w:rPr>
            </w:pPr>
            <w:r w:rsidRPr="00E50FA4">
              <w:rPr>
                <w:rFonts w:ascii="Times New Roman" w:eastAsiaTheme="minorEastAsia" w:hAnsi="Times New Roman" w:cs="Times New Roman"/>
                <w:bCs w:val="0"/>
                <w:noProof/>
                <w:color w:val="auto"/>
                <w:sz w:val="24"/>
                <w:szCs w:val="24"/>
                <w:lang w:eastAsia="en-US"/>
              </w:rPr>
              <w:t xml:space="preserve">For sectors where data and methodological challenges exist, </w:t>
            </w:r>
            <w:r w:rsidR="00CA79F3" w:rsidRPr="00E50FA4">
              <w:rPr>
                <w:rFonts w:ascii="Times New Roman" w:eastAsiaTheme="minorEastAsia" w:hAnsi="Times New Roman" w:cs="Times New Roman"/>
                <w:bCs w:val="0"/>
                <w:noProof/>
                <w:color w:val="auto"/>
                <w:sz w:val="24"/>
                <w:szCs w:val="24"/>
                <w:lang w:eastAsia="en-US"/>
              </w:rPr>
              <w:t xml:space="preserve">institutions </w:t>
            </w:r>
            <w:r w:rsidRPr="00E50FA4">
              <w:rPr>
                <w:rFonts w:ascii="Times New Roman" w:eastAsiaTheme="minorEastAsia" w:hAnsi="Times New Roman" w:cs="Times New Roman"/>
                <w:bCs w:val="0"/>
                <w:noProof/>
                <w:color w:val="auto"/>
                <w:sz w:val="24"/>
                <w:szCs w:val="24"/>
                <w:lang w:eastAsia="en-US"/>
              </w:rPr>
              <w:t xml:space="preserve">shall follow the </w:t>
            </w:r>
            <w:r w:rsidR="00CA79F3" w:rsidRPr="00E50FA4">
              <w:rPr>
                <w:rFonts w:ascii="Times New Roman" w:eastAsiaTheme="minorEastAsia" w:hAnsi="Times New Roman" w:cs="Times New Roman"/>
                <w:bCs w:val="0"/>
                <w:noProof/>
                <w:color w:val="auto"/>
                <w:sz w:val="24"/>
                <w:szCs w:val="24"/>
                <w:lang w:eastAsia="en-US"/>
              </w:rPr>
              <w:t>Greenhouse Gas Protocol</w:t>
            </w:r>
            <w:r w:rsidR="00CA79F3" w:rsidRPr="00E50FA4" w:rsidDel="00CA79F3">
              <w:rPr>
                <w:rFonts w:ascii="Times New Roman" w:eastAsiaTheme="minorEastAsia" w:hAnsi="Times New Roman" w:cs="Times New Roman"/>
                <w:bCs w:val="0"/>
                <w:noProof/>
                <w:color w:val="auto"/>
                <w:sz w:val="24"/>
                <w:szCs w:val="24"/>
                <w:lang w:eastAsia="en-US"/>
              </w:rPr>
              <w:t xml:space="preserve"> </w:t>
            </w:r>
            <w:r w:rsidRPr="00E50FA4">
              <w:rPr>
                <w:rFonts w:ascii="Times New Roman" w:eastAsiaTheme="minorEastAsia" w:hAnsi="Times New Roman" w:cs="Times New Roman"/>
                <w:bCs w:val="0"/>
                <w:noProof/>
                <w:color w:val="auto"/>
                <w:sz w:val="24"/>
                <w:szCs w:val="24"/>
                <w:lang w:eastAsia="en-US"/>
              </w:rPr>
              <w:t>and its 15 stages, both upstream and downstream.</w:t>
            </w:r>
          </w:p>
          <w:p w14:paraId="7722146C" w14:textId="5ED74BE4" w:rsidR="006D22C8" w:rsidRPr="00E50FA4" w:rsidRDefault="009B7417" w:rsidP="006D22C8">
            <w:pPr>
              <w:spacing w:before="120" w:after="120"/>
              <w:jc w:val="both"/>
              <w:rPr>
                <w:rFonts w:ascii="Times New Roman" w:hAnsi="Times New Roman"/>
                <w:noProof/>
                <w:sz w:val="24"/>
                <w:lang w:val="en-GB"/>
              </w:rPr>
            </w:pPr>
            <w:r w:rsidRPr="00E50FA4">
              <w:rPr>
                <w:rFonts w:ascii="Times New Roman" w:hAnsi="Times New Roman"/>
                <w:noProof/>
                <w:sz w:val="24"/>
                <w:lang w:val="en-GB"/>
              </w:rPr>
              <w:t>In line with the</w:t>
            </w:r>
            <w:r w:rsidR="006D22C8" w:rsidRPr="00E50FA4">
              <w:rPr>
                <w:rFonts w:ascii="Times New Roman" w:hAnsi="Times New Roman"/>
                <w:noProof/>
                <w:sz w:val="24"/>
                <w:lang w:val="en-GB"/>
              </w:rPr>
              <w:t xml:space="preserve"> TCFD guidance on metrics and targets, institutions shall be transparent about the challenges to collect that type of information and avoid double counting to the extent possible.</w:t>
            </w:r>
          </w:p>
          <w:p w14:paraId="09A41DF6" w14:textId="67BA73B7" w:rsidR="00914A93" w:rsidRPr="00E50FA4" w:rsidRDefault="004C61E0" w:rsidP="00914A93">
            <w:pPr>
              <w:spacing w:before="120" w:after="120"/>
              <w:jc w:val="both"/>
              <w:rPr>
                <w:rFonts w:ascii="Times New Roman" w:hAnsi="Times New Roman"/>
                <w:noProof/>
                <w:sz w:val="24"/>
                <w:lang w:val="en-GB"/>
              </w:rPr>
            </w:pPr>
            <w:r w:rsidRPr="00E50FA4">
              <w:rPr>
                <w:rFonts w:ascii="Times New Roman" w:hAnsi="Times New Roman"/>
                <w:noProof/>
                <w:sz w:val="24"/>
                <w:lang w:val="en-GB"/>
              </w:rPr>
              <w:t>I</w:t>
            </w:r>
            <w:r w:rsidR="00C30D42" w:rsidRPr="00E50FA4">
              <w:rPr>
                <w:rFonts w:ascii="Times New Roman" w:hAnsi="Times New Roman"/>
                <w:noProof/>
                <w:sz w:val="24"/>
                <w:lang w:val="en-GB"/>
              </w:rPr>
              <w:t xml:space="preserve">nstitutions </w:t>
            </w:r>
            <w:r w:rsidR="005720C9" w:rsidRPr="00E50FA4">
              <w:rPr>
                <w:rFonts w:ascii="Times New Roman" w:hAnsi="Times New Roman"/>
                <w:noProof/>
                <w:sz w:val="24"/>
                <w:lang w:val="en-GB"/>
              </w:rPr>
              <w:t>shall</w:t>
            </w:r>
            <w:r w:rsidR="001C04BC" w:rsidRPr="00E50FA4">
              <w:rPr>
                <w:rFonts w:ascii="Times New Roman" w:hAnsi="Times New Roman"/>
                <w:noProof/>
                <w:sz w:val="24"/>
                <w:lang w:val="en-GB"/>
              </w:rPr>
              <w:t xml:space="preserve"> </w:t>
            </w:r>
            <w:r w:rsidR="00C30D42" w:rsidRPr="00E50FA4">
              <w:rPr>
                <w:rFonts w:ascii="Times New Roman" w:hAnsi="Times New Roman"/>
                <w:noProof/>
                <w:sz w:val="24"/>
                <w:lang w:val="en-GB"/>
              </w:rPr>
              <w:t xml:space="preserve">start disclosing information in column </w:t>
            </w:r>
            <w:r w:rsidR="00DA04D8" w:rsidRPr="00E50FA4">
              <w:rPr>
                <w:rFonts w:ascii="Times New Roman" w:hAnsi="Times New Roman"/>
                <w:noProof/>
                <w:sz w:val="24"/>
                <w:lang w:val="en-GB"/>
              </w:rPr>
              <w:t>(</w:t>
            </w:r>
            <w:r w:rsidR="00C30D42" w:rsidRPr="00E50FA4">
              <w:rPr>
                <w:rFonts w:ascii="Times New Roman" w:hAnsi="Times New Roman"/>
                <w:noProof/>
                <w:sz w:val="24"/>
                <w:lang w:val="en-GB"/>
              </w:rPr>
              <w:t>j</w:t>
            </w:r>
            <w:r w:rsidR="00DA04D8" w:rsidRPr="00E50FA4">
              <w:rPr>
                <w:rFonts w:ascii="Times New Roman" w:hAnsi="Times New Roman"/>
                <w:noProof/>
                <w:sz w:val="24"/>
                <w:lang w:val="en-GB"/>
              </w:rPr>
              <w:t>)</w:t>
            </w:r>
            <w:r w:rsidR="00C30D42" w:rsidRPr="00E50FA4">
              <w:rPr>
                <w:rFonts w:ascii="Times New Roman" w:hAnsi="Times New Roman"/>
                <w:noProof/>
                <w:sz w:val="24"/>
                <w:lang w:val="en-GB"/>
              </w:rPr>
              <w:t xml:space="preserve"> of the template</w:t>
            </w:r>
            <w:r w:rsidR="0032509C" w:rsidRPr="00E50FA4">
              <w:rPr>
                <w:rFonts w:ascii="Times New Roman" w:hAnsi="Times New Roman"/>
                <w:noProof/>
                <w:sz w:val="24"/>
                <w:lang w:val="en-GB"/>
              </w:rPr>
              <w:t>, with</w:t>
            </w:r>
            <w:r w:rsidR="009C532C" w:rsidRPr="00E50FA4">
              <w:rPr>
                <w:rFonts w:ascii="Times New Roman" w:hAnsi="Times New Roman"/>
                <w:noProof/>
                <w:sz w:val="24"/>
                <w:lang w:val="en-GB"/>
              </w:rPr>
              <w:t xml:space="preserve"> first disclosure reference date </w:t>
            </w:r>
            <w:r w:rsidR="002A2C5B" w:rsidRPr="00E50FA4">
              <w:rPr>
                <w:rFonts w:ascii="Times New Roman" w:hAnsi="Times New Roman"/>
                <w:noProof/>
                <w:sz w:val="24"/>
                <w:lang w:val="en-GB"/>
              </w:rPr>
              <w:t>as of</w:t>
            </w:r>
            <w:r w:rsidR="00C30D42" w:rsidRPr="00E50FA4">
              <w:rPr>
                <w:rFonts w:ascii="Times New Roman" w:hAnsi="Times New Roman"/>
                <w:noProof/>
                <w:sz w:val="24"/>
                <w:lang w:val="en-GB"/>
              </w:rPr>
              <w:t xml:space="preserve"> </w:t>
            </w:r>
            <w:r w:rsidR="009B7417" w:rsidRPr="00E50FA4">
              <w:rPr>
                <w:rFonts w:ascii="Times New Roman" w:hAnsi="Times New Roman"/>
                <w:noProof/>
                <w:sz w:val="24"/>
                <w:lang w:val="en-GB"/>
              </w:rPr>
              <w:t xml:space="preserve">30 </w:t>
            </w:r>
            <w:r w:rsidR="00C30D42" w:rsidRPr="00E50FA4">
              <w:rPr>
                <w:rFonts w:ascii="Times New Roman" w:hAnsi="Times New Roman"/>
                <w:noProof/>
                <w:sz w:val="24"/>
                <w:lang w:val="en-GB"/>
              </w:rPr>
              <w:t>June 2024</w:t>
            </w:r>
            <w:r w:rsidR="00914A93" w:rsidRPr="00E50FA4">
              <w:rPr>
                <w:rFonts w:ascii="Times New Roman" w:hAnsi="Times New Roman"/>
                <w:noProof/>
                <w:sz w:val="24"/>
                <w:lang w:val="en-GB"/>
              </w:rPr>
              <w:t xml:space="preserve">. </w:t>
            </w:r>
          </w:p>
          <w:p w14:paraId="71766AD1" w14:textId="3CD2A77F" w:rsidR="001B39BA" w:rsidRPr="00E50FA4" w:rsidRDefault="00914A93" w:rsidP="002A2C5B">
            <w:pPr>
              <w:spacing w:before="120" w:after="120"/>
              <w:jc w:val="both"/>
              <w:rPr>
                <w:rFonts w:ascii="Times New Roman" w:eastAsia="Times New Roman" w:hAnsi="Times New Roman" w:cs="Times New Roman"/>
                <w:bCs/>
                <w:noProof/>
                <w:sz w:val="24"/>
                <w:u w:val="single"/>
                <w:lang w:val="en-GB"/>
              </w:rPr>
            </w:pPr>
            <w:r w:rsidRPr="00E50FA4">
              <w:rPr>
                <w:rFonts w:ascii="Times New Roman" w:hAnsi="Times New Roman"/>
                <w:noProof/>
                <w:sz w:val="24"/>
                <w:lang w:val="en-GB"/>
              </w:rPr>
              <w:t>Institutions may decide to start disclosing this information earlier</w:t>
            </w:r>
            <w:r w:rsidR="001D0251" w:rsidRPr="00E50FA4">
              <w:rPr>
                <w:rFonts w:ascii="Times New Roman" w:hAnsi="Times New Roman"/>
                <w:noProof/>
                <w:sz w:val="24"/>
                <w:lang w:val="en-GB"/>
              </w:rPr>
              <w:t xml:space="preserve">, i.e. with first disclosure reference date </w:t>
            </w:r>
            <w:r w:rsidR="002A2C5B" w:rsidRPr="00E50FA4">
              <w:rPr>
                <w:rFonts w:ascii="Times New Roman" w:hAnsi="Times New Roman"/>
                <w:noProof/>
                <w:sz w:val="24"/>
                <w:lang w:val="en-GB"/>
              </w:rPr>
              <w:t>as of</w:t>
            </w:r>
            <w:r w:rsidR="001D0251" w:rsidRPr="00E50FA4">
              <w:rPr>
                <w:rFonts w:ascii="Times New Roman" w:hAnsi="Times New Roman"/>
                <w:noProof/>
                <w:sz w:val="24"/>
                <w:lang w:val="en-GB"/>
              </w:rPr>
              <w:t xml:space="preserve"> 31 December 2022</w:t>
            </w:r>
            <w:r w:rsidRPr="00B76863">
              <w:rPr>
                <w:rFonts w:ascii="Times New Roman" w:hAnsi="Times New Roman"/>
                <w:noProof/>
                <w:sz w:val="24"/>
              </w:rPr>
              <w:t>.</w:t>
            </w:r>
          </w:p>
        </w:tc>
      </w:tr>
      <w:tr w:rsidR="00274FF7" w:rsidRPr="00E50FA4" w14:paraId="484755A8" w14:textId="77777777" w:rsidTr="00060FFB">
        <w:tc>
          <w:tcPr>
            <w:tcW w:w="1188" w:type="dxa"/>
            <w:tcBorders>
              <w:top w:val="single" w:sz="4" w:space="0" w:color="auto"/>
              <w:left w:val="single" w:sz="4" w:space="0" w:color="auto"/>
              <w:bottom w:val="single" w:sz="4" w:space="0" w:color="auto"/>
              <w:right w:val="single" w:sz="4" w:space="0" w:color="auto"/>
            </w:tcBorders>
          </w:tcPr>
          <w:p w14:paraId="25FD4E76" w14:textId="77777777" w:rsidR="00274FF7" w:rsidRPr="00E50FA4" w:rsidRDefault="00274FF7"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k</w:t>
            </w:r>
          </w:p>
        </w:tc>
        <w:tc>
          <w:tcPr>
            <w:tcW w:w="7879" w:type="dxa"/>
            <w:tcBorders>
              <w:top w:val="single" w:sz="4" w:space="0" w:color="auto"/>
              <w:left w:val="single" w:sz="4" w:space="0" w:color="auto"/>
              <w:bottom w:val="single" w:sz="4" w:space="0" w:color="auto"/>
              <w:right w:val="single" w:sz="4" w:space="0" w:color="auto"/>
            </w:tcBorders>
          </w:tcPr>
          <w:p w14:paraId="01B7D558" w14:textId="76F62D9C" w:rsidR="00274FF7" w:rsidRPr="00E50FA4" w:rsidRDefault="00274FF7" w:rsidP="00DA390D">
            <w:pPr>
              <w:spacing w:before="120" w:after="120"/>
              <w:jc w:val="both"/>
              <w:rPr>
                <w:rFonts w:ascii="Times New Roman" w:eastAsia="Times New Roman" w:hAnsi="Times New Roman" w:cs="Times New Roman"/>
                <w:b/>
                <w:bCs/>
                <w:noProof/>
                <w:sz w:val="24"/>
                <w:lang w:val="en-GB"/>
              </w:rPr>
            </w:pPr>
            <w:r w:rsidRPr="00E50FA4">
              <w:rPr>
                <w:rFonts w:ascii="Times New Roman" w:eastAsia="Times New Roman" w:hAnsi="Times New Roman" w:cs="Times New Roman"/>
                <w:b/>
                <w:bCs/>
                <w:noProof/>
                <w:sz w:val="24"/>
                <w:lang w:val="en-GB"/>
              </w:rPr>
              <w:t>GHG emissions</w:t>
            </w:r>
            <w:r w:rsidR="00700CF0" w:rsidRPr="00E50FA4">
              <w:rPr>
                <w:rFonts w:ascii="Times New Roman" w:eastAsia="Times New Roman" w:hAnsi="Times New Roman" w:cs="Times New Roman"/>
                <w:b/>
                <w:bCs/>
                <w:noProof/>
                <w:sz w:val="24"/>
                <w:lang w:val="en-GB"/>
              </w:rPr>
              <w:t xml:space="preserve"> (column </w:t>
            </w:r>
            <w:r w:rsidR="00DA04D8" w:rsidRPr="00E50FA4">
              <w:rPr>
                <w:rFonts w:ascii="Times New Roman" w:eastAsia="Times New Roman" w:hAnsi="Times New Roman" w:cs="Times New Roman"/>
                <w:b/>
                <w:bCs/>
                <w:noProof/>
                <w:sz w:val="24"/>
                <w:lang w:val="en-GB"/>
              </w:rPr>
              <w:t>(</w:t>
            </w:r>
            <w:r w:rsidR="00700CF0" w:rsidRPr="00E50FA4">
              <w:rPr>
                <w:rFonts w:ascii="Times New Roman" w:eastAsia="Times New Roman" w:hAnsi="Times New Roman" w:cs="Times New Roman"/>
                <w:b/>
                <w:bCs/>
                <w:noProof/>
                <w:sz w:val="24"/>
                <w:lang w:val="en-GB"/>
              </w:rPr>
              <w:t>i</w:t>
            </w:r>
            <w:r w:rsidR="00DA04D8" w:rsidRPr="00E50FA4">
              <w:rPr>
                <w:rFonts w:ascii="Times New Roman" w:eastAsia="Times New Roman" w:hAnsi="Times New Roman" w:cs="Times New Roman"/>
                <w:b/>
                <w:bCs/>
                <w:noProof/>
                <w:sz w:val="24"/>
                <w:lang w:val="en-GB"/>
              </w:rPr>
              <w:t>)</w:t>
            </w:r>
            <w:r w:rsidR="00700CF0" w:rsidRPr="00E50FA4">
              <w:rPr>
                <w:rFonts w:ascii="Times New Roman" w:eastAsia="Times New Roman" w:hAnsi="Times New Roman" w:cs="Times New Roman"/>
                <w:b/>
                <w:bCs/>
                <w:noProof/>
                <w:sz w:val="24"/>
                <w:lang w:val="en-GB"/>
              </w:rPr>
              <w:t>):</w:t>
            </w:r>
            <w:r w:rsidRPr="00E50FA4">
              <w:rPr>
                <w:rFonts w:ascii="Times New Roman" w:eastAsia="Times New Roman" w:hAnsi="Times New Roman" w:cs="Times New Roman"/>
                <w:b/>
                <w:bCs/>
                <w:noProof/>
                <w:sz w:val="24"/>
                <w:lang w:val="en-GB"/>
              </w:rPr>
              <w:t xml:space="preserve"> </w:t>
            </w:r>
            <w:r w:rsidR="00700CF0" w:rsidRPr="00E50FA4">
              <w:rPr>
                <w:rFonts w:ascii="Times New Roman" w:eastAsia="Times New Roman" w:hAnsi="Times New Roman" w:cs="Times New Roman"/>
                <w:b/>
                <w:bCs/>
                <w:noProof/>
                <w:sz w:val="24"/>
                <w:lang w:val="en-GB"/>
              </w:rPr>
              <w:t>gross carrying amount percentage</w:t>
            </w:r>
            <w:r w:rsidRPr="00E50FA4">
              <w:rPr>
                <w:rFonts w:ascii="Times New Roman" w:eastAsia="Times New Roman" w:hAnsi="Times New Roman" w:cs="Times New Roman"/>
                <w:b/>
                <w:bCs/>
                <w:noProof/>
                <w:sz w:val="24"/>
                <w:lang w:val="en-GB"/>
              </w:rPr>
              <w:t xml:space="preserve"> of the portfolio derived from company-specific reporting</w:t>
            </w:r>
          </w:p>
          <w:p w14:paraId="04804798" w14:textId="78708C60" w:rsidR="00274FF7" w:rsidRPr="00E50FA4" w:rsidRDefault="00274FF7" w:rsidP="005720C9">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Institutions </w:t>
            </w:r>
            <w:r w:rsidR="005720C9" w:rsidRPr="00E50FA4">
              <w:rPr>
                <w:rFonts w:ascii="Times New Roman" w:eastAsia="Times New Roman" w:hAnsi="Times New Roman" w:cs="Times New Roman"/>
                <w:noProof/>
                <w:sz w:val="24"/>
                <w:lang w:val="en-GB"/>
              </w:rPr>
              <w:t>shall</w:t>
            </w:r>
            <w:r w:rsidR="000F73A4"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indicate the percentage of the portfolio</w:t>
            </w:r>
            <w:r w:rsidR="00700CF0" w:rsidRPr="00E50FA4">
              <w:rPr>
                <w:rFonts w:ascii="Times New Roman" w:eastAsia="Times New Roman" w:hAnsi="Times New Roman" w:cs="Times New Roman"/>
                <w:noProof/>
                <w:sz w:val="24"/>
                <w:lang w:val="en-GB"/>
              </w:rPr>
              <w:t xml:space="preserve"> (gross carrying amount of the exposures)</w:t>
            </w:r>
            <w:r w:rsidRPr="00E50FA4">
              <w:rPr>
                <w:rFonts w:ascii="Times New Roman" w:eastAsia="Times New Roman" w:hAnsi="Times New Roman" w:cs="Times New Roman"/>
                <w:noProof/>
                <w:sz w:val="24"/>
                <w:lang w:val="en-GB"/>
              </w:rPr>
              <w:t xml:space="preserve"> for which they have been able to estimate their counterparties’ scope 1, 2 and 3 emissions </w:t>
            </w:r>
            <w:r w:rsidR="00FB3E46" w:rsidRPr="00E50FA4">
              <w:rPr>
                <w:rFonts w:ascii="Times New Roman" w:eastAsia="Times New Roman" w:hAnsi="Times New Roman" w:cs="Times New Roman"/>
                <w:noProof/>
                <w:sz w:val="24"/>
                <w:lang w:val="en-GB"/>
              </w:rPr>
              <w:t>associated</w:t>
            </w:r>
            <w:r w:rsidRPr="00E50FA4">
              <w:rPr>
                <w:rFonts w:ascii="Times New Roman" w:eastAsia="Times New Roman" w:hAnsi="Times New Roman" w:cs="Times New Roman"/>
                <w:noProof/>
                <w:sz w:val="24"/>
                <w:lang w:val="en-GB"/>
              </w:rPr>
              <w:t xml:space="preserve"> with </w:t>
            </w:r>
            <w:r w:rsidR="00FB3E46" w:rsidRPr="00E50FA4">
              <w:rPr>
                <w:rFonts w:ascii="Times New Roman" w:eastAsia="Times New Roman" w:hAnsi="Times New Roman" w:cs="Times New Roman"/>
                <w:noProof/>
                <w:sz w:val="24"/>
                <w:lang w:val="en-GB"/>
              </w:rPr>
              <w:t>institutions’</w:t>
            </w:r>
            <w:r w:rsidRPr="00E50FA4">
              <w:rPr>
                <w:rFonts w:ascii="Times New Roman" w:eastAsia="Times New Roman" w:hAnsi="Times New Roman" w:cs="Times New Roman"/>
                <w:noProof/>
                <w:sz w:val="24"/>
                <w:lang w:val="en-GB"/>
              </w:rPr>
              <w:t xml:space="preserve"> lending and investment activities based on information disclosed by their counterparties</w:t>
            </w:r>
            <w:r w:rsidR="009B7417" w:rsidRPr="00E50FA4">
              <w:rPr>
                <w:rFonts w:ascii="Times New Roman" w:eastAsia="Times New Roman" w:hAnsi="Times New Roman" w:cs="Times New Roman"/>
                <w:noProof/>
                <w:sz w:val="24"/>
                <w:lang w:val="en-GB"/>
              </w:rPr>
              <w:t xml:space="preserve"> or reported to the institution on bilateral basis</w:t>
            </w:r>
            <w:r w:rsidRPr="00E50FA4">
              <w:rPr>
                <w:rFonts w:ascii="Times New Roman" w:eastAsia="Times New Roman" w:hAnsi="Times New Roman" w:cs="Times New Roman"/>
                <w:noProof/>
                <w:sz w:val="24"/>
                <w:lang w:val="en-GB"/>
              </w:rPr>
              <w:t>.</w:t>
            </w:r>
          </w:p>
        </w:tc>
      </w:tr>
      <w:tr w:rsidR="009A2201" w:rsidRPr="00E50FA4" w14:paraId="6E9C5995" w14:textId="77777777" w:rsidTr="00060FFB">
        <w:tc>
          <w:tcPr>
            <w:tcW w:w="1188" w:type="dxa"/>
            <w:tcBorders>
              <w:top w:val="single" w:sz="4" w:space="0" w:color="auto"/>
              <w:left w:val="single" w:sz="4" w:space="0" w:color="auto"/>
              <w:bottom w:val="single" w:sz="4" w:space="0" w:color="auto"/>
              <w:right w:val="single" w:sz="4" w:space="0" w:color="auto"/>
            </w:tcBorders>
          </w:tcPr>
          <w:p w14:paraId="73ADEAC8" w14:textId="77777777" w:rsidR="009A2201" w:rsidRPr="00E50FA4" w:rsidRDefault="009A2201"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l - p</w:t>
            </w:r>
          </w:p>
        </w:tc>
        <w:tc>
          <w:tcPr>
            <w:tcW w:w="7879" w:type="dxa"/>
            <w:tcBorders>
              <w:top w:val="single" w:sz="4" w:space="0" w:color="auto"/>
              <w:left w:val="single" w:sz="4" w:space="0" w:color="auto"/>
              <w:bottom w:val="single" w:sz="4" w:space="0" w:color="auto"/>
              <w:right w:val="single" w:sz="4" w:space="0" w:color="auto"/>
            </w:tcBorders>
          </w:tcPr>
          <w:p w14:paraId="7214E6A0" w14:textId="77777777" w:rsidR="009A2201" w:rsidRPr="00E50FA4" w:rsidRDefault="009A2201" w:rsidP="009A2201">
            <w:pPr>
              <w:spacing w:before="120" w:after="120"/>
              <w:jc w:val="both"/>
              <w:rPr>
                <w:rFonts w:ascii="Times New Roman" w:eastAsia="Times New Roman" w:hAnsi="Times New Roman" w:cs="Times New Roman"/>
                <w:b/>
                <w:bCs/>
                <w:noProof/>
                <w:sz w:val="24"/>
                <w:lang w:val="en-GB"/>
              </w:rPr>
            </w:pPr>
            <w:r w:rsidRPr="00E50FA4">
              <w:rPr>
                <w:rFonts w:ascii="Times New Roman" w:eastAsia="Times New Roman" w:hAnsi="Times New Roman" w:cs="Times New Roman"/>
                <w:b/>
                <w:bCs/>
                <w:noProof/>
                <w:sz w:val="24"/>
                <w:lang w:val="en-GB"/>
              </w:rPr>
              <w:t>&lt;= 5 years; &gt; 5 year &lt;= 10 years; &gt; 10 year &lt;= 20 years; &gt; 20 years; Average weighted maturity</w:t>
            </w:r>
          </w:p>
          <w:p w14:paraId="26E07E97" w14:textId="10C62588" w:rsidR="009A2201" w:rsidRPr="00E50FA4" w:rsidRDefault="009A2201" w:rsidP="00720CB4">
            <w:pPr>
              <w:spacing w:before="120" w:after="120"/>
              <w:jc w:val="both"/>
              <w:rPr>
                <w:rFonts w:ascii="Times New Roman" w:hAnsi="Times New Roman"/>
                <w:noProof/>
                <w:sz w:val="24"/>
              </w:rPr>
            </w:pPr>
            <w:r w:rsidRPr="00E50FA4">
              <w:rPr>
                <w:rFonts w:ascii="Times New Roman" w:hAnsi="Times New Roman"/>
                <w:noProof/>
                <w:sz w:val="24"/>
                <w:lang w:val="en-GB"/>
              </w:rPr>
              <w:t xml:space="preserve">Institutions </w:t>
            </w:r>
            <w:r w:rsidR="005720C9" w:rsidRPr="00E50FA4">
              <w:rPr>
                <w:rFonts w:ascii="Times New Roman" w:hAnsi="Times New Roman"/>
                <w:noProof/>
                <w:sz w:val="24"/>
                <w:lang w:val="en-GB"/>
              </w:rPr>
              <w:t>shall</w:t>
            </w:r>
            <w:r w:rsidR="000F73A4" w:rsidRPr="00E50FA4">
              <w:rPr>
                <w:rFonts w:ascii="Times New Roman" w:hAnsi="Times New Roman"/>
                <w:noProof/>
                <w:sz w:val="24"/>
                <w:lang w:val="en-GB"/>
              </w:rPr>
              <w:t xml:space="preserve"> </w:t>
            </w:r>
            <w:r w:rsidRPr="00E50FA4">
              <w:rPr>
                <w:rFonts w:ascii="Times New Roman" w:hAnsi="Times New Roman"/>
                <w:noProof/>
                <w:sz w:val="24"/>
                <w:lang w:val="en-GB"/>
              </w:rPr>
              <w:t>allocate the exposures to the relevant bucket depending on the remaining maturity of the financial instrument, taking into account the following:</w:t>
            </w:r>
          </w:p>
          <w:p w14:paraId="2A4F26DB" w14:textId="5D40BCB8" w:rsidR="009E7740" w:rsidRPr="00E50FA4" w:rsidRDefault="009E7740" w:rsidP="00B76863">
            <w:pPr>
              <w:jc w:val="both"/>
              <w:rPr>
                <w:rFonts w:ascii="Times New Roman" w:hAnsi="Times New Roman"/>
                <w:noProof/>
                <w:sz w:val="24"/>
              </w:rPr>
            </w:pPr>
            <w:r w:rsidRPr="00E50FA4">
              <w:rPr>
                <w:rFonts w:ascii="Times New Roman" w:hAnsi="Times New Roman"/>
                <w:noProof/>
                <w:sz w:val="24"/>
              </w:rPr>
              <w:t xml:space="preserve">(a) </w:t>
            </w:r>
            <w:r w:rsidR="006E22CA" w:rsidRPr="00E50FA4">
              <w:rPr>
                <w:rFonts w:ascii="Times New Roman" w:hAnsi="Times New Roman"/>
                <w:noProof/>
                <w:sz w:val="24"/>
              </w:rPr>
              <w:t>w</w:t>
            </w:r>
            <w:r w:rsidR="009A2201" w:rsidRPr="00E50FA4">
              <w:rPr>
                <w:rFonts w:ascii="Times New Roman" w:hAnsi="Times New Roman"/>
                <w:noProof/>
                <w:sz w:val="24"/>
              </w:rPr>
              <w:t>here the amount is repaid in instalments, the exposure shall be allocated in the maturity bucket corresponding to the last instalment;</w:t>
            </w:r>
          </w:p>
          <w:p w14:paraId="1CB2222E" w14:textId="1794D336" w:rsidR="009E7740" w:rsidRPr="00E50FA4" w:rsidRDefault="009E7740" w:rsidP="00B76863">
            <w:pPr>
              <w:jc w:val="both"/>
              <w:rPr>
                <w:rFonts w:ascii="Times New Roman" w:hAnsi="Times New Roman"/>
                <w:noProof/>
                <w:sz w:val="24"/>
              </w:rPr>
            </w:pPr>
            <w:r w:rsidRPr="00E50FA4">
              <w:rPr>
                <w:rFonts w:ascii="Times New Roman" w:hAnsi="Times New Roman"/>
                <w:noProof/>
                <w:sz w:val="24"/>
              </w:rPr>
              <w:t xml:space="preserve">(b) </w:t>
            </w:r>
            <w:r w:rsidR="006E22CA" w:rsidRPr="00E50FA4">
              <w:rPr>
                <w:rFonts w:ascii="Times New Roman" w:hAnsi="Times New Roman"/>
                <w:noProof/>
                <w:sz w:val="24"/>
              </w:rPr>
              <w:t>w</w:t>
            </w:r>
            <w:r w:rsidR="009A2201" w:rsidRPr="00E50FA4">
              <w:rPr>
                <w:rFonts w:ascii="Times New Roman" w:hAnsi="Times New Roman"/>
                <w:noProof/>
                <w:sz w:val="24"/>
              </w:rPr>
              <w:t xml:space="preserve">here an exposure has no stated maturity for reasons other than the counterparty having the choice of the repayment date, </w:t>
            </w:r>
            <w:r w:rsidR="00B24D99" w:rsidRPr="00E50FA4">
              <w:rPr>
                <w:rFonts w:ascii="Times New Roman" w:hAnsi="Times New Roman"/>
                <w:noProof/>
                <w:sz w:val="24"/>
              </w:rPr>
              <w:t xml:space="preserve">or in the case of equity holdings, </w:t>
            </w:r>
            <w:r w:rsidR="009A2201" w:rsidRPr="00E50FA4">
              <w:rPr>
                <w:rFonts w:ascii="Times New Roman" w:hAnsi="Times New Roman"/>
                <w:noProof/>
                <w:sz w:val="24"/>
              </w:rPr>
              <w:t>the amount of this exposure shall be disclosed in the largest maturity bucket ‘&gt; 20 years’;</w:t>
            </w:r>
          </w:p>
          <w:p w14:paraId="11D334C6" w14:textId="43777577" w:rsidR="009A2201" w:rsidRPr="00B76863" w:rsidRDefault="009E7740" w:rsidP="00B76863">
            <w:pPr>
              <w:jc w:val="both"/>
              <w:rPr>
                <w:rFonts w:ascii="Times New Roman" w:hAnsi="Times New Roman"/>
                <w:noProof/>
                <w:sz w:val="24"/>
              </w:rPr>
            </w:pPr>
            <w:r w:rsidRPr="00E50FA4">
              <w:rPr>
                <w:rFonts w:ascii="Times New Roman" w:hAnsi="Times New Roman"/>
                <w:noProof/>
                <w:sz w:val="24"/>
              </w:rPr>
              <w:t xml:space="preserve">(c) </w:t>
            </w:r>
            <w:r w:rsidR="006E22CA" w:rsidRPr="00E50FA4">
              <w:rPr>
                <w:rFonts w:ascii="Times New Roman" w:hAnsi="Times New Roman"/>
                <w:noProof/>
                <w:sz w:val="24"/>
              </w:rPr>
              <w:t>f</w:t>
            </w:r>
            <w:r w:rsidR="009A2201" w:rsidRPr="00E50FA4">
              <w:rPr>
                <w:rFonts w:ascii="Times New Roman" w:hAnsi="Times New Roman"/>
                <w:noProof/>
                <w:sz w:val="24"/>
              </w:rPr>
              <w:t>or the computation of the average maturity of the exposures, institutions shall weigh the maturity of each exposure by the gross carrying amount of the exposures.</w:t>
            </w:r>
          </w:p>
        </w:tc>
      </w:tr>
    </w:tbl>
    <w:p w14:paraId="7F25982B" w14:textId="77777777" w:rsidR="009461DC" w:rsidRPr="00E50FA4" w:rsidRDefault="009461DC" w:rsidP="00D35812">
      <w:pPr>
        <w:spacing w:before="120" w:after="120"/>
        <w:jc w:val="both"/>
        <w:rPr>
          <w:rFonts w:ascii="Times New Roman" w:hAnsi="Times New Roman" w:cs="Times New Roman"/>
          <w:b/>
          <w:noProof/>
          <w:sz w:val="24"/>
          <w:lang w:val="en-GB"/>
        </w:rPr>
      </w:pPr>
    </w:p>
    <w:p w14:paraId="604BB151" w14:textId="50CE2573" w:rsidR="00B63904" w:rsidRPr="00E50FA4" w:rsidRDefault="00B63904" w:rsidP="00D35812">
      <w:pPr>
        <w:spacing w:before="120" w:after="120"/>
        <w:jc w:val="both"/>
        <w:rPr>
          <w:rFonts w:ascii="Times New Roman" w:hAnsi="Times New Roman" w:cs="Times New Roman"/>
          <w:b/>
          <w:noProof/>
          <w:sz w:val="24"/>
          <w:lang w:val="en-GB"/>
        </w:rPr>
      </w:pPr>
      <w:r w:rsidRPr="00E50FA4">
        <w:rPr>
          <w:rFonts w:ascii="Times New Roman" w:hAnsi="Times New Roman" w:cs="Times New Roman"/>
          <w:b/>
          <w:noProof/>
          <w:sz w:val="24"/>
          <w:lang w:val="en-GB"/>
        </w:rPr>
        <w:t xml:space="preserve">Template </w:t>
      </w:r>
      <w:r w:rsidR="003D6E3A" w:rsidRPr="00E50FA4">
        <w:rPr>
          <w:rFonts w:ascii="Times New Roman" w:hAnsi="Times New Roman" w:cs="Times New Roman"/>
          <w:b/>
          <w:noProof/>
          <w:sz w:val="24"/>
          <w:lang w:val="en-GB"/>
        </w:rPr>
        <w:t>2</w:t>
      </w:r>
      <w:r w:rsidRPr="00E50FA4">
        <w:rPr>
          <w:rFonts w:ascii="Times New Roman" w:hAnsi="Times New Roman" w:cs="Times New Roman"/>
          <w:b/>
          <w:noProof/>
          <w:sz w:val="24"/>
          <w:lang w:val="en-GB"/>
        </w:rPr>
        <w:t xml:space="preserve">: </w:t>
      </w:r>
      <w:r w:rsidR="00B24790">
        <w:rPr>
          <w:rFonts w:ascii="Times New Roman" w:hAnsi="Times New Roman" w:cs="Times New Roman"/>
          <w:b/>
          <w:noProof/>
          <w:sz w:val="24"/>
          <w:lang w:val="en-GB"/>
        </w:rPr>
        <w:t xml:space="preserve">Banking book </w:t>
      </w:r>
      <w:r w:rsidR="00B24790" w:rsidRPr="00E50FA4">
        <w:rPr>
          <w:rFonts w:ascii="Times New Roman" w:hAnsi="Times New Roman" w:cs="Times New Roman"/>
          <w:b/>
          <w:noProof/>
          <w:sz w:val="24"/>
          <w:lang w:val="en-GB"/>
        </w:rPr>
        <w:t>–</w:t>
      </w:r>
      <w:r w:rsidR="00B24790">
        <w:rPr>
          <w:rFonts w:ascii="Times New Roman" w:hAnsi="Times New Roman" w:cs="Times New Roman"/>
          <w:b/>
          <w:noProof/>
          <w:sz w:val="24"/>
          <w:lang w:val="en-GB"/>
        </w:rPr>
        <w:t xml:space="preserve"> </w:t>
      </w:r>
      <w:r w:rsidR="00786654" w:rsidRPr="00E50FA4">
        <w:rPr>
          <w:rFonts w:ascii="Times New Roman" w:hAnsi="Times New Roman" w:cs="Times New Roman"/>
          <w:b/>
          <w:noProof/>
          <w:sz w:val="24"/>
          <w:lang w:val="en-GB"/>
        </w:rPr>
        <w:t xml:space="preserve">Indicators of potential climate </w:t>
      </w:r>
      <w:r w:rsidRPr="00E50FA4">
        <w:rPr>
          <w:rFonts w:ascii="Times New Roman" w:hAnsi="Times New Roman" w:cs="Times New Roman"/>
          <w:b/>
          <w:noProof/>
          <w:sz w:val="24"/>
          <w:lang w:val="en-GB"/>
        </w:rPr>
        <w:t xml:space="preserve">change </w:t>
      </w:r>
      <w:r w:rsidR="00085549" w:rsidRPr="00E50FA4">
        <w:rPr>
          <w:rFonts w:ascii="Times New Roman" w:hAnsi="Times New Roman" w:cs="Times New Roman"/>
          <w:b/>
          <w:noProof/>
          <w:sz w:val="24"/>
          <w:lang w:val="en-GB"/>
        </w:rPr>
        <w:t>t</w:t>
      </w:r>
      <w:r w:rsidRPr="00E50FA4">
        <w:rPr>
          <w:rFonts w:ascii="Times New Roman" w:hAnsi="Times New Roman" w:cs="Times New Roman"/>
          <w:b/>
          <w:noProof/>
          <w:sz w:val="24"/>
          <w:lang w:val="en-GB"/>
        </w:rPr>
        <w:t>ransition risk: Loans collaterali</w:t>
      </w:r>
      <w:r w:rsidR="00D241F7" w:rsidRPr="00E50FA4">
        <w:rPr>
          <w:rFonts w:ascii="Times New Roman" w:hAnsi="Times New Roman" w:cs="Times New Roman"/>
          <w:b/>
          <w:noProof/>
          <w:sz w:val="24"/>
          <w:lang w:val="en-GB"/>
        </w:rPr>
        <w:t>s</w:t>
      </w:r>
      <w:r w:rsidRPr="00E50FA4">
        <w:rPr>
          <w:rFonts w:ascii="Times New Roman" w:hAnsi="Times New Roman" w:cs="Times New Roman"/>
          <w:b/>
          <w:noProof/>
          <w:sz w:val="24"/>
          <w:lang w:val="en-GB"/>
        </w:rPr>
        <w:t>ed by immovable property</w:t>
      </w:r>
      <w:r w:rsidR="00E06451">
        <w:rPr>
          <w:rFonts w:ascii="Times New Roman" w:hAnsi="Times New Roman" w:cs="Times New Roman"/>
          <w:b/>
          <w:noProof/>
          <w:sz w:val="24"/>
          <w:lang w:val="en-GB"/>
        </w:rPr>
        <w:t xml:space="preserve"> </w:t>
      </w:r>
      <w:r w:rsidRPr="00E50FA4">
        <w:rPr>
          <w:rFonts w:ascii="Times New Roman" w:hAnsi="Times New Roman" w:cs="Times New Roman"/>
          <w:b/>
          <w:noProof/>
          <w:sz w:val="24"/>
          <w:lang w:val="en-GB"/>
        </w:rPr>
        <w:t>– Energy efficiency of the collateral. Fixed format.</w:t>
      </w:r>
    </w:p>
    <w:p w14:paraId="52DE4877" w14:textId="77777777" w:rsidR="00B63904" w:rsidRPr="00E50FA4" w:rsidRDefault="00B63904" w:rsidP="00D35812">
      <w:pPr>
        <w:spacing w:before="120" w:after="120"/>
        <w:jc w:val="both"/>
        <w:rPr>
          <w:rFonts w:ascii="Times New Roman" w:hAnsi="Times New Roman" w:cs="Times New Roman"/>
          <w:b/>
          <w:noProof/>
          <w:sz w:val="24"/>
          <w:lang w:val="en-GB"/>
        </w:rPr>
      </w:pPr>
    </w:p>
    <w:p w14:paraId="348EE77B" w14:textId="49FEB0A1" w:rsidR="003D6E3A" w:rsidRPr="00E50FA4" w:rsidRDefault="003D6E3A" w:rsidP="00B76863">
      <w:pPr>
        <w:pStyle w:val="ListParagraph"/>
        <w:numPr>
          <w:ilvl w:val="0"/>
          <w:numId w:val="71"/>
        </w:numPr>
        <w:tabs>
          <w:tab w:val="left" w:pos="567"/>
        </w:tabs>
        <w:spacing w:before="120" w:after="120"/>
        <w:ind w:left="0" w:firstLine="0"/>
        <w:jc w:val="both"/>
        <w:rPr>
          <w:rFonts w:ascii="Times New Roman" w:eastAsiaTheme="minorEastAsia" w:hAnsi="Times New Roman" w:cstheme="minorBidi"/>
          <w:noProof/>
          <w:sz w:val="24"/>
          <w:szCs w:val="24"/>
        </w:rPr>
      </w:pPr>
      <w:r w:rsidRPr="00E50FA4">
        <w:rPr>
          <w:rFonts w:ascii="Times New Roman" w:hAnsi="Times New Roman"/>
          <w:noProof/>
          <w:sz w:val="24"/>
        </w:rPr>
        <w:t xml:space="preserve">Institutions shall </w:t>
      </w:r>
      <w:r w:rsidR="004C61E0" w:rsidRPr="00E50FA4">
        <w:rPr>
          <w:rFonts w:ascii="Times New Roman" w:hAnsi="Times New Roman"/>
          <w:noProof/>
          <w:sz w:val="24"/>
        </w:rPr>
        <w:t xml:space="preserve">use </w:t>
      </w:r>
      <w:r w:rsidRPr="00E50FA4">
        <w:rPr>
          <w:rFonts w:ascii="Times New Roman" w:hAnsi="Times New Roman"/>
          <w:noProof/>
          <w:sz w:val="24"/>
        </w:rPr>
        <w:t xml:space="preserve">the </w:t>
      </w:r>
      <w:r w:rsidR="004C61E0" w:rsidRPr="00E50FA4">
        <w:rPr>
          <w:rFonts w:ascii="Times New Roman" w:hAnsi="Times New Roman"/>
          <w:noProof/>
          <w:sz w:val="24"/>
        </w:rPr>
        <w:t xml:space="preserve">following </w:t>
      </w:r>
      <w:r w:rsidRPr="00E50FA4">
        <w:rPr>
          <w:rFonts w:ascii="Times New Roman" w:hAnsi="Times New Roman"/>
          <w:noProof/>
          <w:sz w:val="24"/>
        </w:rPr>
        <w:t xml:space="preserve">instructions to </w:t>
      </w:r>
      <w:r w:rsidR="00881A19" w:rsidRPr="00E50FA4">
        <w:rPr>
          <w:rFonts w:ascii="Times New Roman" w:hAnsi="Times New Roman"/>
          <w:noProof/>
          <w:sz w:val="24"/>
        </w:rPr>
        <w:t>disclose</w:t>
      </w:r>
      <w:r w:rsidRPr="00E50FA4">
        <w:rPr>
          <w:rFonts w:ascii="Times New Roman" w:hAnsi="Times New Roman"/>
          <w:noProof/>
          <w:sz w:val="24"/>
        </w:rPr>
        <w:t xml:space="preserve"> </w:t>
      </w:r>
      <w:r w:rsidR="00881A19" w:rsidRPr="00E50FA4">
        <w:rPr>
          <w:rFonts w:ascii="Times New Roman" w:hAnsi="Times New Roman"/>
          <w:noProof/>
          <w:sz w:val="24"/>
        </w:rPr>
        <w:t xml:space="preserve">the information required in </w:t>
      </w:r>
      <w:r w:rsidRPr="00E50FA4">
        <w:rPr>
          <w:rFonts w:ascii="Times New Roman" w:hAnsi="Times New Roman"/>
          <w:noProof/>
          <w:sz w:val="24"/>
        </w:rPr>
        <w:t>‘</w:t>
      </w:r>
      <w:r w:rsidRPr="00E50FA4">
        <w:rPr>
          <w:rFonts w:ascii="Times New Roman" w:hAnsi="Times New Roman"/>
          <w:bCs/>
          <w:noProof/>
          <w:sz w:val="24"/>
        </w:rPr>
        <w:t xml:space="preserve">Template </w:t>
      </w:r>
      <w:r w:rsidR="00881A19" w:rsidRPr="00E50FA4">
        <w:rPr>
          <w:rFonts w:ascii="Times New Roman" w:hAnsi="Times New Roman"/>
          <w:bCs/>
          <w:noProof/>
          <w:sz w:val="24"/>
        </w:rPr>
        <w:t>2</w:t>
      </w:r>
      <w:r w:rsidRPr="00E50FA4">
        <w:rPr>
          <w:rFonts w:ascii="Times New Roman" w:hAnsi="Times New Roman"/>
          <w:bCs/>
          <w:noProof/>
          <w:sz w:val="24"/>
        </w:rPr>
        <w:t xml:space="preserve">: Banking book </w:t>
      </w:r>
      <w:r w:rsidR="001C04BC" w:rsidRPr="00E50FA4">
        <w:rPr>
          <w:rFonts w:ascii="Times New Roman" w:hAnsi="Times New Roman"/>
          <w:bCs/>
          <w:noProof/>
          <w:sz w:val="24"/>
        </w:rPr>
        <w:t>–</w:t>
      </w:r>
      <w:r w:rsidRPr="00E50FA4">
        <w:rPr>
          <w:rFonts w:ascii="Times New Roman" w:hAnsi="Times New Roman"/>
          <w:bCs/>
          <w:noProof/>
          <w:sz w:val="24"/>
        </w:rPr>
        <w:t xml:space="preserve"> </w:t>
      </w:r>
      <w:r w:rsidR="001C04BC" w:rsidRPr="00E50FA4">
        <w:rPr>
          <w:rFonts w:ascii="Times New Roman" w:hAnsi="Times New Roman"/>
          <w:bCs/>
          <w:noProof/>
          <w:sz w:val="24"/>
        </w:rPr>
        <w:t xml:space="preserve">Indicators of potential climate </w:t>
      </w:r>
      <w:r w:rsidR="005660B3">
        <w:rPr>
          <w:rFonts w:ascii="Times New Roman" w:hAnsi="Times New Roman"/>
          <w:bCs/>
          <w:noProof/>
          <w:sz w:val="24"/>
        </w:rPr>
        <w:t xml:space="preserve">change </w:t>
      </w:r>
      <w:r w:rsidRPr="00E50FA4">
        <w:rPr>
          <w:rFonts w:ascii="Times New Roman" w:hAnsi="Times New Roman"/>
          <w:bCs/>
          <w:noProof/>
          <w:sz w:val="24"/>
        </w:rPr>
        <w:t>transition risk: Loans collateralised by immovable property - Energy efficiency of the collateral</w:t>
      </w:r>
      <w:r w:rsidRPr="00E50FA4">
        <w:rPr>
          <w:rFonts w:ascii="Times New Roman" w:hAnsi="Times New Roman"/>
          <w:noProof/>
          <w:sz w:val="24"/>
        </w:rPr>
        <w:t xml:space="preserve">’, as </w:t>
      </w:r>
      <w:r w:rsidR="009906F2" w:rsidRPr="00E50FA4">
        <w:rPr>
          <w:rFonts w:ascii="Times New Roman" w:hAnsi="Times New Roman"/>
          <w:noProof/>
          <w:sz w:val="24"/>
        </w:rPr>
        <w:t>set out</w:t>
      </w:r>
      <w:r w:rsidRPr="00E50FA4">
        <w:rPr>
          <w:rFonts w:ascii="Times New Roman" w:hAnsi="Times New Roman"/>
          <w:noProof/>
          <w:sz w:val="24"/>
        </w:rPr>
        <w:t xml:space="preserve"> in Annex XXXIX to this Regulation. </w:t>
      </w:r>
    </w:p>
    <w:p w14:paraId="695322E3" w14:textId="5E39FB1F" w:rsidR="00C168F0" w:rsidRPr="00E50FA4" w:rsidRDefault="00B13C50" w:rsidP="00B76863">
      <w:pPr>
        <w:pStyle w:val="ListParagraph"/>
        <w:numPr>
          <w:ilvl w:val="0"/>
          <w:numId w:val="71"/>
        </w:numPr>
        <w:tabs>
          <w:tab w:val="left" w:pos="567"/>
        </w:tabs>
        <w:spacing w:before="120" w:after="120"/>
        <w:ind w:left="0" w:firstLine="0"/>
        <w:jc w:val="both"/>
        <w:rPr>
          <w:rFonts w:ascii="Times New Roman" w:eastAsiaTheme="minorEastAsia" w:hAnsi="Times New Roman" w:cstheme="minorBidi"/>
          <w:noProof/>
          <w:sz w:val="24"/>
          <w:szCs w:val="24"/>
        </w:rPr>
      </w:pPr>
      <w:r w:rsidRPr="00E50FA4">
        <w:rPr>
          <w:rFonts w:ascii="Times New Roman" w:eastAsiaTheme="minorEastAsia" w:hAnsi="Times New Roman" w:cstheme="minorBidi"/>
          <w:noProof/>
          <w:sz w:val="24"/>
          <w:szCs w:val="24"/>
        </w:rPr>
        <w:t>Directive 2010/31/EU of the European Parliament and of the Council</w:t>
      </w:r>
      <w:r w:rsidR="008676F3" w:rsidRPr="00E50FA4">
        <w:rPr>
          <w:rStyle w:val="FootnoteReference"/>
          <w:rFonts w:ascii="Times New Roman" w:hAnsi="Times New Roman"/>
          <w:noProof/>
          <w:sz w:val="24"/>
          <w:szCs w:val="24"/>
        </w:rPr>
        <w:t>*</w:t>
      </w:r>
      <w:r w:rsidR="00D65FBF" w:rsidRPr="00E50FA4">
        <w:rPr>
          <w:rFonts w:ascii="Times New Roman" w:hAnsi="Times New Roman"/>
          <w:noProof/>
          <w:sz w:val="24"/>
          <w:szCs w:val="24"/>
          <w:vertAlign w:val="superscript"/>
        </w:rPr>
        <w:t>1</w:t>
      </w:r>
      <w:r w:rsidR="002200C7" w:rsidRPr="00E50FA4">
        <w:rPr>
          <w:rFonts w:ascii="Times New Roman" w:hAnsi="Times New Roman"/>
          <w:noProof/>
          <w:sz w:val="24"/>
          <w:szCs w:val="24"/>
          <w:vertAlign w:val="superscript"/>
        </w:rPr>
        <w:t>6</w:t>
      </w:r>
      <w:r w:rsidR="00C168F0" w:rsidRPr="00E50FA4">
        <w:rPr>
          <w:rFonts w:ascii="Times New Roman" w:eastAsiaTheme="minorEastAsia" w:hAnsi="Times New Roman" w:cstheme="minorBidi"/>
          <w:noProof/>
          <w:sz w:val="24"/>
          <w:szCs w:val="24"/>
        </w:rPr>
        <w:t xml:space="preserve"> and Directive 2012/27/EU</w:t>
      </w:r>
      <w:r w:rsidR="0022273E" w:rsidRPr="00E50FA4">
        <w:rPr>
          <w:noProof/>
        </w:rPr>
        <w:t xml:space="preserve"> </w:t>
      </w:r>
      <w:r w:rsidR="0022273E" w:rsidRPr="00E50FA4">
        <w:rPr>
          <w:rFonts w:ascii="Times New Roman" w:eastAsiaTheme="minorEastAsia" w:hAnsi="Times New Roman" w:cstheme="minorBidi"/>
          <w:noProof/>
          <w:sz w:val="24"/>
          <w:szCs w:val="24"/>
        </w:rPr>
        <w:t>of the European Parliament and of the Council</w:t>
      </w:r>
      <w:r w:rsidR="008676F3" w:rsidRPr="00E50FA4">
        <w:rPr>
          <w:rStyle w:val="FootnoteReference"/>
          <w:rFonts w:ascii="Times New Roman" w:hAnsi="Times New Roman"/>
          <w:noProof/>
          <w:sz w:val="24"/>
          <w:szCs w:val="24"/>
        </w:rPr>
        <w:t>*</w:t>
      </w:r>
      <w:r w:rsidR="00D65FBF" w:rsidRPr="00E50FA4">
        <w:rPr>
          <w:rFonts w:ascii="Times New Roman" w:hAnsi="Times New Roman"/>
          <w:noProof/>
          <w:sz w:val="24"/>
          <w:szCs w:val="24"/>
          <w:vertAlign w:val="superscript"/>
        </w:rPr>
        <w:t>1</w:t>
      </w:r>
      <w:r w:rsidR="002200C7" w:rsidRPr="00E50FA4">
        <w:rPr>
          <w:rFonts w:ascii="Times New Roman" w:hAnsi="Times New Roman"/>
          <w:noProof/>
          <w:sz w:val="24"/>
          <w:szCs w:val="24"/>
          <w:vertAlign w:val="superscript"/>
        </w:rPr>
        <w:t>7</w:t>
      </w:r>
      <w:r w:rsidR="008676F3" w:rsidRPr="00E50FA4">
        <w:rPr>
          <w:rFonts w:ascii="Times New Roman" w:eastAsiaTheme="minorEastAsia" w:hAnsi="Times New Roman" w:cstheme="minorBidi"/>
          <w:noProof/>
          <w:sz w:val="24"/>
          <w:szCs w:val="24"/>
        </w:rPr>
        <w:t xml:space="preserve"> </w:t>
      </w:r>
      <w:r w:rsidR="00C168F0" w:rsidRPr="00E50FA4">
        <w:rPr>
          <w:rFonts w:ascii="Times New Roman" w:eastAsiaTheme="minorEastAsia" w:hAnsi="Times New Roman" w:cstheme="minorBidi"/>
          <w:noProof/>
          <w:sz w:val="24"/>
          <w:szCs w:val="24"/>
        </w:rPr>
        <w:t xml:space="preserve">promote policies </w:t>
      </w:r>
      <w:r w:rsidR="003D33C7" w:rsidRPr="00E50FA4">
        <w:rPr>
          <w:rFonts w:ascii="Times New Roman" w:eastAsiaTheme="minorEastAsia" w:hAnsi="Times New Roman" w:cstheme="minorBidi"/>
          <w:noProof/>
          <w:sz w:val="24"/>
          <w:szCs w:val="24"/>
        </w:rPr>
        <w:t xml:space="preserve">that aim </w:t>
      </w:r>
      <w:r w:rsidR="00C168F0" w:rsidRPr="00E50FA4">
        <w:rPr>
          <w:rFonts w:ascii="Times New Roman" w:eastAsiaTheme="minorEastAsia" w:hAnsi="Times New Roman" w:cstheme="minorBidi"/>
          <w:noProof/>
          <w:sz w:val="24"/>
          <w:szCs w:val="24"/>
        </w:rPr>
        <w:t>to achieve a highly energy efficient and decarbonised building stock by 2050.</w:t>
      </w:r>
      <w:r w:rsidR="003D33C7" w:rsidRPr="00E50FA4">
        <w:rPr>
          <w:rFonts w:ascii="Times New Roman" w:eastAsiaTheme="minorEastAsia" w:hAnsi="Times New Roman" w:cstheme="minorBidi"/>
          <w:noProof/>
          <w:sz w:val="24"/>
          <w:szCs w:val="24"/>
        </w:rPr>
        <w:t xml:space="preserve"> </w:t>
      </w:r>
      <w:r w:rsidR="0022273E" w:rsidRPr="00E50FA4">
        <w:rPr>
          <w:rFonts w:ascii="Times New Roman" w:eastAsiaTheme="minorEastAsia" w:hAnsi="Times New Roman" w:cstheme="minorBidi"/>
          <w:noProof/>
          <w:sz w:val="24"/>
          <w:szCs w:val="24"/>
        </w:rPr>
        <w:t>Directive 2010/31/EU</w:t>
      </w:r>
      <w:r w:rsidR="00C168F0" w:rsidRPr="00E50FA4">
        <w:rPr>
          <w:rFonts w:ascii="Times New Roman" w:eastAsiaTheme="minorEastAsia" w:hAnsi="Times New Roman" w:cstheme="minorBidi"/>
          <w:noProof/>
          <w:sz w:val="24"/>
          <w:szCs w:val="24"/>
        </w:rPr>
        <w:t xml:space="preserve"> introduced the Energy performance certificates (EPC) as instruments </w:t>
      </w:r>
      <w:r w:rsidR="00334AEC" w:rsidRPr="00E50FA4">
        <w:rPr>
          <w:rFonts w:ascii="Times New Roman" w:eastAsiaTheme="minorEastAsia" w:hAnsi="Times New Roman" w:cstheme="minorBidi"/>
          <w:noProof/>
          <w:sz w:val="24"/>
          <w:szCs w:val="24"/>
        </w:rPr>
        <w:t>for</w:t>
      </w:r>
      <w:r w:rsidR="00C168F0" w:rsidRPr="00E50FA4">
        <w:rPr>
          <w:rFonts w:ascii="Times New Roman" w:eastAsiaTheme="minorEastAsia" w:hAnsi="Times New Roman" w:cstheme="minorBidi"/>
          <w:noProof/>
          <w:sz w:val="24"/>
          <w:szCs w:val="24"/>
        </w:rPr>
        <w:t xml:space="preserve"> improv</w:t>
      </w:r>
      <w:r w:rsidR="00334AEC" w:rsidRPr="00E50FA4">
        <w:rPr>
          <w:rFonts w:ascii="Times New Roman" w:eastAsiaTheme="minorEastAsia" w:hAnsi="Times New Roman" w:cstheme="minorBidi"/>
          <w:noProof/>
          <w:sz w:val="24"/>
          <w:szCs w:val="24"/>
        </w:rPr>
        <w:t>ing</w:t>
      </w:r>
      <w:r w:rsidR="00C168F0" w:rsidRPr="00E50FA4">
        <w:rPr>
          <w:rFonts w:ascii="Times New Roman" w:eastAsiaTheme="minorEastAsia" w:hAnsi="Times New Roman" w:cstheme="minorBidi"/>
          <w:noProof/>
          <w:sz w:val="24"/>
          <w:szCs w:val="24"/>
        </w:rPr>
        <w:t xml:space="preserve"> the energy performance of buildings. Th</w:t>
      </w:r>
      <w:r w:rsidR="002200C7" w:rsidRPr="00E50FA4">
        <w:rPr>
          <w:rFonts w:ascii="Times New Roman" w:eastAsiaTheme="minorEastAsia" w:hAnsi="Times New Roman" w:cstheme="minorBidi"/>
          <w:noProof/>
          <w:sz w:val="24"/>
          <w:szCs w:val="24"/>
        </w:rPr>
        <w:t>ose certificates</w:t>
      </w:r>
      <w:r w:rsidR="00C168F0" w:rsidRPr="00E50FA4">
        <w:rPr>
          <w:rFonts w:ascii="Times New Roman" w:eastAsiaTheme="minorEastAsia" w:hAnsi="Times New Roman" w:cstheme="minorBidi"/>
          <w:noProof/>
          <w:sz w:val="24"/>
          <w:szCs w:val="24"/>
        </w:rPr>
        <w:t xml:space="preserve"> are </w:t>
      </w:r>
      <w:r w:rsidR="00CA79F3" w:rsidRPr="00E50FA4">
        <w:rPr>
          <w:rFonts w:ascii="Times New Roman" w:eastAsiaTheme="minorEastAsia" w:hAnsi="Times New Roman" w:cstheme="minorBidi"/>
          <w:noProof/>
          <w:sz w:val="24"/>
          <w:szCs w:val="24"/>
        </w:rPr>
        <w:t xml:space="preserve">referred to </w:t>
      </w:r>
      <w:r w:rsidR="00C168F0" w:rsidRPr="00E50FA4">
        <w:rPr>
          <w:rFonts w:ascii="Times New Roman" w:eastAsiaTheme="minorEastAsia" w:hAnsi="Times New Roman" w:cstheme="minorBidi"/>
          <w:noProof/>
          <w:sz w:val="24"/>
          <w:szCs w:val="24"/>
        </w:rPr>
        <w:t xml:space="preserve">as a certificate recognised by a Member State or by a legal person designated by it, which indicates the energy performance of a building or building unit, calculated </w:t>
      </w:r>
      <w:r w:rsidR="00AB3EA6" w:rsidRPr="00E50FA4">
        <w:rPr>
          <w:rFonts w:ascii="Times New Roman" w:eastAsiaTheme="minorEastAsia" w:hAnsi="Times New Roman" w:cstheme="minorBidi"/>
          <w:noProof/>
          <w:sz w:val="24"/>
          <w:szCs w:val="24"/>
        </w:rPr>
        <w:t xml:space="preserve">in accordance </w:t>
      </w:r>
      <w:r w:rsidR="002200C7" w:rsidRPr="00E50FA4">
        <w:rPr>
          <w:rFonts w:ascii="Times New Roman" w:eastAsiaTheme="minorEastAsia" w:hAnsi="Times New Roman" w:cstheme="minorBidi"/>
          <w:noProof/>
          <w:sz w:val="24"/>
          <w:szCs w:val="24"/>
        </w:rPr>
        <w:t xml:space="preserve">with </w:t>
      </w:r>
      <w:r w:rsidR="0022273E" w:rsidRPr="00E50FA4">
        <w:rPr>
          <w:rFonts w:ascii="Times New Roman" w:eastAsiaTheme="minorEastAsia" w:hAnsi="Times New Roman" w:cstheme="minorBidi"/>
          <w:noProof/>
          <w:sz w:val="24"/>
          <w:szCs w:val="24"/>
        </w:rPr>
        <w:t>that Directive</w:t>
      </w:r>
      <w:r w:rsidR="00C168F0" w:rsidRPr="00E50FA4">
        <w:rPr>
          <w:rFonts w:ascii="Times New Roman" w:eastAsiaTheme="minorEastAsia" w:hAnsi="Times New Roman" w:cstheme="minorBidi"/>
          <w:noProof/>
          <w:sz w:val="24"/>
          <w:szCs w:val="24"/>
        </w:rPr>
        <w:t>.</w:t>
      </w:r>
    </w:p>
    <w:p w14:paraId="356E4A10" w14:textId="1F698B20" w:rsidR="003B576A" w:rsidRPr="00E50FA4" w:rsidRDefault="00791E28" w:rsidP="00B76863">
      <w:pPr>
        <w:pStyle w:val="ListParagraph"/>
        <w:numPr>
          <w:ilvl w:val="0"/>
          <w:numId w:val="71"/>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T</w:t>
      </w:r>
      <w:r w:rsidR="00C168F0" w:rsidRPr="00E50FA4">
        <w:rPr>
          <w:rFonts w:ascii="Times New Roman" w:hAnsi="Times New Roman"/>
          <w:noProof/>
          <w:sz w:val="24"/>
        </w:rPr>
        <w:t>his template show</w:t>
      </w:r>
      <w:r w:rsidR="0022273E" w:rsidRPr="00E50FA4">
        <w:rPr>
          <w:rFonts w:ascii="Times New Roman" w:hAnsi="Times New Roman"/>
          <w:noProof/>
          <w:sz w:val="24"/>
        </w:rPr>
        <w:t>s</w:t>
      </w:r>
      <w:r w:rsidR="00C168F0" w:rsidRPr="00E50FA4">
        <w:rPr>
          <w:rFonts w:ascii="Times New Roman" w:hAnsi="Times New Roman"/>
          <w:noProof/>
          <w:sz w:val="24"/>
        </w:rPr>
        <w:t xml:space="preserve"> the </w:t>
      </w:r>
      <w:r w:rsidRPr="00E50FA4">
        <w:rPr>
          <w:rFonts w:ascii="Times New Roman" w:hAnsi="Times New Roman"/>
          <w:noProof/>
          <w:sz w:val="24"/>
        </w:rPr>
        <w:t>gross carrying amount, as</w:t>
      </w:r>
      <w:r w:rsidR="00CA79F3" w:rsidRPr="00E50FA4">
        <w:rPr>
          <w:rFonts w:ascii="Times New Roman" w:hAnsi="Times New Roman"/>
          <w:noProof/>
          <w:sz w:val="24"/>
        </w:rPr>
        <w:t xml:space="preserve"> referred to</w:t>
      </w:r>
      <w:r w:rsidR="00AB3EA6" w:rsidRPr="00E50FA4">
        <w:rPr>
          <w:rFonts w:ascii="Times New Roman" w:hAnsi="Times New Roman"/>
          <w:noProof/>
          <w:sz w:val="24"/>
        </w:rPr>
        <w:t xml:space="preserve"> </w:t>
      </w:r>
      <w:r w:rsidRPr="00E50FA4">
        <w:rPr>
          <w:rFonts w:ascii="Times New Roman" w:hAnsi="Times New Roman"/>
          <w:noProof/>
          <w:sz w:val="24"/>
        </w:rPr>
        <w:t xml:space="preserve">in Part 1 of Annex V </w:t>
      </w:r>
      <w:r w:rsidR="0022273E" w:rsidRPr="00E50FA4">
        <w:rPr>
          <w:rFonts w:ascii="Times New Roman" w:hAnsi="Times New Roman"/>
          <w:noProof/>
          <w:sz w:val="24"/>
        </w:rPr>
        <w:t>to</w:t>
      </w:r>
      <w:r w:rsidRPr="00E50FA4">
        <w:rPr>
          <w:rFonts w:ascii="Times New Roman" w:hAnsi="Times New Roman"/>
          <w:noProof/>
          <w:sz w:val="24"/>
        </w:rPr>
        <w:t xml:space="preserve"> </w:t>
      </w:r>
      <w:r w:rsidR="00334AEC" w:rsidRPr="00E50FA4">
        <w:rPr>
          <w:rFonts w:ascii="Times New Roman" w:eastAsia="Times New Roman" w:hAnsi="Times New Roman"/>
          <w:noProof/>
          <w:sz w:val="24"/>
        </w:rPr>
        <w:t xml:space="preserve">Implementing Regulation (EU) </w:t>
      </w:r>
      <w:r w:rsidR="003D6E3A" w:rsidRPr="00E50FA4">
        <w:rPr>
          <w:rFonts w:ascii="Times New Roman" w:eastAsia="Times New Roman" w:hAnsi="Times New Roman"/>
          <w:noProof/>
          <w:sz w:val="24"/>
        </w:rPr>
        <w:t>2021</w:t>
      </w:r>
      <w:r w:rsidR="00334AEC" w:rsidRPr="00E50FA4">
        <w:rPr>
          <w:rFonts w:ascii="Times New Roman" w:eastAsia="Times New Roman" w:hAnsi="Times New Roman"/>
          <w:noProof/>
          <w:sz w:val="24"/>
        </w:rPr>
        <w:t>/</w:t>
      </w:r>
      <w:r w:rsidR="0031031A" w:rsidRPr="00E50FA4">
        <w:rPr>
          <w:rFonts w:ascii="Times New Roman" w:eastAsia="Times New Roman" w:hAnsi="Times New Roman"/>
          <w:noProof/>
          <w:sz w:val="24"/>
        </w:rPr>
        <w:t>451</w:t>
      </w:r>
      <w:r w:rsidRPr="00E50FA4">
        <w:rPr>
          <w:rFonts w:ascii="Times New Roman" w:hAnsi="Times New Roman"/>
          <w:noProof/>
          <w:sz w:val="24"/>
        </w:rPr>
        <w:t xml:space="preserve">, of </w:t>
      </w:r>
      <w:r w:rsidR="00C168F0" w:rsidRPr="00E50FA4">
        <w:rPr>
          <w:rFonts w:ascii="Times New Roman" w:hAnsi="Times New Roman"/>
          <w:noProof/>
          <w:sz w:val="24"/>
        </w:rPr>
        <w:t>loans</w:t>
      </w:r>
      <w:r w:rsidRPr="00E50FA4">
        <w:rPr>
          <w:rFonts w:ascii="Times New Roman" w:hAnsi="Times New Roman"/>
          <w:noProof/>
          <w:sz w:val="24"/>
        </w:rPr>
        <w:t xml:space="preserve"> collateralised with </w:t>
      </w:r>
      <w:r w:rsidR="000949E0" w:rsidRPr="00E50FA4">
        <w:rPr>
          <w:rFonts w:ascii="Times New Roman" w:hAnsi="Times New Roman"/>
          <w:noProof/>
          <w:sz w:val="24"/>
        </w:rPr>
        <w:t xml:space="preserve">commercial and residential </w:t>
      </w:r>
      <w:r w:rsidRPr="00E50FA4">
        <w:rPr>
          <w:rFonts w:ascii="Times New Roman" w:hAnsi="Times New Roman"/>
          <w:noProof/>
          <w:sz w:val="24"/>
        </w:rPr>
        <w:t>immovable property and of repossessed real estate collaterals</w:t>
      </w:r>
      <w:r w:rsidR="00B02292" w:rsidRPr="00E50FA4">
        <w:rPr>
          <w:rFonts w:ascii="Times New Roman" w:hAnsi="Times New Roman"/>
          <w:noProof/>
          <w:sz w:val="24"/>
        </w:rPr>
        <w:t>,</w:t>
      </w:r>
      <w:r w:rsidR="000949E0" w:rsidRPr="00E50FA4">
        <w:rPr>
          <w:rFonts w:ascii="Times New Roman" w:hAnsi="Times New Roman"/>
          <w:noProof/>
          <w:sz w:val="24"/>
        </w:rPr>
        <w:t xml:space="preserve"> including information on the level of energy efficiency of the collaterals measured </w:t>
      </w:r>
      <w:r w:rsidR="00064FCD" w:rsidRPr="00E50FA4">
        <w:rPr>
          <w:rFonts w:ascii="Times New Roman" w:hAnsi="Times New Roman"/>
          <w:noProof/>
          <w:sz w:val="24"/>
        </w:rPr>
        <w:t>in terms of kWh/m²</w:t>
      </w:r>
      <w:r w:rsidR="003B576A" w:rsidRPr="00E50FA4">
        <w:rPr>
          <w:rFonts w:ascii="Times New Roman" w:hAnsi="Times New Roman"/>
          <w:noProof/>
          <w:sz w:val="24"/>
        </w:rPr>
        <w:t xml:space="preserve"> energy consumption</w:t>
      </w:r>
      <w:r w:rsidR="000949E0" w:rsidRPr="00E50FA4">
        <w:rPr>
          <w:rFonts w:ascii="Times New Roman" w:hAnsi="Times New Roman"/>
          <w:noProof/>
          <w:sz w:val="24"/>
        </w:rPr>
        <w:t xml:space="preserve"> (columns </w:t>
      </w:r>
      <w:r w:rsidR="0022273E" w:rsidRPr="00E50FA4">
        <w:rPr>
          <w:rFonts w:ascii="Times New Roman" w:hAnsi="Times New Roman"/>
          <w:noProof/>
          <w:sz w:val="24"/>
        </w:rPr>
        <w:t>(</w:t>
      </w:r>
      <w:r w:rsidR="000949E0" w:rsidRPr="00E50FA4">
        <w:rPr>
          <w:rFonts w:ascii="Times New Roman" w:hAnsi="Times New Roman"/>
          <w:noProof/>
          <w:sz w:val="24"/>
        </w:rPr>
        <w:t>b</w:t>
      </w:r>
      <w:r w:rsidR="0022273E" w:rsidRPr="00E50FA4">
        <w:rPr>
          <w:rFonts w:ascii="Times New Roman" w:hAnsi="Times New Roman"/>
          <w:noProof/>
          <w:sz w:val="24"/>
        </w:rPr>
        <w:t>)</w:t>
      </w:r>
      <w:r w:rsidR="000949E0" w:rsidRPr="00E50FA4">
        <w:rPr>
          <w:rFonts w:ascii="Times New Roman" w:hAnsi="Times New Roman"/>
          <w:noProof/>
          <w:sz w:val="24"/>
        </w:rPr>
        <w:t xml:space="preserve"> to </w:t>
      </w:r>
      <w:r w:rsidR="0022273E" w:rsidRPr="00E50FA4">
        <w:rPr>
          <w:rFonts w:ascii="Times New Roman" w:hAnsi="Times New Roman"/>
          <w:noProof/>
          <w:sz w:val="24"/>
        </w:rPr>
        <w:t>(</w:t>
      </w:r>
      <w:r w:rsidR="000949E0" w:rsidRPr="00E50FA4">
        <w:rPr>
          <w:rFonts w:ascii="Times New Roman" w:hAnsi="Times New Roman"/>
          <w:noProof/>
          <w:sz w:val="24"/>
        </w:rPr>
        <w:t>g</w:t>
      </w:r>
      <w:r w:rsidR="0022273E" w:rsidRPr="00E50FA4">
        <w:rPr>
          <w:rFonts w:ascii="Times New Roman" w:hAnsi="Times New Roman"/>
          <w:noProof/>
          <w:sz w:val="24"/>
        </w:rPr>
        <w:t>)</w:t>
      </w:r>
      <w:r w:rsidR="000949E0" w:rsidRPr="00E50FA4">
        <w:rPr>
          <w:rFonts w:ascii="Times New Roman" w:hAnsi="Times New Roman"/>
          <w:noProof/>
          <w:sz w:val="24"/>
        </w:rPr>
        <w:t xml:space="preserve"> of the template)</w:t>
      </w:r>
      <w:r w:rsidR="00B02292" w:rsidRPr="00E50FA4">
        <w:rPr>
          <w:rFonts w:ascii="Times New Roman" w:hAnsi="Times New Roman"/>
          <w:noProof/>
          <w:sz w:val="24"/>
        </w:rPr>
        <w:t>,</w:t>
      </w:r>
      <w:r w:rsidR="000949E0" w:rsidRPr="00E50FA4">
        <w:rPr>
          <w:rFonts w:ascii="Times New Roman" w:hAnsi="Times New Roman"/>
          <w:noProof/>
          <w:sz w:val="24"/>
        </w:rPr>
        <w:t xml:space="preserve"> in terms </w:t>
      </w:r>
      <w:r w:rsidR="003B576A" w:rsidRPr="00E50FA4">
        <w:rPr>
          <w:rFonts w:ascii="Times New Roman" w:hAnsi="Times New Roman"/>
          <w:noProof/>
          <w:sz w:val="24"/>
        </w:rPr>
        <w:t>o</w:t>
      </w:r>
      <w:r w:rsidR="000949E0" w:rsidRPr="00E50FA4">
        <w:rPr>
          <w:rFonts w:ascii="Times New Roman" w:hAnsi="Times New Roman"/>
          <w:noProof/>
          <w:sz w:val="24"/>
        </w:rPr>
        <w:t>f t</w:t>
      </w:r>
      <w:r w:rsidR="003B576A" w:rsidRPr="00E50FA4">
        <w:rPr>
          <w:rFonts w:ascii="Times New Roman" w:hAnsi="Times New Roman"/>
          <w:noProof/>
          <w:sz w:val="24"/>
        </w:rPr>
        <w:t>h</w:t>
      </w:r>
      <w:r w:rsidR="000949E0" w:rsidRPr="00E50FA4">
        <w:rPr>
          <w:rFonts w:ascii="Times New Roman" w:hAnsi="Times New Roman"/>
          <w:noProof/>
          <w:sz w:val="24"/>
        </w:rPr>
        <w:t xml:space="preserve">e </w:t>
      </w:r>
      <w:r w:rsidR="003B576A" w:rsidRPr="00E50FA4">
        <w:rPr>
          <w:rFonts w:ascii="Times New Roman" w:hAnsi="Times New Roman"/>
          <w:noProof/>
          <w:sz w:val="24"/>
        </w:rPr>
        <w:t>label of the</w:t>
      </w:r>
      <w:r w:rsidR="009A51C8" w:rsidRPr="00E50FA4">
        <w:rPr>
          <w:rFonts w:ascii="Times New Roman" w:hAnsi="Times New Roman"/>
          <w:noProof/>
          <w:sz w:val="24"/>
        </w:rPr>
        <w:t xml:space="preserve"> energy performance certificate</w:t>
      </w:r>
      <w:r w:rsidR="003B576A" w:rsidRPr="00E50FA4">
        <w:rPr>
          <w:rFonts w:ascii="Times New Roman" w:hAnsi="Times New Roman"/>
          <w:noProof/>
          <w:sz w:val="24"/>
        </w:rPr>
        <w:t xml:space="preserve"> </w:t>
      </w:r>
      <w:r w:rsidR="009A51C8" w:rsidRPr="00E50FA4">
        <w:rPr>
          <w:rFonts w:ascii="Times New Roman" w:hAnsi="Times New Roman"/>
          <w:noProof/>
          <w:sz w:val="24"/>
        </w:rPr>
        <w:t>(</w:t>
      </w:r>
      <w:r w:rsidR="000949E0" w:rsidRPr="00E50FA4">
        <w:rPr>
          <w:rFonts w:ascii="Times New Roman" w:hAnsi="Times New Roman"/>
          <w:noProof/>
          <w:sz w:val="24"/>
        </w:rPr>
        <w:t>EP</w:t>
      </w:r>
      <w:r w:rsidR="003B576A" w:rsidRPr="00E50FA4">
        <w:rPr>
          <w:rFonts w:ascii="Times New Roman" w:hAnsi="Times New Roman"/>
          <w:noProof/>
          <w:sz w:val="24"/>
        </w:rPr>
        <w:t>C</w:t>
      </w:r>
      <w:r w:rsidR="009A51C8" w:rsidRPr="00E50FA4">
        <w:rPr>
          <w:rFonts w:ascii="Times New Roman" w:hAnsi="Times New Roman"/>
          <w:noProof/>
          <w:sz w:val="24"/>
        </w:rPr>
        <w:t>)</w:t>
      </w:r>
      <w:r w:rsidR="002A32C2" w:rsidRPr="00E50FA4">
        <w:rPr>
          <w:rFonts w:ascii="Times New Roman" w:hAnsi="Times New Roman"/>
          <w:noProof/>
          <w:sz w:val="24"/>
        </w:rPr>
        <w:t xml:space="preserve"> </w:t>
      </w:r>
      <w:r w:rsidR="000949E0" w:rsidRPr="00E50FA4">
        <w:rPr>
          <w:rFonts w:ascii="Times New Roman" w:hAnsi="Times New Roman"/>
          <w:noProof/>
          <w:sz w:val="24"/>
        </w:rPr>
        <w:t>of the collateral</w:t>
      </w:r>
      <w:r w:rsidR="002A32C2" w:rsidRPr="00E50FA4">
        <w:rPr>
          <w:rFonts w:ascii="Times New Roman" w:hAnsi="Times New Roman"/>
          <w:noProof/>
          <w:sz w:val="24"/>
        </w:rPr>
        <w:t xml:space="preserve"> as</w:t>
      </w:r>
      <w:r w:rsidR="009620B8" w:rsidRPr="00E50FA4">
        <w:rPr>
          <w:rFonts w:ascii="Times New Roman" w:hAnsi="Times New Roman"/>
          <w:noProof/>
          <w:sz w:val="24"/>
        </w:rPr>
        <w:t xml:space="preserve"> </w:t>
      </w:r>
      <w:r w:rsidR="006209B6" w:rsidRPr="00E50FA4">
        <w:rPr>
          <w:rFonts w:ascii="Times New Roman" w:hAnsi="Times New Roman"/>
          <w:noProof/>
          <w:sz w:val="24"/>
        </w:rPr>
        <w:t>referred to</w:t>
      </w:r>
      <w:r w:rsidR="002A32C2" w:rsidRPr="00E50FA4">
        <w:rPr>
          <w:rFonts w:ascii="Times New Roman" w:hAnsi="Times New Roman"/>
          <w:noProof/>
          <w:sz w:val="24"/>
        </w:rPr>
        <w:t xml:space="preserve"> in Article 2</w:t>
      </w:r>
      <w:r w:rsidR="0022273E" w:rsidRPr="00E50FA4">
        <w:rPr>
          <w:rFonts w:ascii="Times New Roman" w:hAnsi="Times New Roman"/>
          <w:noProof/>
          <w:sz w:val="24"/>
        </w:rPr>
        <w:t xml:space="preserve">, point </w:t>
      </w:r>
      <w:r w:rsidR="002A32C2" w:rsidRPr="00E50FA4">
        <w:rPr>
          <w:rFonts w:ascii="Times New Roman" w:hAnsi="Times New Roman"/>
          <w:noProof/>
          <w:sz w:val="24"/>
        </w:rPr>
        <w:t>(12)</w:t>
      </w:r>
      <w:r w:rsidR="0022273E" w:rsidRPr="00E50FA4">
        <w:rPr>
          <w:rFonts w:ascii="Times New Roman" w:hAnsi="Times New Roman"/>
          <w:noProof/>
          <w:sz w:val="24"/>
        </w:rPr>
        <w:t>,</w:t>
      </w:r>
      <w:r w:rsidR="002A32C2" w:rsidRPr="00E50FA4">
        <w:rPr>
          <w:rFonts w:ascii="Times New Roman" w:hAnsi="Times New Roman"/>
          <w:noProof/>
          <w:sz w:val="24"/>
        </w:rPr>
        <w:t xml:space="preserve"> of </w:t>
      </w:r>
      <w:r w:rsidR="0022273E" w:rsidRPr="00E50FA4">
        <w:rPr>
          <w:rFonts w:ascii="Times New Roman" w:hAnsi="Times New Roman"/>
          <w:noProof/>
          <w:sz w:val="24"/>
        </w:rPr>
        <w:t xml:space="preserve">Directive </w:t>
      </w:r>
      <w:r w:rsidR="002A32C2" w:rsidRPr="00E50FA4">
        <w:rPr>
          <w:rFonts w:ascii="Times New Roman" w:eastAsiaTheme="minorEastAsia" w:hAnsi="Times New Roman" w:cstheme="minorBidi"/>
          <w:noProof/>
          <w:sz w:val="24"/>
          <w:szCs w:val="24"/>
        </w:rPr>
        <w:t xml:space="preserve">2010/31/EU for </w:t>
      </w:r>
      <w:r w:rsidR="0022273E" w:rsidRPr="00E50FA4">
        <w:rPr>
          <w:rFonts w:ascii="Times New Roman" w:eastAsiaTheme="minorEastAsia" w:hAnsi="Times New Roman" w:cstheme="minorBidi"/>
          <w:noProof/>
          <w:sz w:val="24"/>
          <w:szCs w:val="24"/>
        </w:rPr>
        <w:t>Member States</w:t>
      </w:r>
      <w:r w:rsidR="002A32C2" w:rsidRPr="00E50FA4">
        <w:rPr>
          <w:rFonts w:ascii="Times New Roman" w:eastAsiaTheme="minorEastAsia" w:hAnsi="Times New Roman" w:cstheme="minorBidi"/>
          <w:noProof/>
          <w:sz w:val="24"/>
          <w:szCs w:val="24"/>
        </w:rPr>
        <w:t>,</w:t>
      </w:r>
      <w:r w:rsidR="002A32C2" w:rsidRPr="00E50FA4">
        <w:rPr>
          <w:rFonts w:ascii="Times New Roman" w:hAnsi="Times New Roman"/>
          <w:noProof/>
          <w:sz w:val="24"/>
        </w:rPr>
        <w:t xml:space="preserve"> </w:t>
      </w:r>
      <w:r w:rsidR="002A32C2" w:rsidRPr="00E50FA4">
        <w:rPr>
          <w:rFonts w:ascii="Times New Roman" w:eastAsiaTheme="minorEastAsia" w:hAnsi="Times New Roman" w:cstheme="minorBidi"/>
          <w:noProof/>
          <w:sz w:val="24"/>
          <w:szCs w:val="24"/>
        </w:rPr>
        <w:t xml:space="preserve">or as defined in </w:t>
      </w:r>
      <w:r w:rsidR="00552EFF" w:rsidRPr="00E50FA4">
        <w:rPr>
          <w:rFonts w:ascii="Times New Roman" w:eastAsiaTheme="minorEastAsia" w:hAnsi="Times New Roman" w:cstheme="minorBidi"/>
          <w:noProof/>
          <w:sz w:val="24"/>
          <w:szCs w:val="24"/>
        </w:rPr>
        <w:t xml:space="preserve">any </w:t>
      </w:r>
      <w:r w:rsidR="002A32C2" w:rsidRPr="00E50FA4">
        <w:rPr>
          <w:rFonts w:ascii="Times New Roman" w:eastAsiaTheme="minorEastAsia" w:hAnsi="Times New Roman" w:cstheme="minorBidi"/>
          <w:noProof/>
          <w:sz w:val="24"/>
          <w:szCs w:val="24"/>
        </w:rPr>
        <w:t xml:space="preserve">relevant </w:t>
      </w:r>
      <w:r w:rsidR="00D71136" w:rsidRPr="00E50FA4">
        <w:rPr>
          <w:rFonts w:ascii="Times New Roman" w:eastAsiaTheme="minorEastAsia" w:hAnsi="Times New Roman" w:cstheme="minorBidi"/>
          <w:noProof/>
          <w:sz w:val="24"/>
          <w:szCs w:val="24"/>
        </w:rPr>
        <w:t xml:space="preserve">local </w:t>
      </w:r>
      <w:r w:rsidR="002A32C2" w:rsidRPr="00E50FA4">
        <w:rPr>
          <w:rFonts w:ascii="Times New Roman" w:eastAsiaTheme="minorEastAsia" w:hAnsi="Times New Roman" w:cstheme="minorBidi"/>
          <w:noProof/>
          <w:sz w:val="24"/>
          <w:szCs w:val="24"/>
        </w:rPr>
        <w:t>regulation for those exposures outside the U</w:t>
      </w:r>
      <w:r w:rsidR="0022273E" w:rsidRPr="00E50FA4">
        <w:rPr>
          <w:rFonts w:ascii="Times New Roman" w:eastAsiaTheme="minorEastAsia" w:hAnsi="Times New Roman" w:cstheme="minorBidi"/>
          <w:noProof/>
          <w:sz w:val="24"/>
          <w:szCs w:val="24"/>
        </w:rPr>
        <w:t>nion</w:t>
      </w:r>
      <w:r w:rsidR="002A32C2" w:rsidRPr="00E50FA4">
        <w:rPr>
          <w:rFonts w:ascii="Times New Roman" w:eastAsiaTheme="minorEastAsia" w:hAnsi="Times New Roman" w:cstheme="minorBidi"/>
          <w:noProof/>
          <w:sz w:val="24"/>
          <w:szCs w:val="24"/>
        </w:rPr>
        <w:t>, where a mapping to the U</w:t>
      </w:r>
      <w:r w:rsidR="0022273E" w:rsidRPr="00E50FA4">
        <w:rPr>
          <w:rFonts w:ascii="Times New Roman" w:eastAsiaTheme="minorEastAsia" w:hAnsi="Times New Roman" w:cstheme="minorBidi"/>
          <w:noProof/>
          <w:sz w:val="24"/>
          <w:szCs w:val="24"/>
        </w:rPr>
        <w:t>nion</w:t>
      </w:r>
      <w:r w:rsidR="002A32C2" w:rsidRPr="00E50FA4">
        <w:rPr>
          <w:rFonts w:ascii="Times New Roman" w:eastAsiaTheme="minorEastAsia" w:hAnsi="Times New Roman" w:cstheme="minorBidi"/>
          <w:noProof/>
          <w:sz w:val="24"/>
          <w:szCs w:val="24"/>
        </w:rPr>
        <w:t xml:space="preserve"> EPC label exists</w:t>
      </w:r>
      <w:r w:rsidR="000949E0" w:rsidRPr="00E50FA4">
        <w:rPr>
          <w:rFonts w:ascii="Times New Roman" w:hAnsi="Times New Roman"/>
          <w:noProof/>
          <w:sz w:val="24"/>
        </w:rPr>
        <w:t xml:space="preserve"> (</w:t>
      </w:r>
      <w:r w:rsidR="00064FCD" w:rsidRPr="00E50FA4">
        <w:rPr>
          <w:rFonts w:ascii="Times New Roman" w:hAnsi="Times New Roman"/>
          <w:noProof/>
          <w:sz w:val="24"/>
        </w:rPr>
        <w:t xml:space="preserve">columns </w:t>
      </w:r>
      <w:r w:rsidR="0022273E" w:rsidRPr="00E50FA4">
        <w:rPr>
          <w:rFonts w:ascii="Times New Roman" w:hAnsi="Times New Roman"/>
          <w:noProof/>
          <w:sz w:val="24"/>
        </w:rPr>
        <w:t>(</w:t>
      </w:r>
      <w:r w:rsidR="000949E0" w:rsidRPr="00E50FA4">
        <w:rPr>
          <w:rFonts w:ascii="Times New Roman" w:hAnsi="Times New Roman"/>
          <w:noProof/>
          <w:sz w:val="24"/>
        </w:rPr>
        <w:t>h</w:t>
      </w:r>
      <w:r w:rsidR="0022273E" w:rsidRPr="00E50FA4">
        <w:rPr>
          <w:rFonts w:ascii="Times New Roman" w:hAnsi="Times New Roman"/>
          <w:noProof/>
          <w:sz w:val="24"/>
        </w:rPr>
        <w:t>)</w:t>
      </w:r>
      <w:r w:rsidR="00064FCD" w:rsidRPr="00E50FA4">
        <w:rPr>
          <w:rFonts w:ascii="Times New Roman" w:hAnsi="Times New Roman"/>
          <w:noProof/>
          <w:sz w:val="24"/>
        </w:rPr>
        <w:t xml:space="preserve"> to </w:t>
      </w:r>
      <w:r w:rsidR="0022273E" w:rsidRPr="00E50FA4">
        <w:rPr>
          <w:rFonts w:ascii="Times New Roman" w:hAnsi="Times New Roman"/>
          <w:noProof/>
          <w:sz w:val="24"/>
        </w:rPr>
        <w:t>(</w:t>
      </w:r>
      <w:r w:rsidR="000949E0" w:rsidRPr="00E50FA4">
        <w:rPr>
          <w:rFonts w:ascii="Times New Roman" w:hAnsi="Times New Roman"/>
          <w:noProof/>
          <w:sz w:val="24"/>
        </w:rPr>
        <w:t>n</w:t>
      </w:r>
      <w:r w:rsidR="0022273E" w:rsidRPr="00E50FA4">
        <w:rPr>
          <w:rFonts w:ascii="Times New Roman" w:hAnsi="Times New Roman"/>
          <w:noProof/>
          <w:sz w:val="24"/>
        </w:rPr>
        <w:t>)</w:t>
      </w:r>
      <w:r w:rsidR="000949E0" w:rsidRPr="00E50FA4">
        <w:rPr>
          <w:rFonts w:ascii="Times New Roman" w:hAnsi="Times New Roman"/>
          <w:noProof/>
          <w:sz w:val="24"/>
        </w:rPr>
        <w:t>)</w:t>
      </w:r>
      <w:r w:rsidR="00064FCD" w:rsidRPr="00E50FA4">
        <w:rPr>
          <w:rFonts w:ascii="Times New Roman" w:hAnsi="Times New Roman"/>
          <w:noProof/>
          <w:sz w:val="24"/>
        </w:rPr>
        <w:t>.</w:t>
      </w:r>
      <w:r w:rsidR="009620B8" w:rsidRPr="00E50FA4">
        <w:rPr>
          <w:rFonts w:ascii="Times New Roman" w:hAnsi="Times New Roman"/>
          <w:noProof/>
          <w:sz w:val="24"/>
        </w:rPr>
        <w:t xml:space="preserve">  </w:t>
      </w:r>
    </w:p>
    <w:p w14:paraId="52CC1E3F" w14:textId="5E48854F" w:rsidR="007D3E67" w:rsidRPr="00E50FA4" w:rsidRDefault="007D3E67" w:rsidP="00E50FA4">
      <w:pPr>
        <w:pStyle w:val="CommentText"/>
        <w:jc w:val="both"/>
        <w:rPr>
          <w:noProof/>
        </w:rPr>
      </w:pPr>
    </w:p>
    <w:p w14:paraId="631C1B5B" w14:textId="1460D325" w:rsidR="003B576A" w:rsidRPr="00E50FA4" w:rsidRDefault="004C61E0" w:rsidP="00B76863">
      <w:pPr>
        <w:pStyle w:val="ListParagraph"/>
        <w:numPr>
          <w:ilvl w:val="0"/>
          <w:numId w:val="71"/>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In particular, in columns (b) to (g), institutions shall disclose the gross carrying amount of exposures by energy efficiency buckets based on the specific energy consumption of the collateral in kWh/m</w:t>
      </w:r>
      <w:r w:rsidRPr="00E50FA4">
        <w:rPr>
          <w:rFonts w:ascii="Times New Roman" w:hAnsi="Times New Roman"/>
          <w:noProof/>
          <w:sz w:val="24"/>
          <w:vertAlign w:val="superscript"/>
        </w:rPr>
        <w:t>2</w:t>
      </w:r>
      <w:r w:rsidRPr="00B76863">
        <w:rPr>
          <w:rFonts w:ascii="Times New Roman" w:hAnsi="Times New Roman"/>
          <w:noProof/>
          <w:sz w:val="24"/>
        </w:rPr>
        <w:t xml:space="preserve">, </w:t>
      </w:r>
      <w:r w:rsidRPr="00E50FA4">
        <w:rPr>
          <w:rFonts w:ascii="Times New Roman" w:hAnsi="Times New Roman"/>
          <w:noProof/>
          <w:sz w:val="24"/>
        </w:rPr>
        <w:t>as indicated</w:t>
      </w:r>
      <w:r w:rsidRPr="00E50FA4">
        <w:rPr>
          <w:rFonts w:ascii="Times New Roman" w:hAnsi="Times New Roman"/>
          <w:noProof/>
          <w:sz w:val="24"/>
          <w:vertAlign w:val="superscript"/>
        </w:rPr>
        <w:t xml:space="preserve"> </w:t>
      </w:r>
      <w:r w:rsidRPr="00E50FA4">
        <w:rPr>
          <w:rFonts w:ascii="Times New Roman" w:hAnsi="Times New Roman"/>
          <w:noProof/>
          <w:sz w:val="24"/>
        </w:rPr>
        <w:t xml:space="preserve">in the EPC label of the collateral or estimated by institutions in the absence of the EPC label. Institutions shall indicate in rows 5 and 10 of the template the extent to which those data are estimated and not based on EPC labels. In columns (h) to (n), institutions shall disclose the gross carrying amount of exposures grouped by the EPC label of the collateral for those collaterals where the EPC is available to the institution. </w:t>
      </w:r>
    </w:p>
    <w:p w14:paraId="48526034" w14:textId="69A445E3" w:rsidR="00C168F0" w:rsidRPr="00E50FA4" w:rsidRDefault="00C168F0" w:rsidP="00B76863">
      <w:pPr>
        <w:pStyle w:val="ListParagraph"/>
        <w:numPr>
          <w:ilvl w:val="0"/>
          <w:numId w:val="71"/>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When disclosing the EPC distribution of the collaterals, institutions </w:t>
      </w:r>
      <w:r w:rsidR="00AE5E60" w:rsidRPr="00E50FA4">
        <w:rPr>
          <w:rFonts w:ascii="Times New Roman" w:hAnsi="Times New Roman"/>
          <w:noProof/>
          <w:sz w:val="24"/>
        </w:rPr>
        <w:t>shall</w:t>
      </w:r>
      <w:r w:rsidRPr="00E50FA4">
        <w:rPr>
          <w:rFonts w:ascii="Times New Roman" w:hAnsi="Times New Roman"/>
          <w:noProof/>
          <w:sz w:val="24"/>
        </w:rPr>
        <w:t xml:space="preserve"> disclose separately</w:t>
      </w:r>
      <w:r w:rsidR="00064FCD" w:rsidRPr="00E50FA4">
        <w:rPr>
          <w:rFonts w:ascii="Times New Roman" w:hAnsi="Times New Roman"/>
          <w:noProof/>
          <w:sz w:val="24"/>
        </w:rPr>
        <w:t xml:space="preserve">, in column </w:t>
      </w:r>
      <w:r w:rsidR="004C1D00" w:rsidRPr="00E50FA4">
        <w:rPr>
          <w:rFonts w:ascii="Times New Roman" w:hAnsi="Times New Roman"/>
          <w:noProof/>
          <w:sz w:val="24"/>
        </w:rPr>
        <w:t>(</w:t>
      </w:r>
      <w:r w:rsidR="00064FCD" w:rsidRPr="00E50FA4">
        <w:rPr>
          <w:rFonts w:ascii="Times New Roman" w:hAnsi="Times New Roman"/>
          <w:noProof/>
          <w:sz w:val="24"/>
        </w:rPr>
        <w:t>o</w:t>
      </w:r>
      <w:r w:rsidR="004C1D00" w:rsidRPr="00E50FA4">
        <w:rPr>
          <w:rFonts w:ascii="Times New Roman" w:hAnsi="Times New Roman"/>
          <w:noProof/>
          <w:sz w:val="24"/>
        </w:rPr>
        <w:t>)</w:t>
      </w:r>
      <w:r w:rsidR="00064FCD" w:rsidRPr="00E50FA4">
        <w:rPr>
          <w:rFonts w:ascii="Times New Roman" w:hAnsi="Times New Roman"/>
          <w:noProof/>
          <w:sz w:val="24"/>
        </w:rPr>
        <w:t xml:space="preserve">, </w:t>
      </w:r>
      <w:r w:rsidRPr="00E50FA4">
        <w:rPr>
          <w:rFonts w:ascii="Times New Roman" w:hAnsi="Times New Roman"/>
          <w:noProof/>
          <w:sz w:val="24"/>
        </w:rPr>
        <w:t>those exposures for which they do not have the EPC information of the collateral</w:t>
      </w:r>
      <w:r w:rsidR="006209B6" w:rsidRPr="00E50FA4">
        <w:rPr>
          <w:rFonts w:ascii="Times New Roman" w:hAnsi="Times New Roman"/>
          <w:noProof/>
          <w:sz w:val="24"/>
        </w:rPr>
        <w:t>.</w:t>
      </w:r>
      <w:r w:rsidR="003B576A" w:rsidRPr="00E50FA4">
        <w:rPr>
          <w:rFonts w:ascii="Times New Roman" w:hAnsi="Times New Roman"/>
          <w:noProof/>
          <w:sz w:val="24"/>
        </w:rPr>
        <w:t xml:space="preserve"> </w:t>
      </w:r>
      <w:r w:rsidR="006209B6" w:rsidRPr="00E50FA4">
        <w:rPr>
          <w:rFonts w:ascii="Times New Roman" w:hAnsi="Times New Roman"/>
          <w:noProof/>
          <w:sz w:val="24"/>
        </w:rPr>
        <w:t>W</w:t>
      </w:r>
      <w:r w:rsidR="003B576A" w:rsidRPr="00E50FA4">
        <w:rPr>
          <w:rFonts w:ascii="Times New Roman" w:hAnsi="Times New Roman"/>
          <w:noProof/>
          <w:sz w:val="24"/>
        </w:rPr>
        <w:t xml:space="preserve">here </w:t>
      </w:r>
      <w:r w:rsidR="006209B6" w:rsidRPr="00E50FA4">
        <w:rPr>
          <w:rFonts w:ascii="Times New Roman" w:hAnsi="Times New Roman"/>
          <w:noProof/>
          <w:sz w:val="24"/>
        </w:rPr>
        <w:t xml:space="preserve">institutions </w:t>
      </w:r>
      <w:r w:rsidR="00B02292" w:rsidRPr="00E50FA4">
        <w:rPr>
          <w:rFonts w:ascii="Times New Roman" w:hAnsi="Times New Roman"/>
          <w:noProof/>
          <w:sz w:val="24"/>
        </w:rPr>
        <w:t>do not have the EPC information</w:t>
      </w:r>
      <w:r w:rsidR="006209B6" w:rsidRPr="00E50FA4">
        <w:rPr>
          <w:rFonts w:ascii="Times New Roman" w:hAnsi="Times New Roman"/>
          <w:noProof/>
          <w:sz w:val="24"/>
        </w:rPr>
        <w:t>,</w:t>
      </w:r>
      <w:r w:rsidR="00B02292" w:rsidRPr="00E50FA4">
        <w:rPr>
          <w:rFonts w:ascii="Times New Roman" w:hAnsi="Times New Roman"/>
          <w:noProof/>
          <w:sz w:val="24"/>
        </w:rPr>
        <w:t xml:space="preserve"> but </w:t>
      </w:r>
      <w:r w:rsidR="003B576A" w:rsidRPr="00E50FA4">
        <w:rPr>
          <w:rFonts w:ascii="Times New Roman" w:hAnsi="Times New Roman"/>
          <w:noProof/>
          <w:sz w:val="24"/>
        </w:rPr>
        <w:t xml:space="preserve">are using internal </w:t>
      </w:r>
      <w:r w:rsidR="00352AF7" w:rsidRPr="00E50FA4">
        <w:rPr>
          <w:rFonts w:ascii="Times New Roman" w:hAnsi="Times New Roman"/>
          <w:noProof/>
          <w:sz w:val="24"/>
        </w:rPr>
        <w:t xml:space="preserve">calculations </w:t>
      </w:r>
      <w:r w:rsidR="003B576A" w:rsidRPr="00E50FA4">
        <w:rPr>
          <w:rFonts w:ascii="Times New Roman" w:hAnsi="Times New Roman"/>
          <w:noProof/>
          <w:sz w:val="24"/>
        </w:rPr>
        <w:t xml:space="preserve">to estimate the energy efficiency of the collateral, </w:t>
      </w:r>
      <w:r w:rsidR="006209B6" w:rsidRPr="00E50FA4">
        <w:rPr>
          <w:rFonts w:ascii="Times New Roman" w:hAnsi="Times New Roman"/>
          <w:noProof/>
          <w:sz w:val="24"/>
        </w:rPr>
        <w:t xml:space="preserve">institutions are to disclose </w:t>
      </w:r>
      <w:r w:rsidR="003B576A" w:rsidRPr="00E50FA4">
        <w:rPr>
          <w:rFonts w:ascii="Times New Roman" w:hAnsi="Times New Roman"/>
          <w:noProof/>
          <w:sz w:val="24"/>
        </w:rPr>
        <w:t>the percentage of the exposures without EPC label of the collateral for which they are providing estimates</w:t>
      </w:r>
      <w:r w:rsidR="00D02A74" w:rsidRPr="00E50FA4">
        <w:rPr>
          <w:rFonts w:ascii="Times New Roman" w:hAnsi="Times New Roman"/>
          <w:noProof/>
          <w:sz w:val="24"/>
        </w:rPr>
        <w:t xml:space="preserve"> (the percentage is to be computed based on the gross carrying amount of the exposures)</w:t>
      </w:r>
      <w:r w:rsidRPr="00E50FA4">
        <w:rPr>
          <w:rFonts w:ascii="Times New Roman" w:hAnsi="Times New Roman"/>
          <w:noProof/>
          <w:sz w:val="24"/>
        </w:rPr>
        <w:t>.</w:t>
      </w:r>
      <w:r w:rsidR="0058333C" w:rsidRPr="00E50FA4">
        <w:rPr>
          <w:rFonts w:ascii="Times New Roman" w:hAnsi="Times New Roman"/>
          <w:noProof/>
          <w:sz w:val="24"/>
        </w:rPr>
        <w:t xml:space="preserve"> </w:t>
      </w:r>
      <w:r w:rsidR="00502554" w:rsidRPr="00E50FA4">
        <w:rPr>
          <w:rFonts w:ascii="Times New Roman" w:hAnsi="Times New Roman"/>
          <w:noProof/>
          <w:sz w:val="24"/>
        </w:rPr>
        <w:t xml:space="preserve">Institutions shall disclose the total gross carrying amounts </w:t>
      </w:r>
      <w:r w:rsidR="00BB1FF1" w:rsidRPr="00E50FA4">
        <w:rPr>
          <w:rFonts w:ascii="Times New Roman" w:hAnsi="Times New Roman"/>
          <w:noProof/>
          <w:sz w:val="24"/>
        </w:rPr>
        <w:t xml:space="preserve">by </w:t>
      </w:r>
      <w:r w:rsidR="00064FCD" w:rsidRPr="00E50FA4">
        <w:rPr>
          <w:rFonts w:ascii="Times New Roman" w:hAnsi="Times New Roman"/>
          <w:noProof/>
          <w:sz w:val="24"/>
        </w:rPr>
        <w:t xml:space="preserve">energy consumption </w:t>
      </w:r>
      <w:r w:rsidR="006209B6" w:rsidRPr="00E50FA4">
        <w:rPr>
          <w:rFonts w:ascii="Times New Roman" w:hAnsi="Times New Roman"/>
          <w:noProof/>
          <w:sz w:val="24"/>
        </w:rPr>
        <w:t xml:space="preserve">level </w:t>
      </w:r>
      <w:r w:rsidR="00064FCD" w:rsidRPr="00E50FA4">
        <w:rPr>
          <w:rFonts w:ascii="Times New Roman" w:hAnsi="Times New Roman"/>
          <w:noProof/>
          <w:sz w:val="24"/>
        </w:rPr>
        <w:t>and by EPC label</w:t>
      </w:r>
      <w:r w:rsidR="006209B6" w:rsidRPr="00E50FA4">
        <w:rPr>
          <w:rFonts w:ascii="Times New Roman" w:hAnsi="Times New Roman"/>
          <w:noProof/>
          <w:sz w:val="24"/>
        </w:rPr>
        <w:t>,</w:t>
      </w:r>
      <w:r w:rsidR="00064FCD" w:rsidRPr="00E50FA4">
        <w:rPr>
          <w:rFonts w:ascii="Times New Roman" w:hAnsi="Times New Roman"/>
          <w:noProof/>
          <w:sz w:val="24"/>
        </w:rPr>
        <w:t xml:space="preserve"> with a breakdown by location (U</w:t>
      </w:r>
      <w:r w:rsidR="00446DDB" w:rsidRPr="00E50FA4">
        <w:rPr>
          <w:rFonts w:ascii="Times New Roman" w:hAnsi="Times New Roman"/>
          <w:noProof/>
          <w:sz w:val="24"/>
        </w:rPr>
        <w:t>nion</w:t>
      </w:r>
      <w:r w:rsidR="00064FCD" w:rsidRPr="00E50FA4">
        <w:rPr>
          <w:rFonts w:ascii="Times New Roman" w:hAnsi="Times New Roman"/>
          <w:noProof/>
          <w:sz w:val="24"/>
        </w:rPr>
        <w:t xml:space="preserve"> vs non-U</w:t>
      </w:r>
      <w:r w:rsidR="00446DDB" w:rsidRPr="00E50FA4">
        <w:rPr>
          <w:rFonts w:ascii="Times New Roman" w:hAnsi="Times New Roman"/>
          <w:noProof/>
          <w:sz w:val="24"/>
        </w:rPr>
        <w:t>nion</w:t>
      </w:r>
      <w:r w:rsidR="00064FCD" w:rsidRPr="00E50FA4">
        <w:rPr>
          <w:rFonts w:ascii="Times New Roman" w:hAnsi="Times New Roman"/>
          <w:noProof/>
          <w:sz w:val="24"/>
        </w:rPr>
        <w:t xml:space="preserve"> area)</w:t>
      </w:r>
      <w:r w:rsidR="00BB1FF1" w:rsidRPr="00E50FA4">
        <w:rPr>
          <w:rFonts w:ascii="Times New Roman" w:hAnsi="Times New Roman"/>
          <w:noProof/>
          <w:sz w:val="24"/>
        </w:rPr>
        <w:t xml:space="preserve"> </w:t>
      </w:r>
      <w:r w:rsidR="00502554" w:rsidRPr="00E50FA4">
        <w:rPr>
          <w:rFonts w:ascii="Times New Roman" w:hAnsi="Times New Roman"/>
          <w:noProof/>
          <w:sz w:val="24"/>
        </w:rPr>
        <w:t>differentiating between</w:t>
      </w:r>
      <w:r w:rsidR="00BB1FF1" w:rsidRPr="00E50FA4">
        <w:rPr>
          <w:rFonts w:ascii="Times New Roman" w:hAnsi="Times New Roman"/>
          <w:noProof/>
          <w:sz w:val="24"/>
        </w:rPr>
        <w:t xml:space="preserve"> loans collateralised by commercial immovable property, </w:t>
      </w:r>
      <w:r w:rsidR="00502554" w:rsidRPr="00E50FA4">
        <w:rPr>
          <w:rFonts w:ascii="Times New Roman" w:hAnsi="Times New Roman"/>
          <w:noProof/>
          <w:sz w:val="24"/>
        </w:rPr>
        <w:t xml:space="preserve">loans collateralised by residential immovable property and </w:t>
      </w:r>
      <w:r w:rsidR="005B1C5D" w:rsidRPr="00E50FA4">
        <w:rPr>
          <w:rFonts w:ascii="Times New Roman" w:hAnsi="Times New Roman"/>
          <w:noProof/>
          <w:sz w:val="24"/>
        </w:rPr>
        <w:t>c</w:t>
      </w:r>
      <w:r w:rsidR="00502554" w:rsidRPr="00E50FA4">
        <w:rPr>
          <w:rFonts w:ascii="Times New Roman" w:hAnsi="Times New Roman"/>
          <w:noProof/>
          <w:sz w:val="24"/>
        </w:rPr>
        <w:t>ollateral obtained by taking possession.</w:t>
      </w:r>
    </w:p>
    <w:p w14:paraId="1B41852F" w14:textId="6B0404C6" w:rsidR="00352AF7" w:rsidRPr="00E50FA4" w:rsidRDefault="002A32C2" w:rsidP="00B76863">
      <w:pPr>
        <w:pStyle w:val="ListParagraph"/>
        <w:numPr>
          <w:ilvl w:val="0"/>
          <w:numId w:val="71"/>
        </w:numPr>
        <w:tabs>
          <w:tab w:val="left" w:pos="567"/>
        </w:tabs>
        <w:spacing w:before="120" w:after="120"/>
        <w:ind w:left="0" w:firstLine="0"/>
        <w:jc w:val="both"/>
        <w:rPr>
          <w:rFonts w:ascii="Times New Roman" w:hAnsi="Times New Roman"/>
          <w:noProof/>
          <w:sz w:val="24"/>
        </w:rPr>
      </w:pPr>
      <w:r w:rsidRPr="00E50FA4">
        <w:rPr>
          <w:rFonts w:ascii="Times New Roman" w:eastAsiaTheme="minorEastAsia" w:hAnsi="Times New Roman" w:cstheme="minorBidi"/>
          <w:noProof/>
          <w:sz w:val="24"/>
          <w:szCs w:val="24"/>
        </w:rPr>
        <w:t xml:space="preserve">In the case of exposures </w:t>
      </w:r>
      <w:r w:rsidR="006209B6" w:rsidRPr="00E50FA4">
        <w:rPr>
          <w:rFonts w:ascii="Times New Roman" w:eastAsiaTheme="minorEastAsia" w:hAnsi="Times New Roman" w:cstheme="minorBidi"/>
          <w:noProof/>
          <w:sz w:val="24"/>
          <w:szCs w:val="24"/>
        </w:rPr>
        <w:t xml:space="preserve">to entities located </w:t>
      </w:r>
      <w:r w:rsidRPr="00E50FA4">
        <w:rPr>
          <w:rFonts w:ascii="Times New Roman" w:eastAsiaTheme="minorEastAsia" w:hAnsi="Times New Roman" w:cstheme="minorBidi"/>
          <w:noProof/>
          <w:sz w:val="24"/>
          <w:szCs w:val="24"/>
        </w:rPr>
        <w:t xml:space="preserve">in </w:t>
      </w:r>
      <w:r w:rsidR="00446DDB" w:rsidRPr="00E50FA4">
        <w:rPr>
          <w:rFonts w:ascii="Times New Roman" w:eastAsiaTheme="minorEastAsia" w:hAnsi="Times New Roman" w:cstheme="minorBidi"/>
          <w:noProof/>
          <w:sz w:val="24"/>
          <w:szCs w:val="24"/>
        </w:rPr>
        <w:t>third countries</w:t>
      </w:r>
      <w:r w:rsidRPr="00E50FA4">
        <w:rPr>
          <w:rFonts w:ascii="Times New Roman" w:eastAsiaTheme="minorEastAsia" w:hAnsi="Times New Roman" w:cstheme="minorBidi"/>
          <w:noProof/>
          <w:sz w:val="24"/>
          <w:szCs w:val="24"/>
        </w:rPr>
        <w:t xml:space="preserve"> where there is no EPC label equivalent, institutions shall leave columns </w:t>
      </w:r>
      <w:r w:rsidR="00446DDB" w:rsidRPr="00E50FA4">
        <w:rPr>
          <w:rFonts w:ascii="Times New Roman" w:eastAsiaTheme="minorEastAsia" w:hAnsi="Times New Roman" w:cstheme="minorBidi"/>
          <w:noProof/>
          <w:sz w:val="24"/>
          <w:szCs w:val="24"/>
        </w:rPr>
        <w:t>(</w:t>
      </w:r>
      <w:r w:rsidRPr="00E50FA4">
        <w:rPr>
          <w:rFonts w:ascii="Times New Roman" w:eastAsiaTheme="minorEastAsia" w:hAnsi="Times New Roman" w:cstheme="minorBidi"/>
          <w:noProof/>
          <w:sz w:val="24"/>
          <w:szCs w:val="24"/>
        </w:rPr>
        <w:t>h</w:t>
      </w:r>
      <w:r w:rsidR="00446DDB" w:rsidRPr="00E50FA4">
        <w:rPr>
          <w:rFonts w:ascii="Times New Roman" w:eastAsiaTheme="minorEastAsia" w:hAnsi="Times New Roman" w:cstheme="minorBidi"/>
          <w:noProof/>
          <w:sz w:val="24"/>
          <w:szCs w:val="24"/>
        </w:rPr>
        <w:t>)</w:t>
      </w:r>
      <w:r w:rsidRPr="00E50FA4">
        <w:rPr>
          <w:rFonts w:ascii="Times New Roman" w:eastAsiaTheme="minorEastAsia" w:hAnsi="Times New Roman" w:cstheme="minorBidi"/>
          <w:noProof/>
          <w:sz w:val="24"/>
          <w:szCs w:val="24"/>
        </w:rPr>
        <w:t xml:space="preserve"> to </w:t>
      </w:r>
      <w:r w:rsidR="00446DDB" w:rsidRPr="00E50FA4">
        <w:rPr>
          <w:rFonts w:ascii="Times New Roman" w:eastAsiaTheme="minorEastAsia" w:hAnsi="Times New Roman" w:cstheme="minorBidi"/>
          <w:noProof/>
          <w:sz w:val="24"/>
          <w:szCs w:val="24"/>
        </w:rPr>
        <w:t>(</w:t>
      </w:r>
      <w:r w:rsidRPr="00E50FA4">
        <w:rPr>
          <w:rFonts w:ascii="Times New Roman" w:eastAsiaTheme="minorEastAsia" w:hAnsi="Times New Roman" w:cstheme="minorBidi"/>
          <w:noProof/>
          <w:sz w:val="24"/>
          <w:szCs w:val="24"/>
        </w:rPr>
        <w:t>n</w:t>
      </w:r>
      <w:r w:rsidR="00446DDB" w:rsidRPr="00E50FA4">
        <w:rPr>
          <w:rFonts w:ascii="Times New Roman" w:eastAsiaTheme="minorEastAsia" w:hAnsi="Times New Roman" w:cstheme="minorBidi"/>
          <w:noProof/>
          <w:sz w:val="24"/>
          <w:szCs w:val="24"/>
        </w:rPr>
        <w:t>)</w:t>
      </w:r>
      <w:r w:rsidRPr="00E50FA4">
        <w:rPr>
          <w:rFonts w:ascii="Times New Roman" w:eastAsiaTheme="minorEastAsia" w:hAnsi="Times New Roman" w:cstheme="minorBidi"/>
          <w:noProof/>
          <w:sz w:val="24"/>
          <w:szCs w:val="24"/>
        </w:rPr>
        <w:t xml:space="preserve"> blank</w:t>
      </w:r>
      <w:r w:rsidR="006209B6" w:rsidRPr="00E50FA4">
        <w:rPr>
          <w:rFonts w:ascii="Times New Roman" w:eastAsiaTheme="minorEastAsia" w:hAnsi="Times New Roman" w:cstheme="minorBidi"/>
          <w:noProof/>
          <w:sz w:val="24"/>
          <w:szCs w:val="24"/>
        </w:rPr>
        <w:t>. However, institutions shall</w:t>
      </w:r>
      <w:r w:rsidRPr="00E50FA4">
        <w:rPr>
          <w:rFonts w:ascii="Times New Roman" w:eastAsiaTheme="minorEastAsia" w:hAnsi="Times New Roman" w:cstheme="minorBidi"/>
          <w:noProof/>
          <w:sz w:val="24"/>
          <w:szCs w:val="24"/>
        </w:rPr>
        <w:t xml:space="preserve"> disclose the information required in columns </w:t>
      </w:r>
      <w:r w:rsidR="00446DDB" w:rsidRPr="00E50FA4">
        <w:rPr>
          <w:rFonts w:ascii="Times New Roman" w:eastAsiaTheme="minorEastAsia" w:hAnsi="Times New Roman" w:cstheme="minorBidi"/>
          <w:noProof/>
          <w:sz w:val="24"/>
          <w:szCs w:val="24"/>
        </w:rPr>
        <w:t>(</w:t>
      </w:r>
      <w:r w:rsidRPr="00E50FA4">
        <w:rPr>
          <w:rFonts w:ascii="Times New Roman" w:eastAsiaTheme="minorEastAsia" w:hAnsi="Times New Roman" w:cstheme="minorBidi"/>
          <w:noProof/>
          <w:sz w:val="24"/>
          <w:szCs w:val="24"/>
        </w:rPr>
        <w:t>o</w:t>
      </w:r>
      <w:r w:rsidR="00446DDB" w:rsidRPr="00E50FA4">
        <w:rPr>
          <w:rFonts w:ascii="Times New Roman" w:eastAsiaTheme="minorEastAsia" w:hAnsi="Times New Roman" w:cstheme="minorBidi"/>
          <w:noProof/>
          <w:sz w:val="24"/>
          <w:szCs w:val="24"/>
        </w:rPr>
        <w:t>)</w:t>
      </w:r>
      <w:r w:rsidRPr="00E50FA4">
        <w:rPr>
          <w:rFonts w:ascii="Times New Roman" w:eastAsiaTheme="minorEastAsia" w:hAnsi="Times New Roman" w:cstheme="minorBidi"/>
          <w:noProof/>
          <w:sz w:val="24"/>
          <w:szCs w:val="24"/>
        </w:rPr>
        <w:t xml:space="preserve"> and </w:t>
      </w:r>
      <w:r w:rsidR="00446DDB" w:rsidRPr="00E50FA4">
        <w:rPr>
          <w:rFonts w:ascii="Times New Roman" w:eastAsiaTheme="minorEastAsia" w:hAnsi="Times New Roman" w:cstheme="minorBidi"/>
          <w:noProof/>
          <w:sz w:val="24"/>
          <w:szCs w:val="24"/>
        </w:rPr>
        <w:t>(</w:t>
      </w:r>
      <w:r w:rsidRPr="00E50FA4">
        <w:rPr>
          <w:rFonts w:ascii="Times New Roman" w:eastAsiaTheme="minorEastAsia" w:hAnsi="Times New Roman" w:cstheme="minorBidi"/>
          <w:noProof/>
          <w:sz w:val="24"/>
          <w:szCs w:val="24"/>
        </w:rPr>
        <w:t>p</w:t>
      </w:r>
      <w:r w:rsidR="00446DDB" w:rsidRPr="00E50FA4">
        <w:rPr>
          <w:rFonts w:ascii="Times New Roman" w:eastAsiaTheme="minorEastAsia" w:hAnsi="Times New Roman" w:cstheme="minorBidi"/>
          <w:noProof/>
          <w:sz w:val="24"/>
          <w:szCs w:val="24"/>
        </w:rPr>
        <w:t>)</w:t>
      </w:r>
      <w:r w:rsidRPr="00E50FA4">
        <w:rPr>
          <w:rFonts w:ascii="Times New Roman" w:eastAsiaTheme="minorEastAsia" w:hAnsi="Times New Roman" w:cstheme="minorBidi"/>
          <w:noProof/>
          <w:sz w:val="24"/>
          <w:szCs w:val="24"/>
        </w:rPr>
        <w:t xml:space="preserve"> and, when relevant, columns </w:t>
      </w:r>
      <w:r w:rsidR="00446DDB" w:rsidRPr="00E50FA4">
        <w:rPr>
          <w:rFonts w:ascii="Times New Roman" w:eastAsiaTheme="minorEastAsia" w:hAnsi="Times New Roman" w:cstheme="minorBidi"/>
          <w:noProof/>
          <w:sz w:val="24"/>
          <w:szCs w:val="24"/>
        </w:rPr>
        <w:t>(</w:t>
      </w:r>
      <w:r w:rsidRPr="00E50FA4">
        <w:rPr>
          <w:rFonts w:ascii="Times New Roman" w:eastAsiaTheme="minorEastAsia" w:hAnsi="Times New Roman" w:cstheme="minorBidi"/>
          <w:noProof/>
          <w:sz w:val="24"/>
          <w:szCs w:val="24"/>
        </w:rPr>
        <w:t>b</w:t>
      </w:r>
      <w:r w:rsidR="00446DDB" w:rsidRPr="00E50FA4">
        <w:rPr>
          <w:rFonts w:ascii="Times New Roman" w:eastAsiaTheme="minorEastAsia" w:hAnsi="Times New Roman" w:cstheme="minorBidi"/>
          <w:noProof/>
          <w:sz w:val="24"/>
          <w:szCs w:val="24"/>
        </w:rPr>
        <w:t>)</w:t>
      </w:r>
      <w:r w:rsidRPr="00E50FA4">
        <w:rPr>
          <w:rFonts w:ascii="Times New Roman" w:eastAsiaTheme="minorEastAsia" w:hAnsi="Times New Roman" w:cstheme="minorBidi"/>
          <w:noProof/>
          <w:sz w:val="24"/>
          <w:szCs w:val="24"/>
        </w:rPr>
        <w:t xml:space="preserve"> to </w:t>
      </w:r>
      <w:r w:rsidR="00446DDB" w:rsidRPr="00E50FA4">
        <w:rPr>
          <w:rFonts w:ascii="Times New Roman" w:eastAsiaTheme="minorEastAsia" w:hAnsi="Times New Roman" w:cstheme="minorBidi"/>
          <w:noProof/>
          <w:sz w:val="24"/>
          <w:szCs w:val="24"/>
        </w:rPr>
        <w:t>(</w:t>
      </w:r>
      <w:r w:rsidRPr="00E50FA4">
        <w:rPr>
          <w:rFonts w:ascii="Times New Roman" w:eastAsiaTheme="minorEastAsia" w:hAnsi="Times New Roman" w:cstheme="minorBidi"/>
          <w:noProof/>
          <w:sz w:val="24"/>
          <w:szCs w:val="24"/>
        </w:rPr>
        <w:t>g</w:t>
      </w:r>
      <w:r w:rsidR="00446DDB" w:rsidRPr="00E50FA4">
        <w:rPr>
          <w:rFonts w:ascii="Times New Roman" w:eastAsiaTheme="minorEastAsia" w:hAnsi="Times New Roman" w:cstheme="minorBidi"/>
          <w:noProof/>
          <w:sz w:val="24"/>
          <w:szCs w:val="24"/>
        </w:rPr>
        <w:t>)</w:t>
      </w:r>
      <w:r w:rsidRPr="00E50FA4">
        <w:rPr>
          <w:rFonts w:ascii="Times New Roman" w:eastAsiaTheme="minorEastAsia" w:hAnsi="Times New Roman" w:cstheme="minorBidi"/>
          <w:noProof/>
          <w:sz w:val="24"/>
          <w:szCs w:val="24"/>
        </w:rPr>
        <w:t xml:space="preserve"> with estimated data</w:t>
      </w:r>
      <w:r w:rsidRPr="00E50FA4">
        <w:rPr>
          <w:rFonts w:ascii="Times New Roman" w:hAnsi="Times New Roman"/>
          <w:noProof/>
          <w:sz w:val="24"/>
        </w:rPr>
        <w:t>.</w:t>
      </w:r>
    </w:p>
    <w:p w14:paraId="3B9F0AD4" w14:textId="291E3B57" w:rsidR="00334AEC" w:rsidRPr="00E50FA4" w:rsidRDefault="0039601B" w:rsidP="00B76863">
      <w:pPr>
        <w:pStyle w:val="ListParagraph"/>
        <w:numPr>
          <w:ilvl w:val="0"/>
          <w:numId w:val="71"/>
        </w:numPr>
        <w:tabs>
          <w:tab w:val="left" w:pos="567"/>
        </w:tabs>
        <w:spacing w:before="120" w:after="120"/>
        <w:ind w:left="0" w:firstLine="0"/>
        <w:jc w:val="both"/>
        <w:rPr>
          <w:noProof/>
        </w:rPr>
      </w:pPr>
      <w:bookmarkStart w:id="11" w:name="_Hlk87274643"/>
      <w:bookmarkStart w:id="12" w:name="_Hlk87260827"/>
      <w:r w:rsidRPr="00E50FA4">
        <w:rPr>
          <w:rFonts w:ascii="Times New Roman" w:hAnsi="Times New Roman"/>
          <w:noProof/>
          <w:sz w:val="24"/>
        </w:rPr>
        <w:t xml:space="preserve">For those exposures </w:t>
      </w:r>
      <w:r w:rsidR="00C0778B" w:rsidRPr="00E50FA4">
        <w:rPr>
          <w:rFonts w:ascii="Times New Roman" w:hAnsi="Times New Roman"/>
          <w:noProof/>
          <w:sz w:val="24"/>
        </w:rPr>
        <w:t xml:space="preserve">linked to more than one collateral, </w:t>
      </w:r>
      <w:r w:rsidR="006209B6" w:rsidRPr="00E50FA4">
        <w:rPr>
          <w:rFonts w:ascii="Times New Roman" w:hAnsi="Times New Roman"/>
          <w:noProof/>
          <w:sz w:val="24"/>
        </w:rPr>
        <w:t xml:space="preserve">such as </w:t>
      </w:r>
      <w:r w:rsidR="00C0778B" w:rsidRPr="00E50FA4">
        <w:rPr>
          <w:rFonts w:ascii="Times New Roman" w:hAnsi="Times New Roman"/>
          <w:noProof/>
          <w:sz w:val="24"/>
        </w:rPr>
        <w:t xml:space="preserve">two immovable properties, the </w:t>
      </w:r>
      <w:r w:rsidRPr="00E50FA4">
        <w:rPr>
          <w:rFonts w:ascii="Times New Roman" w:hAnsi="Times New Roman"/>
          <w:noProof/>
          <w:sz w:val="24"/>
        </w:rPr>
        <w:t xml:space="preserve">energy efficiency information of the </w:t>
      </w:r>
      <w:r w:rsidR="00C0778B" w:rsidRPr="00E50FA4">
        <w:rPr>
          <w:rFonts w:ascii="Times New Roman" w:hAnsi="Times New Roman"/>
          <w:noProof/>
          <w:sz w:val="24"/>
        </w:rPr>
        <w:t>propert</w:t>
      </w:r>
      <w:r w:rsidR="004D0991" w:rsidRPr="00E50FA4">
        <w:rPr>
          <w:rFonts w:ascii="Times New Roman" w:hAnsi="Times New Roman"/>
          <w:noProof/>
          <w:sz w:val="24"/>
        </w:rPr>
        <w:t xml:space="preserve">ies linked to the exposure shall be </w:t>
      </w:r>
      <w:r w:rsidR="008B62A9" w:rsidRPr="00E50FA4">
        <w:rPr>
          <w:rFonts w:ascii="Times New Roman" w:hAnsi="Times New Roman"/>
          <w:noProof/>
          <w:sz w:val="24"/>
        </w:rPr>
        <w:t>split and</w:t>
      </w:r>
      <w:r w:rsidR="004D0991" w:rsidRPr="00E50FA4">
        <w:rPr>
          <w:rFonts w:ascii="Times New Roman" w:hAnsi="Times New Roman"/>
          <w:noProof/>
          <w:sz w:val="24"/>
        </w:rPr>
        <w:t xml:space="preserve"> </w:t>
      </w:r>
      <w:r w:rsidR="008B62A9" w:rsidRPr="00E50FA4">
        <w:rPr>
          <w:rFonts w:ascii="Times New Roman" w:hAnsi="Times New Roman"/>
          <w:noProof/>
          <w:sz w:val="24"/>
        </w:rPr>
        <w:t xml:space="preserve">disclosed </w:t>
      </w:r>
      <w:r w:rsidR="004D0991" w:rsidRPr="00E50FA4">
        <w:rPr>
          <w:rFonts w:ascii="Times New Roman" w:hAnsi="Times New Roman"/>
          <w:noProof/>
          <w:sz w:val="24"/>
        </w:rPr>
        <w:t xml:space="preserve">separately </w:t>
      </w:r>
      <w:r w:rsidR="00B10BED" w:rsidRPr="00E50FA4">
        <w:rPr>
          <w:rFonts w:ascii="Times New Roman" w:hAnsi="Times New Roman"/>
          <w:noProof/>
          <w:sz w:val="24"/>
        </w:rPr>
        <w:t>under</w:t>
      </w:r>
      <w:r w:rsidR="004D0991" w:rsidRPr="00E50FA4">
        <w:rPr>
          <w:rFonts w:ascii="Times New Roman" w:hAnsi="Times New Roman"/>
          <w:noProof/>
          <w:sz w:val="24"/>
        </w:rPr>
        <w:t xml:space="preserve"> energy efficiency </w:t>
      </w:r>
      <w:r w:rsidR="00B10BED" w:rsidRPr="00E50FA4">
        <w:rPr>
          <w:rFonts w:ascii="Times New Roman" w:hAnsi="Times New Roman"/>
          <w:noProof/>
          <w:sz w:val="24"/>
        </w:rPr>
        <w:t>levels</w:t>
      </w:r>
      <w:r w:rsidR="004D0991" w:rsidRPr="00E50FA4">
        <w:rPr>
          <w:rFonts w:ascii="Times New Roman" w:hAnsi="Times New Roman"/>
          <w:noProof/>
          <w:sz w:val="24"/>
        </w:rPr>
        <w:t xml:space="preserve"> </w:t>
      </w:r>
      <w:r w:rsidR="008B62A9" w:rsidRPr="00E50FA4">
        <w:rPr>
          <w:rFonts w:ascii="Times New Roman" w:hAnsi="Times New Roman"/>
          <w:noProof/>
          <w:sz w:val="24"/>
          <w:szCs w:val="24"/>
        </w:rPr>
        <w:t xml:space="preserve">(both for the KWh/m2 of the collateral, columns </w:t>
      </w:r>
      <w:r w:rsidR="00446DDB" w:rsidRPr="00E50FA4">
        <w:rPr>
          <w:rFonts w:ascii="Times New Roman" w:hAnsi="Times New Roman"/>
          <w:noProof/>
          <w:sz w:val="24"/>
          <w:szCs w:val="24"/>
        </w:rPr>
        <w:t>(</w:t>
      </w:r>
      <w:r w:rsidR="008B62A9" w:rsidRPr="00E50FA4">
        <w:rPr>
          <w:rFonts w:ascii="Times New Roman" w:hAnsi="Times New Roman"/>
          <w:noProof/>
          <w:sz w:val="24"/>
          <w:szCs w:val="24"/>
        </w:rPr>
        <w:t>b</w:t>
      </w:r>
      <w:r w:rsidR="00446DDB" w:rsidRPr="00E50FA4">
        <w:rPr>
          <w:rFonts w:ascii="Times New Roman" w:hAnsi="Times New Roman"/>
          <w:noProof/>
          <w:sz w:val="24"/>
          <w:szCs w:val="24"/>
        </w:rPr>
        <w:t>)</w:t>
      </w:r>
      <w:r w:rsidR="008B62A9" w:rsidRPr="00E50FA4">
        <w:rPr>
          <w:rFonts w:ascii="Times New Roman" w:hAnsi="Times New Roman"/>
          <w:noProof/>
          <w:sz w:val="24"/>
          <w:szCs w:val="24"/>
        </w:rPr>
        <w:t xml:space="preserve"> to </w:t>
      </w:r>
      <w:r w:rsidR="00446DDB" w:rsidRPr="00E50FA4">
        <w:rPr>
          <w:rFonts w:ascii="Times New Roman" w:hAnsi="Times New Roman"/>
          <w:noProof/>
          <w:sz w:val="24"/>
          <w:szCs w:val="24"/>
        </w:rPr>
        <w:t>(</w:t>
      </w:r>
      <w:r w:rsidR="008B62A9" w:rsidRPr="00E50FA4">
        <w:rPr>
          <w:rFonts w:ascii="Times New Roman" w:hAnsi="Times New Roman"/>
          <w:noProof/>
          <w:sz w:val="24"/>
          <w:szCs w:val="24"/>
        </w:rPr>
        <w:t>g</w:t>
      </w:r>
      <w:r w:rsidR="00446DDB" w:rsidRPr="00E50FA4">
        <w:rPr>
          <w:rFonts w:ascii="Times New Roman" w:hAnsi="Times New Roman"/>
          <w:noProof/>
          <w:sz w:val="24"/>
          <w:szCs w:val="24"/>
        </w:rPr>
        <w:t>)</w:t>
      </w:r>
      <w:r w:rsidR="008B62A9" w:rsidRPr="00E50FA4">
        <w:rPr>
          <w:rFonts w:ascii="Times New Roman" w:hAnsi="Times New Roman"/>
          <w:noProof/>
          <w:sz w:val="24"/>
          <w:szCs w:val="24"/>
        </w:rPr>
        <w:t xml:space="preserve">, and for the EPC label, columns </w:t>
      </w:r>
      <w:r w:rsidR="00446DDB" w:rsidRPr="00E50FA4">
        <w:rPr>
          <w:rFonts w:ascii="Times New Roman" w:hAnsi="Times New Roman"/>
          <w:noProof/>
          <w:sz w:val="24"/>
          <w:szCs w:val="24"/>
        </w:rPr>
        <w:t>(</w:t>
      </w:r>
      <w:r w:rsidR="008B62A9" w:rsidRPr="00E50FA4">
        <w:rPr>
          <w:rFonts w:ascii="Times New Roman" w:hAnsi="Times New Roman"/>
          <w:noProof/>
          <w:sz w:val="24"/>
          <w:szCs w:val="24"/>
        </w:rPr>
        <w:t>h</w:t>
      </w:r>
      <w:r w:rsidR="00446DDB" w:rsidRPr="00E50FA4">
        <w:rPr>
          <w:rFonts w:ascii="Times New Roman" w:hAnsi="Times New Roman"/>
          <w:noProof/>
          <w:sz w:val="24"/>
          <w:szCs w:val="24"/>
        </w:rPr>
        <w:t>)</w:t>
      </w:r>
      <w:r w:rsidR="008B62A9" w:rsidRPr="00E50FA4">
        <w:rPr>
          <w:rFonts w:ascii="Times New Roman" w:hAnsi="Times New Roman"/>
          <w:noProof/>
          <w:sz w:val="24"/>
          <w:szCs w:val="24"/>
        </w:rPr>
        <w:t xml:space="preserve"> to </w:t>
      </w:r>
      <w:r w:rsidR="00446DDB" w:rsidRPr="00E50FA4">
        <w:rPr>
          <w:rFonts w:ascii="Times New Roman" w:hAnsi="Times New Roman"/>
          <w:noProof/>
          <w:sz w:val="24"/>
          <w:szCs w:val="24"/>
        </w:rPr>
        <w:t>(</w:t>
      </w:r>
      <w:r w:rsidR="008B62A9" w:rsidRPr="00E50FA4">
        <w:rPr>
          <w:rFonts w:ascii="Times New Roman" w:hAnsi="Times New Roman"/>
          <w:noProof/>
          <w:sz w:val="24"/>
          <w:szCs w:val="24"/>
        </w:rPr>
        <w:t xml:space="preserve">n) </w:t>
      </w:r>
      <w:r w:rsidR="004D0991" w:rsidRPr="00E50FA4">
        <w:rPr>
          <w:rFonts w:ascii="Times New Roman" w:hAnsi="Times New Roman"/>
          <w:noProof/>
          <w:sz w:val="24"/>
        </w:rPr>
        <w:t xml:space="preserve">corresponding to </w:t>
      </w:r>
      <w:r w:rsidR="008B62A9" w:rsidRPr="00E50FA4">
        <w:rPr>
          <w:rFonts w:ascii="Times New Roman" w:hAnsi="Times New Roman"/>
          <w:noProof/>
          <w:sz w:val="24"/>
        </w:rPr>
        <w:t>energy efficiency of each collateral</w:t>
      </w:r>
      <w:r w:rsidR="006209B6" w:rsidRPr="00E50FA4">
        <w:rPr>
          <w:rFonts w:ascii="Times New Roman" w:hAnsi="Times New Roman"/>
          <w:noProof/>
          <w:sz w:val="24"/>
        </w:rPr>
        <w:t>)</w:t>
      </w:r>
      <w:r w:rsidR="008B62A9" w:rsidRPr="00E50FA4">
        <w:rPr>
          <w:rFonts w:ascii="Times New Roman" w:hAnsi="Times New Roman"/>
          <w:noProof/>
          <w:sz w:val="24"/>
        </w:rPr>
        <w:t>. Mo</w:t>
      </w:r>
      <w:r w:rsidR="004D0991" w:rsidRPr="00E50FA4">
        <w:rPr>
          <w:rFonts w:ascii="Times New Roman" w:hAnsi="Times New Roman"/>
          <w:noProof/>
          <w:sz w:val="24"/>
        </w:rPr>
        <w:t xml:space="preserve">re specifically, institutions shall calculate </w:t>
      </w:r>
      <w:r w:rsidR="0048187C" w:rsidRPr="00E50FA4">
        <w:rPr>
          <w:rFonts w:ascii="Times New Roman" w:hAnsi="Times New Roman"/>
          <w:noProof/>
          <w:sz w:val="24"/>
        </w:rPr>
        <w:t xml:space="preserve">the share of each collateral in the gross carrying amount of exposure </w:t>
      </w:r>
      <w:r w:rsidR="006209B6" w:rsidRPr="00E50FA4">
        <w:rPr>
          <w:rFonts w:ascii="Times New Roman" w:hAnsi="Times New Roman"/>
          <w:noProof/>
          <w:sz w:val="24"/>
        </w:rPr>
        <w:t>based</w:t>
      </w:r>
      <w:r w:rsidR="0048187C" w:rsidRPr="00E50FA4">
        <w:rPr>
          <w:rFonts w:ascii="Times New Roman" w:hAnsi="Times New Roman"/>
          <w:noProof/>
          <w:sz w:val="24"/>
        </w:rPr>
        <w:t xml:space="preserve"> </w:t>
      </w:r>
      <w:r w:rsidR="006209B6" w:rsidRPr="00E50FA4">
        <w:rPr>
          <w:rFonts w:ascii="Times New Roman" w:hAnsi="Times New Roman"/>
          <w:noProof/>
          <w:sz w:val="24"/>
        </w:rPr>
        <w:t xml:space="preserve">on </w:t>
      </w:r>
      <w:r w:rsidR="0048187C" w:rsidRPr="00E50FA4">
        <w:rPr>
          <w:rFonts w:ascii="Times New Roman" w:hAnsi="Times New Roman"/>
          <w:noProof/>
          <w:sz w:val="24"/>
        </w:rPr>
        <w:t>the value of the collateral and disclose under the energy efficiency bucket linked to each collateral. For example, the institution has a loan with a gross carrying amount of EUR 100</w:t>
      </w:r>
      <w:r w:rsidR="00AC06AD" w:rsidRPr="00E50FA4">
        <w:rPr>
          <w:rFonts w:ascii="Times New Roman" w:hAnsi="Times New Roman"/>
          <w:noProof/>
          <w:sz w:val="24"/>
        </w:rPr>
        <w:t xml:space="preserve"> </w:t>
      </w:r>
      <w:r w:rsidR="0048187C" w:rsidRPr="00E50FA4">
        <w:rPr>
          <w:rFonts w:ascii="Times New Roman" w:hAnsi="Times New Roman"/>
          <w:noProof/>
          <w:sz w:val="24"/>
        </w:rPr>
        <w:t xml:space="preserve">000 collateralised by </w:t>
      </w:r>
      <w:r w:rsidR="00B10BED" w:rsidRPr="00E50FA4">
        <w:rPr>
          <w:rFonts w:ascii="Times New Roman" w:hAnsi="Times New Roman"/>
          <w:noProof/>
          <w:sz w:val="24"/>
        </w:rPr>
        <w:t xml:space="preserve">two properties: </w:t>
      </w:r>
      <w:r w:rsidR="0048187C" w:rsidRPr="00E50FA4">
        <w:rPr>
          <w:rFonts w:ascii="Times New Roman" w:hAnsi="Times New Roman"/>
          <w:noProof/>
          <w:sz w:val="24"/>
        </w:rPr>
        <w:t xml:space="preserve">property A and property B. Property A has a </w:t>
      </w:r>
      <w:r w:rsidR="00B10BED" w:rsidRPr="00E50FA4">
        <w:rPr>
          <w:rFonts w:ascii="Times New Roman" w:hAnsi="Times New Roman"/>
          <w:noProof/>
          <w:sz w:val="24"/>
        </w:rPr>
        <w:t xml:space="preserve">collateral </w:t>
      </w:r>
      <w:r w:rsidR="0048187C" w:rsidRPr="00E50FA4">
        <w:rPr>
          <w:rFonts w:ascii="Times New Roman" w:hAnsi="Times New Roman"/>
          <w:noProof/>
          <w:sz w:val="24"/>
        </w:rPr>
        <w:t xml:space="preserve">value of EUR </w:t>
      </w:r>
      <w:r w:rsidR="00927E47" w:rsidRPr="00E50FA4">
        <w:rPr>
          <w:rFonts w:ascii="Times New Roman" w:hAnsi="Times New Roman"/>
          <w:noProof/>
          <w:sz w:val="24"/>
        </w:rPr>
        <w:t>8</w:t>
      </w:r>
      <w:r w:rsidR="0048187C" w:rsidRPr="00E50FA4">
        <w:rPr>
          <w:rFonts w:ascii="Times New Roman" w:hAnsi="Times New Roman"/>
          <w:noProof/>
          <w:sz w:val="24"/>
        </w:rPr>
        <w:t>0</w:t>
      </w:r>
      <w:r w:rsidR="0057357A" w:rsidRPr="00E50FA4">
        <w:rPr>
          <w:rFonts w:ascii="Times New Roman" w:hAnsi="Times New Roman"/>
          <w:noProof/>
          <w:sz w:val="24"/>
        </w:rPr>
        <w:t xml:space="preserve"> </w:t>
      </w:r>
      <w:r w:rsidR="0048187C" w:rsidRPr="00E50FA4">
        <w:rPr>
          <w:rFonts w:ascii="Times New Roman" w:hAnsi="Times New Roman"/>
          <w:noProof/>
          <w:sz w:val="24"/>
        </w:rPr>
        <w:t xml:space="preserve">000 and EPC label A, while property B has a </w:t>
      </w:r>
      <w:r w:rsidR="00B10BED" w:rsidRPr="00E50FA4">
        <w:rPr>
          <w:rFonts w:ascii="Times New Roman" w:hAnsi="Times New Roman"/>
          <w:noProof/>
          <w:sz w:val="24"/>
        </w:rPr>
        <w:t xml:space="preserve">collateral </w:t>
      </w:r>
      <w:r w:rsidR="0048187C" w:rsidRPr="00E50FA4">
        <w:rPr>
          <w:rFonts w:ascii="Times New Roman" w:hAnsi="Times New Roman"/>
          <w:noProof/>
          <w:sz w:val="24"/>
        </w:rPr>
        <w:t xml:space="preserve">value of EUR </w:t>
      </w:r>
      <w:r w:rsidR="00927E47" w:rsidRPr="00E50FA4">
        <w:rPr>
          <w:rFonts w:ascii="Times New Roman" w:hAnsi="Times New Roman"/>
          <w:noProof/>
          <w:sz w:val="24"/>
        </w:rPr>
        <w:t>7</w:t>
      </w:r>
      <w:r w:rsidR="0048187C" w:rsidRPr="00E50FA4">
        <w:rPr>
          <w:rFonts w:ascii="Times New Roman" w:hAnsi="Times New Roman"/>
          <w:noProof/>
          <w:sz w:val="24"/>
        </w:rPr>
        <w:t>0</w:t>
      </w:r>
      <w:r w:rsidR="0057357A" w:rsidRPr="00E50FA4">
        <w:rPr>
          <w:rFonts w:ascii="Times New Roman" w:hAnsi="Times New Roman"/>
          <w:noProof/>
          <w:sz w:val="24"/>
        </w:rPr>
        <w:t xml:space="preserve"> </w:t>
      </w:r>
      <w:r w:rsidR="0048187C" w:rsidRPr="00E50FA4">
        <w:rPr>
          <w:rFonts w:ascii="Times New Roman" w:hAnsi="Times New Roman"/>
          <w:noProof/>
          <w:sz w:val="24"/>
        </w:rPr>
        <w:t xml:space="preserve">000 and EPC label D. In this example, institutions should disclose EUR </w:t>
      </w:r>
      <w:r w:rsidR="00927E47" w:rsidRPr="00E50FA4">
        <w:rPr>
          <w:rFonts w:ascii="Times New Roman" w:hAnsi="Times New Roman"/>
          <w:noProof/>
          <w:sz w:val="24"/>
        </w:rPr>
        <w:t>53</w:t>
      </w:r>
      <w:r w:rsidR="0057357A" w:rsidRPr="00E50FA4">
        <w:rPr>
          <w:rFonts w:ascii="Times New Roman" w:hAnsi="Times New Roman"/>
          <w:noProof/>
          <w:sz w:val="24"/>
        </w:rPr>
        <w:t xml:space="preserve"> </w:t>
      </w:r>
      <w:r w:rsidR="00927E47" w:rsidRPr="00E50FA4">
        <w:rPr>
          <w:rFonts w:ascii="Times New Roman" w:hAnsi="Times New Roman"/>
          <w:noProof/>
          <w:sz w:val="24"/>
        </w:rPr>
        <w:t>333</w:t>
      </w:r>
      <w:r w:rsidR="0048187C" w:rsidRPr="00E50FA4">
        <w:rPr>
          <w:rFonts w:ascii="Times New Roman" w:hAnsi="Times New Roman"/>
          <w:noProof/>
          <w:sz w:val="24"/>
        </w:rPr>
        <w:t xml:space="preserve"> (that is</w:t>
      </w:r>
      <w:r w:rsidR="00B10BED" w:rsidRPr="00E50FA4">
        <w:rPr>
          <w:rFonts w:ascii="Times New Roman" w:hAnsi="Times New Roman"/>
          <w:noProof/>
          <w:sz w:val="24"/>
        </w:rPr>
        <w:t xml:space="preserve"> EUR</w:t>
      </w:r>
      <w:r w:rsidR="0048187C" w:rsidRPr="00E50FA4">
        <w:rPr>
          <w:rFonts w:ascii="Times New Roman" w:hAnsi="Times New Roman"/>
          <w:noProof/>
          <w:sz w:val="24"/>
        </w:rPr>
        <w:t xml:space="preserve"> 10</w:t>
      </w:r>
      <w:r w:rsidR="00B10BED" w:rsidRPr="00E50FA4">
        <w:rPr>
          <w:rFonts w:ascii="Times New Roman" w:hAnsi="Times New Roman"/>
          <w:noProof/>
          <w:sz w:val="24"/>
        </w:rPr>
        <w:t>0</w:t>
      </w:r>
      <w:r w:rsidR="0057357A" w:rsidRPr="00E50FA4">
        <w:rPr>
          <w:rFonts w:ascii="Times New Roman" w:hAnsi="Times New Roman"/>
          <w:noProof/>
          <w:sz w:val="24"/>
        </w:rPr>
        <w:t xml:space="preserve"> </w:t>
      </w:r>
      <w:r w:rsidR="0048187C" w:rsidRPr="00E50FA4">
        <w:rPr>
          <w:rFonts w:ascii="Times New Roman" w:hAnsi="Times New Roman"/>
          <w:noProof/>
          <w:sz w:val="24"/>
        </w:rPr>
        <w:t>000 * [</w:t>
      </w:r>
      <w:r w:rsidR="00927E47" w:rsidRPr="00E50FA4">
        <w:rPr>
          <w:rFonts w:ascii="Times New Roman" w:hAnsi="Times New Roman"/>
          <w:noProof/>
          <w:sz w:val="24"/>
        </w:rPr>
        <w:t>80</w:t>
      </w:r>
      <w:r w:rsidR="0057357A" w:rsidRPr="00E50FA4">
        <w:rPr>
          <w:rFonts w:ascii="Times New Roman" w:hAnsi="Times New Roman"/>
          <w:noProof/>
          <w:sz w:val="24"/>
        </w:rPr>
        <w:t xml:space="preserve"> </w:t>
      </w:r>
      <w:r w:rsidR="0048187C" w:rsidRPr="00E50FA4">
        <w:rPr>
          <w:rFonts w:ascii="Times New Roman" w:hAnsi="Times New Roman"/>
          <w:noProof/>
          <w:sz w:val="24"/>
        </w:rPr>
        <w:t>000 / (</w:t>
      </w:r>
      <w:r w:rsidR="00927E47" w:rsidRPr="00E50FA4">
        <w:rPr>
          <w:rFonts w:ascii="Times New Roman" w:hAnsi="Times New Roman"/>
          <w:noProof/>
          <w:sz w:val="24"/>
        </w:rPr>
        <w:t>80</w:t>
      </w:r>
      <w:r w:rsidR="0057357A" w:rsidRPr="00E50FA4">
        <w:rPr>
          <w:rFonts w:ascii="Times New Roman" w:hAnsi="Times New Roman"/>
          <w:noProof/>
          <w:sz w:val="24"/>
        </w:rPr>
        <w:t xml:space="preserve"> </w:t>
      </w:r>
      <w:r w:rsidR="0048187C" w:rsidRPr="00E50FA4">
        <w:rPr>
          <w:rFonts w:ascii="Times New Roman" w:hAnsi="Times New Roman"/>
          <w:noProof/>
          <w:sz w:val="24"/>
        </w:rPr>
        <w:t xml:space="preserve">000 + </w:t>
      </w:r>
      <w:r w:rsidR="00927E47" w:rsidRPr="00E50FA4">
        <w:rPr>
          <w:rFonts w:ascii="Times New Roman" w:hAnsi="Times New Roman"/>
          <w:noProof/>
          <w:sz w:val="24"/>
        </w:rPr>
        <w:t>70</w:t>
      </w:r>
      <w:r w:rsidR="0057357A" w:rsidRPr="00E50FA4">
        <w:rPr>
          <w:rFonts w:ascii="Times New Roman" w:hAnsi="Times New Roman"/>
          <w:noProof/>
          <w:sz w:val="24"/>
        </w:rPr>
        <w:t xml:space="preserve"> </w:t>
      </w:r>
      <w:r w:rsidR="0048187C" w:rsidRPr="00E50FA4">
        <w:rPr>
          <w:rFonts w:ascii="Times New Roman" w:hAnsi="Times New Roman"/>
          <w:noProof/>
          <w:sz w:val="24"/>
        </w:rPr>
        <w:t xml:space="preserve">000)] under EPC label A and EUR </w:t>
      </w:r>
      <w:r w:rsidR="00927E47" w:rsidRPr="00E50FA4">
        <w:rPr>
          <w:rFonts w:ascii="Times New Roman" w:hAnsi="Times New Roman"/>
          <w:noProof/>
          <w:sz w:val="24"/>
        </w:rPr>
        <w:t>46</w:t>
      </w:r>
      <w:r w:rsidR="0057357A" w:rsidRPr="00E50FA4">
        <w:rPr>
          <w:rFonts w:ascii="Times New Roman" w:hAnsi="Times New Roman"/>
          <w:noProof/>
          <w:sz w:val="24"/>
        </w:rPr>
        <w:t xml:space="preserve"> </w:t>
      </w:r>
      <w:r w:rsidR="00927E47" w:rsidRPr="00E50FA4">
        <w:rPr>
          <w:rFonts w:ascii="Times New Roman" w:hAnsi="Times New Roman"/>
          <w:noProof/>
          <w:sz w:val="24"/>
        </w:rPr>
        <w:t>667</w:t>
      </w:r>
      <w:r w:rsidR="0048187C" w:rsidRPr="00E50FA4">
        <w:rPr>
          <w:rFonts w:ascii="Times New Roman" w:hAnsi="Times New Roman"/>
          <w:noProof/>
          <w:sz w:val="24"/>
        </w:rPr>
        <w:t xml:space="preserve"> (that is </w:t>
      </w:r>
      <w:r w:rsidR="00B10BED" w:rsidRPr="00E50FA4">
        <w:rPr>
          <w:rFonts w:ascii="Times New Roman" w:hAnsi="Times New Roman"/>
          <w:noProof/>
          <w:sz w:val="24"/>
        </w:rPr>
        <w:t xml:space="preserve">EUR </w:t>
      </w:r>
      <w:r w:rsidR="0048187C" w:rsidRPr="00E50FA4">
        <w:rPr>
          <w:rFonts w:ascii="Times New Roman" w:hAnsi="Times New Roman"/>
          <w:noProof/>
          <w:sz w:val="24"/>
        </w:rPr>
        <w:t>10</w:t>
      </w:r>
      <w:r w:rsidR="00B10BED" w:rsidRPr="00E50FA4">
        <w:rPr>
          <w:rFonts w:ascii="Times New Roman" w:hAnsi="Times New Roman"/>
          <w:noProof/>
          <w:sz w:val="24"/>
        </w:rPr>
        <w:t>0</w:t>
      </w:r>
      <w:r w:rsidR="0057357A" w:rsidRPr="00E50FA4">
        <w:rPr>
          <w:rFonts w:ascii="Times New Roman" w:hAnsi="Times New Roman"/>
          <w:noProof/>
          <w:sz w:val="24"/>
        </w:rPr>
        <w:t xml:space="preserve"> </w:t>
      </w:r>
      <w:r w:rsidR="0048187C" w:rsidRPr="00E50FA4">
        <w:rPr>
          <w:rFonts w:ascii="Times New Roman" w:hAnsi="Times New Roman"/>
          <w:noProof/>
          <w:sz w:val="24"/>
        </w:rPr>
        <w:t>000 * [</w:t>
      </w:r>
      <w:r w:rsidR="00927E47" w:rsidRPr="00E50FA4">
        <w:rPr>
          <w:rFonts w:ascii="Times New Roman" w:hAnsi="Times New Roman"/>
          <w:noProof/>
          <w:sz w:val="24"/>
        </w:rPr>
        <w:t>7</w:t>
      </w:r>
      <w:r w:rsidR="0048187C" w:rsidRPr="00E50FA4">
        <w:rPr>
          <w:rFonts w:ascii="Times New Roman" w:hAnsi="Times New Roman"/>
          <w:noProof/>
          <w:sz w:val="24"/>
        </w:rPr>
        <w:t>0</w:t>
      </w:r>
      <w:r w:rsidR="0057357A" w:rsidRPr="00E50FA4">
        <w:rPr>
          <w:rFonts w:ascii="Times New Roman" w:hAnsi="Times New Roman"/>
          <w:noProof/>
          <w:sz w:val="24"/>
        </w:rPr>
        <w:t xml:space="preserve"> </w:t>
      </w:r>
      <w:r w:rsidR="0048187C" w:rsidRPr="00E50FA4">
        <w:rPr>
          <w:rFonts w:ascii="Times New Roman" w:hAnsi="Times New Roman"/>
          <w:noProof/>
          <w:sz w:val="24"/>
        </w:rPr>
        <w:t>000 / (</w:t>
      </w:r>
      <w:r w:rsidR="00927E47" w:rsidRPr="00E50FA4">
        <w:rPr>
          <w:rFonts w:ascii="Times New Roman" w:hAnsi="Times New Roman"/>
          <w:noProof/>
          <w:sz w:val="24"/>
        </w:rPr>
        <w:t>8</w:t>
      </w:r>
      <w:r w:rsidR="0048187C" w:rsidRPr="00E50FA4">
        <w:rPr>
          <w:rFonts w:ascii="Times New Roman" w:hAnsi="Times New Roman"/>
          <w:noProof/>
          <w:sz w:val="24"/>
        </w:rPr>
        <w:t>0</w:t>
      </w:r>
      <w:r w:rsidR="0057357A" w:rsidRPr="00E50FA4">
        <w:rPr>
          <w:rFonts w:ascii="Times New Roman" w:hAnsi="Times New Roman"/>
          <w:noProof/>
          <w:sz w:val="24"/>
        </w:rPr>
        <w:t xml:space="preserve"> </w:t>
      </w:r>
      <w:r w:rsidR="0048187C" w:rsidRPr="00E50FA4">
        <w:rPr>
          <w:rFonts w:ascii="Times New Roman" w:hAnsi="Times New Roman"/>
          <w:noProof/>
          <w:sz w:val="24"/>
        </w:rPr>
        <w:t xml:space="preserve">000 + </w:t>
      </w:r>
      <w:r w:rsidR="00927E47" w:rsidRPr="00E50FA4">
        <w:rPr>
          <w:rFonts w:ascii="Times New Roman" w:hAnsi="Times New Roman"/>
          <w:noProof/>
          <w:sz w:val="24"/>
        </w:rPr>
        <w:t>7</w:t>
      </w:r>
      <w:r w:rsidR="0048187C" w:rsidRPr="00E50FA4">
        <w:rPr>
          <w:rFonts w:ascii="Times New Roman" w:hAnsi="Times New Roman"/>
          <w:noProof/>
          <w:sz w:val="24"/>
        </w:rPr>
        <w:t>0</w:t>
      </w:r>
      <w:r w:rsidR="0057357A" w:rsidRPr="00E50FA4">
        <w:rPr>
          <w:rFonts w:ascii="Times New Roman" w:hAnsi="Times New Roman"/>
          <w:noProof/>
          <w:sz w:val="24"/>
        </w:rPr>
        <w:t xml:space="preserve"> </w:t>
      </w:r>
      <w:r w:rsidR="0048187C" w:rsidRPr="00E50FA4">
        <w:rPr>
          <w:rFonts w:ascii="Times New Roman" w:hAnsi="Times New Roman"/>
          <w:noProof/>
          <w:sz w:val="24"/>
        </w:rPr>
        <w:t xml:space="preserve">000)] under EPC label D, both corresponding to the specific loan in question. </w:t>
      </w:r>
      <w:bookmarkEnd w:id="11"/>
      <w:bookmarkEnd w:id="12"/>
    </w:p>
    <w:p w14:paraId="5F6F4E0A" w14:textId="77777777" w:rsidR="00224B1E" w:rsidRPr="00E50FA4" w:rsidRDefault="00224B1E" w:rsidP="00224B1E">
      <w:pPr>
        <w:pStyle w:val="ListParagraph"/>
        <w:spacing w:before="120" w:after="120"/>
        <w:ind w:left="426"/>
        <w:jc w:val="both"/>
        <w:rPr>
          <w:noProof/>
        </w:rPr>
      </w:pPr>
    </w:p>
    <w:p w14:paraId="4C11CC78" w14:textId="07D73C58" w:rsidR="00502554" w:rsidRPr="00E50FA4" w:rsidRDefault="00E01673" w:rsidP="00D35812">
      <w:pPr>
        <w:spacing w:before="120" w:after="120"/>
        <w:jc w:val="both"/>
        <w:rPr>
          <w:rFonts w:ascii="Times New Roman" w:hAnsi="Times New Roman"/>
          <w:b/>
          <w:noProof/>
          <w:sz w:val="24"/>
          <w:lang w:val="en-GB"/>
        </w:rPr>
      </w:pPr>
      <w:bookmarkStart w:id="13" w:name="_Hlk87359682"/>
      <w:r w:rsidRPr="00E50FA4">
        <w:rPr>
          <w:rFonts w:ascii="Times New Roman" w:hAnsi="Times New Roman"/>
          <w:b/>
          <w:noProof/>
          <w:sz w:val="24"/>
          <w:lang w:val="en-GB"/>
        </w:rPr>
        <w:t xml:space="preserve">Template </w:t>
      </w:r>
      <w:r w:rsidR="0039601B" w:rsidRPr="00E50FA4">
        <w:rPr>
          <w:rFonts w:ascii="Times New Roman" w:hAnsi="Times New Roman"/>
          <w:b/>
          <w:noProof/>
          <w:sz w:val="24"/>
          <w:lang w:val="en-GB"/>
        </w:rPr>
        <w:t>3</w:t>
      </w:r>
      <w:r w:rsidRPr="00E50FA4">
        <w:rPr>
          <w:rFonts w:ascii="Times New Roman" w:hAnsi="Times New Roman"/>
          <w:b/>
          <w:noProof/>
          <w:sz w:val="24"/>
          <w:lang w:val="en-GB"/>
        </w:rPr>
        <w:t xml:space="preserve">: </w:t>
      </w:r>
      <w:r w:rsidR="00FF0B8C" w:rsidRPr="00E50FA4">
        <w:rPr>
          <w:rFonts w:ascii="Times New Roman" w:hAnsi="Times New Roman"/>
          <w:b/>
          <w:noProof/>
          <w:sz w:val="24"/>
          <w:lang w:val="en-GB"/>
        </w:rPr>
        <w:t xml:space="preserve">Banking book </w:t>
      </w:r>
      <w:r w:rsidR="00786654" w:rsidRPr="00E50FA4">
        <w:rPr>
          <w:rFonts w:ascii="Times New Roman" w:hAnsi="Times New Roman"/>
          <w:b/>
          <w:noProof/>
          <w:sz w:val="24"/>
          <w:lang w:val="en-GB"/>
        </w:rPr>
        <w:t>–</w:t>
      </w:r>
      <w:r w:rsidR="00FF0B8C" w:rsidRPr="00E50FA4">
        <w:rPr>
          <w:rFonts w:ascii="Times New Roman" w:hAnsi="Times New Roman"/>
          <w:b/>
          <w:noProof/>
          <w:sz w:val="24"/>
          <w:lang w:val="en-GB"/>
        </w:rPr>
        <w:t xml:space="preserve"> </w:t>
      </w:r>
      <w:r w:rsidR="00786654" w:rsidRPr="00E50FA4">
        <w:rPr>
          <w:rFonts w:ascii="Times New Roman" w:hAnsi="Times New Roman"/>
          <w:b/>
          <w:noProof/>
          <w:sz w:val="24"/>
          <w:lang w:val="en-GB"/>
        </w:rPr>
        <w:t xml:space="preserve">Indicators of potential climate </w:t>
      </w:r>
      <w:r w:rsidR="00FF0B8C" w:rsidRPr="00E50FA4">
        <w:rPr>
          <w:rFonts w:ascii="Times New Roman" w:hAnsi="Times New Roman"/>
          <w:b/>
          <w:noProof/>
          <w:sz w:val="24"/>
          <w:lang w:val="en-GB"/>
        </w:rPr>
        <w:t>change transition risk: Alignment metrics</w:t>
      </w:r>
      <w:r w:rsidR="00D51DA4" w:rsidRPr="00E50FA4">
        <w:rPr>
          <w:rFonts w:ascii="Times New Roman" w:hAnsi="Times New Roman"/>
          <w:noProof/>
          <w:sz w:val="24"/>
          <w:lang w:val="en-GB"/>
        </w:rPr>
        <w:t xml:space="preserve">. </w:t>
      </w:r>
      <w:r w:rsidR="00C43DB5" w:rsidRPr="00E50FA4">
        <w:rPr>
          <w:rFonts w:ascii="Times New Roman" w:hAnsi="Times New Roman" w:cs="Times New Roman"/>
          <w:noProof/>
          <w:sz w:val="24"/>
          <w:lang w:val="en-GB"/>
        </w:rPr>
        <w:t xml:space="preserve">Flexible </w:t>
      </w:r>
      <w:r w:rsidR="00D51DA4" w:rsidRPr="00E50FA4">
        <w:rPr>
          <w:rFonts w:ascii="Times New Roman" w:hAnsi="Times New Roman" w:cs="Times New Roman"/>
          <w:noProof/>
          <w:sz w:val="24"/>
          <w:lang w:val="en-GB"/>
        </w:rPr>
        <w:t>format</w:t>
      </w:r>
      <w:r w:rsidR="00C43DB5" w:rsidRPr="00E50FA4">
        <w:rPr>
          <w:rFonts w:ascii="Times New Roman" w:hAnsi="Times New Roman" w:cs="Times New Roman"/>
          <w:noProof/>
          <w:sz w:val="24"/>
          <w:lang w:val="en-GB"/>
        </w:rPr>
        <w:t xml:space="preserve"> (fixed columns, flexible rows)</w:t>
      </w:r>
      <w:r w:rsidR="00D51DA4" w:rsidRPr="00E50FA4">
        <w:rPr>
          <w:rFonts w:ascii="Times New Roman" w:hAnsi="Times New Roman" w:cs="Times New Roman"/>
          <w:noProof/>
          <w:sz w:val="24"/>
          <w:lang w:val="en-GB"/>
        </w:rPr>
        <w:t>.</w:t>
      </w:r>
    </w:p>
    <w:p w14:paraId="61DDF494" w14:textId="4DE3E725" w:rsidR="00881A19" w:rsidRPr="00E50FA4" w:rsidRDefault="00881A19" w:rsidP="00B76863">
      <w:pPr>
        <w:pStyle w:val="ListParagraph"/>
        <w:numPr>
          <w:ilvl w:val="0"/>
          <w:numId w:val="59"/>
        </w:numPr>
        <w:tabs>
          <w:tab w:val="left" w:pos="567"/>
        </w:tabs>
        <w:spacing w:before="120" w:after="120"/>
        <w:ind w:left="0" w:firstLine="0"/>
        <w:jc w:val="both"/>
        <w:rPr>
          <w:rFonts w:ascii="Times New Roman" w:eastAsiaTheme="minorEastAsia" w:hAnsi="Times New Roman" w:cstheme="minorBidi"/>
          <w:noProof/>
          <w:sz w:val="24"/>
          <w:szCs w:val="24"/>
        </w:rPr>
      </w:pPr>
      <w:r w:rsidRPr="00E50FA4">
        <w:rPr>
          <w:rFonts w:ascii="Times New Roman" w:hAnsi="Times New Roman"/>
          <w:noProof/>
          <w:sz w:val="24"/>
        </w:rPr>
        <w:t xml:space="preserve">Institutions shall </w:t>
      </w:r>
      <w:r w:rsidR="004C61E0" w:rsidRPr="00E50FA4">
        <w:rPr>
          <w:rFonts w:ascii="Times New Roman" w:hAnsi="Times New Roman"/>
          <w:noProof/>
          <w:sz w:val="24"/>
        </w:rPr>
        <w:t xml:space="preserve">use </w:t>
      </w:r>
      <w:r w:rsidRPr="00E50FA4">
        <w:rPr>
          <w:rFonts w:ascii="Times New Roman" w:hAnsi="Times New Roman"/>
          <w:noProof/>
          <w:sz w:val="24"/>
        </w:rPr>
        <w:t xml:space="preserve">the </w:t>
      </w:r>
      <w:r w:rsidR="004C61E0" w:rsidRPr="00E50FA4">
        <w:rPr>
          <w:rFonts w:ascii="Times New Roman" w:hAnsi="Times New Roman"/>
          <w:noProof/>
          <w:sz w:val="24"/>
        </w:rPr>
        <w:t xml:space="preserve">following </w:t>
      </w:r>
      <w:r w:rsidRPr="00E50FA4">
        <w:rPr>
          <w:rFonts w:ascii="Times New Roman" w:hAnsi="Times New Roman"/>
          <w:noProof/>
          <w:sz w:val="24"/>
        </w:rPr>
        <w:t>instructions to disclose the information required in ‘</w:t>
      </w:r>
      <w:r w:rsidRPr="00E50FA4">
        <w:rPr>
          <w:rFonts w:ascii="Times New Roman" w:hAnsi="Times New Roman"/>
          <w:bCs/>
          <w:noProof/>
          <w:sz w:val="24"/>
        </w:rPr>
        <w:t xml:space="preserve">Template 3: Banking book - </w:t>
      </w:r>
      <w:r w:rsidR="00786654" w:rsidRPr="00E50FA4">
        <w:rPr>
          <w:rFonts w:ascii="Times New Roman" w:hAnsi="Times New Roman"/>
          <w:bCs/>
          <w:noProof/>
          <w:sz w:val="24"/>
        </w:rPr>
        <w:t xml:space="preserve">Indicators of potential climate </w:t>
      </w:r>
      <w:r w:rsidRPr="00E50FA4">
        <w:rPr>
          <w:rFonts w:ascii="Times New Roman" w:hAnsi="Times New Roman"/>
          <w:bCs/>
          <w:noProof/>
          <w:sz w:val="24"/>
        </w:rPr>
        <w:t>change transition risk: Alignment metrics</w:t>
      </w:r>
      <w:r w:rsidRPr="00E50FA4">
        <w:rPr>
          <w:rFonts w:ascii="Times New Roman" w:hAnsi="Times New Roman"/>
          <w:noProof/>
          <w:sz w:val="24"/>
        </w:rPr>
        <w:t xml:space="preserve">’, as </w:t>
      </w:r>
      <w:r w:rsidR="009906F2" w:rsidRPr="00E50FA4">
        <w:rPr>
          <w:rFonts w:ascii="Times New Roman" w:hAnsi="Times New Roman"/>
          <w:noProof/>
          <w:sz w:val="24"/>
        </w:rPr>
        <w:t>set out</w:t>
      </w:r>
      <w:r w:rsidRPr="00E50FA4">
        <w:rPr>
          <w:rFonts w:ascii="Times New Roman" w:hAnsi="Times New Roman"/>
          <w:noProof/>
          <w:sz w:val="24"/>
        </w:rPr>
        <w:t xml:space="preserve"> in Annex XXXIX to this Regulation. </w:t>
      </w:r>
    </w:p>
    <w:p w14:paraId="1AFCBB91" w14:textId="4ED30FEF" w:rsidR="005C7162" w:rsidRPr="00E50FA4" w:rsidRDefault="00881A19" w:rsidP="00B76863">
      <w:pPr>
        <w:pStyle w:val="ListParagraph"/>
        <w:numPr>
          <w:ilvl w:val="0"/>
          <w:numId w:val="59"/>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Institutions shall disclose in </w:t>
      </w:r>
      <w:r w:rsidR="008B7D61" w:rsidRPr="00E50FA4">
        <w:rPr>
          <w:rFonts w:ascii="Times New Roman" w:hAnsi="Times New Roman"/>
          <w:noProof/>
          <w:sz w:val="24"/>
        </w:rPr>
        <w:t xml:space="preserve">this template information on </w:t>
      </w:r>
      <w:r w:rsidRPr="00E50FA4">
        <w:rPr>
          <w:rFonts w:ascii="Times New Roman" w:hAnsi="Times New Roman"/>
          <w:noProof/>
          <w:sz w:val="24"/>
        </w:rPr>
        <w:t xml:space="preserve">their </w:t>
      </w:r>
      <w:r w:rsidR="003A0E90" w:rsidRPr="00E50FA4">
        <w:rPr>
          <w:rFonts w:ascii="Times New Roman" w:hAnsi="Times New Roman"/>
          <w:noProof/>
          <w:sz w:val="24"/>
        </w:rPr>
        <w:t xml:space="preserve">alignment efforts with the </w:t>
      </w:r>
      <w:r w:rsidR="00150CFE" w:rsidRPr="00E50FA4">
        <w:rPr>
          <w:rFonts w:ascii="Times New Roman" w:hAnsi="Times New Roman"/>
          <w:noProof/>
          <w:sz w:val="24"/>
        </w:rPr>
        <w:t xml:space="preserve">objectives of </w:t>
      </w:r>
      <w:r w:rsidR="00150CFE" w:rsidRPr="00E50FA4">
        <w:rPr>
          <w:rFonts w:ascii="Times New Roman" w:hAnsi="Times New Roman"/>
          <w:noProof/>
          <w:sz w:val="24"/>
          <w:lang w:val="en-US"/>
        </w:rPr>
        <w:t xml:space="preserve">the </w:t>
      </w:r>
      <w:r w:rsidR="00150CFE" w:rsidRPr="00B76863">
        <w:rPr>
          <w:rFonts w:ascii="Times New Roman" w:hAnsi="Times New Roman"/>
          <w:noProof/>
          <w:sz w:val="24"/>
          <w:lang w:val="en-US"/>
        </w:rPr>
        <w:t xml:space="preserve">Paris </w:t>
      </w:r>
      <w:r w:rsidR="00B76863" w:rsidRPr="00B76863">
        <w:rPr>
          <w:rFonts w:ascii="Times New Roman" w:hAnsi="Times New Roman"/>
          <w:noProof/>
          <w:sz w:val="24"/>
          <w:lang w:val="en-US"/>
        </w:rPr>
        <w:t>Agreement</w:t>
      </w:r>
      <w:r w:rsidR="00B76863" w:rsidRPr="00E50FA4">
        <w:rPr>
          <w:rFonts w:ascii="Times New Roman" w:hAnsi="Times New Roman"/>
          <w:noProof/>
          <w:sz w:val="24"/>
        </w:rPr>
        <w:t xml:space="preserve"> for</w:t>
      </w:r>
      <w:r w:rsidR="003A0E90" w:rsidRPr="00E50FA4">
        <w:rPr>
          <w:rFonts w:ascii="Times New Roman" w:hAnsi="Times New Roman"/>
          <w:noProof/>
          <w:sz w:val="24"/>
        </w:rPr>
        <w:t xml:space="preserve"> a selected number of sectors</w:t>
      </w:r>
      <w:r w:rsidR="00BD55F5" w:rsidRPr="00E50FA4">
        <w:rPr>
          <w:rFonts w:ascii="Times New Roman" w:hAnsi="Times New Roman"/>
          <w:noProof/>
          <w:sz w:val="24"/>
        </w:rPr>
        <w:t xml:space="preserve">. The disclosures on the alignment shall capture the extent to which financial flows are consistent with a pathway towards low greenhouse gas emissions and climate-resilient development as </w:t>
      </w:r>
      <w:r w:rsidR="00DC607D" w:rsidRPr="00E50FA4">
        <w:rPr>
          <w:rFonts w:ascii="Times New Roman" w:hAnsi="Times New Roman"/>
          <w:noProof/>
          <w:sz w:val="24"/>
        </w:rPr>
        <w:t xml:space="preserve">referred to </w:t>
      </w:r>
      <w:r w:rsidR="00BD55F5" w:rsidRPr="00E50FA4">
        <w:rPr>
          <w:rFonts w:ascii="Times New Roman" w:hAnsi="Times New Roman"/>
          <w:noProof/>
          <w:sz w:val="24"/>
        </w:rPr>
        <w:t>in the Paris Agreement. The economic scenario that describes that decarbonisation pathway is</w:t>
      </w:r>
      <w:r w:rsidR="00D2129F" w:rsidRPr="00E50FA4">
        <w:rPr>
          <w:rFonts w:ascii="Times New Roman" w:hAnsi="Times New Roman"/>
          <w:noProof/>
          <w:sz w:val="24"/>
        </w:rPr>
        <w:t xml:space="preserve"> the International Energy Agency</w:t>
      </w:r>
      <w:r w:rsidR="00150CFE" w:rsidRPr="00E50FA4">
        <w:rPr>
          <w:rFonts w:ascii="Times New Roman" w:hAnsi="Times New Roman"/>
          <w:noProof/>
          <w:sz w:val="24"/>
        </w:rPr>
        <w:t xml:space="preserve"> (IEA)</w:t>
      </w:r>
      <w:r w:rsidR="00D2129F" w:rsidRPr="00E50FA4">
        <w:rPr>
          <w:rFonts w:ascii="Times New Roman" w:hAnsi="Times New Roman"/>
          <w:noProof/>
          <w:sz w:val="24"/>
        </w:rPr>
        <w:t xml:space="preserve"> Net Zero Emissions by 2050 Scenario (NZE2050)</w:t>
      </w:r>
      <w:r w:rsidR="00D65FBF" w:rsidRPr="00E50FA4">
        <w:rPr>
          <w:rFonts w:ascii="Times New Roman" w:hAnsi="Times New Roman"/>
          <w:noProof/>
          <w:sz w:val="24"/>
          <w:vertAlign w:val="superscript"/>
        </w:rPr>
        <w:t>*1</w:t>
      </w:r>
      <w:r w:rsidR="00EB7026" w:rsidRPr="00E50FA4">
        <w:rPr>
          <w:rFonts w:ascii="Times New Roman" w:hAnsi="Times New Roman"/>
          <w:noProof/>
          <w:sz w:val="24"/>
          <w:vertAlign w:val="superscript"/>
        </w:rPr>
        <w:t>8</w:t>
      </w:r>
      <w:r w:rsidR="003A0E90" w:rsidRPr="00E50FA4">
        <w:rPr>
          <w:rFonts w:ascii="Times New Roman" w:hAnsi="Times New Roman"/>
          <w:noProof/>
          <w:sz w:val="24"/>
        </w:rPr>
        <w:t>.</w:t>
      </w:r>
      <w:r w:rsidR="008B7D61" w:rsidRPr="00E50FA4">
        <w:rPr>
          <w:rFonts w:ascii="Times New Roman" w:hAnsi="Times New Roman"/>
          <w:noProof/>
          <w:sz w:val="24"/>
        </w:rPr>
        <w:t xml:space="preserve"> </w:t>
      </w:r>
      <w:r w:rsidR="00BD55F5" w:rsidRPr="00E50FA4">
        <w:rPr>
          <w:rFonts w:ascii="Times New Roman" w:hAnsi="Times New Roman"/>
          <w:noProof/>
          <w:sz w:val="24"/>
        </w:rPr>
        <w:t xml:space="preserve">Institutions shall take into account </w:t>
      </w:r>
      <w:r w:rsidR="00EB7026" w:rsidRPr="00E50FA4">
        <w:rPr>
          <w:rFonts w:ascii="Times New Roman" w:hAnsi="Times New Roman"/>
          <w:noProof/>
          <w:sz w:val="24"/>
        </w:rPr>
        <w:t>that</w:t>
      </w:r>
      <w:r w:rsidR="00BD55F5" w:rsidRPr="00E50FA4">
        <w:rPr>
          <w:rFonts w:ascii="Times New Roman" w:hAnsi="Times New Roman"/>
          <w:noProof/>
          <w:sz w:val="24"/>
        </w:rPr>
        <w:t xml:space="preserve"> scenario. </w:t>
      </w:r>
      <w:r w:rsidR="00DC607D" w:rsidRPr="00E50FA4">
        <w:rPr>
          <w:rFonts w:ascii="Times New Roman" w:hAnsi="Times New Roman"/>
          <w:noProof/>
          <w:sz w:val="24"/>
        </w:rPr>
        <w:t>Given that t</w:t>
      </w:r>
      <w:r w:rsidR="005C7162" w:rsidRPr="00E50FA4">
        <w:rPr>
          <w:rFonts w:ascii="Times New Roman" w:hAnsi="Times New Roman"/>
          <w:noProof/>
          <w:sz w:val="24"/>
        </w:rPr>
        <w:t xml:space="preserve">he IEA </w:t>
      </w:r>
      <w:r w:rsidR="00DC607D" w:rsidRPr="00E50FA4">
        <w:rPr>
          <w:rFonts w:ascii="Times New Roman" w:hAnsi="Times New Roman"/>
          <w:noProof/>
          <w:sz w:val="24"/>
        </w:rPr>
        <w:t xml:space="preserve">provides scenarios </w:t>
      </w:r>
      <w:r w:rsidR="005C7162" w:rsidRPr="00E50FA4">
        <w:rPr>
          <w:rFonts w:ascii="Times New Roman" w:hAnsi="Times New Roman"/>
          <w:noProof/>
          <w:sz w:val="24"/>
        </w:rPr>
        <w:t>at global level</w:t>
      </w:r>
      <w:r w:rsidR="00DC607D" w:rsidRPr="00E50FA4">
        <w:rPr>
          <w:rFonts w:ascii="Times New Roman" w:hAnsi="Times New Roman"/>
          <w:noProof/>
          <w:sz w:val="24"/>
        </w:rPr>
        <w:t xml:space="preserve"> and some </w:t>
      </w:r>
      <w:r w:rsidR="005C7162" w:rsidRPr="00E50FA4">
        <w:rPr>
          <w:rFonts w:ascii="Times New Roman" w:hAnsi="Times New Roman"/>
          <w:noProof/>
          <w:sz w:val="24"/>
        </w:rPr>
        <w:t xml:space="preserve">specific metrics at European level, </w:t>
      </w:r>
      <w:r w:rsidR="00DC607D" w:rsidRPr="00E50FA4">
        <w:rPr>
          <w:rFonts w:ascii="Times New Roman" w:hAnsi="Times New Roman"/>
          <w:noProof/>
          <w:sz w:val="24"/>
        </w:rPr>
        <w:t xml:space="preserve">institutions are to measure </w:t>
      </w:r>
      <w:r w:rsidR="005C7162" w:rsidRPr="00E50FA4">
        <w:rPr>
          <w:rFonts w:ascii="Times New Roman" w:hAnsi="Times New Roman"/>
          <w:noProof/>
          <w:sz w:val="24"/>
        </w:rPr>
        <w:t xml:space="preserve">the distance </w:t>
      </w:r>
      <w:r w:rsidR="00DC607D" w:rsidRPr="00E50FA4">
        <w:rPr>
          <w:rFonts w:ascii="Times New Roman" w:hAnsi="Times New Roman"/>
          <w:noProof/>
          <w:sz w:val="24"/>
        </w:rPr>
        <w:t xml:space="preserve">from </w:t>
      </w:r>
      <w:r w:rsidR="005C7162" w:rsidRPr="00E50FA4">
        <w:rPr>
          <w:rFonts w:ascii="Times New Roman" w:hAnsi="Times New Roman"/>
          <w:noProof/>
          <w:sz w:val="24"/>
        </w:rPr>
        <w:t>the IEA scenario benchmark</w:t>
      </w:r>
      <w:r w:rsidR="00DC607D" w:rsidRPr="00E50FA4">
        <w:rPr>
          <w:rFonts w:ascii="Times New Roman" w:hAnsi="Times New Roman"/>
          <w:noProof/>
          <w:sz w:val="24"/>
        </w:rPr>
        <w:t>s</w:t>
      </w:r>
      <w:r w:rsidR="005C7162" w:rsidRPr="00E50FA4">
        <w:rPr>
          <w:rFonts w:ascii="Times New Roman" w:hAnsi="Times New Roman"/>
          <w:noProof/>
          <w:sz w:val="24"/>
        </w:rPr>
        <w:t xml:space="preserve"> at global level and</w:t>
      </w:r>
      <w:r w:rsidR="00DC607D" w:rsidRPr="00E50FA4">
        <w:rPr>
          <w:rFonts w:ascii="Times New Roman" w:hAnsi="Times New Roman"/>
          <w:noProof/>
          <w:sz w:val="24"/>
        </w:rPr>
        <w:t xml:space="preserve">, where the specific European level metrics are available, </w:t>
      </w:r>
      <w:r w:rsidR="005C7162" w:rsidRPr="00E50FA4">
        <w:rPr>
          <w:rFonts w:ascii="Times New Roman" w:hAnsi="Times New Roman"/>
          <w:noProof/>
          <w:sz w:val="24"/>
        </w:rPr>
        <w:t xml:space="preserve">at </w:t>
      </w:r>
      <w:r w:rsidR="00DC607D" w:rsidRPr="00E50FA4">
        <w:rPr>
          <w:rFonts w:ascii="Times New Roman" w:hAnsi="Times New Roman"/>
          <w:noProof/>
          <w:sz w:val="24"/>
        </w:rPr>
        <w:t xml:space="preserve">European </w:t>
      </w:r>
      <w:r w:rsidR="005C7162" w:rsidRPr="00E50FA4">
        <w:rPr>
          <w:rFonts w:ascii="Times New Roman" w:hAnsi="Times New Roman"/>
          <w:noProof/>
          <w:sz w:val="24"/>
        </w:rPr>
        <w:t xml:space="preserve">level. </w:t>
      </w:r>
    </w:p>
    <w:p w14:paraId="6CB46F6E" w14:textId="7326C8AE" w:rsidR="0039601B" w:rsidRPr="00E50FA4" w:rsidRDefault="004C61E0" w:rsidP="00B76863">
      <w:pPr>
        <w:pStyle w:val="ListParagraph"/>
        <w:numPr>
          <w:ilvl w:val="0"/>
          <w:numId w:val="59"/>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I</w:t>
      </w:r>
      <w:r w:rsidR="008B7D61" w:rsidRPr="00E50FA4">
        <w:rPr>
          <w:rFonts w:ascii="Times New Roman" w:hAnsi="Times New Roman"/>
          <w:noProof/>
          <w:sz w:val="24"/>
        </w:rPr>
        <w:t xml:space="preserve">nstitutions that are already estimating information on their </w:t>
      </w:r>
      <w:r w:rsidR="006A2FE4" w:rsidRPr="00E50FA4">
        <w:rPr>
          <w:rFonts w:ascii="Times New Roman" w:hAnsi="Times New Roman"/>
          <w:noProof/>
          <w:sz w:val="24"/>
        </w:rPr>
        <w:t xml:space="preserve">sectoral alignment to the </w:t>
      </w:r>
      <w:r w:rsidR="00881A19" w:rsidRPr="00E50FA4">
        <w:rPr>
          <w:rFonts w:ascii="Times New Roman" w:hAnsi="Times New Roman"/>
          <w:noProof/>
          <w:sz w:val="24"/>
        </w:rPr>
        <w:t xml:space="preserve">Paris Agreement </w:t>
      </w:r>
      <w:r w:rsidR="008B7D61" w:rsidRPr="00E50FA4">
        <w:rPr>
          <w:rFonts w:ascii="Times New Roman" w:hAnsi="Times New Roman"/>
          <w:noProof/>
          <w:sz w:val="24"/>
        </w:rPr>
        <w:t>shall disclose the information in this template</w:t>
      </w:r>
      <w:r w:rsidR="006A2FE4" w:rsidRPr="00E50FA4">
        <w:rPr>
          <w:rFonts w:ascii="Times New Roman" w:hAnsi="Times New Roman"/>
          <w:noProof/>
          <w:sz w:val="24"/>
        </w:rPr>
        <w:t>.</w:t>
      </w:r>
      <w:r w:rsidR="008B7D61" w:rsidRPr="00E50FA4">
        <w:rPr>
          <w:rFonts w:ascii="Times New Roman" w:hAnsi="Times New Roman"/>
          <w:noProof/>
          <w:sz w:val="24"/>
        </w:rPr>
        <w:t xml:space="preserve"> </w:t>
      </w:r>
      <w:r w:rsidR="006A2FE4" w:rsidRPr="00E50FA4">
        <w:rPr>
          <w:rFonts w:ascii="Times New Roman" w:hAnsi="Times New Roman"/>
          <w:noProof/>
          <w:sz w:val="24"/>
        </w:rPr>
        <w:t xml:space="preserve">Institutions are to </w:t>
      </w:r>
      <w:r w:rsidR="008B7D61" w:rsidRPr="00E50FA4">
        <w:rPr>
          <w:rFonts w:ascii="Times New Roman" w:hAnsi="Times New Roman"/>
          <w:noProof/>
          <w:sz w:val="24"/>
        </w:rPr>
        <w:t>explain in the narrative</w:t>
      </w:r>
      <w:r w:rsidRPr="00E50FA4">
        <w:rPr>
          <w:rFonts w:ascii="Times New Roman" w:hAnsi="Times New Roman"/>
          <w:noProof/>
          <w:sz w:val="24"/>
        </w:rPr>
        <w:t xml:space="preserve"> part</w:t>
      </w:r>
      <w:r w:rsidR="008B7D61" w:rsidRPr="00E50FA4">
        <w:rPr>
          <w:rFonts w:ascii="Times New Roman" w:hAnsi="Times New Roman"/>
          <w:noProof/>
          <w:sz w:val="24"/>
        </w:rPr>
        <w:t xml:space="preserve"> accompanying the template the </w:t>
      </w:r>
      <w:r w:rsidRPr="00E50FA4">
        <w:rPr>
          <w:rFonts w:ascii="Times New Roman" w:hAnsi="Times New Roman"/>
          <w:noProof/>
          <w:sz w:val="24"/>
        </w:rPr>
        <w:t xml:space="preserve">method used </w:t>
      </w:r>
      <w:r w:rsidR="008B7D61" w:rsidRPr="00E50FA4">
        <w:rPr>
          <w:rFonts w:ascii="Times New Roman" w:hAnsi="Times New Roman"/>
          <w:noProof/>
          <w:sz w:val="24"/>
        </w:rPr>
        <w:t xml:space="preserve">and </w:t>
      </w:r>
      <w:r w:rsidRPr="00E50FA4">
        <w:rPr>
          <w:rFonts w:ascii="Times New Roman" w:hAnsi="Times New Roman"/>
          <w:noProof/>
          <w:sz w:val="24"/>
        </w:rPr>
        <w:t xml:space="preserve">the data </w:t>
      </w:r>
      <w:r w:rsidR="008B7D61" w:rsidRPr="00E50FA4">
        <w:rPr>
          <w:rFonts w:ascii="Times New Roman" w:hAnsi="Times New Roman"/>
          <w:noProof/>
          <w:sz w:val="24"/>
        </w:rPr>
        <w:t xml:space="preserve">source. Those institutions that are not yet estimating their </w:t>
      </w:r>
      <w:r w:rsidR="003A0E90" w:rsidRPr="00E50FA4">
        <w:rPr>
          <w:rFonts w:ascii="Times New Roman" w:hAnsi="Times New Roman"/>
          <w:noProof/>
          <w:sz w:val="24"/>
        </w:rPr>
        <w:t xml:space="preserve">sectoral alignment </w:t>
      </w:r>
      <w:r w:rsidR="008B7D61" w:rsidRPr="00E50FA4">
        <w:rPr>
          <w:rFonts w:ascii="Times New Roman" w:hAnsi="Times New Roman"/>
          <w:noProof/>
          <w:sz w:val="24"/>
        </w:rPr>
        <w:t xml:space="preserve">shall disclose information on their plans to implement </w:t>
      </w:r>
      <w:r w:rsidR="006A2FE4" w:rsidRPr="00E50FA4">
        <w:rPr>
          <w:rFonts w:ascii="Times New Roman" w:hAnsi="Times New Roman"/>
          <w:noProof/>
          <w:sz w:val="24"/>
        </w:rPr>
        <w:t xml:space="preserve">a </w:t>
      </w:r>
      <w:r w:rsidR="008B7D61" w:rsidRPr="00E50FA4">
        <w:rPr>
          <w:rFonts w:ascii="Times New Roman" w:hAnsi="Times New Roman"/>
          <w:noProof/>
          <w:sz w:val="24"/>
        </w:rPr>
        <w:t>method to estimate and disclose th</w:t>
      </w:r>
      <w:r w:rsidR="00136976" w:rsidRPr="00E50FA4">
        <w:rPr>
          <w:rFonts w:ascii="Times New Roman" w:hAnsi="Times New Roman"/>
          <w:noProof/>
          <w:sz w:val="24"/>
        </w:rPr>
        <w:t>at</w:t>
      </w:r>
      <w:r w:rsidR="008B7D61" w:rsidRPr="00E50FA4">
        <w:rPr>
          <w:rFonts w:ascii="Times New Roman" w:hAnsi="Times New Roman"/>
          <w:noProof/>
          <w:sz w:val="24"/>
        </w:rPr>
        <w:t xml:space="preserve"> information. </w:t>
      </w:r>
      <w:r w:rsidRPr="00E50FA4">
        <w:rPr>
          <w:rFonts w:ascii="Times New Roman" w:hAnsi="Times New Roman"/>
          <w:noProof/>
          <w:sz w:val="24"/>
        </w:rPr>
        <w:t xml:space="preserve">In any case, </w:t>
      </w:r>
      <w:r w:rsidR="00124EF7" w:rsidRPr="00E50FA4">
        <w:rPr>
          <w:rFonts w:ascii="Times New Roman" w:hAnsi="Times New Roman"/>
          <w:noProof/>
          <w:sz w:val="24"/>
        </w:rPr>
        <w:t>institutions shall start disclosing the information included in this template</w:t>
      </w:r>
      <w:r w:rsidR="0069726A" w:rsidRPr="00E50FA4">
        <w:rPr>
          <w:rFonts w:ascii="Times New Roman" w:hAnsi="Times New Roman"/>
          <w:noProof/>
          <w:sz w:val="24"/>
        </w:rPr>
        <w:t xml:space="preserve"> with</w:t>
      </w:r>
      <w:r w:rsidR="002A2C5B" w:rsidRPr="00E50FA4">
        <w:rPr>
          <w:rFonts w:ascii="Times New Roman" w:hAnsi="Times New Roman"/>
          <w:noProof/>
          <w:sz w:val="24"/>
        </w:rPr>
        <w:t xml:space="preserve"> first disclosure reference date as of</w:t>
      </w:r>
      <w:r w:rsidR="00790DE1" w:rsidRPr="00E50FA4">
        <w:rPr>
          <w:rFonts w:ascii="Times New Roman" w:hAnsi="Times New Roman"/>
          <w:noProof/>
          <w:sz w:val="24"/>
        </w:rPr>
        <w:t xml:space="preserve"> 30</w:t>
      </w:r>
      <w:r w:rsidR="00124EF7" w:rsidRPr="00E50FA4">
        <w:rPr>
          <w:rFonts w:ascii="Times New Roman" w:hAnsi="Times New Roman"/>
          <w:noProof/>
          <w:sz w:val="24"/>
        </w:rPr>
        <w:t xml:space="preserve"> June 2024.</w:t>
      </w:r>
    </w:p>
    <w:p w14:paraId="6123D348" w14:textId="77777777" w:rsidR="008B7D61" w:rsidRPr="00E50FA4" w:rsidRDefault="00E01673" w:rsidP="00B76863">
      <w:pPr>
        <w:pStyle w:val="ListParagraph"/>
        <w:numPr>
          <w:ilvl w:val="0"/>
          <w:numId w:val="59"/>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Institutions shall disclose in this template</w:t>
      </w:r>
      <w:r w:rsidR="008B7D61" w:rsidRPr="00E50FA4">
        <w:rPr>
          <w:rFonts w:ascii="Times New Roman" w:hAnsi="Times New Roman"/>
          <w:noProof/>
          <w:sz w:val="24"/>
        </w:rPr>
        <w:t>:</w:t>
      </w:r>
    </w:p>
    <w:p w14:paraId="366D68F8" w14:textId="6F250CD7" w:rsidR="009B37D7" w:rsidRPr="00E50FA4" w:rsidRDefault="006A2FE4" w:rsidP="00B76863">
      <w:pPr>
        <w:pStyle w:val="ListParagraph"/>
        <w:numPr>
          <w:ilvl w:val="1"/>
          <w:numId w:val="49"/>
        </w:numPr>
        <w:spacing w:before="120" w:after="120"/>
        <w:ind w:left="567" w:hanging="567"/>
        <w:jc w:val="both"/>
        <w:rPr>
          <w:rFonts w:ascii="Times New Roman" w:hAnsi="Times New Roman"/>
          <w:noProof/>
          <w:sz w:val="24"/>
        </w:rPr>
      </w:pPr>
      <w:r w:rsidRPr="00E50FA4">
        <w:rPr>
          <w:rFonts w:ascii="Times New Roman" w:hAnsi="Times New Roman"/>
          <w:noProof/>
          <w:sz w:val="24"/>
        </w:rPr>
        <w:t>Columns</w:t>
      </w:r>
      <w:r w:rsidR="009B37D7" w:rsidRPr="00E50FA4">
        <w:rPr>
          <w:rFonts w:ascii="Times New Roman" w:hAnsi="Times New Roman"/>
          <w:noProof/>
          <w:sz w:val="24"/>
        </w:rPr>
        <w:t xml:space="preserve"> </w:t>
      </w:r>
      <w:r w:rsidR="00136976" w:rsidRPr="00E50FA4">
        <w:rPr>
          <w:rFonts w:ascii="Times New Roman" w:hAnsi="Times New Roman"/>
          <w:noProof/>
          <w:sz w:val="24"/>
        </w:rPr>
        <w:t>(</w:t>
      </w:r>
      <w:r w:rsidR="009B37D7" w:rsidRPr="00E50FA4">
        <w:rPr>
          <w:rFonts w:ascii="Times New Roman" w:hAnsi="Times New Roman"/>
          <w:noProof/>
          <w:sz w:val="24"/>
        </w:rPr>
        <w:t>a</w:t>
      </w:r>
      <w:r w:rsidR="00136976" w:rsidRPr="00E50FA4">
        <w:rPr>
          <w:rFonts w:ascii="Times New Roman" w:hAnsi="Times New Roman"/>
          <w:noProof/>
          <w:sz w:val="24"/>
        </w:rPr>
        <w:t>)</w:t>
      </w:r>
      <w:r w:rsidR="009B37D7" w:rsidRPr="00E50FA4">
        <w:rPr>
          <w:rFonts w:ascii="Times New Roman" w:hAnsi="Times New Roman"/>
          <w:noProof/>
          <w:sz w:val="24"/>
        </w:rPr>
        <w:t xml:space="preserve"> and </w:t>
      </w:r>
      <w:r w:rsidR="00136976" w:rsidRPr="00E50FA4">
        <w:rPr>
          <w:rFonts w:ascii="Times New Roman" w:hAnsi="Times New Roman"/>
          <w:noProof/>
          <w:sz w:val="24"/>
        </w:rPr>
        <w:t>(</w:t>
      </w:r>
      <w:r w:rsidR="009B37D7" w:rsidRPr="00E50FA4">
        <w:rPr>
          <w:rFonts w:ascii="Times New Roman" w:hAnsi="Times New Roman"/>
          <w:noProof/>
          <w:sz w:val="24"/>
        </w:rPr>
        <w:t>b</w:t>
      </w:r>
      <w:r w:rsidR="00136976" w:rsidRPr="00E50FA4">
        <w:rPr>
          <w:rFonts w:ascii="Times New Roman" w:hAnsi="Times New Roman"/>
          <w:noProof/>
          <w:sz w:val="24"/>
        </w:rPr>
        <w:t>)</w:t>
      </w:r>
      <w:r w:rsidR="009B37D7" w:rsidRPr="00E50FA4">
        <w:rPr>
          <w:rFonts w:ascii="Times New Roman" w:hAnsi="Times New Roman"/>
          <w:noProof/>
          <w:sz w:val="24"/>
        </w:rPr>
        <w:t xml:space="preserve">: </w:t>
      </w:r>
      <w:r w:rsidR="00124D51" w:rsidRPr="00E50FA4">
        <w:rPr>
          <w:rFonts w:ascii="Times New Roman" w:hAnsi="Times New Roman"/>
          <w:noProof/>
          <w:sz w:val="24"/>
        </w:rPr>
        <w:t>t</w:t>
      </w:r>
      <w:r w:rsidR="009B37D7" w:rsidRPr="00E50FA4">
        <w:rPr>
          <w:rFonts w:ascii="Times New Roman" w:hAnsi="Times New Roman"/>
          <w:noProof/>
          <w:sz w:val="24"/>
        </w:rPr>
        <w:t xml:space="preserve">hese columns </w:t>
      </w:r>
      <w:r w:rsidR="0069726A" w:rsidRPr="00E50FA4">
        <w:rPr>
          <w:rFonts w:ascii="Times New Roman" w:hAnsi="Times New Roman"/>
          <w:noProof/>
          <w:sz w:val="24"/>
        </w:rPr>
        <w:t xml:space="preserve">contain </w:t>
      </w:r>
      <w:r w:rsidR="009B37D7" w:rsidRPr="00E50FA4">
        <w:rPr>
          <w:rFonts w:ascii="Times New Roman" w:hAnsi="Times New Roman"/>
          <w:noProof/>
          <w:sz w:val="24"/>
        </w:rPr>
        <w:t>the sectors (IEA sectors</w:t>
      </w:r>
      <w:r w:rsidR="004C61E0" w:rsidRPr="00E50FA4">
        <w:rPr>
          <w:rFonts w:ascii="Times New Roman" w:hAnsi="Times New Roman"/>
          <w:noProof/>
          <w:sz w:val="24"/>
        </w:rPr>
        <w:t>)</w:t>
      </w:r>
      <w:r w:rsidR="009B37D7" w:rsidRPr="00E50FA4">
        <w:rPr>
          <w:rFonts w:ascii="Times New Roman" w:hAnsi="Times New Roman"/>
          <w:noProof/>
          <w:sz w:val="24"/>
        </w:rPr>
        <w:t xml:space="preserve"> in column </w:t>
      </w:r>
      <w:r w:rsidR="0069726A" w:rsidRPr="00E50FA4">
        <w:rPr>
          <w:rFonts w:ascii="Times New Roman" w:hAnsi="Times New Roman"/>
          <w:noProof/>
          <w:sz w:val="24"/>
        </w:rPr>
        <w:t>(</w:t>
      </w:r>
      <w:r w:rsidR="009B37D7" w:rsidRPr="00E50FA4">
        <w:rPr>
          <w:rFonts w:ascii="Times New Roman" w:hAnsi="Times New Roman"/>
          <w:noProof/>
          <w:sz w:val="24"/>
        </w:rPr>
        <w:t>a)</w:t>
      </w:r>
      <w:r w:rsidR="00C70F15" w:rsidRPr="00E50FA4">
        <w:rPr>
          <w:rFonts w:ascii="Times New Roman" w:hAnsi="Times New Roman"/>
          <w:noProof/>
          <w:sz w:val="24"/>
        </w:rPr>
        <w:t xml:space="preserve"> under which rows 1-8 list the mandatory minimum set of sectors,</w:t>
      </w:r>
      <w:r w:rsidR="009B37D7" w:rsidRPr="00E50FA4">
        <w:rPr>
          <w:rFonts w:ascii="Times New Roman" w:hAnsi="Times New Roman"/>
          <w:noProof/>
          <w:sz w:val="24"/>
        </w:rPr>
        <w:t xml:space="preserve"> and subsectors (NACE sectors in column </w:t>
      </w:r>
      <w:r w:rsidR="00136976" w:rsidRPr="00E50FA4">
        <w:rPr>
          <w:rFonts w:ascii="Times New Roman" w:hAnsi="Times New Roman"/>
          <w:noProof/>
          <w:sz w:val="24"/>
        </w:rPr>
        <w:t>(</w:t>
      </w:r>
      <w:r w:rsidR="009B37D7" w:rsidRPr="00E50FA4">
        <w:rPr>
          <w:rFonts w:ascii="Times New Roman" w:hAnsi="Times New Roman"/>
          <w:noProof/>
          <w:sz w:val="24"/>
        </w:rPr>
        <w:t>b</w:t>
      </w:r>
      <w:r w:rsidR="00136976" w:rsidRPr="00E50FA4">
        <w:rPr>
          <w:rFonts w:ascii="Times New Roman" w:hAnsi="Times New Roman"/>
          <w:noProof/>
          <w:sz w:val="24"/>
        </w:rPr>
        <w:t>)</w:t>
      </w:r>
      <w:r w:rsidR="009B37D7" w:rsidRPr="00E50FA4">
        <w:rPr>
          <w:rFonts w:ascii="Times New Roman" w:hAnsi="Times New Roman"/>
          <w:noProof/>
          <w:sz w:val="24"/>
        </w:rPr>
        <w:t xml:space="preserve"> according to the minimum ‘list of NACE sectors to be considered’ as indicated in the template</w:t>
      </w:r>
      <w:r w:rsidR="001A365E" w:rsidRPr="00E50FA4">
        <w:rPr>
          <w:rFonts w:ascii="Times New Roman" w:hAnsi="Times New Roman"/>
          <w:noProof/>
          <w:sz w:val="24"/>
        </w:rPr>
        <w:t>)</w:t>
      </w:r>
      <w:r w:rsidR="009B37D7" w:rsidRPr="00E50FA4">
        <w:rPr>
          <w:rFonts w:ascii="Times New Roman" w:hAnsi="Times New Roman"/>
          <w:noProof/>
          <w:sz w:val="24"/>
        </w:rPr>
        <w:t>.</w:t>
      </w:r>
    </w:p>
    <w:p w14:paraId="1E60B695" w14:textId="5AC40EE9" w:rsidR="007B42EC" w:rsidRPr="00E50FA4" w:rsidRDefault="006A2FE4" w:rsidP="00B76863">
      <w:pPr>
        <w:pStyle w:val="ListParagraph"/>
        <w:numPr>
          <w:ilvl w:val="1"/>
          <w:numId w:val="49"/>
        </w:numPr>
        <w:spacing w:before="120" w:after="120"/>
        <w:ind w:left="567" w:hanging="567"/>
        <w:jc w:val="both"/>
        <w:rPr>
          <w:rFonts w:ascii="Times New Roman" w:hAnsi="Times New Roman"/>
          <w:noProof/>
          <w:sz w:val="24"/>
        </w:rPr>
      </w:pPr>
      <w:r w:rsidRPr="00E50FA4">
        <w:rPr>
          <w:rFonts w:ascii="Times New Roman" w:hAnsi="Times New Roman"/>
          <w:noProof/>
          <w:sz w:val="24"/>
        </w:rPr>
        <w:t xml:space="preserve">Where </w:t>
      </w:r>
      <w:r w:rsidR="0069726A" w:rsidRPr="00E50FA4">
        <w:rPr>
          <w:rFonts w:ascii="Times New Roman" w:hAnsi="Times New Roman"/>
          <w:noProof/>
          <w:sz w:val="24"/>
        </w:rPr>
        <w:t>the</w:t>
      </w:r>
      <w:r w:rsidR="00D63D89" w:rsidRPr="00E50FA4">
        <w:rPr>
          <w:rFonts w:ascii="Times New Roman" w:hAnsi="Times New Roman"/>
          <w:noProof/>
          <w:sz w:val="24"/>
        </w:rPr>
        <w:t xml:space="preserve"> institution’s counterparty is a holding company, institutions shall consider the NACE sector of the specific obligor </w:t>
      </w:r>
      <w:r w:rsidR="004C61E0" w:rsidRPr="00E50FA4">
        <w:rPr>
          <w:rFonts w:ascii="Times New Roman" w:hAnsi="Times New Roman"/>
          <w:noProof/>
          <w:sz w:val="24"/>
        </w:rPr>
        <w:t xml:space="preserve">controlled by </w:t>
      </w:r>
      <w:r w:rsidR="00D63D89" w:rsidRPr="00E50FA4">
        <w:rPr>
          <w:rFonts w:ascii="Times New Roman" w:hAnsi="Times New Roman"/>
          <w:noProof/>
          <w:sz w:val="24"/>
        </w:rPr>
        <w:t xml:space="preserve">the holding company (if different </w:t>
      </w:r>
      <w:r w:rsidR="0069726A" w:rsidRPr="00E50FA4">
        <w:rPr>
          <w:rFonts w:ascii="Times New Roman" w:hAnsi="Times New Roman"/>
          <w:noProof/>
          <w:sz w:val="24"/>
        </w:rPr>
        <w:t>from</w:t>
      </w:r>
      <w:r w:rsidR="00D63D89" w:rsidRPr="00E50FA4">
        <w:rPr>
          <w:rFonts w:ascii="Times New Roman" w:hAnsi="Times New Roman"/>
          <w:noProof/>
          <w:sz w:val="24"/>
        </w:rPr>
        <w:t xml:space="preserve"> the holding company) which receives the funding rather than that of the holding company</w:t>
      </w:r>
      <w:r w:rsidR="004C61E0" w:rsidRPr="00E50FA4">
        <w:rPr>
          <w:rFonts w:ascii="Times New Roman" w:hAnsi="Times New Roman"/>
          <w:noProof/>
          <w:sz w:val="24"/>
        </w:rPr>
        <w:t>,</w:t>
      </w:r>
      <w:r w:rsidR="00D63D89" w:rsidRPr="00E50FA4">
        <w:rPr>
          <w:rFonts w:ascii="Times New Roman" w:hAnsi="Times New Roman"/>
          <w:noProof/>
          <w:sz w:val="24"/>
        </w:rPr>
        <w:t xml:space="preserve"> particularly in those cases where the obligor is a non-financial corporate.</w:t>
      </w:r>
      <w:r w:rsidR="008F0A6C" w:rsidRPr="00E50FA4">
        <w:rPr>
          <w:rFonts w:ascii="Times New Roman" w:hAnsi="Times New Roman"/>
          <w:noProof/>
          <w:sz w:val="24"/>
        </w:rPr>
        <w:t xml:space="preserve"> </w:t>
      </w:r>
      <w:r w:rsidR="007B42EC" w:rsidRPr="00E50FA4">
        <w:rPr>
          <w:rFonts w:ascii="Times New Roman" w:hAnsi="Times New Roman"/>
          <w:noProof/>
          <w:sz w:val="24"/>
        </w:rPr>
        <w:t>Similarly, whe</w:t>
      </w:r>
      <w:r w:rsidR="0069726A" w:rsidRPr="00E50FA4">
        <w:rPr>
          <w:rFonts w:ascii="Times New Roman" w:hAnsi="Times New Roman"/>
          <w:noProof/>
          <w:sz w:val="24"/>
        </w:rPr>
        <w:t>re</w:t>
      </w:r>
      <w:r w:rsidR="007B42EC" w:rsidRPr="00E50FA4">
        <w:rPr>
          <w:rFonts w:ascii="Times New Roman" w:hAnsi="Times New Roman"/>
          <w:noProof/>
          <w:sz w:val="24"/>
        </w:rPr>
        <w:t xml:space="preserve"> the direct counterparty of the institution (the obligor) is a </w:t>
      </w:r>
      <w:r w:rsidR="0069726A" w:rsidRPr="00E50FA4">
        <w:rPr>
          <w:rFonts w:ascii="Times New Roman" w:hAnsi="Times New Roman"/>
          <w:noProof/>
          <w:sz w:val="24"/>
        </w:rPr>
        <w:t>special purpose vehicle (‘</w:t>
      </w:r>
      <w:r w:rsidR="007B42EC" w:rsidRPr="00E50FA4">
        <w:rPr>
          <w:rFonts w:ascii="Times New Roman" w:hAnsi="Times New Roman"/>
          <w:noProof/>
          <w:sz w:val="24"/>
        </w:rPr>
        <w:t>SPV</w:t>
      </w:r>
      <w:r w:rsidR="0069726A" w:rsidRPr="00E50FA4">
        <w:rPr>
          <w:rFonts w:ascii="Times New Roman" w:hAnsi="Times New Roman"/>
          <w:noProof/>
          <w:sz w:val="24"/>
        </w:rPr>
        <w:t>’)</w:t>
      </w:r>
      <w:r w:rsidR="007B42EC" w:rsidRPr="00E50FA4">
        <w:rPr>
          <w:rFonts w:ascii="Times New Roman" w:hAnsi="Times New Roman"/>
          <w:noProof/>
          <w:sz w:val="24"/>
        </w:rPr>
        <w:t>, institution</w:t>
      </w:r>
      <w:r w:rsidR="009A2896" w:rsidRPr="00E50FA4">
        <w:rPr>
          <w:rFonts w:ascii="Times New Roman" w:hAnsi="Times New Roman"/>
          <w:noProof/>
          <w:sz w:val="24"/>
        </w:rPr>
        <w:t>s</w:t>
      </w:r>
      <w:r w:rsidR="007B42EC" w:rsidRPr="00E50FA4">
        <w:rPr>
          <w:rFonts w:ascii="Times New Roman" w:hAnsi="Times New Roman"/>
          <w:noProof/>
          <w:sz w:val="24"/>
        </w:rPr>
        <w:t xml:space="preserve"> shall disclose the relevant information under the NACE sector associated with the economic activity of the </w:t>
      </w:r>
      <w:r w:rsidR="00A1747A" w:rsidRPr="00E50FA4">
        <w:rPr>
          <w:rFonts w:ascii="Times New Roman" w:hAnsi="Times New Roman"/>
          <w:noProof/>
          <w:sz w:val="24"/>
        </w:rPr>
        <w:t>parent company of the SPV</w:t>
      </w:r>
      <w:r w:rsidR="004C015A" w:rsidRPr="00E50FA4">
        <w:rPr>
          <w:rFonts w:ascii="Times New Roman" w:hAnsi="Times New Roman"/>
          <w:noProof/>
          <w:sz w:val="24"/>
        </w:rPr>
        <w:t>.</w:t>
      </w:r>
    </w:p>
    <w:p w14:paraId="7F49265A" w14:textId="5DAFD2BD" w:rsidR="003A0E90" w:rsidRPr="00E50FA4" w:rsidRDefault="006A2FE4" w:rsidP="00B76863">
      <w:pPr>
        <w:pStyle w:val="ListParagraph"/>
        <w:numPr>
          <w:ilvl w:val="1"/>
          <w:numId w:val="49"/>
        </w:numPr>
        <w:spacing w:before="120" w:after="120"/>
        <w:ind w:left="567" w:hanging="567"/>
        <w:jc w:val="both"/>
        <w:rPr>
          <w:rFonts w:ascii="Times New Roman" w:hAnsi="Times New Roman"/>
          <w:noProof/>
          <w:sz w:val="24"/>
        </w:rPr>
      </w:pPr>
      <w:r w:rsidRPr="00E50FA4">
        <w:rPr>
          <w:rFonts w:ascii="Times New Roman" w:hAnsi="Times New Roman"/>
          <w:noProof/>
          <w:sz w:val="24"/>
        </w:rPr>
        <w:t xml:space="preserve">The </w:t>
      </w:r>
      <w:r w:rsidR="007D26C1" w:rsidRPr="00E50FA4">
        <w:rPr>
          <w:rFonts w:ascii="Times New Roman" w:hAnsi="Times New Roman"/>
          <w:noProof/>
          <w:sz w:val="24"/>
        </w:rPr>
        <w:t xml:space="preserve">classification of the exposures incurred jointly by more than one obligor shall be based on the characteristics of the obligor that was the more relevant, or determinant, for the institution to grant the exposure. Institutions shall disclose information by NACE codes with the level of granularity required in column </w:t>
      </w:r>
      <w:r w:rsidR="0069726A" w:rsidRPr="00E50FA4">
        <w:rPr>
          <w:rFonts w:ascii="Times New Roman" w:hAnsi="Times New Roman"/>
          <w:noProof/>
          <w:sz w:val="24"/>
        </w:rPr>
        <w:t>(</w:t>
      </w:r>
      <w:r w:rsidR="007D26C1" w:rsidRPr="00E50FA4">
        <w:rPr>
          <w:rFonts w:ascii="Times New Roman" w:hAnsi="Times New Roman"/>
          <w:noProof/>
          <w:sz w:val="24"/>
        </w:rPr>
        <w:t>b</w:t>
      </w:r>
      <w:r w:rsidR="0069726A" w:rsidRPr="00E50FA4">
        <w:rPr>
          <w:rFonts w:ascii="Times New Roman" w:hAnsi="Times New Roman"/>
          <w:noProof/>
          <w:sz w:val="24"/>
        </w:rPr>
        <w:t>)</w:t>
      </w:r>
      <w:r w:rsidR="007D26C1" w:rsidRPr="00E50FA4">
        <w:rPr>
          <w:rFonts w:ascii="Times New Roman" w:hAnsi="Times New Roman"/>
          <w:noProof/>
          <w:sz w:val="24"/>
        </w:rPr>
        <w:t>.</w:t>
      </w:r>
    </w:p>
    <w:p w14:paraId="34513BB0" w14:textId="66ED3711" w:rsidR="009B37D7" w:rsidRPr="00E50FA4" w:rsidRDefault="006A2FE4" w:rsidP="00B76863">
      <w:pPr>
        <w:pStyle w:val="ListParagraph"/>
        <w:numPr>
          <w:ilvl w:val="1"/>
          <w:numId w:val="49"/>
        </w:numPr>
        <w:spacing w:before="120" w:after="120"/>
        <w:ind w:left="567" w:hanging="567"/>
        <w:jc w:val="both"/>
        <w:rPr>
          <w:rFonts w:ascii="Times New Roman" w:hAnsi="Times New Roman"/>
          <w:noProof/>
          <w:sz w:val="24"/>
        </w:rPr>
      </w:pPr>
      <w:r w:rsidRPr="00E50FA4">
        <w:rPr>
          <w:rFonts w:ascii="Times New Roman" w:hAnsi="Times New Roman"/>
          <w:noProof/>
          <w:sz w:val="24"/>
        </w:rPr>
        <w:t xml:space="preserve">Column </w:t>
      </w:r>
      <w:r w:rsidR="0067725E" w:rsidRPr="00E50FA4">
        <w:rPr>
          <w:rFonts w:ascii="Times New Roman" w:hAnsi="Times New Roman"/>
          <w:noProof/>
          <w:sz w:val="24"/>
        </w:rPr>
        <w:t>(</w:t>
      </w:r>
      <w:r w:rsidR="009B37D7" w:rsidRPr="00E50FA4">
        <w:rPr>
          <w:rFonts w:ascii="Times New Roman" w:hAnsi="Times New Roman"/>
          <w:noProof/>
          <w:sz w:val="24"/>
        </w:rPr>
        <w:t>c</w:t>
      </w:r>
      <w:r w:rsidR="0067725E" w:rsidRPr="00E50FA4">
        <w:rPr>
          <w:rFonts w:ascii="Times New Roman" w:hAnsi="Times New Roman"/>
          <w:noProof/>
          <w:sz w:val="24"/>
        </w:rPr>
        <w:t>)</w:t>
      </w:r>
      <w:r w:rsidR="009B37D7" w:rsidRPr="00E50FA4">
        <w:rPr>
          <w:rFonts w:ascii="Times New Roman" w:hAnsi="Times New Roman"/>
          <w:noProof/>
          <w:sz w:val="24"/>
        </w:rPr>
        <w:t xml:space="preserve">: the gross carrying amount as defined </w:t>
      </w:r>
      <w:r w:rsidR="009B37D7" w:rsidRPr="00E50FA4">
        <w:rPr>
          <w:rFonts w:ascii="Times New Roman" w:eastAsia="Times New Roman" w:hAnsi="Times New Roman"/>
          <w:noProof/>
          <w:sz w:val="24"/>
        </w:rPr>
        <w:t>in Part 1 of Annex V to Implementing Regulation (EU) 2021/451 of those exposures towards non-financial corporates in</w:t>
      </w:r>
      <w:r w:rsidR="009B37D7" w:rsidRPr="00E50FA4">
        <w:rPr>
          <w:rFonts w:ascii="Times New Roman" w:hAnsi="Times New Roman"/>
          <w:noProof/>
          <w:sz w:val="24"/>
        </w:rPr>
        <w:t xml:space="preserve"> each of the sectors specified in columns </w:t>
      </w:r>
      <w:r w:rsidR="0067725E" w:rsidRPr="00E50FA4">
        <w:rPr>
          <w:rFonts w:ascii="Times New Roman" w:hAnsi="Times New Roman"/>
          <w:noProof/>
          <w:sz w:val="24"/>
        </w:rPr>
        <w:t>(</w:t>
      </w:r>
      <w:r w:rsidR="009B37D7" w:rsidRPr="00E50FA4">
        <w:rPr>
          <w:rFonts w:ascii="Times New Roman" w:hAnsi="Times New Roman"/>
          <w:noProof/>
          <w:sz w:val="24"/>
        </w:rPr>
        <w:t>a</w:t>
      </w:r>
      <w:r w:rsidR="0067725E" w:rsidRPr="00E50FA4">
        <w:rPr>
          <w:rFonts w:ascii="Times New Roman" w:hAnsi="Times New Roman"/>
          <w:noProof/>
          <w:sz w:val="24"/>
        </w:rPr>
        <w:t>)</w:t>
      </w:r>
      <w:r w:rsidR="009B37D7" w:rsidRPr="00E50FA4">
        <w:rPr>
          <w:rFonts w:ascii="Times New Roman" w:hAnsi="Times New Roman"/>
          <w:noProof/>
          <w:sz w:val="24"/>
        </w:rPr>
        <w:t xml:space="preserve"> and </w:t>
      </w:r>
      <w:r w:rsidR="0067725E" w:rsidRPr="00E50FA4">
        <w:rPr>
          <w:rFonts w:ascii="Times New Roman" w:hAnsi="Times New Roman"/>
          <w:noProof/>
          <w:sz w:val="24"/>
        </w:rPr>
        <w:t>(</w:t>
      </w:r>
      <w:r w:rsidR="009B37D7" w:rsidRPr="00E50FA4">
        <w:rPr>
          <w:rFonts w:ascii="Times New Roman" w:hAnsi="Times New Roman"/>
          <w:noProof/>
          <w:sz w:val="24"/>
        </w:rPr>
        <w:t>b</w:t>
      </w:r>
      <w:r w:rsidR="0067725E" w:rsidRPr="00E50FA4">
        <w:rPr>
          <w:rFonts w:ascii="Times New Roman" w:hAnsi="Times New Roman"/>
          <w:noProof/>
          <w:sz w:val="24"/>
        </w:rPr>
        <w:t>)</w:t>
      </w:r>
      <w:r w:rsidR="009B37D7" w:rsidRPr="00E50FA4">
        <w:rPr>
          <w:rFonts w:ascii="Times New Roman" w:eastAsia="Times New Roman" w:hAnsi="Times New Roman"/>
          <w:noProof/>
          <w:sz w:val="24"/>
        </w:rPr>
        <w:t xml:space="preserve">, including loans and advances, debt securities and equity instruments, classified in the accounting portfolios in the banking book </w:t>
      </w:r>
      <w:r w:rsidR="0069726A" w:rsidRPr="00E50FA4">
        <w:rPr>
          <w:rFonts w:ascii="Times New Roman" w:eastAsia="Times New Roman" w:hAnsi="Times New Roman"/>
          <w:noProof/>
          <w:sz w:val="24"/>
        </w:rPr>
        <w:t>in accordance with</w:t>
      </w:r>
      <w:r w:rsidR="009B37D7" w:rsidRPr="00E50FA4">
        <w:rPr>
          <w:rFonts w:ascii="Times New Roman" w:eastAsia="Times New Roman" w:hAnsi="Times New Roman"/>
          <w:noProof/>
          <w:sz w:val="24"/>
        </w:rPr>
        <w:t xml:space="preserve"> that </w:t>
      </w:r>
      <w:r w:rsidR="0067725E" w:rsidRPr="00E50FA4">
        <w:rPr>
          <w:rFonts w:ascii="Times New Roman" w:eastAsia="Times New Roman" w:hAnsi="Times New Roman"/>
          <w:noProof/>
          <w:sz w:val="24"/>
        </w:rPr>
        <w:t xml:space="preserve">Implementing </w:t>
      </w:r>
      <w:r w:rsidR="009B37D7" w:rsidRPr="00E50FA4">
        <w:rPr>
          <w:rFonts w:ascii="Times New Roman" w:eastAsia="Times New Roman" w:hAnsi="Times New Roman"/>
          <w:noProof/>
          <w:sz w:val="24"/>
        </w:rPr>
        <w:t>Regulation, excluding financial assets held for trading or held for sale assets.</w:t>
      </w:r>
    </w:p>
    <w:p w14:paraId="2B6BA57B" w14:textId="3987F497" w:rsidR="00125C05" w:rsidRPr="00E50FA4" w:rsidRDefault="006A2FE4" w:rsidP="00B76863">
      <w:pPr>
        <w:pStyle w:val="ListParagraph"/>
        <w:numPr>
          <w:ilvl w:val="1"/>
          <w:numId w:val="49"/>
        </w:numPr>
        <w:spacing w:before="120" w:after="120"/>
        <w:ind w:left="567" w:hanging="567"/>
        <w:jc w:val="both"/>
        <w:rPr>
          <w:rFonts w:ascii="Times New Roman" w:hAnsi="Times New Roman"/>
          <w:noProof/>
          <w:sz w:val="24"/>
          <w:szCs w:val="24"/>
        </w:rPr>
      </w:pPr>
      <w:r w:rsidRPr="00E50FA4">
        <w:rPr>
          <w:rFonts w:ascii="Times New Roman" w:hAnsi="Times New Roman"/>
          <w:noProof/>
          <w:sz w:val="24"/>
        </w:rPr>
        <w:t>C</w:t>
      </w:r>
      <w:r w:rsidR="00125C05" w:rsidRPr="00E50FA4">
        <w:rPr>
          <w:rFonts w:ascii="Times New Roman" w:hAnsi="Times New Roman"/>
          <w:noProof/>
          <w:sz w:val="24"/>
        </w:rPr>
        <w:t>olumn</w:t>
      </w:r>
      <w:r w:rsidR="006251B6" w:rsidRPr="00E50FA4">
        <w:rPr>
          <w:rFonts w:ascii="Times New Roman" w:hAnsi="Times New Roman"/>
          <w:noProof/>
          <w:sz w:val="24"/>
        </w:rPr>
        <w:t>s</w:t>
      </w:r>
      <w:r w:rsidR="00125C05" w:rsidRPr="00E50FA4">
        <w:rPr>
          <w:rFonts w:ascii="Times New Roman" w:hAnsi="Times New Roman"/>
          <w:noProof/>
          <w:sz w:val="24"/>
        </w:rPr>
        <w:t xml:space="preserve"> </w:t>
      </w:r>
      <w:r w:rsidR="0067725E" w:rsidRPr="00E50FA4">
        <w:rPr>
          <w:rFonts w:ascii="Times New Roman" w:hAnsi="Times New Roman"/>
          <w:noProof/>
          <w:sz w:val="24"/>
        </w:rPr>
        <w:t>(</w:t>
      </w:r>
      <w:r w:rsidR="00125C05" w:rsidRPr="00E50FA4">
        <w:rPr>
          <w:rFonts w:ascii="Times New Roman" w:hAnsi="Times New Roman"/>
          <w:noProof/>
          <w:sz w:val="24"/>
        </w:rPr>
        <w:t>d</w:t>
      </w:r>
      <w:r w:rsidR="0067725E" w:rsidRPr="00E50FA4">
        <w:rPr>
          <w:rFonts w:ascii="Times New Roman" w:hAnsi="Times New Roman"/>
          <w:noProof/>
          <w:sz w:val="24"/>
        </w:rPr>
        <w:t>)</w:t>
      </w:r>
      <w:r w:rsidR="00DA2078" w:rsidRPr="00E50FA4">
        <w:rPr>
          <w:rFonts w:ascii="Times New Roman" w:hAnsi="Times New Roman"/>
          <w:noProof/>
          <w:sz w:val="24"/>
        </w:rPr>
        <w:t xml:space="preserve"> and </w:t>
      </w:r>
      <w:r w:rsidR="0067725E" w:rsidRPr="00E50FA4">
        <w:rPr>
          <w:rFonts w:ascii="Times New Roman" w:hAnsi="Times New Roman"/>
          <w:noProof/>
          <w:sz w:val="24"/>
        </w:rPr>
        <w:t>(</w:t>
      </w:r>
      <w:r w:rsidR="00DA2078" w:rsidRPr="00E50FA4">
        <w:rPr>
          <w:rFonts w:ascii="Times New Roman" w:hAnsi="Times New Roman"/>
          <w:noProof/>
          <w:sz w:val="24"/>
        </w:rPr>
        <w:t>e</w:t>
      </w:r>
      <w:r w:rsidR="0067725E" w:rsidRPr="00E50FA4">
        <w:rPr>
          <w:rFonts w:ascii="Times New Roman" w:hAnsi="Times New Roman"/>
          <w:noProof/>
          <w:sz w:val="24"/>
        </w:rPr>
        <w:t>)</w:t>
      </w:r>
      <w:r w:rsidR="00125C05" w:rsidRPr="00E50FA4">
        <w:rPr>
          <w:rFonts w:ascii="Times New Roman" w:hAnsi="Times New Roman"/>
          <w:noProof/>
          <w:sz w:val="24"/>
        </w:rPr>
        <w:t xml:space="preserve">: </w:t>
      </w:r>
      <w:r w:rsidR="00DA2078" w:rsidRPr="00E50FA4">
        <w:rPr>
          <w:rFonts w:ascii="Times New Roman" w:hAnsi="Times New Roman"/>
          <w:noProof/>
          <w:sz w:val="24"/>
        </w:rPr>
        <w:t>alignment metric</w:t>
      </w:r>
      <w:r w:rsidR="00C70F15" w:rsidRPr="00E50FA4">
        <w:rPr>
          <w:rFonts w:ascii="Times New Roman" w:hAnsi="Times New Roman"/>
          <w:noProof/>
          <w:sz w:val="24"/>
        </w:rPr>
        <w:t>(s)</w:t>
      </w:r>
      <w:r w:rsidR="00DA2078" w:rsidRPr="00E50FA4">
        <w:rPr>
          <w:rFonts w:ascii="Times New Roman" w:hAnsi="Times New Roman"/>
          <w:noProof/>
          <w:sz w:val="24"/>
        </w:rPr>
        <w:t xml:space="preserve"> applied by the institution and </w:t>
      </w:r>
      <w:r w:rsidR="00C70F15" w:rsidRPr="00E50FA4">
        <w:rPr>
          <w:rFonts w:ascii="Times New Roman" w:hAnsi="Times New Roman"/>
          <w:noProof/>
          <w:sz w:val="24"/>
        </w:rPr>
        <w:t xml:space="preserve">closest </w:t>
      </w:r>
      <w:r w:rsidR="00125C05" w:rsidRPr="00E50FA4">
        <w:rPr>
          <w:rFonts w:ascii="Times New Roman" w:hAnsi="Times New Roman"/>
          <w:noProof/>
          <w:sz w:val="24"/>
        </w:rPr>
        <w:t>year of reference for the alignment metric</w:t>
      </w:r>
      <w:r w:rsidR="00C70F15" w:rsidRPr="00E50FA4">
        <w:rPr>
          <w:rFonts w:ascii="Times New Roman" w:hAnsi="Times New Roman"/>
          <w:noProof/>
          <w:sz w:val="24"/>
        </w:rPr>
        <w:t>(s)</w:t>
      </w:r>
      <w:r w:rsidR="00125C05" w:rsidRPr="00E50FA4">
        <w:rPr>
          <w:rFonts w:ascii="Times New Roman" w:hAnsi="Times New Roman"/>
          <w:noProof/>
          <w:sz w:val="24"/>
        </w:rPr>
        <w:t xml:space="preserve"> for each sector</w:t>
      </w:r>
      <w:r w:rsidR="00125C05" w:rsidRPr="00E50FA4">
        <w:rPr>
          <w:rFonts w:ascii="Times New Roman" w:hAnsi="Times New Roman"/>
          <w:noProof/>
          <w:sz w:val="24"/>
          <w:szCs w:val="24"/>
        </w:rPr>
        <w:t xml:space="preserve">. </w:t>
      </w:r>
      <w:r w:rsidR="00D2129F" w:rsidRPr="00E50FA4">
        <w:rPr>
          <w:rFonts w:ascii="Times New Roman" w:hAnsi="Times New Roman"/>
          <w:noProof/>
          <w:sz w:val="24"/>
          <w:szCs w:val="24"/>
        </w:rPr>
        <w:t xml:space="preserve">Institutions shall </w:t>
      </w:r>
      <w:r w:rsidR="00C70F15" w:rsidRPr="00E50FA4">
        <w:rPr>
          <w:rFonts w:ascii="Times New Roman" w:hAnsi="Times New Roman"/>
          <w:noProof/>
          <w:sz w:val="24"/>
          <w:szCs w:val="24"/>
        </w:rPr>
        <w:t>use</w:t>
      </w:r>
      <w:r w:rsidR="00D2129F" w:rsidRPr="00E50FA4">
        <w:rPr>
          <w:rFonts w:ascii="Times New Roman" w:hAnsi="Times New Roman"/>
          <w:noProof/>
          <w:sz w:val="24"/>
          <w:szCs w:val="24"/>
        </w:rPr>
        <w:t xml:space="preserve"> the alignment metric</w:t>
      </w:r>
      <w:r w:rsidR="00C70F15" w:rsidRPr="00E50FA4">
        <w:rPr>
          <w:rFonts w:ascii="Times New Roman" w:hAnsi="Times New Roman"/>
          <w:noProof/>
          <w:sz w:val="24"/>
          <w:szCs w:val="24"/>
        </w:rPr>
        <w:t>(</w:t>
      </w:r>
      <w:r w:rsidR="00D2129F" w:rsidRPr="00E50FA4">
        <w:rPr>
          <w:rFonts w:ascii="Times New Roman" w:hAnsi="Times New Roman"/>
          <w:noProof/>
          <w:sz w:val="24"/>
          <w:szCs w:val="24"/>
        </w:rPr>
        <w:t>s</w:t>
      </w:r>
      <w:r w:rsidR="00C70F15" w:rsidRPr="00E50FA4">
        <w:rPr>
          <w:rFonts w:ascii="Times New Roman" w:hAnsi="Times New Roman"/>
          <w:noProof/>
          <w:sz w:val="24"/>
          <w:szCs w:val="24"/>
        </w:rPr>
        <w:t>)</w:t>
      </w:r>
      <w:r w:rsidR="00D2129F" w:rsidRPr="00E50FA4">
        <w:rPr>
          <w:rFonts w:ascii="Times New Roman" w:hAnsi="Times New Roman"/>
          <w:noProof/>
          <w:sz w:val="24"/>
          <w:szCs w:val="24"/>
        </w:rPr>
        <w:t xml:space="preserve"> </w:t>
      </w:r>
      <w:r w:rsidR="00C70F15" w:rsidRPr="00E50FA4">
        <w:rPr>
          <w:rFonts w:ascii="Times New Roman" w:hAnsi="Times New Roman"/>
          <w:noProof/>
          <w:sz w:val="24"/>
          <w:szCs w:val="24"/>
        </w:rPr>
        <w:t xml:space="preserve">that can be measured against </w:t>
      </w:r>
      <w:r w:rsidR="00D2129F" w:rsidRPr="00E50FA4">
        <w:rPr>
          <w:rFonts w:ascii="Times New Roman" w:hAnsi="Times New Roman"/>
          <w:noProof/>
          <w:sz w:val="24"/>
          <w:szCs w:val="24"/>
        </w:rPr>
        <w:t xml:space="preserve">the </w:t>
      </w:r>
      <w:r w:rsidR="007F6A28" w:rsidRPr="00E50FA4">
        <w:rPr>
          <w:rFonts w:ascii="Times New Roman" w:hAnsi="Times New Roman"/>
          <w:noProof/>
          <w:sz w:val="24"/>
        </w:rPr>
        <w:t>Net Zero Emissions by 2050 Scenario (NZE2050)</w:t>
      </w:r>
      <w:r w:rsidR="00C70F15" w:rsidRPr="00E50FA4">
        <w:rPr>
          <w:rFonts w:ascii="Times New Roman" w:hAnsi="Times New Roman"/>
          <w:noProof/>
          <w:sz w:val="24"/>
          <w:szCs w:val="24"/>
        </w:rPr>
        <w:t xml:space="preserve">. </w:t>
      </w:r>
      <w:r w:rsidR="00451470" w:rsidRPr="00E50FA4">
        <w:rPr>
          <w:rFonts w:ascii="Times New Roman" w:hAnsi="Times New Roman"/>
          <w:noProof/>
          <w:sz w:val="24"/>
          <w:szCs w:val="24"/>
        </w:rPr>
        <w:t>I</w:t>
      </w:r>
      <w:r w:rsidR="00C70F15" w:rsidRPr="00E50FA4">
        <w:rPr>
          <w:rFonts w:ascii="Times New Roman" w:hAnsi="Times New Roman"/>
          <w:noProof/>
          <w:sz w:val="24"/>
          <w:szCs w:val="24"/>
        </w:rPr>
        <w:t xml:space="preserve">nstitutions </w:t>
      </w:r>
      <w:r w:rsidR="00451470" w:rsidRPr="00E50FA4">
        <w:rPr>
          <w:rFonts w:ascii="Times New Roman" w:hAnsi="Times New Roman"/>
          <w:noProof/>
          <w:sz w:val="24"/>
          <w:szCs w:val="24"/>
        </w:rPr>
        <w:t xml:space="preserve">are to </w:t>
      </w:r>
      <w:r w:rsidR="00C70F15" w:rsidRPr="00E50FA4">
        <w:rPr>
          <w:rFonts w:ascii="Times New Roman" w:hAnsi="Times New Roman"/>
          <w:noProof/>
          <w:sz w:val="24"/>
          <w:szCs w:val="24"/>
        </w:rPr>
        <w:t xml:space="preserve">ensure that the metrics allow to </w:t>
      </w:r>
      <w:r w:rsidR="006251B6" w:rsidRPr="00E50FA4">
        <w:rPr>
          <w:rFonts w:ascii="Times New Roman" w:hAnsi="Times New Roman"/>
          <w:noProof/>
          <w:sz w:val="24"/>
          <w:szCs w:val="24"/>
        </w:rPr>
        <w:t xml:space="preserve">comprehensively </w:t>
      </w:r>
      <w:r w:rsidR="00C70F15" w:rsidRPr="00E50FA4">
        <w:rPr>
          <w:rFonts w:ascii="Times New Roman" w:hAnsi="Times New Roman"/>
          <w:noProof/>
          <w:sz w:val="24"/>
          <w:szCs w:val="24"/>
        </w:rPr>
        <w:t xml:space="preserve">disclose </w:t>
      </w:r>
      <w:r w:rsidR="0069726A" w:rsidRPr="00E50FA4">
        <w:rPr>
          <w:rFonts w:ascii="Times New Roman" w:hAnsi="Times New Roman"/>
          <w:noProof/>
          <w:sz w:val="24"/>
          <w:szCs w:val="24"/>
        </w:rPr>
        <w:t xml:space="preserve">the </w:t>
      </w:r>
      <w:r w:rsidR="00C70F15" w:rsidRPr="00E50FA4">
        <w:rPr>
          <w:rFonts w:ascii="Times New Roman" w:hAnsi="Times New Roman"/>
          <w:noProof/>
          <w:sz w:val="24"/>
          <w:szCs w:val="24"/>
        </w:rPr>
        <w:t>institutions’ financed production capacities and encompass all relevant carbon-intensive financed activities. S</w:t>
      </w:r>
      <w:r w:rsidR="009B37D7" w:rsidRPr="00E50FA4">
        <w:rPr>
          <w:rFonts w:ascii="Times New Roman" w:hAnsi="Times New Roman"/>
          <w:noProof/>
          <w:sz w:val="24"/>
          <w:szCs w:val="24"/>
        </w:rPr>
        <w:t xml:space="preserve">ome </w:t>
      </w:r>
      <w:r w:rsidR="00451470" w:rsidRPr="00E50FA4">
        <w:rPr>
          <w:rFonts w:ascii="Times New Roman" w:hAnsi="Times New Roman"/>
          <w:noProof/>
          <w:sz w:val="24"/>
          <w:szCs w:val="24"/>
        </w:rPr>
        <w:t xml:space="preserve">sample </w:t>
      </w:r>
      <w:r w:rsidR="00C70F15" w:rsidRPr="00E50FA4">
        <w:rPr>
          <w:rFonts w:ascii="Times New Roman" w:hAnsi="Times New Roman"/>
          <w:noProof/>
          <w:sz w:val="24"/>
          <w:szCs w:val="24"/>
        </w:rPr>
        <w:t xml:space="preserve">metrics </w:t>
      </w:r>
      <w:r w:rsidR="009B37D7" w:rsidRPr="00E50FA4">
        <w:rPr>
          <w:rFonts w:ascii="Times New Roman" w:hAnsi="Times New Roman"/>
          <w:noProof/>
          <w:sz w:val="24"/>
          <w:szCs w:val="24"/>
        </w:rPr>
        <w:t xml:space="preserve">are </w:t>
      </w:r>
      <w:r w:rsidR="00451470" w:rsidRPr="00E50FA4">
        <w:rPr>
          <w:rFonts w:ascii="Times New Roman" w:hAnsi="Times New Roman"/>
          <w:noProof/>
          <w:sz w:val="24"/>
          <w:szCs w:val="24"/>
        </w:rPr>
        <w:t xml:space="preserve">included </w:t>
      </w:r>
      <w:r w:rsidR="009B37D7" w:rsidRPr="00E50FA4">
        <w:rPr>
          <w:rFonts w:ascii="Times New Roman" w:hAnsi="Times New Roman"/>
          <w:noProof/>
          <w:sz w:val="24"/>
          <w:szCs w:val="24"/>
        </w:rPr>
        <w:t>in the template. Institutions</w:t>
      </w:r>
      <w:r w:rsidR="00C70F15" w:rsidRPr="00E50FA4">
        <w:rPr>
          <w:rFonts w:ascii="Times New Roman" w:hAnsi="Times New Roman"/>
          <w:noProof/>
          <w:sz w:val="24"/>
          <w:szCs w:val="24"/>
        </w:rPr>
        <w:t xml:space="preserve"> </w:t>
      </w:r>
      <w:r w:rsidR="00451470" w:rsidRPr="00E50FA4">
        <w:rPr>
          <w:rFonts w:ascii="Times New Roman" w:hAnsi="Times New Roman"/>
          <w:noProof/>
          <w:sz w:val="24"/>
          <w:szCs w:val="24"/>
        </w:rPr>
        <w:t xml:space="preserve">are to </w:t>
      </w:r>
      <w:r w:rsidR="00C70F15" w:rsidRPr="00E50FA4">
        <w:rPr>
          <w:rFonts w:ascii="Times New Roman" w:hAnsi="Times New Roman"/>
          <w:noProof/>
          <w:sz w:val="24"/>
          <w:szCs w:val="24"/>
        </w:rPr>
        <w:t xml:space="preserve">disclose several metrics for each sector that </w:t>
      </w:r>
      <w:r w:rsidR="00451470" w:rsidRPr="00E50FA4">
        <w:rPr>
          <w:rFonts w:ascii="Times New Roman" w:hAnsi="Times New Roman"/>
          <w:noProof/>
          <w:sz w:val="24"/>
          <w:szCs w:val="24"/>
        </w:rPr>
        <w:t xml:space="preserve">is </w:t>
      </w:r>
      <w:r w:rsidR="00C70F15" w:rsidRPr="00E50FA4">
        <w:rPr>
          <w:rFonts w:ascii="Times New Roman" w:hAnsi="Times New Roman"/>
          <w:noProof/>
          <w:sz w:val="24"/>
          <w:szCs w:val="24"/>
        </w:rPr>
        <w:t>relevant to their financing activity</w:t>
      </w:r>
      <w:r w:rsidR="00451470" w:rsidRPr="00E50FA4">
        <w:rPr>
          <w:rFonts w:ascii="Times New Roman" w:hAnsi="Times New Roman"/>
          <w:noProof/>
          <w:sz w:val="24"/>
          <w:szCs w:val="24"/>
        </w:rPr>
        <w:t>. These are to cover</w:t>
      </w:r>
      <w:r w:rsidR="00C70F15" w:rsidRPr="00E50FA4">
        <w:rPr>
          <w:rFonts w:ascii="Times New Roman" w:hAnsi="Times New Roman"/>
          <w:noProof/>
          <w:sz w:val="24"/>
          <w:szCs w:val="24"/>
        </w:rPr>
        <w:t xml:space="preserve"> emission intensity metrics, technology mix-based metrics and production-based metrics. Institutions</w:t>
      </w:r>
      <w:r w:rsidR="00125C05" w:rsidRPr="00E50FA4">
        <w:rPr>
          <w:rFonts w:ascii="Times New Roman" w:hAnsi="Times New Roman"/>
          <w:noProof/>
          <w:sz w:val="24"/>
          <w:szCs w:val="24"/>
        </w:rPr>
        <w:t xml:space="preserve"> </w:t>
      </w:r>
      <w:r w:rsidR="00451470" w:rsidRPr="00E50FA4">
        <w:rPr>
          <w:rFonts w:ascii="Times New Roman" w:hAnsi="Times New Roman"/>
          <w:noProof/>
          <w:sz w:val="24"/>
          <w:szCs w:val="24"/>
        </w:rPr>
        <w:t xml:space="preserve">are to </w:t>
      </w:r>
      <w:r w:rsidR="00125C05" w:rsidRPr="00E50FA4">
        <w:rPr>
          <w:rFonts w:ascii="Times New Roman" w:hAnsi="Times New Roman"/>
          <w:noProof/>
          <w:sz w:val="24"/>
          <w:szCs w:val="24"/>
        </w:rPr>
        <w:t xml:space="preserve">rely on </w:t>
      </w:r>
      <w:r w:rsidR="00451470" w:rsidRPr="00E50FA4">
        <w:rPr>
          <w:rFonts w:ascii="Times New Roman" w:hAnsi="Times New Roman"/>
          <w:noProof/>
          <w:sz w:val="24"/>
          <w:szCs w:val="24"/>
        </w:rPr>
        <w:t xml:space="preserve">the </w:t>
      </w:r>
      <w:r w:rsidR="00125C05" w:rsidRPr="00E50FA4">
        <w:rPr>
          <w:rFonts w:ascii="Times New Roman" w:hAnsi="Times New Roman"/>
          <w:noProof/>
          <w:sz w:val="24"/>
          <w:szCs w:val="24"/>
        </w:rPr>
        <w:t xml:space="preserve">assessment of the </w:t>
      </w:r>
      <w:r w:rsidR="009D3026" w:rsidRPr="00E50FA4">
        <w:rPr>
          <w:rFonts w:ascii="Times New Roman" w:hAnsi="Times New Roman"/>
          <w:noProof/>
          <w:sz w:val="24"/>
          <w:szCs w:val="24"/>
        </w:rPr>
        <w:t xml:space="preserve">underlying </w:t>
      </w:r>
      <w:r w:rsidR="00125C05" w:rsidRPr="00E50FA4">
        <w:rPr>
          <w:rFonts w:ascii="Times New Roman" w:hAnsi="Times New Roman"/>
          <w:noProof/>
          <w:sz w:val="24"/>
          <w:szCs w:val="24"/>
        </w:rPr>
        <w:t>assets</w:t>
      </w:r>
      <w:r w:rsidR="009D3026" w:rsidRPr="00E50FA4">
        <w:rPr>
          <w:rFonts w:ascii="Times New Roman" w:hAnsi="Times New Roman"/>
          <w:noProof/>
          <w:sz w:val="24"/>
          <w:szCs w:val="24"/>
        </w:rPr>
        <w:t xml:space="preserve"> and activities</w:t>
      </w:r>
      <w:r w:rsidR="00125C05" w:rsidRPr="00E50FA4">
        <w:rPr>
          <w:rFonts w:ascii="Times New Roman" w:hAnsi="Times New Roman"/>
          <w:noProof/>
          <w:sz w:val="24"/>
          <w:szCs w:val="24"/>
        </w:rPr>
        <w:t xml:space="preserve"> linked to </w:t>
      </w:r>
      <w:r w:rsidR="00451470" w:rsidRPr="00E50FA4">
        <w:rPr>
          <w:rFonts w:ascii="Times New Roman" w:hAnsi="Times New Roman"/>
          <w:noProof/>
          <w:sz w:val="24"/>
          <w:szCs w:val="24"/>
        </w:rPr>
        <w:t xml:space="preserve">the </w:t>
      </w:r>
      <w:r w:rsidR="00125C05" w:rsidRPr="00E50FA4">
        <w:rPr>
          <w:rFonts w:ascii="Times New Roman" w:hAnsi="Times New Roman"/>
          <w:noProof/>
          <w:sz w:val="24"/>
          <w:szCs w:val="24"/>
        </w:rPr>
        <w:t>financial instruments</w:t>
      </w:r>
      <w:r w:rsidR="009D3026" w:rsidRPr="00E50FA4">
        <w:rPr>
          <w:rFonts w:ascii="Times New Roman" w:hAnsi="Times New Roman"/>
          <w:noProof/>
          <w:sz w:val="24"/>
          <w:szCs w:val="24"/>
        </w:rPr>
        <w:t>.</w:t>
      </w:r>
    </w:p>
    <w:p w14:paraId="5BB831A7" w14:textId="4CB32EC6" w:rsidR="00125C05" w:rsidRPr="00E50FA4" w:rsidRDefault="00125C05" w:rsidP="00B76863">
      <w:pPr>
        <w:pStyle w:val="ListParagraph"/>
        <w:spacing w:before="120" w:after="120"/>
        <w:ind w:left="567"/>
        <w:jc w:val="both"/>
        <w:rPr>
          <w:rFonts w:ascii="Times New Roman" w:hAnsi="Times New Roman"/>
          <w:noProof/>
          <w:sz w:val="24"/>
          <w:szCs w:val="24"/>
        </w:rPr>
      </w:pPr>
      <w:r w:rsidRPr="00E50FA4">
        <w:rPr>
          <w:rFonts w:ascii="Times New Roman" w:hAnsi="Times New Roman"/>
          <w:noProof/>
          <w:sz w:val="24"/>
          <w:szCs w:val="24"/>
        </w:rPr>
        <w:t>For loans</w:t>
      </w:r>
      <w:r w:rsidR="002104C2" w:rsidRPr="00E50FA4">
        <w:rPr>
          <w:rFonts w:ascii="Times New Roman" w:hAnsi="Times New Roman"/>
          <w:noProof/>
          <w:sz w:val="24"/>
          <w:szCs w:val="24"/>
        </w:rPr>
        <w:t xml:space="preserve"> </w:t>
      </w:r>
      <w:r w:rsidR="006251B6" w:rsidRPr="00E50FA4">
        <w:rPr>
          <w:rFonts w:ascii="Times New Roman" w:hAnsi="Times New Roman"/>
          <w:noProof/>
          <w:sz w:val="24"/>
          <w:szCs w:val="24"/>
        </w:rPr>
        <w:t xml:space="preserve">whose </w:t>
      </w:r>
      <w:r w:rsidRPr="00E50FA4">
        <w:rPr>
          <w:rFonts w:ascii="Times New Roman" w:hAnsi="Times New Roman"/>
          <w:noProof/>
          <w:sz w:val="24"/>
          <w:szCs w:val="24"/>
        </w:rPr>
        <w:t xml:space="preserve">use of proceeds is known, the value shall be </w:t>
      </w:r>
      <w:r w:rsidR="006577D7" w:rsidRPr="00E50FA4">
        <w:rPr>
          <w:rFonts w:ascii="Times New Roman" w:hAnsi="Times New Roman"/>
          <w:noProof/>
          <w:sz w:val="24"/>
          <w:szCs w:val="24"/>
        </w:rPr>
        <w:t>included for the relevant sector and alignment metric</w:t>
      </w:r>
      <w:r w:rsidRPr="00E50FA4">
        <w:rPr>
          <w:rFonts w:ascii="Times New Roman" w:hAnsi="Times New Roman"/>
          <w:noProof/>
          <w:sz w:val="24"/>
          <w:szCs w:val="24"/>
        </w:rPr>
        <w:t>. For loans</w:t>
      </w:r>
      <w:r w:rsidR="004B1DCF" w:rsidRPr="00E50FA4">
        <w:rPr>
          <w:rFonts w:ascii="Times New Roman" w:hAnsi="Times New Roman"/>
          <w:noProof/>
          <w:sz w:val="24"/>
          <w:szCs w:val="24"/>
        </w:rPr>
        <w:t xml:space="preserve"> whose</w:t>
      </w:r>
      <w:r w:rsidRPr="00E50FA4">
        <w:rPr>
          <w:rFonts w:ascii="Times New Roman" w:hAnsi="Times New Roman"/>
          <w:noProof/>
          <w:sz w:val="24"/>
          <w:szCs w:val="24"/>
        </w:rPr>
        <w:t xml:space="preserve"> use of proceeds is unknown, the</w:t>
      </w:r>
      <w:r w:rsidR="006577D7" w:rsidRPr="00E50FA4">
        <w:rPr>
          <w:rFonts w:ascii="Times New Roman" w:hAnsi="Times New Roman"/>
          <w:noProof/>
          <w:sz w:val="24"/>
          <w:szCs w:val="24"/>
        </w:rPr>
        <w:t xml:space="preserve"> gross carrying amount of the exposure </w:t>
      </w:r>
      <w:r w:rsidR="001A365E" w:rsidRPr="00E50FA4">
        <w:rPr>
          <w:rFonts w:ascii="Times New Roman" w:hAnsi="Times New Roman"/>
          <w:noProof/>
          <w:sz w:val="24"/>
          <w:szCs w:val="24"/>
        </w:rPr>
        <w:t>s</w:t>
      </w:r>
      <w:r w:rsidRPr="00E50FA4">
        <w:rPr>
          <w:rFonts w:ascii="Times New Roman" w:hAnsi="Times New Roman"/>
          <w:noProof/>
          <w:sz w:val="24"/>
          <w:szCs w:val="24"/>
        </w:rPr>
        <w:t xml:space="preserve">hall be allocated to </w:t>
      </w:r>
      <w:r w:rsidR="006577D7" w:rsidRPr="00E50FA4">
        <w:rPr>
          <w:rFonts w:ascii="Times New Roman" w:hAnsi="Times New Roman"/>
          <w:noProof/>
          <w:sz w:val="24"/>
          <w:szCs w:val="24"/>
        </w:rPr>
        <w:t xml:space="preserve">the relevant </w:t>
      </w:r>
      <w:r w:rsidRPr="00E50FA4">
        <w:rPr>
          <w:rFonts w:ascii="Times New Roman" w:hAnsi="Times New Roman"/>
          <w:noProof/>
          <w:sz w:val="24"/>
          <w:szCs w:val="24"/>
        </w:rPr>
        <w:t>sector</w:t>
      </w:r>
      <w:r w:rsidR="004B1DCF" w:rsidRPr="00E50FA4">
        <w:rPr>
          <w:rFonts w:ascii="Times New Roman" w:hAnsi="Times New Roman"/>
          <w:noProof/>
          <w:sz w:val="24"/>
          <w:szCs w:val="24"/>
        </w:rPr>
        <w:t>s</w:t>
      </w:r>
      <w:r w:rsidR="006577D7" w:rsidRPr="00E50FA4">
        <w:rPr>
          <w:rFonts w:ascii="Times New Roman" w:hAnsi="Times New Roman"/>
          <w:noProof/>
          <w:sz w:val="24"/>
          <w:szCs w:val="24"/>
        </w:rPr>
        <w:t xml:space="preserve"> and alignment metric</w:t>
      </w:r>
      <w:r w:rsidR="004B1DCF" w:rsidRPr="00E50FA4">
        <w:rPr>
          <w:rFonts w:ascii="Times New Roman" w:hAnsi="Times New Roman"/>
          <w:noProof/>
          <w:sz w:val="24"/>
          <w:szCs w:val="24"/>
        </w:rPr>
        <w:t>s</w:t>
      </w:r>
      <w:r w:rsidRPr="00E50FA4">
        <w:rPr>
          <w:rFonts w:ascii="Times New Roman" w:hAnsi="Times New Roman"/>
          <w:noProof/>
          <w:sz w:val="24"/>
          <w:szCs w:val="24"/>
        </w:rPr>
        <w:t xml:space="preserve"> based on the </w:t>
      </w:r>
      <w:r w:rsidR="006577D7" w:rsidRPr="00E50FA4">
        <w:rPr>
          <w:rFonts w:ascii="Times New Roman" w:hAnsi="Times New Roman"/>
          <w:noProof/>
          <w:sz w:val="24"/>
          <w:szCs w:val="24"/>
        </w:rPr>
        <w:t>counterparties</w:t>
      </w:r>
      <w:r w:rsidRPr="00E50FA4">
        <w:rPr>
          <w:rFonts w:ascii="Times New Roman" w:hAnsi="Times New Roman"/>
          <w:noProof/>
          <w:sz w:val="24"/>
          <w:szCs w:val="24"/>
        </w:rPr>
        <w:t>’ activity distribution</w:t>
      </w:r>
      <w:r w:rsidR="009D3026" w:rsidRPr="00E50FA4">
        <w:rPr>
          <w:rFonts w:ascii="Times New Roman" w:hAnsi="Times New Roman"/>
          <w:noProof/>
          <w:sz w:val="24"/>
          <w:szCs w:val="24"/>
        </w:rPr>
        <w:t xml:space="preserve">, </w:t>
      </w:r>
      <w:r w:rsidR="00596E1A" w:rsidRPr="00E50FA4">
        <w:rPr>
          <w:rFonts w:ascii="Times New Roman" w:hAnsi="Times New Roman"/>
          <w:noProof/>
          <w:sz w:val="24"/>
          <w:szCs w:val="24"/>
        </w:rPr>
        <w:t>including</w:t>
      </w:r>
      <w:r w:rsidR="009D3026" w:rsidRPr="00E50FA4">
        <w:rPr>
          <w:rFonts w:ascii="Times New Roman" w:hAnsi="Times New Roman"/>
          <w:noProof/>
          <w:sz w:val="24"/>
          <w:szCs w:val="24"/>
        </w:rPr>
        <w:t xml:space="preserve"> by counterparties’ turnover by activity. </w:t>
      </w:r>
    </w:p>
    <w:p w14:paraId="4455C8EE" w14:textId="5A333F4D" w:rsidR="006577D7" w:rsidRPr="00E50FA4" w:rsidRDefault="006577D7" w:rsidP="00B76863">
      <w:pPr>
        <w:pStyle w:val="ListParagraph"/>
        <w:spacing w:before="120" w:after="120"/>
        <w:ind w:left="567"/>
        <w:jc w:val="both"/>
        <w:rPr>
          <w:rFonts w:ascii="Times New Roman" w:hAnsi="Times New Roman"/>
          <w:noProof/>
          <w:sz w:val="24"/>
        </w:rPr>
      </w:pPr>
      <w:r w:rsidRPr="00E50FA4">
        <w:rPr>
          <w:rFonts w:ascii="Times New Roman" w:hAnsi="Times New Roman"/>
          <w:noProof/>
          <w:sz w:val="24"/>
          <w:szCs w:val="24"/>
        </w:rPr>
        <w:t xml:space="preserve">Institutions shall add a </w:t>
      </w:r>
      <w:r w:rsidR="001A365E" w:rsidRPr="00E50FA4">
        <w:rPr>
          <w:rFonts w:ascii="Times New Roman" w:hAnsi="Times New Roman"/>
          <w:noProof/>
          <w:sz w:val="24"/>
          <w:szCs w:val="24"/>
        </w:rPr>
        <w:t>r</w:t>
      </w:r>
      <w:r w:rsidRPr="00E50FA4">
        <w:rPr>
          <w:rFonts w:ascii="Times New Roman" w:hAnsi="Times New Roman"/>
          <w:noProof/>
          <w:sz w:val="24"/>
          <w:szCs w:val="24"/>
        </w:rPr>
        <w:t>ow in the template for each relevant combination of sector</w:t>
      </w:r>
      <w:r w:rsidR="00093D96" w:rsidRPr="00E50FA4">
        <w:rPr>
          <w:rFonts w:ascii="Times New Roman" w:hAnsi="Times New Roman"/>
          <w:noProof/>
          <w:sz w:val="24"/>
          <w:szCs w:val="24"/>
        </w:rPr>
        <w:t>s</w:t>
      </w:r>
      <w:r w:rsidRPr="00E50FA4">
        <w:rPr>
          <w:rFonts w:ascii="Times New Roman" w:hAnsi="Times New Roman"/>
          <w:noProof/>
          <w:sz w:val="24"/>
          <w:szCs w:val="24"/>
        </w:rPr>
        <w:t xml:space="preserve"> disclosed in column </w:t>
      </w:r>
      <w:r w:rsidR="00D86367" w:rsidRPr="00E50FA4">
        <w:rPr>
          <w:rFonts w:ascii="Times New Roman" w:hAnsi="Times New Roman"/>
          <w:noProof/>
          <w:sz w:val="24"/>
          <w:szCs w:val="24"/>
        </w:rPr>
        <w:t>(</w:t>
      </w:r>
      <w:r w:rsidRPr="00E50FA4">
        <w:rPr>
          <w:rFonts w:ascii="Times New Roman" w:hAnsi="Times New Roman"/>
          <w:noProof/>
          <w:sz w:val="24"/>
          <w:szCs w:val="24"/>
        </w:rPr>
        <w:t>b</w:t>
      </w:r>
      <w:r w:rsidR="00D86367" w:rsidRPr="00E50FA4">
        <w:rPr>
          <w:rFonts w:ascii="Times New Roman" w:hAnsi="Times New Roman"/>
          <w:noProof/>
          <w:sz w:val="24"/>
          <w:szCs w:val="24"/>
        </w:rPr>
        <w:t>)</w:t>
      </w:r>
      <w:r w:rsidRPr="00E50FA4">
        <w:rPr>
          <w:rFonts w:ascii="Times New Roman" w:hAnsi="Times New Roman"/>
          <w:noProof/>
          <w:sz w:val="24"/>
          <w:szCs w:val="24"/>
        </w:rPr>
        <w:t xml:space="preserve"> and alignment metric</w:t>
      </w:r>
      <w:r w:rsidR="00093D96" w:rsidRPr="00E50FA4">
        <w:rPr>
          <w:rFonts w:ascii="Times New Roman" w:hAnsi="Times New Roman"/>
          <w:noProof/>
          <w:sz w:val="24"/>
          <w:szCs w:val="24"/>
        </w:rPr>
        <w:t>s</w:t>
      </w:r>
      <w:r w:rsidRPr="00E50FA4">
        <w:rPr>
          <w:rFonts w:ascii="Times New Roman" w:hAnsi="Times New Roman"/>
          <w:noProof/>
          <w:sz w:val="24"/>
          <w:szCs w:val="24"/>
        </w:rPr>
        <w:t xml:space="preserve"> included in column </w:t>
      </w:r>
      <w:r w:rsidR="00D86367" w:rsidRPr="00E50FA4">
        <w:rPr>
          <w:rFonts w:ascii="Times New Roman" w:hAnsi="Times New Roman"/>
          <w:noProof/>
          <w:sz w:val="24"/>
          <w:szCs w:val="24"/>
        </w:rPr>
        <w:t>(</w:t>
      </w:r>
      <w:r w:rsidRPr="00E50FA4">
        <w:rPr>
          <w:rFonts w:ascii="Times New Roman" w:hAnsi="Times New Roman"/>
          <w:noProof/>
          <w:sz w:val="24"/>
          <w:szCs w:val="24"/>
        </w:rPr>
        <w:t>d</w:t>
      </w:r>
      <w:r w:rsidR="00D86367" w:rsidRPr="00E50FA4">
        <w:rPr>
          <w:rFonts w:ascii="Times New Roman" w:hAnsi="Times New Roman"/>
          <w:noProof/>
          <w:sz w:val="24"/>
          <w:szCs w:val="24"/>
        </w:rPr>
        <w:t>)</w:t>
      </w:r>
      <w:r w:rsidRPr="00E50FA4">
        <w:rPr>
          <w:rFonts w:ascii="Times New Roman" w:hAnsi="Times New Roman"/>
          <w:noProof/>
          <w:sz w:val="24"/>
          <w:szCs w:val="24"/>
        </w:rPr>
        <w:t>.</w:t>
      </w:r>
    </w:p>
    <w:p w14:paraId="2A0A3691" w14:textId="2617D7AF" w:rsidR="00125C05" w:rsidRPr="00E50FA4" w:rsidRDefault="00C5464C" w:rsidP="00B76863">
      <w:pPr>
        <w:pStyle w:val="ListParagraph"/>
        <w:numPr>
          <w:ilvl w:val="0"/>
          <w:numId w:val="51"/>
        </w:numPr>
        <w:spacing w:before="120" w:after="120"/>
        <w:ind w:left="567" w:hanging="567"/>
        <w:jc w:val="both"/>
        <w:rPr>
          <w:rFonts w:ascii="Times New Roman" w:hAnsi="Times New Roman"/>
          <w:noProof/>
          <w:sz w:val="24"/>
        </w:rPr>
      </w:pPr>
      <w:r w:rsidRPr="00E50FA4">
        <w:rPr>
          <w:rFonts w:ascii="Times New Roman" w:hAnsi="Times New Roman"/>
          <w:noProof/>
          <w:sz w:val="24"/>
        </w:rPr>
        <w:t>C</w:t>
      </w:r>
      <w:r w:rsidR="00125C05" w:rsidRPr="00E50FA4">
        <w:rPr>
          <w:rFonts w:ascii="Times New Roman" w:hAnsi="Times New Roman"/>
          <w:noProof/>
          <w:sz w:val="24"/>
        </w:rPr>
        <w:t xml:space="preserve">olumn </w:t>
      </w:r>
      <w:r w:rsidR="00D86367" w:rsidRPr="00E50FA4">
        <w:rPr>
          <w:rFonts w:ascii="Times New Roman" w:hAnsi="Times New Roman"/>
          <w:noProof/>
          <w:sz w:val="24"/>
        </w:rPr>
        <w:t>(</w:t>
      </w:r>
      <w:r w:rsidR="001A66AA" w:rsidRPr="00E50FA4">
        <w:rPr>
          <w:rFonts w:ascii="Times New Roman" w:hAnsi="Times New Roman"/>
          <w:noProof/>
          <w:sz w:val="24"/>
        </w:rPr>
        <w:t>f</w:t>
      </w:r>
      <w:r w:rsidR="00D86367" w:rsidRPr="00E50FA4">
        <w:rPr>
          <w:rFonts w:ascii="Times New Roman" w:hAnsi="Times New Roman"/>
          <w:noProof/>
          <w:sz w:val="24"/>
        </w:rPr>
        <w:t>)</w:t>
      </w:r>
      <w:r w:rsidR="00125C05" w:rsidRPr="00E50FA4">
        <w:rPr>
          <w:rFonts w:ascii="Times New Roman" w:hAnsi="Times New Roman"/>
          <w:noProof/>
          <w:sz w:val="24"/>
        </w:rPr>
        <w:t xml:space="preserve">: </w:t>
      </w:r>
      <w:r w:rsidR="009E7795" w:rsidRPr="00E50FA4">
        <w:rPr>
          <w:rFonts w:ascii="Times New Roman" w:hAnsi="Times New Roman"/>
          <w:noProof/>
          <w:sz w:val="24"/>
        </w:rPr>
        <w:t xml:space="preserve">the </w:t>
      </w:r>
      <w:r w:rsidR="004B1DCF" w:rsidRPr="00E50FA4">
        <w:rPr>
          <w:rFonts w:ascii="Times New Roman" w:hAnsi="Times New Roman"/>
          <w:noProof/>
          <w:sz w:val="24"/>
        </w:rPr>
        <w:t xml:space="preserve">point </w:t>
      </w:r>
      <w:r w:rsidR="009E7795" w:rsidRPr="00E50FA4">
        <w:rPr>
          <w:rFonts w:ascii="Times New Roman" w:hAnsi="Times New Roman"/>
          <w:noProof/>
          <w:sz w:val="24"/>
        </w:rPr>
        <w:t xml:space="preserve">in </w:t>
      </w:r>
      <w:r w:rsidR="004B1DCF" w:rsidRPr="00E50FA4">
        <w:rPr>
          <w:rFonts w:ascii="Times New Roman" w:hAnsi="Times New Roman"/>
          <w:noProof/>
          <w:sz w:val="24"/>
        </w:rPr>
        <w:t xml:space="preserve">time </w:t>
      </w:r>
      <w:r w:rsidR="009E7795" w:rsidRPr="00E50FA4">
        <w:rPr>
          <w:rFonts w:ascii="Times New Roman" w:hAnsi="Times New Roman"/>
          <w:noProof/>
          <w:sz w:val="24"/>
        </w:rPr>
        <w:t xml:space="preserve">distance of the column </w:t>
      </w:r>
      <w:r w:rsidRPr="00E50FA4">
        <w:rPr>
          <w:rFonts w:ascii="Times New Roman" w:hAnsi="Times New Roman"/>
          <w:noProof/>
          <w:sz w:val="24"/>
        </w:rPr>
        <w:t>(</w:t>
      </w:r>
      <w:r w:rsidR="009E7795" w:rsidRPr="00E50FA4">
        <w:rPr>
          <w:rFonts w:ascii="Times New Roman" w:hAnsi="Times New Roman"/>
          <w:noProof/>
          <w:sz w:val="24"/>
        </w:rPr>
        <w:t>d</w:t>
      </w:r>
      <w:r w:rsidRPr="00E50FA4">
        <w:rPr>
          <w:rFonts w:ascii="Times New Roman" w:hAnsi="Times New Roman"/>
          <w:noProof/>
          <w:sz w:val="24"/>
        </w:rPr>
        <w:t>)</w:t>
      </w:r>
      <w:r w:rsidR="009E7795" w:rsidRPr="00E50FA4">
        <w:rPr>
          <w:rFonts w:ascii="Times New Roman" w:hAnsi="Times New Roman"/>
          <w:noProof/>
          <w:sz w:val="24"/>
        </w:rPr>
        <w:t xml:space="preserve"> metric(s) to the 2030 data points of the </w:t>
      </w:r>
      <w:r w:rsidR="007F6A28" w:rsidRPr="00E50FA4">
        <w:rPr>
          <w:rFonts w:ascii="Times New Roman" w:hAnsi="Times New Roman"/>
          <w:noProof/>
          <w:sz w:val="24"/>
        </w:rPr>
        <w:t>Net Zero Emissions by 2050 Scenario (NZE2050)</w:t>
      </w:r>
      <w:r w:rsidR="0069726A" w:rsidRPr="00E50FA4">
        <w:rPr>
          <w:rFonts w:ascii="Times New Roman" w:hAnsi="Times New Roman"/>
          <w:noProof/>
          <w:sz w:val="24"/>
        </w:rPr>
        <w:t>,</w:t>
      </w:r>
      <w:r w:rsidR="00125C05" w:rsidRPr="00E50FA4">
        <w:rPr>
          <w:rFonts w:ascii="Times New Roman" w:hAnsi="Times New Roman"/>
          <w:noProof/>
          <w:sz w:val="24"/>
        </w:rPr>
        <w:t xml:space="preserve"> </w:t>
      </w:r>
      <w:r w:rsidR="004B1DCF" w:rsidRPr="00E50FA4">
        <w:rPr>
          <w:rFonts w:ascii="Times New Roman" w:hAnsi="Times New Roman"/>
          <w:noProof/>
          <w:sz w:val="24"/>
        </w:rPr>
        <w:t xml:space="preserve">shall be </w:t>
      </w:r>
      <w:r w:rsidR="00125C05" w:rsidRPr="00E50FA4">
        <w:rPr>
          <w:rFonts w:ascii="Times New Roman" w:hAnsi="Times New Roman"/>
          <w:noProof/>
          <w:sz w:val="24"/>
        </w:rPr>
        <w:t xml:space="preserve">expressed in percentage points. </w:t>
      </w:r>
      <w:r w:rsidR="00B76863" w:rsidRPr="00E50FA4">
        <w:rPr>
          <w:rFonts w:ascii="Times New Roman" w:hAnsi="Times New Roman"/>
          <w:noProof/>
          <w:sz w:val="24"/>
        </w:rPr>
        <w:t>That distance</w:t>
      </w:r>
      <w:r w:rsidR="00125C05" w:rsidRPr="00E50FA4">
        <w:rPr>
          <w:rFonts w:ascii="Times New Roman" w:hAnsi="Times New Roman"/>
          <w:noProof/>
          <w:sz w:val="24"/>
        </w:rPr>
        <w:t xml:space="preserve"> shall represent the </w:t>
      </w:r>
      <w:r w:rsidR="009E7795" w:rsidRPr="00E50FA4">
        <w:rPr>
          <w:rFonts w:ascii="Times New Roman" w:hAnsi="Times New Roman"/>
          <w:noProof/>
          <w:sz w:val="24"/>
        </w:rPr>
        <w:t xml:space="preserve">current </w:t>
      </w:r>
      <w:r w:rsidR="00125C05" w:rsidRPr="00E50FA4">
        <w:rPr>
          <w:rFonts w:ascii="Times New Roman" w:hAnsi="Times New Roman"/>
          <w:noProof/>
          <w:sz w:val="24"/>
        </w:rPr>
        <w:t xml:space="preserve">degree of alignment with the </w:t>
      </w:r>
      <w:r w:rsidR="009E7795" w:rsidRPr="00E50FA4">
        <w:rPr>
          <w:rFonts w:ascii="Times New Roman" w:hAnsi="Times New Roman"/>
          <w:noProof/>
          <w:sz w:val="24"/>
        </w:rPr>
        <w:t xml:space="preserve">scenario </w:t>
      </w:r>
      <w:r w:rsidR="00023E8E" w:rsidRPr="00E50FA4">
        <w:rPr>
          <w:rFonts w:ascii="Times New Roman" w:hAnsi="Times New Roman"/>
          <w:noProof/>
          <w:sz w:val="24"/>
        </w:rPr>
        <w:t xml:space="preserve">indicator </w:t>
      </w:r>
      <w:r w:rsidR="009E7795" w:rsidRPr="00E50FA4">
        <w:rPr>
          <w:rFonts w:ascii="Times New Roman" w:hAnsi="Times New Roman"/>
          <w:noProof/>
          <w:sz w:val="24"/>
        </w:rPr>
        <w:t xml:space="preserve">for 2030 </w:t>
      </w:r>
      <w:r w:rsidR="00023E8E" w:rsidRPr="00E50FA4">
        <w:rPr>
          <w:rFonts w:ascii="Times New Roman" w:hAnsi="Times New Roman"/>
          <w:noProof/>
          <w:sz w:val="24"/>
        </w:rPr>
        <w:t>and</w:t>
      </w:r>
      <w:r w:rsidR="00125C05" w:rsidRPr="00E50FA4">
        <w:rPr>
          <w:rFonts w:ascii="Times New Roman" w:hAnsi="Times New Roman"/>
          <w:noProof/>
          <w:sz w:val="24"/>
        </w:rPr>
        <w:t xml:space="preserve"> </w:t>
      </w:r>
      <w:r w:rsidR="004B1DCF" w:rsidRPr="00E50FA4">
        <w:rPr>
          <w:rFonts w:ascii="Times New Roman" w:hAnsi="Times New Roman"/>
          <w:noProof/>
          <w:sz w:val="24"/>
        </w:rPr>
        <w:t xml:space="preserve">shall </w:t>
      </w:r>
      <w:r w:rsidR="00125C05" w:rsidRPr="00E50FA4">
        <w:rPr>
          <w:rFonts w:ascii="Times New Roman" w:hAnsi="Times New Roman"/>
          <w:noProof/>
          <w:sz w:val="24"/>
        </w:rPr>
        <w:t xml:space="preserve">be expressed as the difference between the indicator in column (d) and the IEA scenario </w:t>
      </w:r>
      <w:r w:rsidR="009E7795" w:rsidRPr="00E50FA4">
        <w:rPr>
          <w:rFonts w:ascii="Times New Roman" w:hAnsi="Times New Roman"/>
          <w:noProof/>
          <w:sz w:val="24"/>
        </w:rPr>
        <w:t>projection for 2030</w:t>
      </w:r>
      <w:r w:rsidR="00125C05" w:rsidRPr="00E50FA4">
        <w:rPr>
          <w:rFonts w:ascii="Times New Roman" w:hAnsi="Times New Roman"/>
          <w:noProof/>
          <w:sz w:val="24"/>
        </w:rPr>
        <w:t>, divided by the scenario benchmark indicator and converted into percentage terms.</w:t>
      </w:r>
    </w:p>
    <w:p w14:paraId="64DC25ED" w14:textId="6BD691B3" w:rsidR="001A66AA" w:rsidRPr="00E50FA4" w:rsidRDefault="001A66AA" w:rsidP="00B76863">
      <w:pPr>
        <w:pStyle w:val="ListParagraph"/>
        <w:spacing w:before="120" w:after="120"/>
        <w:ind w:left="567"/>
        <w:jc w:val="both"/>
        <w:rPr>
          <w:rFonts w:ascii="Times New Roman" w:hAnsi="Times New Roman"/>
          <w:noProof/>
          <w:sz w:val="24"/>
        </w:rPr>
      </w:pPr>
      <w:r w:rsidRPr="00E50FA4">
        <w:rPr>
          <w:rFonts w:ascii="Times New Roman" w:hAnsi="Times New Roman"/>
          <w:noProof/>
          <w:sz w:val="24"/>
        </w:rPr>
        <w:t xml:space="preserve">Institutions </w:t>
      </w:r>
      <w:r w:rsidR="00D86367" w:rsidRPr="00E50FA4">
        <w:rPr>
          <w:rFonts w:ascii="Times New Roman" w:hAnsi="Times New Roman"/>
          <w:noProof/>
          <w:sz w:val="24"/>
        </w:rPr>
        <w:t>can</w:t>
      </w:r>
      <w:r w:rsidRPr="00E50FA4">
        <w:rPr>
          <w:rFonts w:ascii="Times New Roman" w:hAnsi="Times New Roman"/>
          <w:noProof/>
          <w:sz w:val="24"/>
        </w:rPr>
        <w:t xml:space="preserve"> find the relevant information and the applicable scenario indicators for 2030 per sector on the IEA website. In particular</w:t>
      </w:r>
      <w:r w:rsidR="00D86367" w:rsidRPr="00E50FA4">
        <w:rPr>
          <w:rFonts w:ascii="Times New Roman" w:hAnsi="Times New Roman"/>
          <w:noProof/>
          <w:sz w:val="24"/>
        </w:rPr>
        <w:t>,</w:t>
      </w:r>
      <w:r w:rsidRPr="00E50FA4">
        <w:rPr>
          <w:rFonts w:ascii="Times New Roman" w:hAnsi="Times New Roman"/>
          <w:noProof/>
          <w:sz w:val="24"/>
        </w:rPr>
        <w:t xml:space="preserve"> institutions shall refer to the “Net Zero by 2050 - A Roadmap for the Global Energy Sector” that the IEA publish on an annual basis</w:t>
      </w:r>
      <w:r w:rsidR="00D65FBF" w:rsidRPr="00E50FA4">
        <w:rPr>
          <w:rFonts w:ascii="Times New Roman" w:hAnsi="Times New Roman"/>
          <w:noProof/>
          <w:sz w:val="24"/>
          <w:vertAlign w:val="superscript"/>
        </w:rPr>
        <w:t>*</w:t>
      </w:r>
      <w:r w:rsidR="00191FE2" w:rsidRPr="00E50FA4">
        <w:rPr>
          <w:rFonts w:ascii="Times New Roman" w:hAnsi="Times New Roman"/>
          <w:noProof/>
          <w:sz w:val="24"/>
          <w:vertAlign w:val="superscript"/>
        </w:rPr>
        <w:t>19</w:t>
      </w:r>
      <w:r w:rsidRPr="00E50FA4">
        <w:rPr>
          <w:rFonts w:ascii="Times New Roman" w:hAnsi="Times New Roman"/>
          <w:noProof/>
          <w:sz w:val="24"/>
        </w:rPr>
        <w:t xml:space="preserve">. The specific data points and indicators can be downloaded from the excel table included in </w:t>
      </w:r>
      <w:r w:rsidR="001D0251" w:rsidRPr="00E50FA4">
        <w:rPr>
          <w:rFonts w:ascii="Times New Roman" w:hAnsi="Times New Roman"/>
          <w:noProof/>
          <w:sz w:val="24"/>
        </w:rPr>
        <w:t>the Net Zero by 2050 Scenario designed by the International Energy Agency</w:t>
      </w:r>
    </w:p>
    <w:p w14:paraId="7E4A2CE1" w14:textId="7CF23110" w:rsidR="00125C05" w:rsidRPr="00E50FA4" w:rsidRDefault="00125C05" w:rsidP="00B76863">
      <w:pPr>
        <w:spacing w:before="120" w:after="120"/>
        <w:ind w:left="567"/>
        <w:jc w:val="both"/>
        <w:rPr>
          <w:rFonts w:ascii="Times New Roman" w:hAnsi="Times New Roman"/>
          <w:noProof/>
          <w:sz w:val="24"/>
        </w:rPr>
      </w:pPr>
      <w:r w:rsidRPr="00E50FA4">
        <w:rPr>
          <w:rFonts w:ascii="Times New Roman" w:hAnsi="Times New Roman"/>
          <w:noProof/>
          <w:sz w:val="24"/>
          <w:lang w:val="en-GB"/>
        </w:rPr>
        <w:t>The</w:t>
      </w:r>
      <w:r w:rsidR="009D3026" w:rsidRPr="00E50FA4">
        <w:rPr>
          <w:rFonts w:ascii="Times New Roman" w:hAnsi="Times New Roman"/>
          <w:noProof/>
          <w:sz w:val="24"/>
          <w:lang w:val="en-GB"/>
        </w:rPr>
        <w:t xml:space="preserve"> exposures’ underlying activities</w:t>
      </w:r>
      <w:r w:rsidRPr="00E50FA4">
        <w:rPr>
          <w:rFonts w:ascii="Times New Roman" w:hAnsi="Times New Roman"/>
          <w:noProof/>
          <w:sz w:val="24"/>
          <w:lang w:val="en-GB"/>
        </w:rPr>
        <w:t xml:space="preserve"> shall be considered aligned </w:t>
      </w:r>
      <w:r w:rsidR="0069726A" w:rsidRPr="00E50FA4">
        <w:rPr>
          <w:rFonts w:ascii="Times New Roman" w:hAnsi="Times New Roman"/>
          <w:noProof/>
          <w:sz w:val="24"/>
          <w:lang w:val="en-GB"/>
        </w:rPr>
        <w:t>where</w:t>
      </w:r>
      <w:r w:rsidRPr="00E50FA4">
        <w:rPr>
          <w:rFonts w:ascii="Times New Roman" w:hAnsi="Times New Roman"/>
          <w:noProof/>
          <w:sz w:val="24"/>
          <w:lang w:val="en-GB"/>
        </w:rPr>
        <w:t xml:space="preserve"> the level of the indicator is below that of the benchmark for decreasing benchmarks (carbon intensive activities) or above for increasing benchmarks (low carbon activities);</w:t>
      </w:r>
    </w:p>
    <w:p w14:paraId="7EA8B62F" w14:textId="77777777" w:rsidR="008C29E1" w:rsidRPr="00E50FA4" w:rsidRDefault="008C29E1" w:rsidP="00B76863">
      <w:pPr>
        <w:ind w:left="567"/>
        <w:rPr>
          <w:rFonts w:ascii="Times New Roman" w:hAnsi="Times New Roman"/>
          <w:noProof/>
          <w:lang w:val="en-GB"/>
        </w:rPr>
      </w:pPr>
    </w:p>
    <w:p w14:paraId="2962326B" w14:textId="77777777" w:rsidR="008C29E1" w:rsidRPr="00E50FA4" w:rsidRDefault="00125C05" w:rsidP="00B76863">
      <w:pPr>
        <w:ind w:left="567"/>
        <w:rPr>
          <w:rFonts w:ascii="Times New Roman" w:hAnsi="Times New Roman"/>
          <w:noProof/>
          <w:lang w:val="en-GB"/>
        </w:rPr>
      </w:pPr>
      <m:oMathPara>
        <m:oMath>
          <m:r>
            <w:rPr>
              <w:rFonts w:ascii="Cambria Math" w:hAnsi="Cambria Math"/>
              <w:noProof/>
              <w:lang w:val="en-GB"/>
            </w:rPr>
            <m:t>Distance</m:t>
          </m:r>
        </m:oMath>
      </m:oMathPara>
    </w:p>
    <w:p w14:paraId="37350AC3" w14:textId="77777777" w:rsidR="00D84F71" w:rsidRPr="00E50FA4" w:rsidRDefault="00D84F71" w:rsidP="00B76863">
      <w:pPr>
        <w:ind w:left="567"/>
        <w:rPr>
          <w:rFonts w:ascii="Times New Roman" w:hAnsi="Times New Roman"/>
          <w:noProof/>
          <w:lang w:val="en-GB"/>
        </w:rPr>
      </w:pPr>
    </w:p>
    <w:p w14:paraId="08EAB728" w14:textId="77777777" w:rsidR="00125C05" w:rsidRPr="00E50FA4" w:rsidRDefault="00125C05" w:rsidP="00B76863">
      <w:pPr>
        <w:ind w:left="567"/>
        <w:rPr>
          <w:noProof/>
        </w:rPr>
      </w:pPr>
      <m:oMathPara>
        <m:oMath>
          <m:r>
            <w:rPr>
              <w:rFonts w:ascii="Cambria Math" w:hAnsi="Cambria Math"/>
              <w:noProof/>
              <w:lang w:val="en-GB"/>
            </w:rPr>
            <m:t>=</m:t>
          </m:r>
          <m:f>
            <m:fPr>
              <m:ctrlPr>
                <w:rPr>
                  <w:rFonts w:ascii="Cambria Math" w:hAnsi="Cambria Math"/>
                  <w:i/>
                  <w:noProof/>
                  <w:lang w:val="en-GB"/>
                </w:rPr>
              </m:ctrlPr>
            </m:fPr>
            <m:num>
              <m:r>
                <w:rPr>
                  <w:rFonts w:ascii="Cambria Math" w:hAnsi="Cambria Math"/>
                  <w:noProof/>
                  <w:lang w:val="en-GB"/>
                </w:rPr>
                <m:t>Metric at reference year-(IEA scenario metric in 2030)</m:t>
              </m:r>
            </m:num>
            <m:den>
              <m:r>
                <w:rPr>
                  <w:rFonts w:ascii="Cambria Math" w:hAnsi="Cambria Math"/>
                  <w:noProof/>
                  <w:lang w:val="en-GB"/>
                </w:rPr>
                <m:t>(IEA scenario metric in 2030)</m:t>
              </m:r>
            </m:den>
          </m:f>
          <m:r>
            <w:rPr>
              <w:rFonts w:ascii="Cambria Math" w:hAnsi="Cambria Math"/>
              <w:noProof/>
              <w:lang w:val="en-GB"/>
            </w:rPr>
            <m:t>*100</m:t>
          </m:r>
        </m:oMath>
      </m:oMathPara>
    </w:p>
    <w:p w14:paraId="2F81249E" w14:textId="35CE61A0" w:rsidR="00125C05" w:rsidRPr="00E50FA4" w:rsidRDefault="0069726A" w:rsidP="00B76863">
      <w:pPr>
        <w:spacing w:before="120" w:after="120"/>
        <w:ind w:left="567" w:hanging="567"/>
        <w:jc w:val="both"/>
        <w:rPr>
          <w:rFonts w:ascii="Times New Roman" w:hAnsi="Times New Roman"/>
          <w:noProof/>
          <w:sz w:val="24"/>
        </w:rPr>
      </w:pPr>
      <w:r w:rsidRPr="00E50FA4">
        <w:rPr>
          <w:rFonts w:ascii="Times New Roman" w:hAnsi="Times New Roman"/>
          <w:noProof/>
          <w:sz w:val="24"/>
        </w:rPr>
        <w:t>(g)</w:t>
      </w:r>
      <w:r w:rsidRPr="00E50FA4">
        <w:rPr>
          <w:rFonts w:ascii="Times New Roman" w:hAnsi="Times New Roman"/>
          <w:noProof/>
          <w:sz w:val="24"/>
        </w:rPr>
        <w:tab/>
      </w:r>
      <w:r w:rsidR="00C5464C" w:rsidRPr="00E50FA4">
        <w:rPr>
          <w:rFonts w:ascii="Times New Roman" w:hAnsi="Times New Roman"/>
          <w:noProof/>
          <w:sz w:val="24"/>
        </w:rPr>
        <w:t>C</w:t>
      </w:r>
      <w:r w:rsidR="00125C05" w:rsidRPr="00E50FA4">
        <w:rPr>
          <w:rFonts w:ascii="Times New Roman" w:hAnsi="Times New Roman"/>
          <w:noProof/>
          <w:sz w:val="24"/>
        </w:rPr>
        <w:t xml:space="preserve">olumn </w:t>
      </w:r>
      <w:r w:rsidR="00D86367" w:rsidRPr="00E50FA4">
        <w:rPr>
          <w:rFonts w:ascii="Times New Roman" w:hAnsi="Times New Roman"/>
          <w:noProof/>
          <w:sz w:val="24"/>
        </w:rPr>
        <w:t>(</w:t>
      </w:r>
      <w:r w:rsidR="001A66AA" w:rsidRPr="00E50FA4">
        <w:rPr>
          <w:rFonts w:ascii="Times New Roman" w:hAnsi="Times New Roman"/>
          <w:noProof/>
          <w:sz w:val="24"/>
        </w:rPr>
        <w:t>g</w:t>
      </w:r>
      <w:r w:rsidR="00D86367" w:rsidRPr="00E50FA4">
        <w:rPr>
          <w:rFonts w:ascii="Times New Roman" w:hAnsi="Times New Roman"/>
          <w:noProof/>
          <w:sz w:val="24"/>
        </w:rPr>
        <w:t>)</w:t>
      </w:r>
      <w:r w:rsidR="00125C05" w:rsidRPr="00E50FA4">
        <w:rPr>
          <w:rFonts w:ascii="Times New Roman" w:hAnsi="Times New Roman"/>
          <w:noProof/>
          <w:sz w:val="24"/>
        </w:rPr>
        <w:t xml:space="preserve">: </w:t>
      </w:r>
      <w:r w:rsidR="00743AC2" w:rsidRPr="00E50FA4">
        <w:rPr>
          <w:rFonts w:ascii="Times New Roman" w:hAnsi="Times New Roman"/>
          <w:noProof/>
          <w:sz w:val="24"/>
        </w:rPr>
        <w:t>institutions</w:t>
      </w:r>
      <w:r w:rsidR="006577D7" w:rsidRPr="00E50FA4">
        <w:rPr>
          <w:rFonts w:ascii="Times New Roman" w:hAnsi="Times New Roman"/>
          <w:noProof/>
          <w:sz w:val="24"/>
        </w:rPr>
        <w:t>’</w:t>
      </w:r>
      <w:r w:rsidR="00743AC2" w:rsidRPr="00E50FA4">
        <w:rPr>
          <w:rFonts w:ascii="Times New Roman" w:hAnsi="Times New Roman"/>
          <w:noProof/>
          <w:sz w:val="24"/>
        </w:rPr>
        <w:t xml:space="preserve"> </w:t>
      </w:r>
      <w:r w:rsidR="00125C05" w:rsidRPr="00E50FA4">
        <w:rPr>
          <w:rFonts w:ascii="Times New Roman" w:hAnsi="Times New Roman"/>
          <w:noProof/>
          <w:sz w:val="24"/>
        </w:rPr>
        <w:t>target</w:t>
      </w:r>
      <w:r w:rsidR="006577D7" w:rsidRPr="00E50FA4">
        <w:rPr>
          <w:rFonts w:ascii="Times New Roman" w:hAnsi="Times New Roman"/>
          <w:noProof/>
          <w:sz w:val="24"/>
        </w:rPr>
        <w:t xml:space="preserve"> for </w:t>
      </w:r>
      <w:r w:rsidR="009E7795" w:rsidRPr="00E50FA4">
        <w:rPr>
          <w:rFonts w:ascii="Times New Roman" w:hAnsi="Times New Roman"/>
          <w:noProof/>
          <w:sz w:val="24"/>
        </w:rPr>
        <w:t xml:space="preserve">3 </w:t>
      </w:r>
      <w:r w:rsidR="00125C05" w:rsidRPr="00E50FA4">
        <w:rPr>
          <w:rFonts w:ascii="Times New Roman" w:hAnsi="Times New Roman"/>
          <w:noProof/>
          <w:sz w:val="24"/>
        </w:rPr>
        <w:t>years</w:t>
      </w:r>
      <w:r w:rsidR="006577D7" w:rsidRPr="00E50FA4">
        <w:rPr>
          <w:rFonts w:ascii="Times New Roman" w:hAnsi="Times New Roman"/>
          <w:noProof/>
          <w:sz w:val="24"/>
        </w:rPr>
        <w:t xml:space="preserve"> after the year of reference indicated in column </w:t>
      </w:r>
      <w:r w:rsidR="00D86367" w:rsidRPr="00E50FA4">
        <w:rPr>
          <w:rFonts w:ascii="Times New Roman" w:hAnsi="Times New Roman"/>
          <w:noProof/>
          <w:sz w:val="24"/>
        </w:rPr>
        <w:t>(</w:t>
      </w:r>
      <w:r w:rsidR="006577D7" w:rsidRPr="00E50FA4">
        <w:rPr>
          <w:rFonts w:ascii="Times New Roman" w:hAnsi="Times New Roman"/>
          <w:noProof/>
          <w:sz w:val="24"/>
        </w:rPr>
        <w:t>e</w:t>
      </w:r>
      <w:r w:rsidR="00D86367" w:rsidRPr="00E50FA4">
        <w:rPr>
          <w:rFonts w:ascii="Times New Roman" w:hAnsi="Times New Roman"/>
          <w:noProof/>
          <w:sz w:val="24"/>
        </w:rPr>
        <w:t>)</w:t>
      </w:r>
      <w:r w:rsidR="006577D7" w:rsidRPr="00E50FA4">
        <w:rPr>
          <w:rFonts w:ascii="Times New Roman" w:hAnsi="Times New Roman"/>
          <w:noProof/>
          <w:sz w:val="24"/>
        </w:rPr>
        <w:t xml:space="preserve"> and the alignment metric indicated in column </w:t>
      </w:r>
      <w:r w:rsidR="007F24BA" w:rsidRPr="00E50FA4">
        <w:rPr>
          <w:rFonts w:ascii="Times New Roman" w:hAnsi="Times New Roman"/>
          <w:noProof/>
          <w:sz w:val="24"/>
        </w:rPr>
        <w:t>(</w:t>
      </w:r>
      <w:r w:rsidR="006577D7" w:rsidRPr="00E50FA4">
        <w:rPr>
          <w:rFonts w:ascii="Times New Roman" w:hAnsi="Times New Roman"/>
          <w:noProof/>
          <w:sz w:val="24"/>
        </w:rPr>
        <w:t>d</w:t>
      </w:r>
      <w:r w:rsidR="007F24BA" w:rsidRPr="00E50FA4">
        <w:rPr>
          <w:rFonts w:ascii="Times New Roman" w:hAnsi="Times New Roman"/>
          <w:noProof/>
          <w:sz w:val="24"/>
        </w:rPr>
        <w:t>)</w:t>
      </w:r>
      <w:r w:rsidR="00125C05" w:rsidRPr="00E50FA4">
        <w:rPr>
          <w:rFonts w:ascii="Times New Roman" w:hAnsi="Times New Roman"/>
          <w:noProof/>
          <w:sz w:val="24"/>
        </w:rPr>
        <w:t xml:space="preserve">. </w:t>
      </w:r>
      <w:r w:rsidRPr="00E50FA4">
        <w:rPr>
          <w:rFonts w:ascii="Times New Roman" w:hAnsi="Times New Roman"/>
          <w:noProof/>
          <w:sz w:val="24"/>
        </w:rPr>
        <w:t xml:space="preserve">Column (g) </w:t>
      </w:r>
      <w:r w:rsidR="00125C05" w:rsidRPr="00E50FA4">
        <w:rPr>
          <w:rFonts w:ascii="Times New Roman" w:hAnsi="Times New Roman"/>
          <w:noProof/>
          <w:sz w:val="24"/>
        </w:rPr>
        <w:t xml:space="preserve">shall </w:t>
      </w:r>
      <w:r w:rsidR="00AD00F1" w:rsidRPr="00E50FA4">
        <w:rPr>
          <w:rFonts w:ascii="Times New Roman" w:hAnsi="Times New Roman"/>
          <w:noProof/>
          <w:sz w:val="24"/>
        </w:rPr>
        <w:t>indicate</w:t>
      </w:r>
      <w:r w:rsidR="00125C05" w:rsidRPr="00E50FA4">
        <w:rPr>
          <w:rFonts w:ascii="Times New Roman" w:hAnsi="Times New Roman"/>
          <w:noProof/>
          <w:sz w:val="24"/>
        </w:rPr>
        <w:t xml:space="preserve"> the portfolio</w:t>
      </w:r>
      <w:r w:rsidR="006577D7" w:rsidRPr="00E50FA4">
        <w:rPr>
          <w:rFonts w:ascii="Times New Roman" w:hAnsi="Times New Roman"/>
          <w:noProof/>
          <w:sz w:val="24"/>
        </w:rPr>
        <w:t xml:space="preserve"> alignment</w:t>
      </w:r>
      <w:r w:rsidR="00125C05" w:rsidRPr="00E50FA4">
        <w:rPr>
          <w:rFonts w:ascii="Times New Roman" w:hAnsi="Times New Roman"/>
          <w:noProof/>
          <w:sz w:val="24"/>
        </w:rPr>
        <w:t xml:space="preserve"> </w:t>
      </w:r>
      <w:r w:rsidR="00AD00F1" w:rsidRPr="00E50FA4">
        <w:rPr>
          <w:rFonts w:ascii="Times New Roman" w:hAnsi="Times New Roman"/>
          <w:noProof/>
          <w:sz w:val="24"/>
        </w:rPr>
        <w:t xml:space="preserve">path and </w:t>
      </w:r>
      <w:r w:rsidR="00125C05" w:rsidRPr="00E50FA4">
        <w:rPr>
          <w:rFonts w:ascii="Times New Roman" w:hAnsi="Times New Roman"/>
          <w:noProof/>
          <w:sz w:val="24"/>
        </w:rPr>
        <w:t>target</w:t>
      </w:r>
      <w:r w:rsidRPr="00E50FA4">
        <w:rPr>
          <w:rFonts w:ascii="Times New Roman" w:hAnsi="Times New Roman"/>
          <w:noProof/>
          <w:sz w:val="24"/>
        </w:rPr>
        <w:t>s</w:t>
      </w:r>
      <w:r w:rsidR="006577D7" w:rsidRPr="00E50FA4">
        <w:rPr>
          <w:rFonts w:ascii="Times New Roman" w:hAnsi="Times New Roman"/>
          <w:noProof/>
          <w:sz w:val="24"/>
        </w:rPr>
        <w:t xml:space="preserve"> that institutions plan to </w:t>
      </w:r>
      <w:r w:rsidR="00B76863" w:rsidRPr="00E50FA4">
        <w:rPr>
          <w:rFonts w:ascii="Times New Roman" w:hAnsi="Times New Roman"/>
          <w:noProof/>
          <w:sz w:val="24"/>
        </w:rPr>
        <w:t>achieve to</w:t>
      </w:r>
      <w:r w:rsidR="00125C05" w:rsidRPr="00E50FA4">
        <w:rPr>
          <w:rFonts w:ascii="Times New Roman" w:hAnsi="Times New Roman"/>
          <w:noProof/>
          <w:sz w:val="24"/>
        </w:rPr>
        <w:t xml:space="preserve"> remain on track with the IEA scenario in the long term.</w:t>
      </w:r>
    </w:p>
    <w:p w14:paraId="086685E3" w14:textId="77777777" w:rsidR="00E5231F" w:rsidRPr="00E50FA4" w:rsidRDefault="00E5231F" w:rsidP="0051392F">
      <w:pPr>
        <w:spacing w:before="120" w:after="120"/>
        <w:ind w:left="1080"/>
        <w:jc w:val="both"/>
        <w:rPr>
          <w:rFonts w:ascii="Times New Roman" w:hAnsi="Times New Roman"/>
          <w:noProof/>
          <w:sz w:val="24"/>
        </w:rPr>
      </w:pPr>
    </w:p>
    <w:bookmarkEnd w:id="13"/>
    <w:p w14:paraId="602B09B0" w14:textId="301C6A21" w:rsidR="00E01673" w:rsidRPr="00E50FA4" w:rsidRDefault="00E01673" w:rsidP="00DA390D">
      <w:pPr>
        <w:spacing w:before="120" w:after="120"/>
        <w:jc w:val="both"/>
        <w:rPr>
          <w:rFonts w:ascii="Times New Roman" w:hAnsi="Times New Roman"/>
          <w:b/>
          <w:bCs/>
          <w:noProof/>
          <w:sz w:val="24"/>
          <w:lang w:val="en-GB"/>
        </w:rPr>
      </w:pPr>
      <w:r w:rsidRPr="00E50FA4">
        <w:rPr>
          <w:rFonts w:ascii="Times New Roman" w:hAnsi="Times New Roman"/>
          <w:b/>
          <w:noProof/>
          <w:sz w:val="24"/>
          <w:lang w:val="en-GB"/>
        </w:rPr>
        <w:t xml:space="preserve">Template </w:t>
      </w:r>
      <w:r w:rsidR="00881A19" w:rsidRPr="00E50FA4">
        <w:rPr>
          <w:rFonts w:ascii="Times New Roman" w:hAnsi="Times New Roman"/>
          <w:b/>
          <w:noProof/>
          <w:sz w:val="24"/>
          <w:lang w:val="en-GB"/>
        </w:rPr>
        <w:t>4</w:t>
      </w:r>
      <w:r w:rsidRPr="00E50FA4">
        <w:rPr>
          <w:rFonts w:ascii="Times New Roman" w:hAnsi="Times New Roman"/>
          <w:b/>
          <w:noProof/>
          <w:sz w:val="24"/>
          <w:lang w:val="en-GB"/>
        </w:rPr>
        <w:t xml:space="preserve"> - </w:t>
      </w:r>
      <w:r w:rsidR="00FF0B8C" w:rsidRPr="00E50FA4">
        <w:rPr>
          <w:rFonts w:ascii="Times New Roman" w:hAnsi="Times New Roman"/>
          <w:b/>
          <w:noProof/>
          <w:sz w:val="24"/>
          <w:lang w:val="en-GB"/>
        </w:rPr>
        <w:t xml:space="preserve">Banking book </w:t>
      </w:r>
      <w:r w:rsidR="00786654" w:rsidRPr="00E50FA4">
        <w:rPr>
          <w:rFonts w:ascii="Times New Roman" w:hAnsi="Times New Roman"/>
          <w:b/>
          <w:noProof/>
          <w:sz w:val="24"/>
          <w:lang w:val="en-GB"/>
        </w:rPr>
        <w:t>–</w:t>
      </w:r>
      <w:r w:rsidR="00FF0B8C" w:rsidRPr="00E50FA4">
        <w:rPr>
          <w:rFonts w:ascii="Times New Roman" w:hAnsi="Times New Roman"/>
          <w:b/>
          <w:noProof/>
          <w:sz w:val="24"/>
          <w:lang w:val="en-GB"/>
        </w:rPr>
        <w:t xml:space="preserve"> </w:t>
      </w:r>
      <w:r w:rsidR="00786654" w:rsidRPr="00E50FA4">
        <w:rPr>
          <w:rFonts w:ascii="Times New Roman" w:hAnsi="Times New Roman"/>
          <w:b/>
          <w:noProof/>
          <w:sz w:val="24"/>
          <w:lang w:val="en-GB"/>
        </w:rPr>
        <w:t xml:space="preserve">Indicators of potential climate </w:t>
      </w:r>
      <w:r w:rsidR="00FF0B8C" w:rsidRPr="00E50FA4">
        <w:rPr>
          <w:rFonts w:ascii="Times New Roman" w:hAnsi="Times New Roman"/>
          <w:b/>
          <w:noProof/>
          <w:sz w:val="24"/>
          <w:lang w:val="en-GB"/>
        </w:rPr>
        <w:t>change transition risk: Exposures to top 20 carbon-intensive firms</w:t>
      </w:r>
      <w:r w:rsidR="00D51DA4" w:rsidRPr="00E50FA4">
        <w:rPr>
          <w:rFonts w:ascii="Times New Roman" w:hAnsi="Times New Roman" w:cs="Times New Roman"/>
          <w:noProof/>
          <w:sz w:val="24"/>
          <w:lang w:val="en-GB"/>
        </w:rPr>
        <w:t>.</w:t>
      </w:r>
      <w:r w:rsidR="00FF0B8C" w:rsidRPr="00E50FA4">
        <w:rPr>
          <w:rFonts w:ascii="Times New Roman" w:hAnsi="Times New Roman" w:cs="Times New Roman"/>
          <w:noProof/>
          <w:sz w:val="24"/>
          <w:lang w:val="en-GB"/>
        </w:rPr>
        <w:t xml:space="preserve"> </w:t>
      </w:r>
      <w:r w:rsidR="00FF0B8C" w:rsidRPr="00E50FA4">
        <w:rPr>
          <w:rFonts w:ascii="Times New Roman" w:hAnsi="Times New Roman" w:cs="Times New Roman"/>
          <w:b/>
          <w:bCs/>
          <w:noProof/>
          <w:sz w:val="24"/>
          <w:lang w:val="en-GB"/>
        </w:rPr>
        <w:t>Fixed format</w:t>
      </w:r>
    </w:p>
    <w:p w14:paraId="6E1F95ED" w14:textId="42679A30" w:rsidR="00881A19" w:rsidRPr="00E50FA4" w:rsidRDefault="00881A19" w:rsidP="00B76863">
      <w:pPr>
        <w:pStyle w:val="ListParagraph"/>
        <w:numPr>
          <w:ilvl w:val="0"/>
          <w:numId w:val="60"/>
        </w:numPr>
        <w:tabs>
          <w:tab w:val="left" w:pos="567"/>
        </w:tabs>
        <w:spacing w:before="120" w:after="120"/>
        <w:ind w:left="0" w:firstLine="0"/>
        <w:jc w:val="both"/>
        <w:rPr>
          <w:rFonts w:ascii="Times New Roman" w:eastAsiaTheme="minorEastAsia" w:hAnsi="Times New Roman" w:cstheme="minorBidi"/>
          <w:noProof/>
          <w:sz w:val="24"/>
          <w:szCs w:val="24"/>
        </w:rPr>
      </w:pPr>
      <w:r w:rsidRPr="00E50FA4">
        <w:rPr>
          <w:rFonts w:ascii="Times New Roman" w:hAnsi="Times New Roman"/>
          <w:noProof/>
          <w:sz w:val="24"/>
        </w:rPr>
        <w:t xml:space="preserve">Institutions shall </w:t>
      </w:r>
      <w:r w:rsidR="004B1DCF" w:rsidRPr="00E50FA4">
        <w:rPr>
          <w:rFonts w:ascii="Times New Roman" w:hAnsi="Times New Roman"/>
          <w:noProof/>
          <w:sz w:val="24"/>
        </w:rPr>
        <w:t xml:space="preserve">use </w:t>
      </w:r>
      <w:r w:rsidRPr="00E50FA4">
        <w:rPr>
          <w:rFonts w:ascii="Times New Roman" w:hAnsi="Times New Roman"/>
          <w:noProof/>
          <w:sz w:val="24"/>
        </w:rPr>
        <w:t xml:space="preserve">the </w:t>
      </w:r>
      <w:r w:rsidR="004B1DCF" w:rsidRPr="00E50FA4">
        <w:rPr>
          <w:rFonts w:ascii="Times New Roman" w:hAnsi="Times New Roman"/>
          <w:noProof/>
          <w:sz w:val="24"/>
        </w:rPr>
        <w:t xml:space="preserve">following </w:t>
      </w:r>
      <w:r w:rsidRPr="00E50FA4">
        <w:rPr>
          <w:rFonts w:ascii="Times New Roman" w:hAnsi="Times New Roman"/>
          <w:noProof/>
          <w:sz w:val="24"/>
        </w:rPr>
        <w:t>instructions to disclose the information required in ‘</w:t>
      </w:r>
      <w:r w:rsidRPr="00E50FA4">
        <w:rPr>
          <w:rFonts w:ascii="Times New Roman" w:hAnsi="Times New Roman"/>
          <w:bCs/>
          <w:noProof/>
          <w:sz w:val="24"/>
        </w:rPr>
        <w:t xml:space="preserve">Template 4: Banking book </w:t>
      </w:r>
      <w:r w:rsidR="00786654" w:rsidRPr="00E50FA4">
        <w:rPr>
          <w:rFonts w:ascii="Times New Roman" w:hAnsi="Times New Roman"/>
          <w:bCs/>
          <w:noProof/>
          <w:sz w:val="24"/>
        </w:rPr>
        <w:t>–</w:t>
      </w:r>
      <w:r w:rsidRPr="00E50FA4">
        <w:rPr>
          <w:rFonts w:ascii="Times New Roman" w:hAnsi="Times New Roman"/>
          <w:bCs/>
          <w:noProof/>
          <w:sz w:val="24"/>
        </w:rPr>
        <w:t xml:space="preserve"> </w:t>
      </w:r>
      <w:r w:rsidR="00786654" w:rsidRPr="00E50FA4">
        <w:rPr>
          <w:rFonts w:ascii="Times New Roman" w:hAnsi="Times New Roman"/>
          <w:bCs/>
          <w:noProof/>
          <w:sz w:val="24"/>
        </w:rPr>
        <w:t xml:space="preserve">Indicators of potential climate </w:t>
      </w:r>
      <w:r w:rsidRPr="00E50FA4">
        <w:rPr>
          <w:rFonts w:ascii="Times New Roman" w:hAnsi="Times New Roman"/>
          <w:bCs/>
          <w:noProof/>
          <w:sz w:val="24"/>
        </w:rPr>
        <w:t>change transition risk: Exposures to top 20 carbon-intensive firms</w:t>
      </w:r>
      <w:r w:rsidRPr="00E50FA4">
        <w:rPr>
          <w:rFonts w:ascii="Times New Roman" w:hAnsi="Times New Roman"/>
          <w:noProof/>
          <w:sz w:val="24"/>
        </w:rPr>
        <w:t>, as</w:t>
      </w:r>
      <w:r w:rsidR="009906F2" w:rsidRPr="00E50FA4">
        <w:rPr>
          <w:rFonts w:ascii="Times New Roman" w:hAnsi="Times New Roman"/>
          <w:noProof/>
          <w:sz w:val="24"/>
        </w:rPr>
        <w:t xml:space="preserve"> set out</w:t>
      </w:r>
      <w:r w:rsidRPr="00E50FA4">
        <w:rPr>
          <w:rFonts w:ascii="Times New Roman" w:hAnsi="Times New Roman"/>
          <w:noProof/>
          <w:sz w:val="24"/>
        </w:rPr>
        <w:t xml:space="preserve"> in Annex XXXIX to this Regulation. </w:t>
      </w:r>
    </w:p>
    <w:p w14:paraId="4CC7A201" w14:textId="73CFD923" w:rsidR="005C5C4D" w:rsidRPr="00E50FA4" w:rsidRDefault="00060FFB" w:rsidP="00B76863">
      <w:pPr>
        <w:pStyle w:val="ListParagraph"/>
        <w:numPr>
          <w:ilvl w:val="0"/>
          <w:numId w:val="60"/>
        </w:numPr>
        <w:tabs>
          <w:tab w:val="left" w:pos="567"/>
        </w:tabs>
        <w:spacing w:before="120" w:after="120"/>
        <w:ind w:left="0" w:firstLine="0"/>
        <w:jc w:val="both"/>
        <w:rPr>
          <w:rFonts w:ascii="Times New Roman" w:hAnsi="Times New Roman"/>
          <w:bCs/>
          <w:noProof/>
          <w:sz w:val="24"/>
        </w:rPr>
      </w:pPr>
      <w:r w:rsidRPr="00E50FA4">
        <w:rPr>
          <w:rFonts w:ascii="Times New Roman" w:hAnsi="Times New Roman"/>
          <w:bCs/>
          <w:noProof/>
          <w:sz w:val="24"/>
        </w:rPr>
        <w:t xml:space="preserve">Institutions shall </w:t>
      </w:r>
      <w:r w:rsidR="00E87225" w:rsidRPr="00E50FA4">
        <w:rPr>
          <w:rFonts w:ascii="Times New Roman" w:hAnsi="Times New Roman"/>
          <w:bCs/>
          <w:noProof/>
          <w:sz w:val="24"/>
        </w:rPr>
        <w:t xml:space="preserve">disclose in this template </w:t>
      </w:r>
      <w:r w:rsidR="00FF0B8C" w:rsidRPr="00E50FA4">
        <w:rPr>
          <w:rFonts w:ascii="Times New Roman" w:hAnsi="Times New Roman"/>
          <w:bCs/>
          <w:noProof/>
          <w:sz w:val="24"/>
        </w:rPr>
        <w:t>aggregat</w:t>
      </w:r>
      <w:r w:rsidR="00F51CDD" w:rsidRPr="00E50FA4">
        <w:rPr>
          <w:rFonts w:ascii="Times New Roman" w:hAnsi="Times New Roman"/>
          <w:bCs/>
          <w:noProof/>
          <w:sz w:val="24"/>
        </w:rPr>
        <w:t xml:space="preserve">e </w:t>
      </w:r>
      <w:r w:rsidR="00FF0B8C" w:rsidRPr="00E50FA4">
        <w:rPr>
          <w:rFonts w:ascii="Times New Roman" w:hAnsi="Times New Roman"/>
          <w:bCs/>
          <w:noProof/>
          <w:sz w:val="24"/>
        </w:rPr>
        <w:t xml:space="preserve">information </w:t>
      </w:r>
      <w:r w:rsidRPr="00E50FA4">
        <w:rPr>
          <w:rFonts w:ascii="Times New Roman" w:hAnsi="Times New Roman"/>
          <w:bCs/>
          <w:noProof/>
          <w:sz w:val="24"/>
        </w:rPr>
        <w:t>on exposures towards the most carbon</w:t>
      </w:r>
      <w:r w:rsidR="00C5464C" w:rsidRPr="00E50FA4">
        <w:rPr>
          <w:rFonts w:ascii="Times New Roman" w:hAnsi="Times New Roman"/>
          <w:bCs/>
          <w:noProof/>
          <w:sz w:val="24"/>
        </w:rPr>
        <w:t>-</w:t>
      </w:r>
      <w:r w:rsidRPr="00E50FA4">
        <w:rPr>
          <w:rFonts w:ascii="Times New Roman" w:hAnsi="Times New Roman"/>
          <w:bCs/>
          <w:noProof/>
          <w:sz w:val="24"/>
        </w:rPr>
        <w:t>intensive counterparties in the world.</w:t>
      </w:r>
      <w:r w:rsidR="005C5C4D" w:rsidRPr="00E50FA4">
        <w:rPr>
          <w:rFonts w:ascii="Times New Roman" w:hAnsi="Times New Roman"/>
          <w:bCs/>
          <w:noProof/>
          <w:sz w:val="24"/>
        </w:rPr>
        <w:t xml:space="preserve"> They </w:t>
      </w:r>
      <w:r w:rsidR="00632904" w:rsidRPr="00E50FA4">
        <w:rPr>
          <w:rFonts w:ascii="Times New Roman" w:hAnsi="Times New Roman"/>
          <w:bCs/>
          <w:noProof/>
          <w:sz w:val="24"/>
        </w:rPr>
        <w:t xml:space="preserve">shall </w:t>
      </w:r>
      <w:r w:rsidR="005C5C4D" w:rsidRPr="00E50FA4">
        <w:rPr>
          <w:rFonts w:ascii="Times New Roman" w:hAnsi="Times New Roman"/>
          <w:bCs/>
          <w:noProof/>
          <w:sz w:val="24"/>
        </w:rPr>
        <w:t xml:space="preserve">include </w:t>
      </w:r>
      <w:r w:rsidR="001465E5" w:rsidRPr="00E50FA4">
        <w:rPr>
          <w:rFonts w:ascii="Times New Roman" w:hAnsi="Times New Roman"/>
          <w:bCs/>
          <w:noProof/>
          <w:sz w:val="24"/>
        </w:rPr>
        <w:t xml:space="preserve">aggregated and anonymised </w:t>
      </w:r>
      <w:r w:rsidR="00E87225" w:rsidRPr="00E50FA4">
        <w:rPr>
          <w:rFonts w:ascii="Times New Roman" w:hAnsi="Times New Roman"/>
          <w:bCs/>
          <w:noProof/>
          <w:sz w:val="24"/>
        </w:rPr>
        <w:t xml:space="preserve">information on the </w:t>
      </w:r>
      <w:r w:rsidR="00E87225" w:rsidRPr="00E50FA4">
        <w:rPr>
          <w:rFonts w:ascii="Times New Roman" w:eastAsia="Times New Roman" w:hAnsi="Times New Roman"/>
          <w:noProof/>
          <w:sz w:val="24"/>
        </w:rPr>
        <w:t xml:space="preserve">gross carrying amount of exposures towards </w:t>
      </w:r>
      <w:r w:rsidR="00E87225" w:rsidRPr="00E50FA4">
        <w:rPr>
          <w:rFonts w:ascii="Times New Roman" w:hAnsi="Times New Roman"/>
          <w:bCs/>
          <w:noProof/>
          <w:sz w:val="24"/>
        </w:rPr>
        <w:t>up to 20 counterparties that are among the top 20 most carbon-intensive corporates worldwide</w:t>
      </w:r>
      <w:r w:rsidR="001465E5" w:rsidRPr="00E50FA4">
        <w:rPr>
          <w:rFonts w:ascii="Times New Roman" w:hAnsi="Times New Roman"/>
          <w:bCs/>
          <w:noProof/>
          <w:sz w:val="24"/>
        </w:rPr>
        <w:t>. Information shall be based on publicly available reputable and accurate information.</w:t>
      </w:r>
      <w:r w:rsidR="005C5C4D" w:rsidRPr="00E50FA4">
        <w:rPr>
          <w:rFonts w:ascii="Times New Roman" w:hAnsi="Times New Roman"/>
          <w:bCs/>
          <w:noProof/>
          <w:sz w:val="24"/>
        </w:rPr>
        <w:t xml:space="preserve"> Examples of data sources to identify the </w:t>
      </w:r>
      <w:r w:rsidR="003C3BE0" w:rsidRPr="00E50FA4">
        <w:rPr>
          <w:rFonts w:ascii="Times New Roman" w:hAnsi="Times New Roman"/>
          <w:bCs/>
          <w:noProof/>
          <w:sz w:val="24"/>
        </w:rPr>
        <w:t>top carbon-</w:t>
      </w:r>
      <w:r w:rsidR="004B1DCF" w:rsidRPr="00E50FA4">
        <w:rPr>
          <w:rFonts w:ascii="Times New Roman" w:hAnsi="Times New Roman"/>
          <w:bCs/>
          <w:noProof/>
          <w:sz w:val="24"/>
        </w:rPr>
        <w:t xml:space="preserve">intensive </w:t>
      </w:r>
      <w:r w:rsidR="005C5C4D" w:rsidRPr="00E50FA4">
        <w:rPr>
          <w:rFonts w:ascii="Times New Roman" w:hAnsi="Times New Roman"/>
          <w:bCs/>
          <w:noProof/>
          <w:sz w:val="24"/>
        </w:rPr>
        <w:t>companies include</w:t>
      </w:r>
      <w:r w:rsidR="00632904" w:rsidRPr="00E50FA4">
        <w:rPr>
          <w:rFonts w:ascii="Times New Roman" w:hAnsi="Times New Roman"/>
          <w:bCs/>
          <w:noProof/>
          <w:sz w:val="24"/>
        </w:rPr>
        <w:t xml:space="preserve"> </w:t>
      </w:r>
      <w:r w:rsidR="0069726A" w:rsidRPr="00E50FA4">
        <w:rPr>
          <w:rFonts w:ascii="Times New Roman" w:hAnsi="Times New Roman"/>
          <w:bCs/>
          <w:noProof/>
          <w:sz w:val="24"/>
        </w:rPr>
        <w:t xml:space="preserve">the </w:t>
      </w:r>
      <w:r w:rsidR="005C5C4D" w:rsidRPr="00E50FA4">
        <w:rPr>
          <w:rFonts w:ascii="Times New Roman" w:hAnsi="Times New Roman"/>
          <w:bCs/>
          <w:noProof/>
          <w:sz w:val="24"/>
        </w:rPr>
        <w:t xml:space="preserve">Carbon Majors Database </w:t>
      </w:r>
      <w:r w:rsidR="00D811F0" w:rsidRPr="00E50FA4">
        <w:rPr>
          <w:rFonts w:ascii="Times New Roman" w:hAnsi="Times New Roman"/>
          <w:bCs/>
          <w:noProof/>
          <w:sz w:val="24"/>
        </w:rPr>
        <w:t xml:space="preserve">and Reports </w:t>
      </w:r>
      <w:r w:rsidR="005C5C4D" w:rsidRPr="00E50FA4">
        <w:rPr>
          <w:rFonts w:ascii="Times New Roman" w:hAnsi="Times New Roman"/>
          <w:bCs/>
          <w:noProof/>
          <w:sz w:val="24"/>
        </w:rPr>
        <w:t>of the Carbon Disclosure Project</w:t>
      </w:r>
      <w:r w:rsidR="00D811F0" w:rsidRPr="00E50FA4">
        <w:rPr>
          <w:rFonts w:ascii="Times New Roman" w:hAnsi="Times New Roman"/>
          <w:bCs/>
          <w:noProof/>
          <w:sz w:val="24"/>
        </w:rPr>
        <w:t xml:space="preserve"> and Climate Accountability Institute as well as</w:t>
      </w:r>
      <w:r w:rsidR="00632904" w:rsidRPr="00E50FA4">
        <w:rPr>
          <w:rFonts w:ascii="Times New Roman" w:hAnsi="Times New Roman"/>
          <w:bCs/>
          <w:noProof/>
          <w:sz w:val="24"/>
        </w:rPr>
        <w:t xml:space="preserve"> </w:t>
      </w:r>
      <w:r w:rsidR="005C5C4D" w:rsidRPr="00E50FA4">
        <w:rPr>
          <w:rFonts w:ascii="Times New Roman" w:hAnsi="Times New Roman"/>
          <w:bCs/>
          <w:noProof/>
          <w:sz w:val="24"/>
        </w:rPr>
        <w:t>Thomson Reuters.</w:t>
      </w:r>
    </w:p>
    <w:p w14:paraId="219ED269" w14:textId="41A2D2A5" w:rsidR="0076092D" w:rsidRPr="00E50FA4" w:rsidRDefault="00C5464C" w:rsidP="00B76863">
      <w:pPr>
        <w:pStyle w:val="ListParagraph"/>
        <w:numPr>
          <w:ilvl w:val="0"/>
          <w:numId w:val="60"/>
        </w:numPr>
        <w:tabs>
          <w:tab w:val="left" w:pos="567"/>
        </w:tabs>
        <w:spacing w:before="120" w:after="120"/>
        <w:ind w:left="0" w:firstLine="0"/>
        <w:jc w:val="both"/>
        <w:rPr>
          <w:rFonts w:ascii="Times New Roman" w:hAnsi="Times New Roman"/>
          <w:bCs/>
          <w:noProof/>
          <w:sz w:val="24"/>
        </w:rPr>
      </w:pPr>
      <w:r w:rsidRPr="00E50FA4">
        <w:rPr>
          <w:rFonts w:ascii="Times New Roman" w:hAnsi="Times New Roman"/>
          <w:bCs/>
          <w:noProof/>
          <w:sz w:val="24"/>
        </w:rPr>
        <w:t>Institutions shall disclose in the narrative accompanying the disclosure the sour</w:t>
      </w:r>
      <w:r w:rsidR="00B76863">
        <w:rPr>
          <w:rFonts w:ascii="Times New Roman" w:hAnsi="Times New Roman"/>
          <w:bCs/>
          <w:noProof/>
          <w:sz w:val="24"/>
        </w:rPr>
        <w:t>c</w:t>
      </w:r>
      <w:r w:rsidRPr="00E50FA4">
        <w:rPr>
          <w:rFonts w:ascii="Times New Roman" w:hAnsi="Times New Roman"/>
          <w:bCs/>
          <w:noProof/>
          <w:sz w:val="24"/>
        </w:rPr>
        <w:t>e o</w:t>
      </w:r>
      <w:r w:rsidR="00B76863">
        <w:rPr>
          <w:rFonts w:ascii="Times New Roman" w:hAnsi="Times New Roman"/>
          <w:bCs/>
          <w:noProof/>
          <w:sz w:val="24"/>
        </w:rPr>
        <w:t>f</w:t>
      </w:r>
      <w:r w:rsidRPr="00E50FA4">
        <w:rPr>
          <w:rFonts w:ascii="Times New Roman" w:hAnsi="Times New Roman"/>
          <w:bCs/>
          <w:noProof/>
          <w:sz w:val="24"/>
        </w:rPr>
        <w:t xml:space="preserve"> the data they use. </w:t>
      </w:r>
      <w:r w:rsidR="00EB53E5" w:rsidRPr="00E50FA4">
        <w:rPr>
          <w:rFonts w:ascii="Times New Roman" w:hAnsi="Times New Roman"/>
          <w:bCs/>
          <w:noProof/>
          <w:sz w:val="24"/>
        </w:rPr>
        <w:t xml:space="preserve">Where institutions are </w:t>
      </w:r>
      <w:r w:rsidR="003C32CD" w:rsidRPr="00E50FA4">
        <w:rPr>
          <w:rFonts w:ascii="Times New Roman" w:hAnsi="Times New Roman"/>
          <w:bCs/>
          <w:noProof/>
          <w:sz w:val="24"/>
        </w:rPr>
        <w:t xml:space="preserve">not able to identify exposures towards the top 20 carbon-intensive firms in the world, </w:t>
      </w:r>
      <w:r w:rsidR="00EB53E5" w:rsidRPr="00E50FA4">
        <w:rPr>
          <w:rFonts w:ascii="Times New Roman" w:hAnsi="Times New Roman"/>
          <w:bCs/>
          <w:noProof/>
          <w:sz w:val="24"/>
        </w:rPr>
        <w:t>they</w:t>
      </w:r>
      <w:r w:rsidR="00632904" w:rsidRPr="00E50FA4">
        <w:rPr>
          <w:rFonts w:ascii="Times New Roman" w:hAnsi="Times New Roman"/>
          <w:bCs/>
          <w:noProof/>
          <w:sz w:val="24"/>
        </w:rPr>
        <w:t xml:space="preserve"> shall </w:t>
      </w:r>
      <w:r w:rsidR="00EB53E5" w:rsidRPr="00E50FA4">
        <w:rPr>
          <w:rFonts w:ascii="Times New Roman" w:hAnsi="Times New Roman"/>
          <w:bCs/>
          <w:noProof/>
          <w:sz w:val="24"/>
        </w:rPr>
        <w:t xml:space="preserve">explain </w:t>
      </w:r>
      <w:r w:rsidR="003C32CD" w:rsidRPr="00E50FA4">
        <w:rPr>
          <w:rFonts w:ascii="Times New Roman" w:hAnsi="Times New Roman"/>
          <w:bCs/>
          <w:noProof/>
          <w:sz w:val="24"/>
        </w:rPr>
        <w:t>why they have not indicated such exposures</w:t>
      </w:r>
      <w:r w:rsidR="00EB53E5" w:rsidRPr="00E50FA4">
        <w:rPr>
          <w:rFonts w:ascii="Times New Roman" w:hAnsi="Times New Roman"/>
          <w:bCs/>
          <w:noProof/>
          <w:sz w:val="24"/>
        </w:rPr>
        <w:t xml:space="preserve">, including </w:t>
      </w:r>
      <w:r w:rsidR="004B1DCF" w:rsidRPr="00E50FA4">
        <w:rPr>
          <w:rFonts w:ascii="Times New Roman" w:hAnsi="Times New Roman"/>
          <w:bCs/>
          <w:noProof/>
          <w:sz w:val="24"/>
        </w:rPr>
        <w:t xml:space="preserve">in the case in which </w:t>
      </w:r>
      <w:r w:rsidR="00632904" w:rsidRPr="00E50FA4">
        <w:rPr>
          <w:rFonts w:ascii="Times New Roman" w:hAnsi="Times New Roman"/>
          <w:bCs/>
          <w:noProof/>
          <w:sz w:val="24"/>
        </w:rPr>
        <w:t xml:space="preserve">they </w:t>
      </w:r>
      <w:r w:rsidR="003C3BE0" w:rsidRPr="00E50FA4">
        <w:rPr>
          <w:rFonts w:ascii="Times New Roman" w:hAnsi="Times New Roman"/>
          <w:bCs/>
          <w:noProof/>
          <w:sz w:val="24"/>
        </w:rPr>
        <w:t>do not have any exposures to</w:t>
      </w:r>
      <w:r w:rsidR="00632904" w:rsidRPr="00E50FA4">
        <w:rPr>
          <w:rFonts w:ascii="Times New Roman" w:hAnsi="Times New Roman"/>
          <w:bCs/>
          <w:noProof/>
          <w:sz w:val="24"/>
        </w:rPr>
        <w:t>wards</w:t>
      </w:r>
      <w:r w:rsidR="003C3BE0" w:rsidRPr="00E50FA4">
        <w:rPr>
          <w:rFonts w:ascii="Times New Roman" w:hAnsi="Times New Roman"/>
          <w:bCs/>
          <w:noProof/>
          <w:sz w:val="24"/>
        </w:rPr>
        <w:t xml:space="preserve"> </w:t>
      </w:r>
      <w:r w:rsidR="003C32CD" w:rsidRPr="00E50FA4">
        <w:rPr>
          <w:rFonts w:ascii="Times New Roman" w:hAnsi="Times New Roman"/>
          <w:bCs/>
          <w:noProof/>
          <w:sz w:val="24"/>
        </w:rPr>
        <w:t>the top 20 carbon-intensive firms in the world</w:t>
      </w:r>
      <w:r w:rsidR="004B1DCF" w:rsidRPr="00E50FA4">
        <w:rPr>
          <w:rFonts w:ascii="Times New Roman" w:hAnsi="Times New Roman"/>
          <w:bCs/>
          <w:noProof/>
          <w:sz w:val="24"/>
        </w:rPr>
        <w:t>.</w:t>
      </w:r>
      <w:r w:rsidR="00632904" w:rsidRPr="00E50FA4">
        <w:rPr>
          <w:rFonts w:ascii="Times New Roman" w:hAnsi="Times New Roman"/>
          <w:bCs/>
          <w:noProof/>
          <w:sz w:val="24"/>
        </w:rPr>
        <w:t xml:space="preserve"> </w:t>
      </w:r>
    </w:p>
    <w:p w14:paraId="64FADC03" w14:textId="77777777" w:rsidR="0076092D" w:rsidRPr="00E50FA4" w:rsidRDefault="0076092D" w:rsidP="001A08A2">
      <w:pPr>
        <w:jc w:val="both"/>
        <w:rPr>
          <w:rFonts w:ascii="Times New Roman" w:hAnsi="Times New Roman" w:cs="Times New Roman"/>
          <w:noProof/>
          <w:sz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9"/>
        <w:gridCol w:w="6415"/>
      </w:tblGrid>
      <w:tr w:rsidR="0076092D" w:rsidRPr="00E50FA4" w14:paraId="3F76F8E0" w14:textId="77777777" w:rsidTr="0076092D">
        <w:trPr>
          <w:trHeight w:val="238"/>
        </w:trPr>
        <w:tc>
          <w:tcPr>
            <w:tcW w:w="323" w:type="pct"/>
            <w:shd w:val="clear" w:color="auto" w:fill="D9D9D9" w:themeFill="background1" w:themeFillShade="D9"/>
          </w:tcPr>
          <w:p w14:paraId="06D73F14" w14:textId="77777777" w:rsidR="0076092D" w:rsidRPr="00E50FA4" w:rsidRDefault="0076092D" w:rsidP="001A08A2">
            <w:pPr>
              <w:autoSpaceDE w:val="0"/>
              <w:autoSpaceDN w:val="0"/>
              <w:adjustRightInd w:val="0"/>
              <w:jc w:val="both"/>
              <w:rPr>
                <w:rFonts w:ascii="Times New Roman" w:hAnsi="Times New Roman" w:cs="Times New Roman"/>
                <w:noProof/>
                <w:sz w:val="24"/>
                <w:lang w:val="en-GB"/>
              </w:rPr>
            </w:pPr>
          </w:p>
        </w:tc>
        <w:tc>
          <w:tcPr>
            <w:tcW w:w="1020" w:type="pct"/>
            <w:shd w:val="clear" w:color="auto" w:fill="D9D9D9" w:themeFill="background1" w:themeFillShade="D9"/>
          </w:tcPr>
          <w:p w14:paraId="0A9B8988" w14:textId="77777777" w:rsidR="0076092D" w:rsidRPr="00E50FA4" w:rsidRDefault="0076092D" w:rsidP="001A08A2">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Column </w:t>
            </w:r>
          </w:p>
        </w:tc>
        <w:tc>
          <w:tcPr>
            <w:tcW w:w="3657" w:type="pct"/>
            <w:shd w:val="clear" w:color="auto" w:fill="D9D9D9" w:themeFill="background1" w:themeFillShade="D9"/>
          </w:tcPr>
          <w:p w14:paraId="0BF7E0C7" w14:textId="77777777" w:rsidR="0076092D" w:rsidRPr="00E50FA4" w:rsidRDefault="0076092D" w:rsidP="001A08A2">
            <w:pPr>
              <w:autoSpaceDE w:val="0"/>
              <w:autoSpaceDN w:val="0"/>
              <w:adjustRightInd w:val="0"/>
              <w:jc w:val="both"/>
              <w:rPr>
                <w:rFonts w:ascii="Times New Roman" w:hAnsi="Times New Roman" w:cs="Times New Roman"/>
                <w:noProof/>
                <w:color w:val="000000"/>
                <w:sz w:val="24"/>
                <w:lang w:val="en-GB"/>
              </w:rPr>
            </w:pPr>
            <w:r w:rsidRPr="00E50FA4">
              <w:rPr>
                <w:rFonts w:ascii="Times New Roman" w:hAnsi="Times New Roman" w:cs="Times New Roman"/>
                <w:noProof/>
                <w:sz w:val="24"/>
                <w:lang w:val="en-GB"/>
              </w:rPr>
              <w:t>Instructions</w:t>
            </w:r>
          </w:p>
        </w:tc>
      </w:tr>
      <w:tr w:rsidR="0076092D" w:rsidRPr="00E50FA4" w14:paraId="3DEDFD87" w14:textId="77777777" w:rsidTr="0076092D">
        <w:trPr>
          <w:trHeight w:val="316"/>
        </w:trPr>
        <w:tc>
          <w:tcPr>
            <w:tcW w:w="323" w:type="pct"/>
          </w:tcPr>
          <w:p w14:paraId="52368742" w14:textId="77777777" w:rsidR="0076092D" w:rsidRPr="00E50FA4" w:rsidRDefault="00802DD9" w:rsidP="001A08A2">
            <w:pPr>
              <w:autoSpaceDE w:val="0"/>
              <w:autoSpaceDN w:val="0"/>
              <w:adjustRightInd w:val="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a</w:t>
            </w:r>
          </w:p>
        </w:tc>
        <w:tc>
          <w:tcPr>
            <w:tcW w:w="1020" w:type="pct"/>
          </w:tcPr>
          <w:p w14:paraId="10EFDFAC" w14:textId="77777777" w:rsidR="0076092D" w:rsidRPr="00E50FA4" w:rsidRDefault="0076092D" w:rsidP="001A08A2">
            <w:pPr>
              <w:autoSpaceDE w:val="0"/>
              <w:autoSpaceDN w:val="0"/>
              <w:adjustRightInd w:val="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Gross carrying amount</w:t>
            </w:r>
            <w:r w:rsidR="00802DD9" w:rsidRPr="00E50FA4">
              <w:rPr>
                <w:rFonts w:ascii="Times New Roman" w:eastAsia="Times New Roman" w:hAnsi="Times New Roman" w:cs="Times New Roman"/>
                <w:noProof/>
                <w:sz w:val="24"/>
                <w:lang w:val="en-GB"/>
              </w:rPr>
              <w:t xml:space="preserve"> (aggregate)</w:t>
            </w:r>
          </w:p>
        </w:tc>
        <w:tc>
          <w:tcPr>
            <w:tcW w:w="3657" w:type="pct"/>
          </w:tcPr>
          <w:p w14:paraId="5D648427" w14:textId="6FFD2A98" w:rsidR="00E87225" w:rsidRPr="00E50FA4" w:rsidRDefault="00E87225"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Gross carrying amount </w:t>
            </w:r>
            <w:r w:rsidR="00B72173" w:rsidRPr="00E50FA4">
              <w:rPr>
                <w:rFonts w:ascii="Times New Roman" w:eastAsia="Times New Roman" w:hAnsi="Times New Roman" w:cs="Times New Roman"/>
                <w:noProof/>
                <w:sz w:val="24"/>
                <w:lang w:val="en-GB"/>
              </w:rPr>
              <w:t xml:space="preserve">has the meaning referred to </w:t>
            </w:r>
            <w:r w:rsidRPr="00E50FA4">
              <w:rPr>
                <w:rFonts w:ascii="Times New Roman" w:eastAsia="Times New Roman" w:hAnsi="Times New Roman" w:cs="Times New Roman"/>
                <w:noProof/>
                <w:sz w:val="24"/>
                <w:lang w:val="en-GB"/>
              </w:rPr>
              <w:t>in Part 1 of Annex V to Implementing Regulation (EU) 2021/451</w:t>
            </w:r>
            <w:r w:rsidR="00B72173" w:rsidRPr="00E50FA4">
              <w:rPr>
                <w:rFonts w:ascii="Times New Roman" w:eastAsia="Times New Roman" w:hAnsi="Times New Roman" w:cs="Times New Roman"/>
                <w:noProof/>
                <w:sz w:val="24"/>
                <w:lang w:val="en-GB"/>
              </w:rPr>
              <w:t>. It includes</w:t>
            </w:r>
            <w:r w:rsidRPr="00E50FA4">
              <w:rPr>
                <w:rFonts w:ascii="Times New Roman" w:eastAsia="Times New Roman" w:hAnsi="Times New Roman" w:cs="Times New Roman"/>
                <w:noProof/>
                <w:sz w:val="24"/>
                <w:lang w:val="en-GB"/>
              </w:rPr>
              <w:t xml:space="preserve"> loans and advances, debt securities and equity instruments, classified under the accounting portfolios in the banking book according to that </w:t>
            </w:r>
            <w:r w:rsidR="00C26BE2" w:rsidRPr="00E50FA4">
              <w:rPr>
                <w:rFonts w:ascii="Times New Roman" w:eastAsia="Times New Roman" w:hAnsi="Times New Roman" w:cs="Times New Roman"/>
                <w:noProof/>
                <w:sz w:val="24"/>
                <w:lang w:val="en-GB"/>
              </w:rPr>
              <w:t xml:space="preserve">Implementing </w:t>
            </w:r>
            <w:r w:rsidRPr="00E50FA4">
              <w:rPr>
                <w:rFonts w:ascii="Times New Roman" w:eastAsia="Times New Roman" w:hAnsi="Times New Roman" w:cs="Times New Roman"/>
                <w:noProof/>
                <w:sz w:val="24"/>
                <w:lang w:val="en-GB"/>
              </w:rPr>
              <w:t xml:space="preserve">Regulation, excluding financial assets held for trading and held for sale assets. </w:t>
            </w:r>
          </w:p>
          <w:p w14:paraId="742EAE9F" w14:textId="77777777" w:rsidR="0076092D" w:rsidRPr="00E50FA4" w:rsidRDefault="00E87225" w:rsidP="00D35812">
            <w:pPr>
              <w:spacing w:before="120" w:after="120"/>
              <w:jc w:val="both"/>
              <w:rPr>
                <w:rFonts w:ascii="Times New Roman" w:hAnsi="Times New Roman" w:cs="Times New Roman"/>
                <w:bCs/>
                <w:noProof/>
                <w:sz w:val="24"/>
                <w:lang w:val="en-GB"/>
              </w:rPr>
            </w:pPr>
            <w:r w:rsidRPr="00E50FA4">
              <w:rPr>
                <w:rFonts w:ascii="Times New Roman" w:eastAsia="Times New Roman" w:hAnsi="Times New Roman" w:cs="Times New Roman"/>
                <w:noProof/>
                <w:sz w:val="24"/>
                <w:lang w:val="en-GB"/>
              </w:rPr>
              <w:t xml:space="preserve">Institutions shall include the aggregate exposures towards </w:t>
            </w:r>
            <w:r w:rsidRPr="00E50FA4">
              <w:rPr>
                <w:rFonts w:ascii="Times New Roman" w:hAnsi="Times New Roman"/>
                <w:bCs/>
                <w:noProof/>
                <w:sz w:val="24"/>
                <w:lang w:val="en-GB"/>
              </w:rPr>
              <w:t>up to 20 counterparties of the institution that are among the top 20 most carbon-intensive corporates worldwide.</w:t>
            </w:r>
          </w:p>
        </w:tc>
      </w:tr>
      <w:tr w:rsidR="0076092D" w:rsidRPr="00E50FA4" w14:paraId="0F0D7B61" w14:textId="77777777" w:rsidTr="0076092D">
        <w:trPr>
          <w:trHeight w:val="316"/>
        </w:trPr>
        <w:tc>
          <w:tcPr>
            <w:tcW w:w="323" w:type="pct"/>
          </w:tcPr>
          <w:p w14:paraId="6E23EFF1" w14:textId="77777777" w:rsidR="0076092D" w:rsidRPr="00E50FA4" w:rsidRDefault="00802DD9" w:rsidP="001A08A2">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b</w:t>
            </w:r>
          </w:p>
        </w:tc>
        <w:tc>
          <w:tcPr>
            <w:tcW w:w="1020" w:type="pct"/>
          </w:tcPr>
          <w:p w14:paraId="73B8F0D3" w14:textId="77777777" w:rsidR="0076092D" w:rsidRPr="00E50FA4" w:rsidRDefault="0076092D" w:rsidP="001A08A2">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Gross carrying amount towards the company compared to total gross carrying amount</w:t>
            </w:r>
            <w:r w:rsidR="00802DD9" w:rsidRPr="00E50FA4">
              <w:rPr>
                <w:rFonts w:ascii="Times New Roman" w:hAnsi="Times New Roman" w:cs="Times New Roman"/>
                <w:noProof/>
                <w:sz w:val="24"/>
                <w:lang w:val="en-GB"/>
              </w:rPr>
              <w:t xml:space="preserve"> (aggregate)</w:t>
            </w:r>
          </w:p>
        </w:tc>
        <w:tc>
          <w:tcPr>
            <w:tcW w:w="3657" w:type="pct"/>
          </w:tcPr>
          <w:p w14:paraId="18FBCDA9" w14:textId="6CC8AD48" w:rsidR="0076092D" w:rsidRPr="00E50FA4" w:rsidRDefault="002404A4" w:rsidP="00292EF5">
            <w:pPr>
              <w:autoSpaceDE w:val="0"/>
              <w:autoSpaceDN w:val="0"/>
              <w:adjustRightInd w:val="0"/>
              <w:spacing w:before="120" w:after="120"/>
              <w:jc w:val="both"/>
              <w:rPr>
                <w:rFonts w:ascii="Times New Roman" w:hAnsi="Times New Roman" w:cs="Times New Roman"/>
                <w:bCs/>
                <w:noProof/>
                <w:sz w:val="24"/>
                <w:lang w:val="en-GB"/>
              </w:rPr>
            </w:pPr>
            <w:r w:rsidRPr="00E50FA4">
              <w:rPr>
                <w:rFonts w:ascii="Times New Roman" w:eastAsia="Times New Roman" w:hAnsi="Times New Roman"/>
                <w:noProof/>
                <w:sz w:val="24"/>
                <w:lang w:val="en-GB" w:eastAsia="sv-SE"/>
              </w:rPr>
              <w:t xml:space="preserve">Institutions </w:t>
            </w:r>
            <w:r w:rsidR="00274BFD" w:rsidRPr="00E50FA4">
              <w:rPr>
                <w:rFonts w:ascii="Times New Roman" w:eastAsia="Times New Roman" w:hAnsi="Times New Roman"/>
                <w:noProof/>
                <w:sz w:val="24"/>
                <w:lang w:val="en-GB" w:eastAsia="sv-SE"/>
              </w:rPr>
              <w:t>shall</w:t>
            </w:r>
            <w:r w:rsidRPr="00E50FA4">
              <w:rPr>
                <w:rFonts w:ascii="Times New Roman" w:eastAsia="Times New Roman" w:hAnsi="Times New Roman"/>
                <w:noProof/>
                <w:sz w:val="24"/>
                <w:lang w:val="en-GB" w:eastAsia="sv-SE"/>
              </w:rPr>
              <w:t xml:space="preserve"> disclose the</w:t>
            </w:r>
            <w:r w:rsidR="00C5464C" w:rsidRPr="00E50FA4">
              <w:rPr>
                <w:rFonts w:ascii="Times New Roman" w:eastAsia="Times New Roman" w:hAnsi="Times New Roman"/>
                <w:noProof/>
                <w:sz w:val="24"/>
                <w:lang w:val="en-GB" w:eastAsia="sv-SE"/>
              </w:rPr>
              <w:t xml:space="preserve"> </w:t>
            </w:r>
            <w:r w:rsidR="002042D2" w:rsidRPr="00E50FA4">
              <w:rPr>
                <w:rFonts w:ascii="Times New Roman" w:eastAsia="Times New Roman" w:hAnsi="Times New Roman"/>
                <w:noProof/>
                <w:sz w:val="24"/>
                <w:lang w:val="en-GB" w:eastAsia="sv-SE"/>
              </w:rPr>
              <w:t>p</w:t>
            </w:r>
            <w:r w:rsidR="0076092D" w:rsidRPr="00E50FA4">
              <w:rPr>
                <w:rFonts w:ascii="Times New Roman" w:eastAsia="Times New Roman" w:hAnsi="Times New Roman"/>
                <w:noProof/>
                <w:sz w:val="24"/>
                <w:lang w:val="en-GB" w:eastAsia="sv-SE"/>
              </w:rPr>
              <w:t>ercentage</w:t>
            </w:r>
            <w:r w:rsidR="002042D2" w:rsidRPr="00E50FA4">
              <w:rPr>
                <w:rFonts w:ascii="Times New Roman" w:eastAsia="Times New Roman" w:hAnsi="Times New Roman"/>
                <w:noProof/>
                <w:sz w:val="24"/>
                <w:lang w:val="en-GB" w:eastAsia="sv-SE"/>
              </w:rPr>
              <w:t xml:space="preserve"> resulting from the </w:t>
            </w:r>
            <w:r w:rsidR="00802DD9" w:rsidRPr="00E50FA4">
              <w:rPr>
                <w:rFonts w:ascii="Times New Roman" w:eastAsia="Times New Roman" w:hAnsi="Times New Roman"/>
                <w:noProof/>
                <w:sz w:val="24"/>
                <w:lang w:val="en-GB" w:eastAsia="sv-SE"/>
              </w:rPr>
              <w:t xml:space="preserve">aggregate </w:t>
            </w:r>
            <w:r w:rsidR="002042D2" w:rsidRPr="00E50FA4">
              <w:rPr>
                <w:rFonts w:ascii="Times New Roman" w:eastAsia="Times New Roman" w:hAnsi="Times New Roman"/>
                <w:noProof/>
                <w:sz w:val="24"/>
                <w:lang w:val="en-GB" w:eastAsia="sv-SE"/>
              </w:rPr>
              <w:t>g</w:t>
            </w:r>
            <w:r w:rsidR="0076092D" w:rsidRPr="00E50FA4">
              <w:rPr>
                <w:rFonts w:ascii="Times New Roman" w:eastAsia="Times New Roman" w:hAnsi="Times New Roman"/>
                <w:noProof/>
                <w:sz w:val="24"/>
                <w:lang w:val="en-GB" w:eastAsia="sv-SE"/>
              </w:rPr>
              <w:t xml:space="preserve">ross carrying amount indicated in column </w:t>
            </w:r>
            <w:r w:rsidR="0069726A" w:rsidRPr="00E50FA4">
              <w:rPr>
                <w:rFonts w:ascii="Times New Roman" w:eastAsia="Times New Roman" w:hAnsi="Times New Roman"/>
                <w:noProof/>
                <w:sz w:val="24"/>
                <w:lang w:val="en-GB" w:eastAsia="sv-SE"/>
              </w:rPr>
              <w:t>(</w:t>
            </w:r>
            <w:r w:rsidR="00802DD9" w:rsidRPr="00E50FA4">
              <w:rPr>
                <w:rFonts w:ascii="Times New Roman" w:eastAsia="Times New Roman" w:hAnsi="Times New Roman"/>
                <w:noProof/>
                <w:sz w:val="24"/>
                <w:lang w:val="en-GB" w:eastAsia="sv-SE"/>
              </w:rPr>
              <w:t>a</w:t>
            </w:r>
            <w:r w:rsidR="0069726A" w:rsidRPr="00E50FA4">
              <w:rPr>
                <w:rFonts w:ascii="Times New Roman" w:eastAsia="Times New Roman" w:hAnsi="Times New Roman"/>
                <w:noProof/>
                <w:sz w:val="24"/>
                <w:lang w:val="en-GB" w:eastAsia="sv-SE"/>
              </w:rPr>
              <w:t>),</w:t>
            </w:r>
            <w:r w:rsidR="0076092D" w:rsidRPr="00E50FA4">
              <w:rPr>
                <w:rFonts w:ascii="Times New Roman" w:eastAsia="Times New Roman" w:hAnsi="Times New Roman"/>
                <w:noProof/>
                <w:sz w:val="24"/>
                <w:lang w:val="en-GB" w:eastAsia="sv-SE"/>
              </w:rPr>
              <w:t xml:space="preserve"> divided by </w:t>
            </w:r>
            <w:r w:rsidR="002042D2" w:rsidRPr="00E50FA4">
              <w:rPr>
                <w:rFonts w:ascii="Times New Roman" w:eastAsia="Times New Roman" w:hAnsi="Times New Roman"/>
                <w:noProof/>
                <w:sz w:val="24"/>
                <w:lang w:val="en-GB" w:eastAsia="sv-SE"/>
              </w:rPr>
              <w:t xml:space="preserve">the </w:t>
            </w:r>
            <w:r w:rsidR="0076092D" w:rsidRPr="00E50FA4">
              <w:rPr>
                <w:rFonts w:ascii="Times New Roman" w:eastAsia="Times New Roman" w:hAnsi="Times New Roman"/>
                <w:noProof/>
                <w:sz w:val="24"/>
                <w:lang w:val="en-GB" w:eastAsia="sv-SE"/>
              </w:rPr>
              <w:t xml:space="preserve">total gross carrying amount of </w:t>
            </w:r>
            <w:r w:rsidR="002042D2" w:rsidRPr="00E50FA4">
              <w:rPr>
                <w:rFonts w:ascii="Times New Roman" w:eastAsia="Times New Roman" w:hAnsi="Times New Roman"/>
                <w:noProof/>
                <w:sz w:val="24"/>
                <w:lang w:val="en-GB" w:eastAsia="sv-SE"/>
              </w:rPr>
              <w:t xml:space="preserve">the institutions’ </w:t>
            </w:r>
            <w:r w:rsidR="0076092D" w:rsidRPr="00E50FA4">
              <w:rPr>
                <w:rFonts w:ascii="Times New Roman" w:eastAsia="Times New Roman" w:hAnsi="Times New Roman"/>
                <w:noProof/>
                <w:sz w:val="24"/>
                <w:lang w:val="en-GB" w:eastAsia="sv-SE"/>
              </w:rPr>
              <w:t xml:space="preserve">exposures </w:t>
            </w:r>
            <w:r w:rsidR="002042D2" w:rsidRPr="00E50FA4">
              <w:rPr>
                <w:rFonts w:ascii="Times New Roman" w:eastAsia="Times New Roman" w:hAnsi="Times New Roman"/>
                <w:noProof/>
                <w:sz w:val="24"/>
                <w:lang w:val="en-GB" w:eastAsia="sv-SE"/>
              </w:rPr>
              <w:t>in the</w:t>
            </w:r>
            <w:r w:rsidR="003C3BE0" w:rsidRPr="00E50FA4">
              <w:rPr>
                <w:rFonts w:ascii="Times New Roman" w:eastAsia="Times New Roman" w:hAnsi="Times New Roman"/>
                <w:noProof/>
                <w:sz w:val="24"/>
                <w:lang w:val="en-GB" w:eastAsia="sv-SE"/>
              </w:rPr>
              <w:t xml:space="preserve"> banking book</w:t>
            </w:r>
            <w:r w:rsidR="0069726A" w:rsidRPr="00E50FA4">
              <w:rPr>
                <w:rFonts w:ascii="Times New Roman" w:eastAsia="Times New Roman" w:hAnsi="Times New Roman"/>
                <w:noProof/>
                <w:sz w:val="24"/>
                <w:lang w:val="en-GB" w:eastAsia="sv-SE"/>
              </w:rPr>
              <w:t xml:space="preserve">, </w:t>
            </w:r>
            <w:r w:rsidR="00E87225" w:rsidRPr="00E50FA4">
              <w:rPr>
                <w:rFonts w:ascii="Times New Roman" w:eastAsia="Times New Roman" w:hAnsi="Times New Roman" w:cs="Times New Roman"/>
                <w:noProof/>
                <w:sz w:val="24"/>
                <w:lang w:val="en-GB"/>
              </w:rPr>
              <w:t xml:space="preserve">as </w:t>
            </w:r>
            <w:r w:rsidR="00C5464C" w:rsidRPr="00E50FA4">
              <w:rPr>
                <w:rFonts w:ascii="Times New Roman" w:eastAsia="Times New Roman" w:hAnsi="Times New Roman" w:cs="Times New Roman"/>
                <w:noProof/>
                <w:sz w:val="24"/>
                <w:lang w:val="en-GB"/>
              </w:rPr>
              <w:t xml:space="preserve">referred to </w:t>
            </w:r>
            <w:r w:rsidR="00E87225" w:rsidRPr="00E50FA4">
              <w:rPr>
                <w:rFonts w:ascii="Times New Roman" w:eastAsia="Times New Roman" w:hAnsi="Times New Roman" w:cs="Times New Roman"/>
                <w:noProof/>
                <w:sz w:val="24"/>
                <w:lang w:val="en-GB"/>
              </w:rPr>
              <w:t xml:space="preserve">in Part 1 of Annex V to Implementing Regulation (EU) 2021/451, including </w:t>
            </w:r>
            <w:r w:rsidR="0076092D" w:rsidRPr="00E50FA4">
              <w:rPr>
                <w:rFonts w:ascii="Times New Roman" w:hAnsi="Times New Roman" w:cs="Times New Roman"/>
                <w:bCs/>
                <w:noProof/>
                <w:sz w:val="24"/>
                <w:lang w:val="en-GB"/>
              </w:rPr>
              <w:t>loans and advances, debt securities and equity instruments in the banking book</w:t>
            </w:r>
            <w:r w:rsidR="003C3BE0" w:rsidRPr="00E50FA4">
              <w:rPr>
                <w:rFonts w:ascii="Times New Roman" w:hAnsi="Times New Roman" w:cs="Times New Roman"/>
                <w:bCs/>
                <w:noProof/>
                <w:sz w:val="24"/>
                <w:lang w:val="en-GB"/>
              </w:rPr>
              <w:t xml:space="preserve">, </w:t>
            </w:r>
            <w:r w:rsidR="00FD63C8" w:rsidRPr="00E50FA4">
              <w:rPr>
                <w:rFonts w:ascii="Times New Roman" w:eastAsia="Times New Roman" w:hAnsi="Times New Roman" w:cs="Times New Roman"/>
                <w:noProof/>
                <w:sz w:val="24"/>
                <w:lang w:val="en-GB"/>
              </w:rPr>
              <w:t xml:space="preserve">classified under the accounting portfolios in the banking book </w:t>
            </w:r>
            <w:r w:rsidR="0069726A" w:rsidRPr="00E50FA4">
              <w:rPr>
                <w:rFonts w:ascii="Times New Roman" w:eastAsia="Times New Roman" w:hAnsi="Times New Roman" w:cs="Times New Roman"/>
                <w:noProof/>
                <w:sz w:val="24"/>
                <w:lang w:val="en-GB"/>
              </w:rPr>
              <w:t>in accordance with</w:t>
            </w:r>
            <w:r w:rsidR="00FD63C8" w:rsidRPr="00E50FA4">
              <w:rPr>
                <w:rFonts w:ascii="Times New Roman" w:eastAsia="Times New Roman" w:hAnsi="Times New Roman" w:cs="Times New Roman"/>
                <w:noProof/>
                <w:sz w:val="24"/>
                <w:lang w:val="en-GB"/>
              </w:rPr>
              <w:t xml:space="preserve"> that </w:t>
            </w:r>
            <w:r w:rsidR="00C26BE2" w:rsidRPr="00E50FA4">
              <w:rPr>
                <w:rFonts w:ascii="Times New Roman" w:eastAsia="Times New Roman" w:hAnsi="Times New Roman" w:cs="Times New Roman"/>
                <w:noProof/>
                <w:sz w:val="24"/>
                <w:lang w:val="en-GB"/>
              </w:rPr>
              <w:t xml:space="preserve">Implementing </w:t>
            </w:r>
            <w:r w:rsidR="00FD63C8" w:rsidRPr="00E50FA4">
              <w:rPr>
                <w:rFonts w:ascii="Times New Roman" w:eastAsia="Times New Roman" w:hAnsi="Times New Roman" w:cs="Times New Roman"/>
                <w:noProof/>
                <w:sz w:val="24"/>
                <w:lang w:val="en-GB"/>
              </w:rPr>
              <w:t>Regulation, excluding financial assets held for trading and held for sale assets</w:t>
            </w:r>
            <w:r w:rsidR="0076092D" w:rsidRPr="00E50FA4">
              <w:rPr>
                <w:rFonts w:ascii="Times New Roman" w:hAnsi="Times New Roman" w:cs="Times New Roman"/>
                <w:bCs/>
                <w:noProof/>
                <w:sz w:val="24"/>
                <w:lang w:val="en-GB"/>
              </w:rPr>
              <w:t>.</w:t>
            </w:r>
          </w:p>
        </w:tc>
      </w:tr>
      <w:tr w:rsidR="00C37612" w:rsidRPr="00E50FA4" w14:paraId="6607ABC1" w14:textId="77777777" w:rsidTr="00FA28C2">
        <w:trPr>
          <w:trHeight w:val="316"/>
        </w:trPr>
        <w:tc>
          <w:tcPr>
            <w:tcW w:w="323" w:type="pct"/>
          </w:tcPr>
          <w:p w14:paraId="1342E772" w14:textId="77777777" w:rsidR="00C37612" w:rsidRPr="00E50FA4" w:rsidRDefault="00802DD9" w:rsidP="001A08A2">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c</w:t>
            </w:r>
          </w:p>
          <w:p w14:paraId="08B5C487" w14:textId="77777777" w:rsidR="00C37612" w:rsidRPr="00E50FA4" w:rsidRDefault="00C37612" w:rsidP="001A08A2">
            <w:pPr>
              <w:jc w:val="both"/>
              <w:rPr>
                <w:rFonts w:ascii="Times New Roman" w:hAnsi="Times New Roman" w:cs="Times New Roman"/>
                <w:noProof/>
                <w:sz w:val="24"/>
                <w:lang w:val="en-GB"/>
              </w:rPr>
            </w:pPr>
          </w:p>
        </w:tc>
        <w:tc>
          <w:tcPr>
            <w:tcW w:w="1020" w:type="pct"/>
          </w:tcPr>
          <w:p w14:paraId="404126CA" w14:textId="77777777" w:rsidR="00C37612" w:rsidRPr="00E50FA4" w:rsidRDefault="00C37612" w:rsidP="001A08A2">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Of which environmentally sustainable (CCM)</w:t>
            </w:r>
          </w:p>
        </w:tc>
        <w:tc>
          <w:tcPr>
            <w:tcW w:w="3657" w:type="pct"/>
          </w:tcPr>
          <w:p w14:paraId="1E79F29E" w14:textId="1F48E35D" w:rsidR="00C37612" w:rsidRPr="00E50FA4" w:rsidRDefault="002404A4" w:rsidP="001A08A2">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 xml:space="preserve">Institutions </w:t>
            </w:r>
            <w:r w:rsidR="00274BFD" w:rsidRPr="00E50FA4">
              <w:rPr>
                <w:rFonts w:ascii="Times New Roman" w:eastAsia="Times New Roman" w:hAnsi="Times New Roman" w:cs="Times New Roman"/>
                <w:noProof/>
                <w:sz w:val="24"/>
                <w:lang w:val="en-GB" w:eastAsia="sv-SE"/>
              </w:rPr>
              <w:t>shall</w:t>
            </w:r>
            <w:r w:rsidRPr="00E50FA4">
              <w:rPr>
                <w:rFonts w:ascii="Times New Roman" w:eastAsia="Times New Roman" w:hAnsi="Times New Roman" w:cs="Times New Roman"/>
                <w:noProof/>
                <w:sz w:val="24"/>
                <w:lang w:val="en-GB" w:eastAsia="sv-SE"/>
              </w:rPr>
              <w:t xml:space="preserve"> disclose the </w:t>
            </w:r>
            <w:r w:rsidR="00802DD9" w:rsidRPr="00E50FA4">
              <w:rPr>
                <w:rFonts w:ascii="Times New Roman" w:eastAsia="Times New Roman" w:hAnsi="Times New Roman" w:cs="Times New Roman"/>
                <w:noProof/>
                <w:sz w:val="24"/>
                <w:lang w:val="en-GB" w:eastAsia="sv-SE"/>
              </w:rPr>
              <w:t xml:space="preserve">aggregate </w:t>
            </w:r>
            <w:r w:rsidR="002042D2" w:rsidRPr="00E50FA4">
              <w:rPr>
                <w:rFonts w:ascii="Times New Roman" w:eastAsia="Times New Roman" w:hAnsi="Times New Roman" w:cs="Times New Roman"/>
                <w:noProof/>
                <w:sz w:val="24"/>
                <w:lang w:val="en-GB" w:eastAsia="sv-SE"/>
              </w:rPr>
              <w:t>g</w:t>
            </w:r>
            <w:r w:rsidR="00C37612" w:rsidRPr="00E50FA4">
              <w:rPr>
                <w:rFonts w:ascii="Times New Roman" w:eastAsia="Times New Roman" w:hAnsi="Times New Roman" w:cs="Times New Roman"/>
                <w:noProof/>
                <w:sz w:val="24"/>
                <w:lang w:val="en-GB" w:eastAsia="sv-SE"/>
              </w:rPr>
              <w:t>ross carrying amount of environmentally sustainable exposures contributing to the objective of climate change mitigation</w:t>
            </w:r>
            <w:r w:rsidR="001A08A2" w:rsidRPr="00E50FA4">
              <w:rPr>
                <w:rFonts w:ascii="Times New Roman" w:eastAsia="Times New Roman" w:hAnsi="Times New Roman" w:cs="Times New Roman"/>
                <w:noProof/>
                <w:sz w:val="24"/>
                <w:lang w:val="en-GB" w:eastAsia="sv-SE"/>
              </w:rPr>
              <w:t>.</w:t>
            </w:r>
            <w:r w:rsidR="0019714F" w:rsidRPr="00E50FA4">
              <w:rPr>
                <w:rFonts w:ascii="Times New Roman" w:eastAsia="Times New Roman" w:hAnsi="Times New Roman" w:cs="Times New Roman"/>
                <w:noProof/>
                <w:sz w:val="24"/>
                <w:lang w:val="en-GB" w:eastAsia="sv-SE"/>
              </w:rPr>
              <w:t xml:space="preserve"> Th</w:t>
            </w:r>
            <w:r w:rsidR="00A84165" w:rsidRPr="00E50FA4">
              <w:rPr>
                <w:rFonts w:ascii="Times New Roman" w:eastAsia="Times New Roman" w:hAnsi="Times New Roman" w:cs="Times New Roman"/>
                <w:noProof/>
                <w:sz w:val="24"/>
                <w:lang w:val="en-GB" w:eastAsia="sv-SE"/>
              </w:rPr>
              <w:t>at amount</w:t>
            </w:r>
            <w:r w:rsidR="0019714F" w:rsidRPr="00E50FA4">
              <w:rPr>
                <w:rFonts w:ascii="Times New Roman" w:eastAsia="Times New Roman" w:hAnsi="Times New Roman" w:cs="Times New Roman"/>
                <w:noProof/>
                <w:sz w:val="24"/>
                <w:lang w:val="en-GB" w:eastAsia="sv-SE"/>
              </w:rPr>
              <w:t xml:space="preserve"> shall be</w:t>
            </w:r>
            <w:r w:rsidR="00C37612" w:rsidRPr="00E50FA4">
              <w:rPr>
                <w:rFonts w:ascii="Times New Roman" w:eastAsia="Times New Roman" w:hAnsi="Times New Roman" w:cs="Times New Roman"/>
                <w:noProof/>
                <w:sz w:val="24"/>
                <w:lang w:val="en-GB" w:eastAsia="sv-SE"/>
              </w:rPr>
              <w:t xml:space="preserve"> based on the purpose of the activity funded, for special purpose lending, or on the counterparty’s information on the level of alignment of its economic activities with </w:t>
            </w:r>
            <w:r w:rsidR="00903F9E" w:rsidRPr="00E50FA4">
              <w:rPr>
                <w:rFonts w:ascii="Times New Roman" w:hAnsi="Times New Roman" w:cs="Times New Roman"/>
                <w:noProof/>
                <w:sz w:val="24"/>
                <w:lang w:val="en-GB"/>
              </w:rPr>
              <w:t>Regulation (EU) 2020/852</w:t>
            </w:r>
            <w:r w:rsidR="001A08A2" w:rsidRPr="00E50FA4">
              <w:rPr>
                <w:rFonts w:ascii="Times New Roman" w:hAnsi="Times New Roman" w:cs="Times New Roman"/>
                <w:noProof/>
                <w:sz w:val="24"/>
                <w:lang w:val="en-GB"/>
              </w:rPr>
              <w:t>,</w:t>
            </w:r>
            <w:r w:rsidR="00C37612" w:rsidRPr="00E50FA4">
              <w:rPr>
                <w:rFonts w:ascii="Times New Roman" w:eastAsia="Times New Roman" w:hAnsi="Times New Roman" w:cs="Times New Roman"/>
                <w:noProof/>
                <w:sz w:val="24"/>
                <w:lang w:val="en-GB" w:eastAsia="sv-SE"/>
              </w:rPr>
              <w:t xml:space="preserve"> for the objective of climate change mitigation (% of turnover contributing substantially to climate change mitigation).</w:t>
            </w:r>
          </w:p>
          <w:p w14:paraId="475D6C11" w14:textId="24A4CF91" w:rsidR="009762F5" w:rsidRPr="00E50FA4" w:rsidRDefault="009762F5" w:rsidP="002A2C5B">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hAnsi="Times New Roman" w:cs="Times New Roman"/>
                <w:bCs/>
                <w:noProof/>
                <w:sz w:val="24"/>
              </w:rPr>
              <w:t xml:space="preserve">Institutions shall start disclosing this information </w:t>
            </w:r>
            <w:r w:rsidR="002404A4" w:rsidRPr="00E50FA4">
              <w:rPr>
                <w:rFonts w:ascii="Times New Roman" w:hAnsi="Times New Roman" w:cs="Times New Roman"/>
                <w:noProof/>
                <w:sz w:val="24"/>
              </w:rPr>
              <w:t xml:space="preserve">with </w:t>
            </w:r>
            <w:r w:rsidRPr="00E50FA4">
              <w:rPr>
                <w:rFonts w:ascii="Times New Roman" w:hAnsi="Times New Roman" w:cs="Times New Roman"/>
                <w:noProof/>
                <w:sz w:val="24"/>
              </w:rPr>
              <w:t>first disclosure reference date</w:t>
            </w:r>
            <w:r w:rsidR="002404A4" w:rsidRPr="00E50FA4">
              <w:rPr>
                <w:rFonts w:ascii="Times New Roman" w:hAnsi="Times New Roman" w:cs="Times New Roman"/>
                <w:noProof/>
                <w:sz w:val="24"/>
              </w:rPr>
              <w:t xml:space="preserve"> </w:t>
            </w:r>
            <w:r w:rsidR="002A2C5B" w:rsidRPr="00E50FA4">
              <w:rPr>
                <w:rFonts w:ascii="Times New Roman" w:hAnsi="Times New Roman" w:cs="Times New Roman"/>
                <w:noProof/>
                <w:sz w:val="24"/>
              </w:rPr>
              <w:t>as of</w:t>
            </w:r>
            <w:r w:rsidR="002404A4" w:rsidRPr="00E50FA4">
              <w:rPr>
                <w:rFonts w:ascii="Times New Roman" w:hAnsi="Times New Roman" w:cs="Times New Roman"/>
                <w:noProof/>
                <w:sz w:val="24"/>
              </w:rPr>
              <w:t xml:space="preserve"> 31 December 2023</w:t>
            </w:r>
            <w:r w:rsidRPr="00E50FA4">
              <w:rPr>
                <w:rFonts w:ascii="Times New Roman" w:hAnsi="Times New Roman" w:cs="Times New Roman"/>
                <w:noProof/>
                <w:sz w:val="24"/>
              </w:rPr>
              <w:t>.</w:t>
            </w:r>
          </w:p>
        </w:tc>
      </w:tr>
      <w:tr w:rsidR="00802DD9" w:rsidRPr="00E50FA4" w14:paraId="7EEC8DEE" w14:textId="77777777" w:rsidTr="00FA28C2">
        <w:trPr>
          <w:trHeight w:val="316"/>
        </w:trPr>
        <w:tc>
          <w:tcPr>
            <w:tcW w:w="323" w:type="pct"/>
          </w:tcPr>
          <w:p w14:paraId="4F54F450" w14:textId="77777777" w:rsidR="00802DD9" w:rsidRPr="00E50FA4" w:rsidRDefault="00802DD9" w:rsidP="001A08A2">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d</w:t>
            </w:r>
          </w:p>
        </w:tc>
        <w:tc>
          <w:tcPr>
            <w:tcW w:w="1020" w:type="pct"/>
          </w:tcPr>
          <w:p w14:paraId="092D7BCE" w14:textId="77777777" w:rsidR="00802DD9" w:rsidRPr="00E50FA4" w:rsidRDefault="00802DD9" w:rsidP="001A08A2">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Average maturity</w:t>
            </w:r>
          </w:p>
        </w:tc>
        <w:tc>
          <w:tcPr>
            <w:tcW w:w="3657" w:type="pct"/>
          </w:tcPr>
          <w:p w14:paraId="30F3400A" w14:textId="61BBABCA" w:rsidR="00802DD9" w:rsidRPr="00E50FA4" w:rsidRDefault="002404A4" w:rsidP="00274BFD">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 xml:space="preserve">Institutions </w:t>
            </w:r>
            <w:r w:rsidR="00274BFD" w:rsidRPr="00E50FA4">
              <w:rPr>
                <w:rFonts w:ascii="Times New Roman" w:eastAsia="Times New Roman" w:hAnsi="Times New Roman" w:cs="Times New Roman"/>
                <w:noProof/>
                <w:sz w:val="24"/>
                <w:lang w:val="en-GB" w:eastAsia="sv-SE"/>
              </w:rPr>
              <w:t>shall</w:t>
            </w:r>
            <w:r w:rsidRPr="00E50FA4">
              <w:rPr>
                <w:rFonts w:ascii="Times New Roman" w:eastAsia="Times New Roman" w:hAnsi="Times New Roman" w:cs="Times New Roman"/>
                <w:noProof/>
                <w:sz w:val="24"/>
                <w:lang w:val="en-GB" w:eastAsia="sv-SE"/>
              </w:rPr>
              <w:t xml:space="preserve"> disclose the </w:t>
            </w:r>
            <w:r w:rsidR="00802DD9" w:rsidRPr="00E50FA4">
              <w:rPr>
                <w:rFonts w:ascii="Times New Roman" w:eastAsia="Times New Roman" w:hAnsi="Times New Roman" w:cs="Times New Roman"/>
                <w:noProof/>
                <w:sz w:val="24"/>
                <w:lang w:val="en-GB" w:eastAsia="sv-SE"/>
              </w:rPr>
              <w:t xml:space="preserve">average maturity of the exposures considered in the computation </w:t>
            </w:r>
            <w:r w:rsidR="006418F7" w:rsidRPr="00E50FA4">
              <w:rPr>
                <w:rFonts w:ascii="Times New Roman" w:eastAsia="Times New Roman" w:hAnsi="Times New Roman" w:cs="Times New Roman"/>
                <w:noProof/>
                <w:sz w:val="24"/>
                <w:lang w:val="en-GB" w:eastAsia="sv-SE"/>
              </w:rPr>
              <w:t xml:space="preserve">weighted by </w:t>
            </w:r>
            <w:r w:rsidR="00802DD9" w:rsidRPr="00E50FA4">
              <w:rPr>
                <w:rFonts w:ascii="Times New Roman" w:eastAsia="Times New Roman" w:hAnsi="Times New Roman" w:cs="Times New Roman"/>
                <w:noProof/>
                <w:sz w:val="24"/>
                <w:lang w:val="en-GB" w:eastAsia="sv-SE"/>
              </w:rPr>
              <w:t>the gross carrying amount</w:t>
            </w:r>
            <w:r w:rsidR="006418F7" w:rsidRPr="00E50FA4">
              <w:rPr>
                <w:rFonts w:ascii="Times New Roman" w:eastAsia="Times New Roman" w:hAnsi="Times New Roman" w:cs="Times New Roman"/>
                <w:noProof/>
                <w:sz w:val="24"/>
                <w:lang w:val="en-GB" w:eastAsia="sv-SE"/>
              </w:rPr>
              <w:t xml:space="preserve"> of the exposure</w:t>
            </w:r>
            <w:r w:rsidR="00802DD9" w:rsidRPr="00E50FA4">
              <w:rPr>
                <w:rFonts w:ascii="Times New Roman" w:eastAsia="Times New Roman" w:hAnsi="Times New Roman" w:cs="Times New Roman"/>
                <w:noProof/>
                <w:sz w:val="24"/>
                <w:lang w:val="en-GB" w:eastAsia="sv-SE"/>
              </w:rPr>
              <w:t>.</w:t>
            </w:r>
          </w:p>
        </w:tc>
      </w:tr>
      <w:tr w:rsidR="0076092D" w:rsidRPr="00E50FA4" w14:paraId="1AD4A66F" w14:textId="77777777" w:rsidTr="0076092D">
        <w:trPr>
          <w:trHeight w:val="316"/>
        </w:trPr>
        <w:tc>
          <w:tcPr>
            <w:tcW w:w="323" w:type="pct"/>
          </w:tcPr>
          <w:p w14:paraId="540DDC8B" w14:textId="77777777" w:rsidR="0076092D" w:rsidRPr="00E50FA4" w:rsidRDefault="00802DD9" w:rsidP="001A08A2">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e</w:t>
            </w:r>
          </w:p>
          <w:p w14:paraId="32D2AEB7" w14:textId="77777777" w:rsidR="0076092D" w:rsidRPr="00E50FA4" w:rsidRDefault="0076092D" w:rsidP="001A08A2">
            <w:pPr>
              <w:jc w:val="both"/>
              <w:rPr>
                <w:rFonts w:ascii="Times New Roman" w:hAnsi="Times New Roman" w:cs="Times New Roman"/>
                <w:noProof/>
                <w:sz w:val="24"/>
                <w:lang w:val="en-GB"/>
              </w:rPr>
            </w:pPr>
          </w:p>
        </w:tc>
        <w:tc>
          <w:tcPr>
            <w:tcW w:w="1020" w:type="pct"/>
          </w:tcPr>
          <w:p w14:paraId="578583BC" w14:textId="77777777" w:rsidR="0076092D" w:rsidRPr="00E50FA4" w:rsidRDefault="00802DD9" w:rsidP="001A08A2">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Number of t</w:t>
            </w:r>
            <w:r w:rsidR="00C37612" w:rsidRPr="00E50FA4">
              <w:rPr>
                <w:rFonts w:ascii="Times New Roman" w:hAnsi="Times New Roman" w:cs="Times New Roman"/>
                <w:noProof/>
                <w:sz w:val="24"/>
                <w:lang w:val="en-GB"/>
              </w:rPr>
              <w:t>op 20 polluting firms in</w:t>
            </w:r>
            <w:r w:rsidR="00046DF5" w:rsidRPr="00E50FA4">
              <w:rPr>
                <w:rFonts w:ascii="Times New Roman" w:hAnsi="Times New Roman" w:cs="Times New Roman"/>
                <w:noProof/>
                <w:sz w:val="24"/>
                <w:lang w:val="en-GB"/>
              </w:rPr>
              <w:t>cluded</w:t>
            </w:r>
          </w:p>
        </w:tc>
        <w:tc>
          <w:tcPr>
            <w:tcW w:w="3657" w:type="pct"/>
          </w:tcPr>
          <w:p w14:paraId="381BBAA9" w14:textId="77BA5479" w:rsidR="0076092D" w:rsidRPr="00E50FA4" w:rsidRDefault="00A84165" w:rsidP="00274BFD">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eastAsia="sv-SE"/>
              </w:rPr>
              <w:t>I</w:t>
            </w:r>
            <w:r w:rsidR="00C37612" w:rsidRPr="00E50FA4">
              <w:rPr>
                <w:rFonts w:ascii="Times New Roman" w:eastAsia="Times New Roman" w:hAnsi="Times New Roman" w:cs="Times New Roman"/>
                <w:noProof/>
                <w:sz w:val="24"/>
                <w:lang w:val="en-GB" w:eastAsia="sv-SE"/>
              </w:rPr>
              <w:t>nstitution</w:t>
            </w:r>
            <w:r w:rsidRPr="00E50FA4">
              <w:rPr>
                <w:rFonts w:ascii="Times New Roman" w:eastAsia="Times New Roman" w:hAnsi="Times New Roman" w:cs="Times New Roman"/>
                <w:noProof/>
                <w:sz w:val="24"/>
                <w:lang w:val="en-GB" w:eastAsia="sv-SE"/>
              </w:rPr>
              <w:t>s</w:t>
            </w:r>
            <w:r w:rsidR="00C37612" w:rsidRPr="00E50FA4">
              <w:rPr>
                <w:rFonts w:ascii="Times New Roman" w:eastAsia="Times New Roman" w:hAnsi="Times New Roman" w:cs="Times New Roman"/>
                <w:noProof/>
                <w:sz w:val="24"/>
                <w:lang w:val="en-GB" w:eastAsia="sv-SE"/>
              </w:rPr>
              <w:t xml:space="preserve"> </w:t>
            </w:r>
            <w:r w:rsidR="00274BFD" w:rsidRPr="00E50FA4">
              <w:rPr>
                <w:rFonts w:ascii="Times New Roman" w:eastAsia="Times New Roman" w:hAnsi="Times New Roman" w:cs="Times New Roman"/>
                <w:noProof/>
                <w:sz w:val="24"/>
                <w:lang w:val="en-GB" w:eastAsia="sv-SE"/>
              </w:rPr>
              <w:t>shall</w:t>
            </w:r>
            <w:r w:rsidR="00B72173" w:rsidRPr="00E50FA4">
              <w:rPr>
                <w:rFonts w:ascii="Times New Roman" w:eastAsia="Times New Roman" w:hAnsi="Times New Roman" w:cs="Times New Roman"/>
                <w:noProof/>
                <w:sz w:val="24"/>
                <w:lang w:val="en-GB" w:eastAsia="sv-SE"/>
              </w:rPr>
              <w:t xml:space="preserve"> </w:t>
            </w:r>
            <w:r w:rsidR="00C37612" w:rsidRPr="00E50FA4">
              <w:rPr>
                <w:rFonts w:ascii="Times New Roman" w:eastAsia="Times New Roman" w:hAnsi="Times New Roman" w:cs="Times New Roman"/>
                <w:noProof/>
                <w:sz w:val="24"/>
                <w:lang w:val="en-GB" w:eastAsia="sv-SE"/>
              </w:rPr>
              <w:t xml:space="preserve">indicate </w:t>
            </w:r>
            <w:r w:rsidR="00802DD9" w:rsidRPr="00E50FA4">
              <w:rPr>
                <w:rFonts w:ascii="Times New Roman" w:eastAsia="Times New Roman" w:hAnsi="Times New Roman" w:cs="Times New Roman"/>
                <w:noProof/>
                <w:sz w:val="24"/>
                <w:lang w:val="en-GB" w:eastAsia="sv-SE"/>
              </w:rPr>
              <w:t>the number of top polluting companies included in the calculation of the aggregate gross carrying amount.</w:t>
            </w:r>
          </w:p>
        </w:tc>
      </w:tr>
    </w:tbl>
    <w:p w14:paraId="6B01BD46" w14:textId="77777777" w:rsidR="00E42249" w:rsidRPr="00E50FA4" w:rsidRDefault="00E42249" w:rsidP="00D35812">
      <w:pPr>
        <w:spacing w:before="120" w:after="120"/>
        <w:jc w:val="both"/>
        <w:rPr>
          <w:rFonts w:ascii="Times New Roman" w:hAnsi="Times New Roman"/>
          <w:b/>
          <w:noProof/>
          <w:sz w:val="24"/>
          <w:lang w:val="en-GB"/>
        </w:rPr>
      </w:pPr>
    </w:p>
    <w:p w14:paraId="3CC7152D" w14:textId="42479BF8" w:rsidR="00E01673" w:rsidRPr="00E50FA4" w:rsidRDefault="00E01673" w:rsidP="00D35812">
      <w:pPr>
        <w:spacing w:before="120" w:after="120"/>
        <w:jc w:val="both"/>
        <w:rPr>
          <w:rFonts w:ascii="Times New Roman" w:hAnsi="Times New Roman"/>
          <w:b/>
          <w:noProof/>
          <w:sz w:val="24"/>
          <w:lang w:val="en-GB"/>
        </w:rPr>
      </w:pPr>
      <w:r w:rsidRPr="00E50FA4">
        <w:rPr>
          <w:rFonts w:ascii="Times New Roman" w:hAnsi="Times New Roman"/>
          <w:b/>
          <w:noProof/>
          <w:sz w:val="24"/>
          <w:lang w:val="en-GB"/>
        </w:rPr>
        <w:t xml:space="preserve">Template </w:t>
      </w:r>
      <w:r w:rsidR="00F51CDD" w:rsidRPr="00E50FA4">
        <w:rPr>
          <w:rFonts w:ascii="Times New Roman" w:hAnsi="Times New Roman"/>
          <w:b/>
          <w:noProof/>
          <w:sz w:val="24"/>
          <w:lang w:val="en-GB"/>
        </w:rPr>
        <w:t>5</w:t>
      </w:r>
      <w:r w:rsidRPr="00E50FA4">
        <w:rPr>
          <w:rFonts w:ascii="Times New Roman" w:hAnsi="Times New Roman"/>
          <w:b/>
          <w:noProof/>
          <w:sz w:val="24"/>
          <w:lang w:val="en-GB"/>
        </w:rPr>
        <w:t xml:space="preserve"> - </w:t>
      </w:r>
      <w:r w:rsidR="00F51CDD" w:rsidRPr="00E50FA4">
        <w:rPr>
          <w:rFonts w:ascii="Times New Roman" w:hAnsi="Times New Roman"/>
          <w:b/>
          <w:noProof/>
          <w:sz w:val="24"/>
          <w:lang w:val="en-GB"/>
        </w:rPr>
        <w:t xml:space="preserve">Banking book </w:t>
      </w:r>
      <w:r w:rsidR="00A71647" w:rsidRPr="00E50FA4">
        <w:rPr>
          <w:rFonts w:ascii="Times New Roman" w:hAnsi="Times New Roman"/>
          <w:b/>
          <w:noProof/>
          <w:sz w:val="24"/>
          <w:lang w:val="en-GB"/>
        </w:rPr>
        <w:t>–</w:t>
      </w:r>
      <w:r w:rsidR="00F51CDD" w:rsidRPr="00E50FA4">
        <w:rPr>
          <w:rFonts w:ascii="Times New Roman" w:hAnsi="Times New Roman"/>
          <w:b/>
          <w:noProof/>
          <w:sz w:val="24"/>
          <w:lang w:val="en-GB"/>
        </w:rPr>
        <w:t xml:space="preserve"> </w:t>
      </w:r>
      <w:r w:rsidR="00A71647" w:rsidRPr="00E50FA4">
        <w:rPr>
          <w:rFonts w:ascii="Times New Roman" w:hAnsi="Times New Roman"/>
          <w:b/>
          <w:noProof/>
          <w:sz w:val="24"/>
          <w:lang w:val="en-GB"/>
        </w:rPr>
        <w:t xml:space="preserve">Indicators of </w:t>
      </w:r>
      <w:r w:rsidR="009D116E" w:rsidRPr="00E50FA4">
        <w:rPr>
          <w:rFonts w:ascii="Times New Roman" w:hAnsi="Times New Roman"/>
          <w:b/>
          <w:noProof/>
          <w:sz w:val="24"/>
          <w:lang w:val="en-GB"/>
        </w:rPr>
        <w:t xml:space="preserve">potential </w:t>
      </w:r>
      <w:r w:rsidR="00A71647" w:rsidRPr="00E50FA4">
        <w:rPr>
          <w:rFonts w:ascii="Times New Roman" w:hAnsi="Times New Roman"/>
          <w:b/>
          <w:noProof/>
          <w:sz w:val="24"/>
          <w:lang w:val="en-GB"/>
        </w:rPr>
        <w:t>c</w:t>
      </w:r>
      <w:r w:rsidR="00F51CDD" w:rsidRPr="00E50FA4">
        <w:rPr>
          <w:rFonts w:ascii="Times New Roman" w:hAnsi="Times New Roman"/>
          <w:b/>
          <w:noProof/>
          <w:sz w:val="24"/>
          <w:lang w:val="en-GB"/>
        </w:rPr>
        <w:t>limate change physical risk: Exposures subject to physical risk</w:t>
      </w:r>
      <w:r w:rsidR="00D51DA4" w:rsidRPr="00E50FA4">
        <w:rPr>
          <w:rFonts w:ascii="Times New Roman" w:hAnsi="Times New Roman"/>
          <w:noProof/>
          <w:sz w:val="24"/>
          <w:lang w:val="en-GB"/>
        </w:rPr>
        <w:t xml:space="preserve">. </w:t>
      </w:r>
      <w:r w:rsidR="00D51DA4" w:rsidRPr="00E50FA4">
        <w:rPr>
          <w:rFonts w:ascii="Times New Roman" w:hAnsi="Times New Roman" w:cs="Times New Roman"/>
          <w:noProof/>
          <w:sz w:val="24"/>
          <w:lang w:val="en-GB"/>
        </w:rPr>
        <w:t>Fixed format.</w:t>
      </w:r>
    </w:p>
    <w:p w14:paraId="3C8424CF" w14:textId="40E510ED" w:rsidR="00074B2C" w:rsidRPr="00E50FA4" w:rsidRDefault="00074B2C" w:rsidP="00B76863">
      <w:pPr>
        <w:pStyle w:val="ListParagraph"/>
        <w:numPr>
          <w:ilvl w:val="0"/>
          <w:numId w:val="61"/>
        </w:numPr>
        <w:tabs>
          <w:tab w:val="left" w:pos="567"/>
        </w:tabs>
        <w:spacing w:before="120" w:after="120"/>
        <w:ind w:left="0" w:firstLine="0"/>
        <w:jc w:val="both"/>
        <w:rPr>
          <w:rFonts w:ascii="Times New Roman" w:eastAsiaTheme="minorEastAsia" w:hAnsi="Times New Roman" w:cstheme="minorBidi"/>
          <w:noProof/>
          <w:sz w:val="24"/>
          <w:szCs w:val="24"/>
        </w:rPr>
      </w:pPr>
      <w:r w:rsidRPr="00E50FA4">
        <w:rPr>
          <w:rFonts w:ascii="Times New Roman" w:hAnsi="Times New Roman"/>
          <w:noProof/>
          <w:sz w:val="24"/>
        </w:rPr>
        <w:t xml:space="preserve">Institutions shall </w:t>
      </w:r>
      <w:r w:rsidR="00B72173" w:rsidRPr="00E50FA4">
        <w:rPr>
          <w:rFonts w:ascii="Times New Roman" w:hAnsi="Times New Roman"/>
          <w:noProof/>
          <w:sz w:val="24"/>
        </w:rPr>
        <w:t xml:space="preserve">use </w:t>
      </w:r>
      <w:r w:rsidRPr="00E50FA4">
        <w:rPr>
          <w:rFonts w:ascii="Times New Roman" w:hAnsi="Times New Roman"/>
          <w:noProof/>
          <w:sz w:val="24"/>
        </w:rPr>
        <w:t xml:space="preserve">the </w:t>
      </w:r>
      <w:r w:rsidR="00B72173" w:rsidRPr="00E50FA4">
        <w:rPr>
          <w:rFonts w:ascii="Times New Roman" w:hAnsi="Times New Roman"/>
          <w:noProof/>
          <w:sz w:val="24"/>
        </w:rPr>
        <w:t xml:space="preserve">following </w:t>
      </w:r>
      <w:r w:rsidRPr="00E50FA4">
        <w:rPr>
          <w:rFonts w:ascii="Times New Roman" w:hAnsi="Times New Roman"/>
          <w:noProof/>
          <w:sz w:val="24"/>
        </w:rPr>
        <w:t>instructions to disclose the information required in ‘</w:t>
      </w:r>
      <w:r w:rsidRPr="00E50FA4">
        <w:rPr>
          <w:rFonts w:ascii="Times New Roman" w:hAnsi="Times New Roman"/>
          <w:bCs/>
          <w:noProof/>
          <w:sz w:val="24"/>
        </w:rPr>
        <w:t xml:space="preserve">Template 5: Banking book </w:t>
      </w:r>
      <w:r w:rsidR="009D116E" w:rsidRPr="00E50FA4">
        <w:rPr>
          <w:rFonts w:ascii="Times New Roman" w:hAnsi="Times New Roman"/>
          <w:bCs/>
          <w:noProof/>
          <w:sz w:val="24"/>
        </w:rPr>
        <w:t>–</w:t>
      </w:r>
      <w:r w:rsidRPr="00E50FA4">
        <w:rPr>
          <w:rFonts w:ascii="Times New Roman" w:hAnsi="Times New Roman"/>
          <w:bCs/>
          <w:noProof/>
          <w:sz w:val="24"/>
        </w:rPr>
        <w:t xml:space="preserve"> </w:t>
      </w:r>
      <w:r w:rsidR="009D116E" w:rsidRPr="00E50FA4">
        <w:rPr>
          <w:rFonts w:ascii="Times New Roman" w:hAnsi="Times New Roman"/>
          <w:bCs/>
          <w:noProof/>
          <w:sz w:val="24"/>
        </w:rPr>
        <w:t xml:space="preserve">Indicators of potential climate </w:t>
      </w:r>
      <w:r w:rsidRPr="00E50FA4">
        <w:rPr>
          <w:rFonts w:ascii="Times New Roman" w:hAnsi="Times New Roman"/>
          <w:bCs/>
          <w:noProof/>
          <w:sz w:val="24"/>
        </w:rPr>
        <w:t>change physical risk: Exposures subject to physical risk’</w:t>
      </w:r>
      <w:r w:rsidRPr="00E50FA4">
        <w:rPr>
          <w:rFonts w:ascii="Times New Roman" w:hAnsi="Times New Roman"/>
          <w:noProof/>
          <w:sz w:val="24"/>
        </w:rPr>
        <w:t xml:space="preserve">, as </w:t>
      </w:r>
      <w:r w:rsidR="009906F2" w:rsidRPr="00E50FA4">
        <w:rPr>
          <w:rFonts w:ascii="Times New Roman" w:hAnsi="Times New Roman"/>
          <w:noProof/>
          <w:sz w:val="24"/>
        </w:rPr>
        <w:t>set out</w:t>
      </w:r>
      <w:r w:rsidRPr="00E50FA4">
        <w:rPr>
          <w:rFonts w:ascii="Times New Roman" w:hAnsi="Times New Roman"/>
          <w:noProof/>
          <w:sz w:val="24"/>
        </w:rPr>
        <w:t xml:space="preserve"> in Annex XXXIX to this Regulation. </w:t>
      </w:r>
    </w:p>
    <w:p w14:paraId="3484DB49" w14:textId="29A4A896" w:rsidR="001F0DD9" w:rsidRPr="00E50FA4" w:rsidRDefault="001F0DD9" w:rsidP="00B76863">
      <w:pPr>
        <w:pStyle w:val="ListParagraph"/>
        <w:numPr>
          <w:ilvl w:val="0"/>
          <w:numId w:val="61"/>
        </w:numPr>
        <w:tabs>
          <w:tab w:val="left" w:pos="567"/>
        </w:tabs>
        <w:spacing w:before="120" w:after="120"/>
        <w:ind w:left="0" w:firstLine="0"/>
        <w:jc w:val="both"/>
        <w:rPr>
          <w:rFonts w:ascii="Times New Roman" w:hAnsi="Times New Roman"/>
          <w:noProof/>
          <w:sz w:val="24"/>
        </w:rPr>
      </w:pPr>
      <w:r w:rsidRPr="00E50FA4">
        <w:rPr>
          <w:rFonts w:ascii="Times New Roman" w:hAnsi="Times New Roman"/>
          <w:bCs/>
          <w:noProof/>
          <w:sz w:val="24"/>
        </w:rPr>
        <w:t>Institutions shall include in this template information on exposures in the banking book</w:t>
      </w:r>
      <w:r w:rsidR="004C4002" w:rsidRPr="00E50FA4">
        <w:rPr>
          <w:rFonts w:ascii="Times New Roman" w:hAnsi="Times New Roman"/>
          <w:bCs/>
          <w:noProof/>
          <w:sz w:val="24"/>
        </w:rPr>
        <w:t>,</w:t>
      </w:r>
      <w:r w:rsidRPr="00E50FA4">
        <w:rPr>
          <w:rFonts w:ascii="Times New Roman" w:hAnsi="Times New Roman"/>
          <w:bCs/>
          <w:noProof/>
          <w:sz w:val="24"/>
        </w:rPr>
        <w:t xml:space="preserve"> including loans and advances, debt securities and equity instruments not held-for-trading and not held-for-sale, towards non-financial corporates, on loans collateralized with immovable property and on repossessed real estate collaterals, exposed to chronic and acute climate-related hazards</w:t>
      </w:r>
      <w:r w:rsidR="00C30D42" w:rsidRPr="00E50FA4">
        <w:rPr>
          <w:rFonts w:ascii="Times New Roman" w:hAnsi="Times New Roman"/>
          <w:bCs/>
          <w:noProof/>
          <w:sz w:val="24"/>
        </w:rPr>
        <w:t xml:space="preserve">, with a breakdown by </w:t>
      </w:r>
      <w:r w:rsidRPr="00E50FA4">
        <w:rPr>
          <w:rFonts w:ascii="Times New Roman" w:hAnsi="Times New Roman"/>
          <w:bCs/>
          <w:noProof/>
          <w:sz w:val="24"/>
        </w:rPr>
        <w:t xml:space="preserve">sector of economic activity (NACE classification) and by geography of location of the activity of the counterparty or of the collateral, for those </w:t>
      </w:r>
      <w:r w:rsidR="00C30D42" w:rsidRPr="00E50FA4">
        <w:rPr>
          <w:rFonts w:ascii="Times New Roman" w:hAnsi="Times New Roman"/>
          <w:bCs/>
          <w:noProof/>
          <w:sz w:val="24"/>
        </w:rPr>
        <w:t xml:space="preserve">sectors and </w:t>
      </w:r>
      <w:r w:rsidRPr="00E50FA4">
        <w:rPr>
          <w:rFonts w:ascii="Times New Roman" w:hAnsi="Times New Roman"/>
          <w:bCs/>
          <w:noProof/>
          <w:sz w:val="24"/>
        </w:rPr>
        <w:t>geographical areas subject to climate change acute and chronic events</w:t>
      </w:r>
      <w:r w:rsidRPr="00E50FA4">
        <w:rPr>
          <w:rFonts w:ascii="Times New Roman" w:hAnsi="Times New Roman"/>
          <w:noProof/>
          <w:sz w:val="24"/>
        </w:rPr>
        <w:t>.</w:t>
      </w:r>
    </w:p>
    <w:p w14:paraId="67DD614D" w14:textId="30127CA7" w:rsidR="001F0DD9" w:rsidRPr="00E50FA4" w:rsidRDefault="001F0DD9" w:rsidP="00B76863">
      <w:pPr>
        <w:pStyle w:val="ListParagraph"/>
        <w:numPr>
          <w:ilvl w:val="0"/>
          <w:numId w:val="61"/>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For the identification of geographies prone to specific climate-related hazards, institutions shall use dedicated portals and databases. </w:t>
      </w:r>
      <w:r w:rsidR="00C5464C" w:rsidRPr="00E50FA4">
        <w:rPr>
          <w:rFonts w:ascii="Times New Roman" w:hAnsi="Times New Roman"/>
          <w:noProof/>
          <w:sz w:val="24"/>
        </w:rPr>
        <w:t>T</w:t>
      </w:r>
      <w:r w:rsidRPr="00E50FA4">
        <w:rPr>
          <w:rFonts w:ascii="Times New Roman" w:hAnsi="Times New Roman"/>
          <w:noProof/>
          <w:sz w:val="24"/>
        </w:rPr>
        <w:t xml:space="preserve">o obtain </w:t>
      </w:r>
      <w:r w:rsidR="00C5464C" w:rsidRPr="00E50FA4">
        <w:rPr>
          <w:rFonts w:ascii="Times New Roman" w:hAnsi="Times New Roman"/>
          <w:noProof/>
          <w:sz w:val="24"/>
        </w:rPr>
        <w:t>information on</w:t>
      </w:r>
      <w:r w:rsidRPr="00E50FA4">
        <w:rPr>
          <w:rFonts w:ascii="Times New Roman" w:hAnsi="Times New Roman"/>
          <w:noProof/>
          <w:sz w:val="24"/>
        </w:rPr>
        <w:t xml:space="preserve"> </w:t>
      </w:r>
      <w:r w:rsidR="00C5464C" w:rsidRPr="00E50FA4">
        <w:rPr>
          <w:rFonts w:ascii="Times New Roman" w:hAnsi="Times New Roman"/>
          <w:noProof/>
          <w:sz w:val="24"/>
        </w:rPr>
        <w:t xml:space="preserve">the </w:t>
      </w:r>
      <w:r w:rsidRPr="00E50FA4">
        <w:rPr>
          <w:rFonts w:ascii="Times New Roman" w:hAnsi="Times New Roman"/>
          <w:noProof/>
          <w:sz w:val="24"/>
        </w:rPr>
        <w:t xml:space="preserve">characteristics of locations </w:t>
      </w:r>
      <w:r w:rsidR="00401B4F" w:rsidRPr="00E50FA4">
        <w:rPr>
          <w:rFonts w:ascii="Times New Roman" w:hAnsi="Times New Roman"/>
          <w:noProof/>
          <w:sz w:val="24"/>
        </w:rPr>
        <w:t>sensitive</w:t>
      </w:r>
      <w:r w:rsidRPr="00E50FA4">
        <w:rPr>
          <w:rFonts w:ascii="Times New Roman" w:hAnsi="Times New Roman"/>
          <w:noProof/>
          <w:sz w:val="24"/>
        </w:rPr>
        <w:t xml:space="preserve"> to climate</w:t>
      </w:r>
      <w:r w:rsidR="00C5464C" w:rsidRPr="00E50FA4">
        <w:rPr>
          <w:rFonts w:ascii="Times New Roman" w:hAnsi="Times New Roman"/>
          <w:noProof/>
          <w:sz w:val="24"/>
        </w:rPr>
        <w:t>-</w:t>
      </w:r>
      <w:r w:rsidRPr="00E50FA4">
        <w:rPr>
          <w:rFonts w:ascii="Times New Roman" w:hAnsi="Times New Roman"/>
          <w:noProof/>
          <w:sz w:val="24"/>
        </w:rPr>
        <w:t>change events, institutions may use the data offered by U</w:t>
      </w:r>
      <w:r w:rsidR="00C26BE2" w:rsidRPr="00E50FA4">
        <w:rPr>
          <w:rFonts w:ascii="Times New Roman" w:hAnsi="Times New Roman"/>
          <w:noProof/>
          <w:sz w:val="24"/>
        </w:rPr>
        <w:t>nion</w:t>
      </w:r>
      <w:r w:rsidRPr="00E50FA4">
        <w:rPr>
          <w:rFonts w:ascii="Times New Roman" w:hAnsi="Times New Roman"/>
          <w:noProof/>
          <w:sz w:val="24"/>
        </w:rPr>
        <w:t xml:space="preserve"> bodies and by national government authorities</w:t>
      </w:r>
      <w:r w:rsidR="00B72173" w:rsidRPr="00E50FA4">
        <w:rPr>
          <w:rFonts w:ascii="Times New Roman" w:hAnsi="Times New Roman"/>
          <w:noProof/>
          <w:sz w:val="24"/>
        </w:rPr>
        <w:t xml:space="preserve"> </w:t>
      </w:r>
      <w:r w:rsidR="00596E1A" w:rsidRPr="00E50FA4">
        <w:rPr>
          <w:rFonts w:ascii="Times New Roman" w:hAnsi="Times New Roman"/>
          <w:noProof/>
          <w:sz w:val="24"/>
        </w:rPr>
        <w:t>including</w:t>
      </w:r>
      <w:r w:rsidRPr="00E50FA4">
        <w:rPr>
          <w:rFonts w:ascii="Times New Roman" w:hAnsi="Times New Roman"/>
          <w:noProof/>
          <w:sz w:val="24"/>
        </w:rPr>
        <w:t xml:space="preserve"> meteorological, environmental, statistical agencies or geoscience organisations.</w:t>
      </w:r>
      <w:r w:rsidR="00C5464C" w:rsidRPr="00E50FA4">
        <w:rPr>
          <w:rFonts w:ascii="Times New Roman" w:hAnsi="Times New Roman"/>
          <w:noProof/>
          <w:sz w:val="24"/>
        </w:rPr>
        <w:t xml:space="preserve"> Examples of data sources to identify geographical areas subject to climate change related hazards include</w:t>
      </w:r>
      <w:r w:rsidR="00C5464C" w:rsidRPr="00E50FA4">
        <w:rPr>
          <w:rFonts w:ascii="Times New Roman" w:hAnsi="Times New Roman"/>
          <w:noProof/>
          <w:sz w:val="24"/>
          <w:vertAlign w:val="superscript"/>
        </w:rPr>
        <w:t>*20</w:t>
      </w:r>
      <w:r w:rsidR="00C5464C" w:rsidRPr="00E50FA4">
        <w:rPr>
          <w:rFonts w:ascii="Times New Roman" w:hAnsi="Times New Roman"/>
          <w:noProof/>
          <w:sz w:val="24"/>
        </w:rPr>
        <w:t xml:space="preserve">: GFDRR - ThinkHazard! (covering heatwaves, water scarcity and stress, floods, wildfires, hurricanes, landslide); PREP – PREPdata (coastal flood, extreme heat, landslide, water scarcity and stress, wildfire); WRI - Aqueduct Water Risk Atlas (flood, coastal flood, water scarcity and stress) Swiss Re - CatNet® (flood, tropical cyclone (hurricane &amp;typhoon), wildfire); World Bank - Climate Change Knowledge Portal (extreme heat, extreme precipitation, drought); PCA - Global Drought Risk platform (drought); NOAA - Historical hurricane tracks (tropical cyclone (hurricane &amp;typhoon). </w:t>
      </w:r>
    </w:p>
    <w:p w14:paraId="32EAA263" w14:textId="0842E8C6" w:rsidR="00C30D42" w:rsidRPr="00E50FA4" w:rsidRDefault="00D63D89" w:rsidP="00B76863">
      <w:pPr>
        <w:pStyle w:val="ListParagraph"/>
        <w:numPr>
          <w:ilvl w:val="0"/>
          <w:numId w:val="61"/>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When </w:t>
      </w:r>
      <w:r w:rsidR="004C4002" w:rsidRPr="00E50FA4">
        <w:rPr>
          <w:rFonts w:ascii="Times New Roman" w:hAnsi="Times New Roman"/>
          <w:noProof/>
          <w:sz w:val="24"/>
        </w:rPr>
        <w:t>the</w:t>
      </w:r>
      <w:r w:rsidRPr="00E50FA4">
        <w:rPr>
          <w:rFonts w:ascii="Times New Roman" w:hAnsi="Times New Roman"/>
          <w:noProof/>
          <w:sz w:val="24"/>
        </w:rPr>
        <w:t xml:space="preserve"> counterparty is a holding company, institutions shall consider the NACE sector of the specific obligor </w:t>
      </w:r>
      <w:r w:rsidR="00B72173" w:rsidRPr="00E50FA4">
        <w:rPr>
          <w:rFonts w:ascii="Times New Roman" w:hAnsi="Times New Roman"/>
          <w:noProof/>
          <w:sz w:val="24"/>
        </w:rPr>
        <w:t xml:space="preserve">controlled by </w:t>
      </w:r>
      <w:r w:rsidRPr="00E50FA4">
        <w:rPr>
          <w:rFonts w:ascii="Times New Roman" w:hAnsi="Times New Roman"/>
          <w:noProof/>
          <w:sz w:val="24"/>
        </w:rPr>
        <w:t>the holding company (if different than the holding company itself) which receives the funding</w:t>
      </w:r>
      <w:r w:rsidR="00C5464C" w:rsidRPr="00E50FA4">
        <w:rPr>
          <w:rFonts w:ascii="Times New Roman" w:hAnsi="Times New Roman"/>
          <w:noProof/>
          <w:sz w:val="24"/>
        </w:rPr>
        <w:t xml:space="preserve">, </w:t>
      </w:r>
      <w:r w:rsidRPr="00E50FA4">
        <w:rPr>
          <w:rFonts w:ascii="Times New Roman" w:hAnsi="Times New Roman"/>
          <w:noProof/>
          <w:sz w:val="24"/>
        </w:rPr>
        <w:t>particularly in those cases where the obligor is a non-financial corporate.</w:t>
      </w:r>
      <w:r w:rsidR="008765E8" w:rsidRPr="00E50FA4">
        <w:rPr>
          <w:rFonts w:ascii="Times New Roman" w:hAnsi="Times New Roman"/>
          <w:noProof/>
          <w:sz w:val="24"/>
        </w:rPr>
        <w:t xml:space="preserve"> Similarly, whe</w:t>
      </w:r>
      <w:r w:rsidR="004C4002" w:rsidRPr="00E50FA4">
        <w:rPr>
          <w:rFonts w:ascii="Times New Roman" w:hAnsi="Times New Roman"/>
          <w:noProof/>
          <w:sz w:val="24"/>
        </w:rPr>
        <w:t>re</w:t>
      </w:r>
      <w:r w:rsidR="008765E8" w:rsidRPr="00E50FA4">
        <w:rPr>
          <w:rFonts w:ascii="Times New Roman" w:hAnsi="Times New Roman"/>
          <w:noProof/>
          <w:sz w:val="24"/>
        </w:rPr>
        <w:t xml:space="preserve"> the direct counterparty of the institution (the obligor) is a</w:t>
      </w:r>
      <w:r w:rsidR="00C5464C" w:rsidRPr="00E50FA4">
        <w:rPr>
          <w:rFonts w:ascii="Times New Roman" w:hAnsi="Times New Roman"/>
          <w:noProof/>
          <w:sz w:val="24"/>
        </w:rPr>
        <w:t>n</w:t>
      </w:r>
      <w:r w:rsidR="008765E8" w:rsidRPr="00E50FA4">
        <w:rPr>
          <w:rFonts w:ascii="Times New Roman" w:hAnsi="Times New Roman"/>
          <w:noProof/>
          <w:sz w:val="24"/>
        </w:rPr>
        <w:t xml:space="preserve"> SPV, institution</w:t>
      </w:r>
      <w:r w:rsidR="004C4002" w:rsidRPr="00E50FA4">
        <w:rPr>
          <w:rFonts w:ascii="Times New Roman" w:hAnsi="Times New Roman"/>
          <w:noProof/>
          <w:sz w:val="24"/>
        </w:rPr>
        <w:t>s</w:t>
      </w:r>
      <w:r w:rsidR="008765E8" w:rsidRPr="00E50FA4">
        <w:rPr>
          <w:rFonts w:ascii="Times New Roman" w:hAnsi="Times New Roman"/>
          <w:noProof/>
          <w:sz w:val="24"/>
        </w:rPr>
        <w:t xml:space="preserve"> shall disclose the relevant information under the NACE sector associated </w:t>
      </w:r>
      <w:r w:rsidR="005D63A1" w:rsidRPr="00E50FA4">
        <w:rPr>
          <w:rFonts w:ascii="Times New Roman" w:hAnsi="Times New Roman"/>
          <w:noProof/>
          <w:sz w:val="24"/>
        </w:rPr>
        <w:t>with the economic activity of the parent company of the SPV</w:t>
      </w:r>
      <w:r w:rsidR="008765E8" w:rsidRPr="00E50FA4">
        <w:rPr>
          <w:rFonts w:ascii="Times New Roman" w:hAnsi="Times New Roman"/>
          <w:noProof/>
          <w:sz w:val="24"/>
        </w:rPr>
        <w:t xml:space="preserve">. </w:t>
      </w:r>
      <w:r w:rsidR="00C30D42" w:rsidRPr="00E50FA4">
        <w:rPr>
          <w:rFonts w:ascii="Times New Roman" w:hAnsi="Times New Roman"/>
          <w:noProof/>
          <w:sz w:val="24"/>
        </w:rPr>
        <w:t xml:space="preserve">The classification of the </w:t>
      </w:r>
      <w:r w:rsidR="00C5464C" w:rsidRPr="00E50FA4">
        <w:rPr>
          <w:rFonts w:ascii="Times New Roman" w:hAnsi="Times New Roman"/>
          <w:noProof/>
          <w:sz w:val="24"/>
        </w:rPr>
        <w:t xml:space="preserve">joint </w:t>
      </w:r>
      <w:r w:rsidR="00C30D42" w:rsidRPr="00E50FA4">
        <w:rPr>
          <w:rFonts w:ascii="Times New Roman" w:hAnsi="Times New Roman"/>
          <w:noProof/>
          <w:sz w:val="24"/>
        </w:rPr>
        <w:t xml:space="preserve">exposures </w:t>
      </w:r>
      <w:r w:rsidR="00C5464C" w:rsidRPr="00E50FA4">
        <w:rPr>
          <w:rFonts w:ascii="Times New Roman" w:hAnsi="Times New Roman"/>
          <w:noProof/>
          <w:sz w:val="24"/>
        </w:rPr>
        <w:t xml:space="preserve">towards </w:t>
      </w:r>
      <w:r w:rsidR="00C30D42" w:rsidRPr="00E50FA4">
        <w:rPr>
          <w:rFonts w:ascii="Times New Roman" w:hAnsi="Times New Roman"/>
          <w:noProof/>
          <w:sz w:val="24"/>
        </w:rPr>
        <w:t xml:space="preserve">more than one obligor shall be based on the characteristics of the obligor that was the </w:t>
      </w:r>
      <w:r w:rsidR="00C0479E" w:rsidRPr="00E50FA4">
        <w:rPr>
          <w:rFonts w:ascii="Times New Roman" w:hAnsi="Times New Roman"/>
          <w:noProof/>
          <w:sz w:val="24"/>
        </w:rPr>
        <w:t xml:space="preserve">most </w:t>
      </w:r>
      <w:r w:rsidR="00C30D42" w:rsidRPr="00E50FA4">
        <w:rPr>
          <w:rFonts w:ascii="Times New Roman" w:hAnsi="Times New Roman"/>
          <w:noProof/>
          <w:sz w:val="24"/>
        </w:rPr>
        <w:t xml:space="preserve">relevant for the institution to grant the exposure. The distribution of jointly incurred exposures by NACE codes shall be driven by the characteristics of the more relevant or determinant obligor. </w:t>
      </w:r>
    </w:p>
    <w:p w14:paraId="6E647A84" w14:textId="72E4B788" w:rsidR="0056144E" w:rsidRPr="00E50FA4" w:rsidRDefault="001F0DD9" w:rsidP="00B76863">
      <w:pPr>
        <w:pStyle w:val="ListParagraph"/>
        <w:numPr>
          <w:ilvl w:val="0"/>
          <w:numId w:val="61"/>
        </w:numPr>
        <w:tabs>
          <w:tab w:val="left" w:pos="567"/>
        </w:tabs>
        <w:spacing w:before="120" w:after="120"/>
        <w:ind w:left="0" w:firstLine="0"/>
        <w:jc w:val="both"/>
        <w:rPr>
          <w:rFonts w:ascii="Times New Roman" w:hAnsi="Times New Roman"/>
          <w:i/>
          <w:noProof/>
          <w:sz w:val="24"/>
        </w:rPr>
      </w:pPr>
      <w:r w:rsidRPr="00E50FA4">
        <w:rPr>
          <w:rFonts w:ascii="Times New Roman" w:hAnsi="Times New Roman"/>
          <w:noProof/>
          <w:sz w:val="24"/>
        </w:rPr>
        <w:t xml:space="preserve">Institutions shall </w:t>
      </w:r>
      <w:r w:rsidR="00C30D42" w:rsidRPr="00E50FA4">
        <w:rPr>
          <w:rFonts w:ascii="Times New Roman" w:hAnsi="Times New Roman"/>
          <w:noProof/>
          <w:sz w:val="24"/>
        </w:rPr>
        <w:t xml:space="preserve">disclose the information in this template on a best effort basis and </w:t>
      </w:r>
      <w:r w:rsidRPr="00E50FA4">
        <w:rPr>
          <w:rFonts w:ascii="Times New Roman" w:hAnsi="Times New Roman"/>
          <w:noProof/>
          <w:sz w:val="24"/>
        </w:rPr>
        <w:t xml:space="preserve">explain in the narrative accompanying the template the sources of information and methods that they have used </w:t>
      </w:r>
      <w:r w:rsidR="00C30D42" w:rsidRPr="00E50FA4">
        <w:rPr>
          <w:rFonts w:ascii="Times New Roman" w:hAnsi="Times New Roman"/>
          <w:noProof/>
          <w:sz w:val="24"/>
        </w:rPr>
        <w:t>to identify exposures subject to climate</w:t>
      </w:r>
      <w:r w:rsidR="003746E0" w:rsidRPr="00E50FA4">
        <w:rPr>
          <w:rFonts w:ascii="Times New Roman" w:hAnsi="Times New Roman"/>
          <w:noProof/>
          <w:sz w:val="24"/>
        </w:rPr>
        <w:t>-</w:t>
      </w:r>
      <w:r w:rsidR="00C30D42" w:rsidRPr="00E50FA4">
        <w:rPr>
          <w:rFonts w:ascii="Times New Roman" w:hAnsi="Times New Roman"/>
          <w:noProof/>
          <w:sz w:val="24"/>
        </w:rPr>
        <w:t>change physical risk.</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655"/>
      </w:tblGrid>
      <w:tr w:rsidR="00E75E5D" w:rsidRPr="00E50FA4" w14:paraId="25CCB301" w14:textId="77777777" w:rsidTr="00E75E5D">
        <w:trPr>
          <w:trHeight w:val="238"/>
        </w:trPr>
        <w:tc>
          <w:tcPr>
            <w:tcW w:w="1129" w:type="dxa"/>
            <w:shd w:val="clear" w:color="auto" w:fill="D9D9D9" w:themeFill="background1" w:themeFillShade="D9"/>
          </w:tcPr>
          <w:p w14:paraId="1FBD0FE4" w14:textId="77777777" w:rsidR="00E75E5D" w:rsidRPr="00E50FA4" w:rsidRDefault="00E75E5D" w:rsidP="00E75E5D">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Columns</w:t>
            </w:r>
          </w:p>
        </w:tc>
        <w:tc>
          <w:tcPr>
            <w:tcW w:w="7655" w:type="dxa"/>
            <w:shd w:val="clear" w:color="auto" w:fill="D9D9D9" w:themeFill="background1" w:themeFillShade="D9"/>
          </w:tcPr>
          <w:p w14:paraId="33177412" w14:textId="77777777" w:rsidR="00E75E5D" w:rsidRPr="00E50FA4" w:rsidRDefault="00E75E5D" w:rsidP="00E75E5D">
            <w:pPr>
              <w:autoSpaceDE w:val="0"/>
              <w:autoSpaceDN w:val="0"/>
              <w:adjustRightInd w:val="0"/>
              <w:jc w:val="both"/>
              <w:rPr>
                <w:rFonts w:ascii="Times New Roman" w:hAnsi="Times New Roman" w:cs="Times New Roman"/>
                <w:noProof/>
                <w:color w:val="000000"/>
                <w:sz w:val="24"/>
                <w:lang w:val="en-GB"/>
              </w:rPr>
            </w:pPr>
            <w:r w:rsidRPr="00E50FA4">
              <w:rPr>
                <w:rFonts w:ascii="Times New Roman" w:hAnsi="Times New Roman" w:cs="Times New Roman"/>
                <w:noProof/>
                <w:sz w:val="24"/>
                <w:lang w:val="en-GB"/>
              </w:rPr>
              <w:t>Instructions</w:t>
            </w:r>
          </w:p>
        </w:tc>
      </w:tr>
      <w:tr w:rsidR="00E75E5D" w:rsidRPr="00E50FA4" w14:paraId="164BA089" w14:textId="77777777" w:rsidTr="00E75E5D">
        <w:trPr>
          <w:trHeight w:val="547"/>
        </w:trPr>
        <w:tc>
          <w:tcPr>
            <w:tcW w:w="1129" w:type="dxa"/>
            <w:shd w:val="clear" w:color="auto" w:fill="FFFFFF" w:themeFill="background1"/>
          </w:tcPr>
          <w:p w14:paraId="38FBE662" w14:textId="77777777" w:rsidR="00E75E5D" w:rsidRPr="00E50FA4" w:rsidRDefault="00E75E5D" w:rsidP="00E75E5D">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a</w:t>
            </w:r>
          </w:p>
        </w:tc>
        <w:tc>
          <w:tcPr>
            <w:tcW w:w="7655" w:type="dxa"/>
            <w:shd w:val="clear" w:color="auto" w:fill="FFFFFF" w:themeFill="background1"/>
          </w:tcPr>
          <w:p w14:paraId="32C22035" w14:textId="77777777" w:rsidR="00E75E5D" w:rsidRPr="00E50FA4" w:rsidRDefault="00E75E5D" w:rsidP="00720CB4">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Geographical area subject to climate change acute and chronic events</w:t>
            </w:r>
          </w:p>
          <w:p w14:paraId="5C5A6C97" w14:textId="77777777" w:rsidR="002F0C41" w:rsidRPr="00E50FA4" w:rsidRDefault="002F0C41" w:rsidP="00E75E5D">
            <w:pPr>
              <w:autoSpaceDE w:val="0"/>
              <w:autoSpaceDN w:val="0"/>
              <w:adjustRightInd w:val="0"/>
              <w:jc w:val="both"/>
              <w:rPr>
                <w:rFonts w:ascii="Times New Roman" w:eastAsia="Times New Roman" w:hAnsi="Times New Roman" w:cs="Times New Roman"/>
                <w:noProof/>
                <w:sz w:val="24"/>
                <w:lang w:val="en-GB"/>
              </w:rPr>
            </w:pPr>
          </w:p>
          <w:p w14:paraId="1404C6CF" w14:textId="634DA0C0" w:rsidR="00E75E5D" w:rsidRPr="00E50FA4" w:rsidRDefault="00074B2C" w:rsidP="00760FE9">
            <w:pPr>
              <w:autoSpaceDE w:val="0"/>
              <w:autoSpaceDN w:val="0"/>
              <w:adjustRightInd w:val="0"/>
              <w:jc w:val="both"/>
              <w:rPr>
                <w:rFonts w:ascii="Times New Roman" w:hAnsi="Times New Roman"/>
                <w:bCs/>
                <w:noProof/>
                <w:sz w:val="24"/>
                <w:lang w:val="en-GB"/>
              </w:rPr>
            </w:pPr>
            <w:r w:rsidRPr="00E50FA4">
              <w:rPr>
                <w:rFonts w:ascii="Times New Roman" w:eastAsia="Times New Roman" w:hAnsi="Times New Roman" w:cs="Times New Roman"/>
                <w:noProof/>
                <w:sz w:val="24"/>
                <w:lang w:val="en-GB"/>
              </w:rPr>
              <w:t>Institutions</w:t>
            </w:r>
            <w:r w:rsidR="00C95AA5" w:rsidRPr="00E50FA4">
              <w:rPr>
                <w:rFonts w:ascii="Times New Roman" w:eastAsia="Times New Roman" w:hAnsi="Times New Roman" w:cs="Times New Roman"/>
                <w:noProof/>
                <w:sz w:val="24"/>
                <w:lang w:val="en-GB"/>
              </w:rPr>
              <w:t xml:space="preserve"> </w:t>
            </w:r>
            <w:r w:rsidR="00BC6B56" w:rsidRPr="00E50FA4">
              <w:rPr>
                <w:rFonts w:ascii="Times New Roman" w:eastAsia="Times New Roman" w:hAnsi="Times New Roman" w:cs="Times New Roman"/>
                <w:noProof/>
                <w:sz w:val="24"/>
                <w:lang w:val="en-GB"/>
              </w:rPr>
              <w:t>shall</w:t>
            </w:r>
            <w:r w:rsidR="00B72173" w:rsidRPr="00E50FA4">
              <w:rPr>
                <w:rFonts w:ascii="Times New Roman" w:eastAsia="Times New Roman" w:hAnsi="Times New Roman" w:cs="Times New Roman"/>
                <w:noProof/>
                <w:sz w:val="24"/>
                <w:lang w:val="en-GB"/>
              </w:rPr>
              <w:t xml:space="preserve"> </w:t>
            </w:r>
            <w:r w:rsidR="00C95AA5" w:rsidRPr="00E50FA4">
              <w:rPr>
                <w:rFonts w:ascii="Times New Roman" w:eastAsia="Times New Roman" w:hAnsi="Times New Roman" w:cs="Times New Roman"/>
                <w:noProof/>
                <w:sz w:val="24"/>
                <w:lang w:val="en-GB"/>
              </w:rPr>
              <w:t>cover g</w:t>
            </w:r>
            <w:r w:rsidR="00E75E5D" w:rsidRPr="00E50FA4">
              <w:rPr>
                <w:rFonts w:ascii="Times New Roman" w:eastAsia="Times New Roman" w:hAnsi="Times New Roman" w:cs="Times New Roman"/>
                <w:noProof/>
                <w:sz w:val="24"/>
                <w:lang w:val="en-GB"/>
              </w:rPr>
              <w:t>eographical area</w:t>
            </w:r>
            <w:r w:rsidR="00061C0E" w:rsidRPr="00E50FA4">
              <w:rPr>
                <w:rFonts w:ascii="Times New Roman" w:eastAsia="Times New Roman" w:hAnsi="Times New Roman" w:cs="Times New Roman"/>
                <w:noProof/>
                <w:sz w:val="24"/>
                <w:lang w:val="en-GB"/>
              </w:rPr>
              <w:t>s</w:t>
            </w:r>
            <w:r w:rsidR="00E75E5D"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exposed </w:t>
            </w:r>
            <w:r w:rsidR="00E75E5D" w:rsidRPr="00E50FA4">
              <w:rPr>
                <w:rFonts w:ascii="Times New Roman" w:eastAsia="Times New Roman" w:hAnsi="Times New Roman" w:cs="Times New Roman"/>
                <w:noProof/>
                <w:sz w:val="24"/>
                <w:lang w:val="en-GB"/>
              </w:rPr>
              <w:t xml:space="preserve">to </w:t>
            </w:r>
            <w:r w:rsidR="00061C0E" w:rsidRPr="00E50FA4">
              <w:rPr>
                <w:rFonts w:ascii="Times New Roman" w:eastAsia="Times New Roman" w:hAnsi="Times New Roman" w:cs="Times New Roman"/>
                <w:noProof/>
                <w:sz w:val="24"/>
                <w:lang w:val="en-GB"/>
              </w:rPr>
              <w:t xml:space="preserve">adverse </w:t>
            </w:r>
            <w:r w:rsidR="00E75E5D" w:rsidRPr="00E50FA4">
              <w:rPr>
                <w:rFonts w:ascii="Times New Roman" w:eastAsia="Times New Roman" w:hAnsi="Times New Roman" w:cs="Times New Roman"/>
                <w:noProof/>
                <w:sz w:val="24"/>
                <w:lang w:val="en-GB"/>
              </w:rPr>
              <w:t xml:space="preserve">impact from </w:t>
            </w:r>
            <w:r w:rsidR="00061C0E" w:rsidRPr="00E50FA4">
              <w:rPr>
                <w:rFonts w:ascii="Times New Roman" w:eastAsia="Times New Roman" w:hAnsi="Times New Roman" w:cs="Times New Roman"/>
                <w:noProof/>
                <w:sz w:val="24"/>
                <w:lang w:val="en-GB"/>
              </w:rPr>
              <w:t>climate-</w:t>
            </w:r>
            <w:r w:rsidR="00E75E5D" w:rsidRPr="00E50FA4">
              <w:rPr>
                <w:rFonts w:ascii="Times New Roman" w:eastAsia="Times New Roman" w:hAnsi="Times New Roman" w:cs="Times New Roman"/>
                <w:noProof/>
                <w:sz w:val="24"/>
                <w:lang w:val="en-GB"/>
              </w:rPr>
              <w:t xml:space="preserve">change physical events. </w:t>
            </w:r>
            <w:r w:rsidR="00061C0E" w:rsidRPr="00E50FA4">
              <w:rPr>
                <w:rFonts w:ascii="Times New Roman" w:eastAsia="Times New Roman" w:hAnsi="Times New Roman" w:cs="Times New Roman"/>
                <w:noProof/>
                <w:sz w:val="24"/>
                <w:lang w:val="en-GB"/>
              </w:rPr>
              <w:t xml:space="preserve">These geographical areas include </w:t>
            </w:r>
            <w:r w:rsidR="00F46EAF" w:rsidRPr="00E50FA4">
              <w:rPr>
                <w:rFonts w:ascii="Times New Roman" w:eastAsia="Times New Roman" w:hAnsi="Times New Roman" w:cs="Times New Roman"/>
                <w:noProof/>
                <w:sz w:val="24"/>
                <w:lang w:val="en-GB"/>
              </w:rPr>
              <w:t xml:space="preserve">the </w:t>
            </w:r>
            <w:r w:rsidR="00E75E5D" w:rsidRPr="00E50FA4">
              <w:rPr>
                <w:rFonts w:ascii="Times New Roman" w:eastAsia="Times New Roman" w:hAnsi="Times New Roman" w:cs="Times New Roman"/>
                <w:noProof/>
                <w:sz w:val="24"/>
                <w:lang w:val="en-GB"/>
              </w:rPr>
              <w:t>countr</w:t>
            </w:r>
            <w:r w:rsidR="00F46EAF" w:rsidRPr="00E50FA4">
              <w:rPr>
                <w:rFonts w:ascii="Times New Roman" w:eastAsia="Times New Roman" w:hAnsi="Times New Roman" w:cs="Times New Roman"/>
                <w:noProof/>
                <w:sz w:val="24"/>
                <w:lang w:val="en-GB"/>
              </w:rPr>
              <w:t xml:space="preserve">ies </w:t>
            </w:r>
            <w:r w:rsidR="00B72173" w:rsidRPr="00E50FA4">
              <w:rPr>
                <w:rFonts w:ascii="Times New Roman" w:eastAsia="Times New Roman" w:hAnsi="Times New Roman" w:cs="Times New Roman"/>
                <w:noProof/>
                <w:sz w:val="24"/>
                <w:lang w:val="en-GB"/>
              </w:rPr>
              <w:t>or</w:t>
            </w:r>
            <w:r w:rsidR="000A5DEC" w:rsidRPr="00E50FA4">
              <w:rPr>
                <w:rFonts w:ascii="Times New Roman" w:eastAsia="Times New Roman" w:hAnsi="Times New Roman" w:cs="Times New Roman"/>
                <w:noProof/>
                <w:sz w:val="24"/>
                <w:lang w:val="en-GB"/>
              </w:rPr>
              <w:t xml:space="preserve"> </w:t>
            </w:r>
            <w:r w:rsidR="00F46EAF" w:rsidRPr="00E50FA4">
              <w:rPr>
                <w:rFonts w:ascii="Times New Roman" w:eastAsia="Times New Roman" w:hAnsi="Times New Roman" w:cs="Times New Roman"/>
                <w:noProof/>
                <w:sz w:val="24"/>
                <w:lang w:val="en-GB"/>
              </w:rPr>
              <w:t>other</w:t>
            </w:r>
            <w:r w:rsidR="00B72173" w:rsidRPr="00E50FA4">
              <w:rPr>
                <w:rFonts w:ascii="Times New Roman" w:eastAsia="Times New Roman" w:hAnsi="Times New Roman" w:cs="Times New Roman"/>
                <w:noProof/>
                <w:sz w:val="24"/>
                <w:lang w:val="en-GB"/>
              </w:rPr>
              <w:t xml:space="preserve"> </w:t>
            </w:r>
            <w:r w:rsidR="00E75E5D" w:rsidRPr="00E50FA4">
              <w:rPr>
                <w:rFonts w:ascii="Times New Roman" w:eastAsia="Times New Roman" w:hAnsi="Times New Roman" w:cs="Times New Roman"/>
                <w:noProof/>
                <w:sz w:val="24"/>
                <w:lang w:val="en-GB"/>
              </w:rPr>
              <w:t>geographical or administrative region</w:t>
            </w:r>
            <w:r w:rsidR="00F46EAF" w:rsidRPr="00E50FA4">
              <w:rPr>
                <w:rFonts w:ascii="Times New Roman" w:eastAsia="Times New Roman" w:hAnsi="Times New Roman" w:cs="Times New Roman"/>
                <w:noProof/>
                <w:sz w:val="24"/>
                <w:lang w:val="en-GB"/>
              </w:rPr>
              <w:t>s</w:t>
            </w:r>
            <w:r w:rsidR="00E75E5D" w:rsidRPr="00E50FA4">
              <w:rPr>
                <w:rFonts w:ascii="Times New Roman" w:eastAsia="Times New Roman" w:hAnsi="Times New Roman" w:cs="Times New Roman"/>
                <w:noProof/>
                <w:sz w:val="24"/>
                <w:lang w:val="en-GB"/>
              </w:rPr>
              <w:t xml:space="preserve"> where </w:t>
            </w:r>
            <w:r w:rsidR="00E75E5D" w:rsidRPr="00E50FA4">
              <w:rPr>
                <w:rFonts w:ascii="Times New Roman" w:hAnsi="Times New Roman"/>
                <w:bCs/>
                <w:noProof/>
                <w:sz w:val="24"/>
                <w:lang w:val="en-GB"/>
              </w:rPr>
              <w:t>the counterparty</w:t>
            </w:r>
            <w:r w:rsidR="00F46EAF" w:rsidRPr="00E50FA4">
              <w:rPr>
                <w:rFonts w:ascii="Times New Roman" w:hAnsi="Times New Roman"/>
                <w:bCs/>
                <w:noProof/>
                <w:sz w:val="24"/>
                <w:lang w:val="en-GB"/>
              </w:rPr>
              <w:t>’s activities</w:t>
            </w:r>
            <w:r w:rsidR="00E75E5D" w:rsidRPr="00E50FA4">
              <w:rPr>
                <w:rFonts w:ascii="Times New Roman" w:hAnsi="Times New Roman"/>
                <w:bCs/>
                <w:noProof/>
                <w:sz w:val="24"/>
                <w:lang w:val="en-GB"/>
              </w:rPr>
              <w:t xml:space="preserve"> or the collateral are located, </w:t>
            </w:r>
            <w:r w:rsidR="00C95AA5" w:rsidRPr="00E50FA4">
              <w:rPr>
                <w:rFonts w:ascii="Times New Roman" w:hAnsi="Times New Roman"/>
                <w:bCs/>
                <w:noProof/>
                <w:sz w:val="24"/>
                <w:lang w:val="en-GB"/>
              </w:rPr>
              <w:t xml:space="preserve">and </w:t>
            </w:r>
            <w:r w:rsidR="00F46EAF" w:rsidRPr="00E50FA4">
              <w:rPr>
                <w:rFonts w:ascii="Times New Roman" w:hAnsi="Times New Roman"/>
                <w:bCs/>
                <w:noProof/>
                <w:sz w:val="24"/>
                <w:lang w:val="en-GB"/>
              </w:rPr>
              <w:t xml:space="preserve">which </w:t>
            </w:r>
            <w:r w:rsidRPr="00E50FA4">
              <w:rPr>
                <w:rFonts w:ascii="Times New Roman" w:hAnsi="Times New Roman"/>
                <w:bCs/>
                <w:noProof/>
                <w:sz w:val="24"/>
                <w:lang w:val="en-GB"/>
              </w:rPr>
              <w:t>are exposed</w:t>
            </w:r>
            <w:r w:rsidR="00E75E5D" w:rsidRPr="00E50FA4">
              <w:rPr>
                <w:rFonts w:ascii="Times New Roman" w:hAnsi="Times New Roman"/>
                <w:bCs/>
                <w:noProof/>
                <w:sz w:val="24"/>
                <w:lang w:val="en-GB"/>
              </w:rPr>
              <w:t xml:space="preserve"> to chronic or acute climate</w:t>
            </w:r>
            <w:r w:rsidR="00F46EAF" w:rsidRPr="00E50FA4">
              <w:rPr>
                <w:rFonts w:ascii="Times New Roman" w:hAnsi="Times New Roman"/>
                <w:bCs/>
                <w:noProof/>
                <w:sz w:val="24"/>
                <w:lang w:val="en-GB"/>
              </w:rPr>
              <w:t>-</w:t>
            </w:r>
            <w:r w:rsidR="00E75E5D" w:rsidRPr="00E50FA4">
              <w:rPr>
                <w:rFonts w:ascii="Times New Roman" w:hAnsi="Times New Roman"/>
                <w:bCs/>
                <w:noProof/>
                <w:sz w:val="24"/>
                <w:lang w:val="en-GB"/>
              </w:rPr>
              <w:t xml:space="preserve">change events. </w:t>
            </w:r>
            <w:r w:rsidR="00AE02D8" w:rsidRPr="00E50FA4">
              <w:rPr>
                <w:rFonts w:ascii="Times New Roman" w:hAnsi="Times New Roman"/>
                <w:bCs/>
                <w:noProof/>
                <w:sz w:val="24"/>
                <w:lang w:val="en-GB"/>
              </w:rPr>
              <w:t xml:space="preserve">For </w:t>
            </w:r>
            <w:r w:rsidR="00957A42" w:rsidRPr="00E50FA4">
              <w:rPr>
                <w:rFonts w:ascii="Times New Roman" w:hAnsi="Times New Roman"/>
                <w:bCs/>
                <w:noProof/>
                <w:sz w:val="24"/>
                <w:lang w:val="en-GB"/>
              </w:rPr>
              <w:t>geographical</w:t>
            </w:r>
            <w:r w:rsidR="00AE02D8" w:rsidRPr="00E50FA4">
              <w:rPr>
                <w:rFonts w:ascii="Times New Roman" w:hAnsi="Times New Roman"/>
                <w:bCs/>
                <w:noProof/>
                <w:sz w:val="24"/>
                <w:lang w:val="en-GB"/>
              </w:rPr>
              <w:t xml:space="preserve"> coverage of the exposures</w:t>
            </w:r>
            <w:r w:rsidR="005F2B0B" w:rsidRPr="00E50FA4">
              <w:rPr>
                <w:rFonts w:ascii="Times New Roman" w:hAnsi="Times New Roman"/>
                <w:bCs/>
                <w:noProof/>
                <w:sz w:val="24"/>
                <w:lang w:val="en-GB"/>
              </w:rPr>
              <w:t>,</w:t>
            </w:r>
            <w:r w:rsidR="00AE02D8" w:rsidRPr="00E50FA4">
              <w:rPr>
                <w:rFonts w:ascii="Times New Roman" w:hAnsi="Times New Roman"/>
                <w:bCs/>
                <w:noProof/>
                <w:sz w:val="24"/>
                <w:lang w:val="en-GB"/>
              </w:rPr>
              <w:t xml:space="preserve"> institutions </w:t>
            </w:r>
            <w:r w:rsidR="00BC6B56" w:rsidRPr="00E50FA4">
              <w:rPr>
                <w:rFonts w:ascii="Times New Roman" w:hAnsi="Times New Roman"/>
                <w:bCs/>
                <w:noProof/>
                <w:sz w:val="24"/>
                <w:lang w:val="en-GB"/>
              </w:rPr>
              <w:t>shall</w:t>
            </w:r>
            <w:r w:rsidR="00B72173" w:rsidRPr="00E50FA4">
              <w:rPr>
                <w:rFonts w:ascii="Times New Roman" w:hAnsi="Times New Roman"/>
                <w:bCs/>
                <w:noProof/>
                <w:sz w:val="24"/>
                <w:lang w:val="en-GB"/>
              </w:rPr>
              <w:t xml:space="preserve"> </w:t>
            </w:r>
            <w:r w:rsidR="00AE02D8" w:rsidRPr="00E50FA4">
              <w:rPr>
                <w:rFonts w:ascii="Times New Roman" w:hAnsi="Times New Roman"/>
                <w:bCs/>
                <w:noProof/>
                <w:sz w:val="24"/>
                <w:lang w:val="en-GB"/>
              </w:rPr>
              <w:t>use the level of divisions indicated in Nomenclature of Territorial Units for Statistics (or NUTS), as appropriate.</w:t>
            </w:r>
          </w:p>
        </w:tc>
      </w:tr>
      <w:tr w:rsidR="00E75E5D" w:rsidRPr="00E50FA4" w14:paraId="08C4E08E" w14:textId="77777777" w:rsidTr="00E75E5D">
        <w:trPr>
          <w:trHeight w:val="547"/>
        </w:trPr>
        <w:tc>
          <w:tcPr>
            <w:tcW w:w="1129" w:type="dxa"/>
            <w:shd w:val="clear" w:color="auto" w:fill="FFFFFF" w:themeFill="background1"/>
          </w:tcPr>
          <w:p w14:paraId="6E5A571F" w14:textId="77777777" w:rsidR="00E75E5D" w:rsidRPr="00E50FA4" w:rsidRDefault="00E75E5D" w:rsidP="00E75E5D">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b</w:t>
            </w:r>
          </w:p>
        </w:tc>
        <w:tc>
          <w:tcPr>
            <w:tcW w:w="7655" w:type="dxa"/>
            <w:shd w:val="clear" w:color="auto" w:fill="FFFFFF" w:themeFill="background1"/>
          </w:tcPr>
          <w:p w14:paraId="1ACD38AD" w14:textId="77777777" w:rsidR="00E75E5D" w:rsidRPr="00E50FA4" w:rsidRDefault="00E75E5D" w:rsidP="00720CB4">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Gross carrying amount</w:t>
            </w:r>
          </w:p>
          <w:p w14:paraId="4E03F46D" w14:textId="03A82717" w:rsidR="00E75E5D" w:rsidRPr="00E50FA4" w:rsidRDefault="002404A4" w:rsidP="00BC6B56">
            <w:pPr>
              <w:autoSpaceDE w:val="0"/>
              <w:autoSpaceDN w:val="0"/>
              <w:adjustRightInd w:val="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BC6B56"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w:t>
            </w:r>
            <w:r w:rsidR="00E75E5D" w:rsidRPr="00E50FA4">
              <w:rPr>
                <w:rFonts w:ascii="Times New Roman" w:eastAsia="Times New Roman" w:hAnsi="Times New Roman" w:cs="Times New Roman"/>
                <w:noProof/>
                <w:sz w:val="24"/>
                <w:lang w:val="en-GB"/>
              </w:rPr>
              <w:t xml:space="preserve">gross carrying amount as defined in Part 1 of Annex V to Implementing Regulation (EU) 2021/451 of those exposures towards non-financial corporates (including loans and advances, debt securities and equity instruments), classified under the accounting portfolios in the banking book </w:t>
            </w:r>
            <w:r w:rsidR="005F2B0B" w:rsidRPr="00E50FA4">
              <w:rPr>
                <w:rFonts w:ascii="Times New Roman" w:eastAsia="Times New Roman" w:hAnsi="Times New Roman" w:cs="Times New Roman"/>
                <w:noProof/>
                <w:sz w:val="24"/>
                <w:lang w:val="en-GB"/>
              </w:rPr>
              <w:t>in accordance with</w:t>
            </w:r>
            <w:r w:rsidR="00E75E5D" w:rsidRPr="00E50FA4">
              <w:rPr>
                <w:rFonts w:ascii="Times New Roman" w:eastAsia="Times New Roman" w:hAnsi="Times New Roman" w:cs="Times New Roman"/>
                <w:noProof/>
                <w:sz w:val="24"/>
                <w:lang w:val="en-GB"/>
              </w:rPr>
              <w:t xml:space="preserve"> that </w:t>
            </w:r>
            <w:r w:rsidR="00C26BE2" w:rsidRPr="00E50FA4">
              <w:rPr>
                <w:rFonts w:ascii="Times New Roman" w:eastAsia="Times New Roman" w:hAnsi="Times New Roman" w:cs="Times New Roman"/>
                <w:noProof/>
                <w:sz w:val="24"/>
                <w:lang w:val="en-GB"/>
              </w:rPr>
              <w:t xml:space="preserve">Implementing </w:t>
            </w:r>
            <w:r w:rsidR="00E75E5D" w:rsidRPr="00E50FA4">
              <w:rPr>
                <w:rFonts w:ascii="Times New Roman" w:eastAsia="Times New Roman" w:hAnsi="Times New Roman" w:cs="Times New Roman"/>
                <w:noProof/>
                <w:sz w:val="24"/>
                <w:lang w:val="en-GB"/>
              </w:rPr>
              <w:t>Regulation, excluding financial assets held for trading and held for sale assets.</w:t>
            </w:r>
          </w:p>
        </w:tc>
      </w:tr>
      <w:tr w:rsidR="00E75E5D" w:rsidRPr="00E50FA4" w14:paraId="280A36B6" w14:textId="77777777" w:rsidTr="00E75E5D">
        <w:trPr>
          <w:trHeight w:val="316"/>
        </w:trPr>
        <w:tc>
          <w:tcPr>
            <w:tcW w:w="1129" w:type="dxa"/>
          </w:tcPr>
          <w:p w14:paraId="03E74ABB" w14:textId="77777777" w:rsidR="00E75E5D" w:rsidRPr="00E50FA4" w:rsidRDefault="00492211" w:rsidP="00E75E5D">
            <w:pPr>
              <w:autoSpaceDE w:val="0"/>
              <w:autoSpaceDN w:val="0"/>
              <w:adjustRightInd w:val="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c - </w:t>
            </w:r>
            <w:r w:rsidR="00976D8D" w:rsidRPr="00E50FA4">
              <w:rPr>
                <w:rFonts w:ascii="Times New Roman" w:eastAsia="Times New Roman" w:hAnsi="Times New Roman" w:cs="Times New Roman"/>
                <w:noProof/>
                <w:sz w:val="24"/>
                <w:lang w:val="en-GB"/>
              </w:rPr>
              <w:t>o</w:t>
            </w:r>
          </w:p>
        </w:tc>
        <w:tc>
          <w:tcPr>
            <w:tcW w:w="7655" w:type="dxa"/>
          </w:tcPr>
          <w:p w14:paraId="5B2AA2AD" w14:textId="77777777" w:rsidR="00E75E5D" w:rsidRPr="00E50FA4" w:rsidRDefault="00E75E5D" w:rsidP="00720CB4">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exposures sensitive to impact from climate change physical events</w:t>
            </w:r>
          </w:p>
          <w:p w14:paraId="0DAFB046" w14:textId="3F8292CA" w:rsidR="00E75E5D" w:rsidRPr="00E50FA4" w:rsidRDefault="002404A4" w:rsidP="00BC6B56">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Institutions </w:t>
            </w:r>
            <w:r w:rsidR="00BC6B56" w:rsidRPr="00E50FA4">
              <w:rPr>
                <w:rFonts w:ascii="Times New Roman" w:hAnsi="Times New Roman" w:cs="Times New Roman"/>
                <w:noProof/>
                <w:sz w:val="24"/>
                <w:lang w:val="en-GB"/>
              </w:rPr>
              <w:t>shall</w:t>
            </w:r>
            <w:r w:rsidRPr="00E50FA4">
              <w:rPr>
                <w:rFonts w:ascii="Times New Roman" w:hAnsi="Times New Roman" w:cs="Times New Roman"/>
                <w:noProof/>
                <w:sz w:val="24"/>
                <w:lang w:val="en-GB"/>
              </w:rPr>
              <w:t xml:space="preserve"> disclose the </w:t>
            </w:r>
            <w:r w:rsidR="00E75E5D" w:rsidRPr="00E50FA4">
              <w:rPr>
                <w:rFonts w:ascii="Times New Roman" w:hAnsi="Times New Roman" w:cs="Times New Roman"/>
                <w:noProof/>
                <w:sz w:val="24"/>
                <w:lang w:val="en-GB"/>
              </w:rPr>
              <w:t>gross carrying amount of exposures prone to impact from climate change physical events.</w:t>
            </w:r>
            <w:r w:rsidR="00976D8D" w:rsidRPr="00E50FA4">
              <w:rPr>
                <w:rFonts w:ascii="Times New Roman" w:hAnsi="Times New Roman" w:cs="Times New Roman"/>
                <w:noProof/>
                <w:sz w:val="24"/>
                <w:lang w:val="en-GB"/>
              </w:rPr>
              <w:t xml:space="preserve"> The gross carrying amount of exposures prone to impact from climate change physical events may be equal to the full exposure amount disclosed in column </w:t>
            </w:r>
            <w:r w:rsidR="00245B60" w:rsidRPr="00E50FA4">
              <w:rPr>
                <w:rFonts w:ascii="Times New Roman" w:hAnsi="Times New Roman" w:cs="Times New Roman"/>
                <w:noProof/>
                <w:sz w:val="24"/>
                <w:lang w:val="en-GB"/>
              </w:rPr>
              <w:t>(</w:t>
            </w:r>
            <w:r w:rsidR="00976D8D" w:rsidRPr="00E50FA4">
              <w:rPr>
                <w:rFonts w:ascii="Times New Roman" w:hAnsi="Times New Roman" w:cs="Times New Roman"/>
                <w:noProof/>
                <w:sz w:val="24"/>
                <w:lang w:val="en-GB"/>
              </w:rPr>
              <w:t>b</w:t>
            </w:r>
            <w:r w:rsidR="00245B60" w:rsidRPr="00E50FA4">
              <w:rPr>
                <w:rFonts w:ascii="Times New Roman" w:hAnsi="Times New Roman" w:cs="Times New Roman"/>
                <w:noProof/>
                <w:sz w:val="24"/>
                <w:lang w:val="en-GB"/>
              </w:rPr>
              <w:t>)</w:t>
            </w:r>
            <w:r w:rsidR="00976D8D" w:rsidRPr="00E50FA4">
              <w:rPr>
                <w:rFonts w:ascii="Times New Roman" w:hAnsi="Times New Roman" w:cs="Times New Roman"/>
                <w:noProof/>
                <w:sz w:val="24"/>
                <w:lang w:val="en-GB"/>
              </w:rPr>
              <w:t xml:space="preserve"> </w:t>
            </w:r>
            <w:r w:rsidR="00CD508F" w:rsidRPr="00E50FA4">
              <w:rPr>
                <w:rFonts w:ascii="Times New Roman" w:hAnsi="Times New Roman" w:cs="Times New Roman"/>
                <w:noProof/>
                <w:sz w:val="24"/>
                <w:lang w:val="en-GB"/>
              </w:rPr>
              <w:t xml:space="preserve">of this template </w:t>
            </w:r>
            <w:r w:rsidR="00976D8D" w:rsidRPr="00E50FA4">
              <w:rPr>
                <w:rFonts w:ascii="Times New Roman" w:hAnsi="Times New Roman" w:cs="Times New Roman"/>
                <w:noProof/>
                <w:sz w:val="24"/>
                <w:lang w:val="en-GB"/>
              </w:rPr>
              <w:t xml:space="preserve">or may be a part of that exposure amount. </w:t>
            </w:r>
          </w:p>
        </w:tc>
      </w:tr>
      <w:tr w:rsidR="00E75E5D" w:rsidRPr="00E50FA4" w14:paraId="31BE0910" w14:textId="77777777" w:rsidTr="00E75E5D">
        <w:trPr>
          <w:trHeight w:val="316"/>
        </w:trPr>
        <w:tc>
          <w:tcPr>
            <w:tcW w:w="1129" w:type="dxa"/>
          </w:tcPr>
          <w:p w14:paraId="2AE1B052" w14:textId="77777777" w:rsidR="00E75E5D" w:rsidRPr="00E50FA4" w:rsidRDefault="00E75E5D" w:rsidP="00E75E5D">
            <w:pPr>
              <w:autoSpaceDE w:val="0"/>
              <w:autoSpaceDN w:val="0"/>
              <w:adjustRightInd w:val="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c </w:t>
            </w:r>
            <w:r w:rsidR="00492211"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w:t>
            </w:r>
            <w:r w:rsidR="00296919" w:rsidRPr="00E50FA4">
              <w:rPr>
                <w:rFonts w:ascii="Times New Roman" w:eastAsia="Times New Roman" w:hAnsi="Times New Roman" w:cs="Times New Roman"/>
                <w:noProof/>
                <w:sz w:val="24"/>
                <w:lang w:val="en-GB"/>
              </w:rPr>
              <w:t>g</w:t>
            </w:r>
          </w:p>
        </w:tc>
        <w:tc>
          <w:tcPr>
            <w:tcW w:w="7655" w:type="dxa"/>
          </w:tcPr>
          <w:p w14:paraId="2F360937" w14:textId="77777777" w:rsidR="00E75E5D" w:rsidRPr="00E50FA4" w:rsidRDefault="00E75E5D" w:rsidP="00720CB4">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Breakdown by maturity bucket</w:t>
            </w:r>
          </w:p>
          <w:p w14:paraId="470C4B23" w14:textId="0F46210F" w:rsidR="00E75E5D" w:rsidRPr="00E50FA4" w:rsidRDefault="00E75E5D" w:rsidP="00E75E5D">
            <w:pPr>
              <w:spacing w:before="120" w:after="120"/>
              <w:jc w:val="both"/>
              <w:rPr>
                <w:rFonts w:ascii="Times New Roman" w:hAnsi="Times New Roman"/>
                <w:noProof/>
                <w:sz w:val="24"/>
                <w:lang w:val="en-GB"/>
              </w:rPr>
            </w:pPr>
            <w:r w:rsidRPr="00E50FA4">
              <w:rPr>
                <w:rFonts w:ascii="Times New Roman" w:hAnsi="Times New Roman"/>
                <w:noProof/>
                <w:sz w:val="24"/>
                <w:lang w:val="en-GB"/>
              </w:rPr>
              <w:t xml:space="preserve">Institutions shall allocate the exposures to the relevant bucket depending on the </w:t>
            </w:r>
            <w:r w:rsidR="00BF0177" w:rsidRPr="00E50FA4">
              <w:rPr>
                <w:rFonts w:ascii="Times New Roman" w:hAnsi="Times New Roman"/>
                <w:noProof/>
                <w:sz w:val="24"/>
                <w:lang w:val="en-GB"/>
              </w:rPr>
              <w:t xml:space="preserve">residual </w:t>
            </w:r>
            <w:r w:rsidRPr="00E50FA4">
              <w:rPr>
                <w:rFonts w:ascii="Times New Roman" w:hAnsi="Times New Roman"/>
                <w:noProof/>
                <w:sz w:val="24"/>
                <w:lang w:val="en-GB"/>
              </w:rPr>
              <w:t>maturity of the financial instrument, taking into account the following:</w:t>
            </w:r>
          </w:p>
          <w:p w14:paraId="3DAB547B" w14:textId="40B9653B" w:rsidR="00E75E5D" w:rsidRPr="00E50FA4" w:rsidRDefault="00E75E5D" w:rsidP="00B76863">
            <w:pPr>
              <w:pStyle w:val="ListParagraph"/>
              <w:numPr>
                <w:ilvl w:val="0"/>
                <w:numId w:val="62"/>
              </w:numPr>
              <w:ind w:left="602" w:hanging="602"/>
              <w:jc w:val="both"/>
              <w:rPr>
                <w:rFonts w:ascii="Times New Roman" w:hAnsi="Times New Roman"/>
                <w:noProof/>
                <w:sz w:val="24"/>
              </w:rPr>
            </w:pPr>
            <w:r w:rsidRPr="00E50FA4">
              <w:rPr>
                <w:rFonts w:ascii="Times New Roman" w:hAnsi="Times New Roman"/>
                <w:noProof/>
                <w:sz w:val="24"/>
              </w:rPr>
              <w:t xml:space="preserve">where the amount is </w:t>
            </w:r>
            <w:r w:rsidR="00BF0177" w:rsidRPr="00E50FA4">
              <w:rPr>
                <w:rFonts w:ascii="Times New Roman" w:hAnsi="Times New Roman"/>
                <w:noProof/>
                <w:sz w:val="24"/>
              </w:rPr>
              <w:t xml:space="preserve">to be </w:t>
            </w:r>
            <w:r w:rsidRPr="00E50FA4">
              <w:rPr>
                <w:rFonts w:ascii="Times New Roman" w:hAnsi="Times New Roman"/>
                <w:noProof/>
                <w:sz w:val="24"/>
              </w:rPr>
              <w:t>repaid in instalments, the exposure shall be allocated in the maturity bucket corresponding to the last instalment;</w:t>
            </w:r>
          </w:p>
          <w:p w14:paraId="70D4D98F" w14:textId="1589ED5E" w:rsidR="00296919" w:rsidRPr="00E50FA4" w:rsidRDefault="00E75E5D" w:rsidP="00B76863">
            <w:pPr>
              <w:pStyle w:val="ListParagraph"/>
              <w:numPr>
                <w:ilvl w:val="0"/>
                <w:numId w:val="62"/>
              </w:numPr>
              <w:spacing w:before="120" w:after="120"/>
              <w:ind w:left="602" w:hanging="602"/>
              <w:jc w:val="both"/>
              <w:rPr>
                <w:rFonts w:ascii="Times New Roman" w:hAnsi="Times New Roman"/>
                <w:noProof/>
                <w:sz w:val="24"/>
              </w:rPr>
            </w:pPr>
            <w:r w:rsidRPr="00E50FA4">
              <w:rPr>
                <w:rFonts w:ascii="Times New Roman" w:hAnsi="Times New Roman"/>
                <w:noProof/>
                <w:sz w:val="24"/>
              </w:rPr>
              <w:t>where an exposure has no stated maturity for reasons other than the counterparty having the choice of the repayment date, the amount of this exposure shall be disclosed in column ‘&gt; 20 years’</w:t>
            </w:r>
            <w:r w:rsidR="00BF0177" w:rsidRPr="00E50FA4">
              <w:rPr>
                <w:rFonts w:ascii="Times New Roman" w:hAnsi="Times New Roman"/>
                <w:noProof/>
                <w:sz w:val="24"/>
              </w:rPr>
              <w:t>;</w:t>
            </w:r>
          </w:p>
          <w:p w14:paraId="30AB2BDA" w14:textId="313D6B9D" w:rsidR="00E75E5D" w:rsidRPr="00E50FA4" w:rsidRDefault="00BF0177" w:rsidP="00B76863">
            <w:pPr>
              <w:pStyle w:val="ListParagraph"/>
              <w:numPr>
                <w:ilvl w:val="0"/>
                <w:numId w:val="62"/>
              </w:numPr>
              <w:spacing w:before="120" w:after="120"/>
              <w:ind w:left="602" w:hanging="602"/>
              <w:jc w:val="both"/>
              <w:rPr>
                <w:rFonts w:ascii="Times New Roman" w:hAnsi="Times New Roman"/>
                <w:noProof/>
                <w:sz w:val="24"/>
              </w:rPr>
            </w:pPr>
            <w:r w:rsidRPr="00E50FA4">
              <w:rPr>
                <w:rFonts w:ascii="Times New Roman" w:hAnsi="Times New Roman"/>
                <w:noProof/>
                <w:sz w:val="24"/>
              </w:rPr>
              <w:t>to compute</w:t>
            </w:r>
            <w:r w:rsidR="00296919" w:rsidRPr="00E50FA4">
              <w:rPr>
                <w:rFonts w:ascii="Times New Roman" w:hAnsi="Times New Roman"/>
                <w:noProof/>
                <w:sz w:val="24"/>
              </w:rPr>
              <w:t xml:space="preserve"> the average maturity of the exposure, institutions shall weigh the maturity of each exposure by the gross carrying amount of the exposures.</w:t>
            </w:r>
          </w:p>
        </w:tc>
      </w:tr>
      <w:tr w:rsidR="00E75E5D" w:rsidRPr="00E50FA4" w14:paraId="48807C35" w14:textId="77777777" w:rsidTr="00E75E5D">
        <w:trPr>
          <w:trHeight w:val="316"/>
        </w:trPr>
        <w:tc>
          <w:tcPr>
            <w:tcW w:w="1129" w:type="dxa"/>
          </w:tcPr>
          <w:p w14:paraId="626E6D7F" w14:textId="77777777" w:rsidR="00E75E5D" w:rsidRPr="00E50FA4" w:rsidRDefault="00296919" w:rsidP="00E75E5D">
            <w:pPr>
              <w:autoSpaceDE w:val="0"/>
              <w:autoSpaceDN w:val="0"/>
              <w:adjustRightInd w:val="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h</w:t>
            </w:r>
          </w:p>
        </w:tc>
        <w:tc>
          <w:tcPr>
            <w:tcW w:w="7655" w:type="dxa"/>
          </w:tcPr>
          <w:p w14:paraId="416B944D" w14:textId="77777777" w:rsidR="00E75E5D" w:rsidRPr="00E50FA4" w:rsidRDefault="00E75E5D" w:rsidP="00720CB4">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exposures </w:t>
            </w:r>
            <w:r w:rsidR="00AE5EC1" w:rsidRPr="00E50FA4">
              <w:rPr>
                <w:rFonts w:ascii="Times New Roman" w:eastAsia="Times New Roman" w:hAnsi="Times New Roman" w:cs="Times New Roman"/>
                <w:b/>
                <w:noProof/>
                <w:sz w:val="24"/>
                <w:u w:val="single"/>
                <w:lang w:val="en-GB"/>
              </w:rPr>
              <w:t>sensitive</w:t>
            </w:r>
            <w:r w:rsidRPr="00E50FA4">
              <w:rPr>
                <w:rFonts w:ascii="Times New Roman" w:eastAsia="Times New Roman" w:hAnsi="Times New Roman" w:cs="Times New Roman"/>
                <w:b/>
                <w:noProof/>
                <w:sz w:val="24"/>
                <w:u w:val="single"/>
                <w:lang w:val="en-GB"/>
              </w:rPr>
              <w:t xml:space="preserve"> to impact from chronic climate change events</w:t>
            </w:r>
          </w:p>
          <w:p w14:paraId="57252EC7" w14:textId="31C97DF9" w:rsidR="00E75E5D" w:rsidRPr="00E50FA4" w:rsidRDefault="00B72173" w:rsidP="00BC6B56">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Institutions </w:t>
            </w:r>
            <w:r w:rsidR="00BC6B56" w:rsidRPr="00E50FA4">
              <w:rPr>
                <w:rFonts w:ascii="Times New Roman" w:hAnsi="Times New Roman" w:cs="Times New Roman"/>
                <w:noProof/>
                <w:sz w:val="24"/>
                <w:lang w:val="en-GB"/>
              </w:rPr>
              <w:t>shall</w:t>
            </w:r>
            <w:r w:rsidRPr="00E50FA4">
              <w:rPr>
                <w:rFonts w:ascii="Times New Roman" w:hAnsi="Times New Roman" w:cs="Times New Roman"/>
                <w:noProof/>
                <w:sz w:val="24"/>
                <w:lang w:val="en-GB"/>
              </w:rPr>
              <w:t xml:space="preserve"> disclose the </w:t>
            </w:r>
            <w:r w:rsidR="00E75E5D" w:rsidRPr="00E50FA4">
              <w:rPr>
                <w:rFonts w:ascii="Times New Roman" w:hAnsi="Times New Roman" w:cs="Times New Roman"/>
                <w:noProof/>
                <w:sz w:val="24"/>
                <w:lang w:val="en-GB"/>
              </w:rPr>
              <w:t xml:space="preserve">gross carrying amount of exposures </w:t>
            </w:r>
            <w:r w:rsidR="00302BAB" w:rsidRPr="00E50FA4">
              <w:rPr>
                <w:rFonts w:ascii="Times New Roman" w:hAnsi="Times New Roman" w:cs="Times New Roman"/>
                <w:noProof/>
                <w:sz w:val="24"/>
                <w:lang w:val="en-GB"/>
              </w:rPr>
              <w:t>sensitive</w:t>
            </w:r>
            <w:r w:rsidR="00E75E5D" w:rsidRPr="00E50FA4">
              <w:rPr>
                <w:rFonts w:ascii="Times New Roman" w:hAnsi="Times New Roman" w:cs="Times New Roman"/>
                <w:noProof/>
                <w:sz w:val="24"/>
                <w:lang w:val="en-GB"/>
              </w:rPr>
              <w:t xml:space="preserve"> to impact from chronic climate</w:t>
            </w:r>
            <w:r w:rsidR="00096F1B" w:rsidRPr="00E50FA4">
              <w:rPr>
                <w:rFonts w:ascii="Times New Roman" w:hAnsi="Times New Roman" w:cs="Times New Roman"/>
                <w:noProof/>
                <w:sz w:val="24"/>
                <w:lang w:val="en-GB"/>
              </w:rPr>
              <w:t>-</w:t>
            </w:r>
            <w:r w:rsidR="00E75E5D" w:rsidRPr="00E50FA4">
              <w:rPr>
                <w:rFonts w:ascii="Times New Roman" w:hAnsi="Times New Roman" w:cs="Times New Roman"/>
                <w:noProof/>
                <w:sz w:val="24"/>
                <w:lang w:val="en-GB"/>
              </w:rPr>
              <w:t>change events</w:t>
            </w:r>
            <w:r w:rsidR="00CB5006" w:rsidRPr="00E50FA4" w:rsidDel="00CB5006">
              <w:rPr>
                <w:rFonts w:ascii="Times New Roman" w:hAnsi="Times New Roman" w:cs="Times New Roman"/>
                <w:noProof/>
                <w:sz w:val="24"/>
                <w:lang w:val="en-GB"/>
              </w:rPr>
              <w:t xml:space="preserve"> </w:t>
            </w:r>
            <w:r w:rsidR="00302BAB" w:rsidRPr="00E50FA4">
              <w:rPr>
                <w:rFonts w:ascii="Times New Roman" w:hAnsi="Times New Roman" w:cs="Times New Roman"/>
                <w:noProof/>
                <w:sz w:val="24"/>
                <w:lang w:val="en-GB"/>
              </w:rPr>
              <w:t xml:space="preserve">only, </w:t>
            </w:r>
            <w:r w:rsidR="00CB5006" w:rsidRPr="00E50FA4">
              <w:rPr>
                <w:rFonts w:ascii="Times New Roman" w:hAnsi="Times New Roman" w:cs="Times New Roman"/>
                <w:noProof/>
                <w:sz w:val="24"/>
                <w:lang w:val="en-GB"/>
              </w:rPr>
              <w:t>i</w:t>
            </w:r>
            <w:r w:rsidR="00E75E5D" w:rsidRPr="00E50FA4">
              <w:rPr>
                <w:rFonts w:ascii="Times New Roman" w:hAnsi="Times New Roman" w:cs="Times New Roman"/>
                <w:noProof/>
                <w:sz w:val="24"/>
                <w:lang w:val="en-GB"/>
              </w:rPr>
              <w:t xml:space="preserve">ncluding hazards relating to gradual changes in </w:t>
            </w:r>
            <w:r w:rsidR="00E75E5D" w:rsidRPr="00E50FA4">
              <w:rPr>
                <w:rFonts w:ascii="Times New Roman" w:hAnsi="Times New Roman" w:cs="Times New Roman"/>
                <w:bCs/>
                <w:noProof/>
                <w:sz w:val="24"/>
                <w:lang w:val="en-GB"/>
              </w:rPr>
              <w:t>weather</w:t>
            </w:r>
            <w:r w:rsidR="00E75E5D" w:rsidRPr="00E50FA4">
              <w:rPr>
                <w:rFonts w:ascii="Times New Roman" w:hAnsi="Times New Roman" w:cs="Times New Roman"/>
                <w:noProof/>
                <w:sz w:val="24"/>
                <w:lang w:val="en-GB"/>
              </w:rPr>
              <w:t xml:space="preserve"> and climate and having a possible impact on economic output and productivity.</w:t>
            </w:r>
          </w:p>
        </w:tc>
      </w:tr>
      <w:tr w:rsidR="00E75E5D" w:rsidRPr="00E50FA4" w14:paraId="0466B9EE" w14:textId="77777777" w:rsidTr="00E75E5D">
        <w:trPr>
          <w:trHeight w:val="316"/>
        </w:trPr>
        <w:tc>
          <w:tcPr>
            <w:tcW w:w="1129" w:type="dxa"/>
          </w:tcPr>
          <w:p w14:paraId="0429D706" w14:textId="77777777" w:rsidR="00E75E5D" w:rsidRPr="00E50FA4" w:rsidRDefault="00296919" w:rsidP="00E75E5D">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i</w:t>
            </w:r>
          </w:p>
        </w:tc>
        <w:tc>
          <w:tcPr>
            <w:tcW w:w="7655" w:type="dxa"/>
          </w:tcPr>
          <w:p w14:paraId="542AA585" w14:textId="77777777" w:rsidR="00E75E5D" w:rsidRPr="00E50FA4" w:rsidRDefault="00E75E5D" w:rsidP="00720CB4">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exposures </w:t>
            </w:r>
            <w:r w:rsidR="00AE5EC1" w:rsidRPr="00E50FA4">
              <w:rPr>
                <w:rFonts w:ascii="Times New Roman" w:eastAsia="Times New Roman" w:hAnsi="Times New Roman" w:cs="Times New Roman"/>
                <w:b/>
                <w:noProof/>
                <w:sz w:val="24"/>
                <w:u w:val="single"/>
                <w:lang w:val="en-GB"/>
              </w:rPr>
              <w:t>sensitive</w:t>
            </w:r>
            <w:r w:rsidRPr="00E50FA4">
              <w:rPr>
                <w:rFonts w:ascii="Times New Roman" w:eastAsia="Times New Roman" w:hAnsi="Times New Roman" w:cs="Times New Roman"/>
                <w:b/>
                <w:noProof/>
                <w:sz w:val="24"/>
                <w:u w:val="single"/>
                <w:lang w:val="en-GB"/>
              </w:rPr>
              <w:t xml:space="preserve"> to impact from acute climate change events</w:t>
            </w:r>
          </w:p>
          <w:p w14:paraId="031CBCD5" w14:textId="093D8578" w:rsidR="00E75E5D" w:rsidRPr="00E50FA4" w:rsidRDefault="00B72173" w:rsidP="00720CB4">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Institutions </w:t>
            </w:r>
            <w:r w:rsidR="00BC6B56" w:rsidRPr="00E50FA4">
              <w:rPr>
                <w:rFonts w:ascii="Times New Roman" w:hAnsi="Times New Roman" w:cs="Times New Roman"/>
                <w:noProof/>
                <w:sz w:val="24"/>
                <w:lang w:val="en-GB"/>
              </w:rPr>
              <w:t>shall disclose</w:t>
            </w:r>
            <w:r w:rsidRPr="00E50FA4">
              <w:rPr>
                <w:rFonts w:ascii="Times New Roman" w:hAnsi="Times New Roman" w:cs="Times New Roman"/>
                <w:noProof/>
                <w:sz w:val="24"/>
                <w:lang w:val="en-GB"/>
              </w:rPr>
              <w:t xml:space="preserve"> the </w:t>
            </w:r>
            <w:r w:rsidR="00E75E5D" w:rsidRPr="00E50FA4">
              <w:rPr>
                <w:rFonts w:ascii="Times New Roman" w:hAnsi="Times New Roman" w:cs="Times New Roman"/>
                <w:noProof/>
                <w:sz w:val="24"/>
                <w:lang w:val="en-GB"/>
              </w:rPr>
              <w:t>gross carrying amount of exposures</w:t>
            </w:r>
            <w:r w:rsidR="002F00EF" w:rsidRPr="00E50FA4">
              <w:rPr>
                <w:rFonts w:ascii="Times New Roman" w:hAnsi="Times New Roman" w:cs="Times New Roman"/>
                <w:noProof/>
                <w:sz w:val="24"/>
                <w:lang w:val="en-GB"/>
              </w:rPr>
              <w:t xml:space="preserve"> </w:t>
            </w:r>
            <w:r w:rsidR="00302BAB" w:rsidRPr="00E50FA4">
              <w:rPr>
                <w:rFonts w:ascii="Times New Roman" w:hAnsi="Times New Roman" w:cs="Times New Roman"/>
                <w:noProof/>
                <w:sz w:val="24"/>
                <w:lang w:val="en-GB"/>
              </w:rPr>
              <w:t>sensitive</w:t>
            </w:r>
            <w:r w:rsidR="00E75E5D" w:rsidRPr="00E50FA4">
              <w:rPr>
                <w:rFonts w:ascii="Times New Roman" w:hAnsi="Times New Roman" w:cs="Times New Roman"/>
                <w:noProof/>
                <w:sz w:val="24"/>
                <w:lang w:val="en-GB"/>
              </w:rPr>
              <w:t xml:space="preserve"> to impact from acute climate change events </w:t>
            </w:r>
            <w:r w:rsidR="00302BAB" w:rsidRPr="00E50FA4">
              <w:rPr>
                <w:rFonts w:ascii="Times New Roman" w:hAnsi="Times New Roman" w:cs="Times New Roman"/>
                <w:noProof/>
                <w:sz w:val="24"/>
                <w:lang w:val="en-GB"/>
              </w:rPr>
              <w:t xml:space="preserve">only, </w:t>
            </w:r>
            <w:r w:rsidR="00E75E5D" w:rsidRPr="00E50FA4">
              <w:rPr>
                <w:rFonts w:ascii="Times New Roman" w:hAnsi="Times New Roman" w:cs="Times New Roman"/>
                <w:noProof/>
                <w:sz w:val="24"/>
                <w:lang w:val="en-GB"/>
              </w:rPr>
              <w:t xml:space="preserve">including hazards that may cause sudden damage to properties, disruption of supply chains, </w:t>
            </w:r>
            <w:r w:rsidR="00ED2C85" w:rsidRPr="00E50FA4">
              <w:rPr>
                <w:rFonts w:ascii="Times New Roman" w:hAnsi="Times New Roman" w:cs="Times New Roman"/>
                <w:noProof/>
                <w:sz w:val="24"/>
                <w:lang w:val="en-GB"/>
              </w:rPr>
              <w:t>and depreciation</w:t>
            </w:r>
            <w:r w:rsidR="00E75E5D" w:rsidRPr="00E50FA4">
              <w:rPr>
                <w:rFonts w:ascii="Times New Roman" w:hAnsi="Times New Roman" w:cs="Times New Roman"/>
                <w:noProof/>
                <w:sz w:val="24"/>
                <w:lang w:val="en-GB"/>
              </w:rPr>
              <w:t xml:space="preserve"> of assets.</w:t>
            </w:r>
          </w:p>
          <w:p w14:paraId="0084DEDF" w14:textId="77777777" w:rsidR="00E75E5D" w:rsidRPr="00E50FA4" w:rsidRDefault="00E75E5D" w:rsidP="00E75E5D">
            <w:pPr>
              <w:jc w:val="both"/>
              <w:rPr>
                <w:rFonts w:ascii="Times New Roman" w:eastAsia="Times New Roman" w:hAnsi="Times New Roman" w:cs="Times New Roman"/>
                <w:noProof/>
                <w:sz w:val="24"/>
                <w:lang w:val="en-GB" w:eastAsia="sv-SE"/>
              </w:rPr>
            </w:pPr>
          </w:p>
        </w:tc>
      </w:tr>
      <w:tr w:rsidR="00E75E5D" w:rsidRPr="00E50FA4" w14:paraId="64D14E45" w14:textId="77777777" w:rsidTr="00E75E5D">
        <w:trPr>
          <w:trHeight w:val="316"/>
        </w:trPr>
        <w:tc>
          <w:tcPr>
            <w:tcW w:w="1129" w:type="dxa"/>
          </w:tcPr>
          <w:p w14:paraId="73F78A50" w14:textId="77777777" w:rsidR="00E75E5D" w:rsidRPr="00E50FA4" w:rsidRDefault="00296919" w:rsidP="00E75E5D">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j</w:t>
            </w:r>
          </w:p>
        </w:tc>
        <w:tc>
          <w:tcPr>
            <w:tcW w:w="7655" w:type="dxa"/>
          </w:tcPr>
          <w:p w14:paraId="7A82083D" w14:textId="77777777" w:rsidR="00240607" w:rsidRPr="00E50FA4" w:rsidRDefault="00E75E5D" w:rsidP="00720CB4">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exposures sensitive to impact both from chronic and acute climate change events</w:t>
            </w:r>
          </w:p>
          <w:p w14:paraId="69831534" w14:textId="4186688C" w:rsidR="00E75E5D" w:rsidRPr="00E50FA4" w:rsidRDefault="008F08CA" w:rsidP="00292EF5">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 xml:space="preserve">Institutions </w:t>
            </w:r>
            <w:r w:rsidR="00BC6B56" w:rsidRPr="00E50FA4">
              <w:rPr>
                <w:rFonts w:ascii="Times New Roman" w:hAnsi="Times New Roman" w:cs="Times New Roman"/>
                <w:noProof/>
                <w:sz w:val="24"/>
                <w:lang w:val="en-GB"/>
              </w:rPr>
              <w:t>shall</w:t>
            </w:r>
            <w:r w:rsidRPr="00E50FA4">
              <w:rPr>
                <w:rFonts w:ascii="Times New Roman" w:hAnsi="Times New Roman" w:cs="Times New Roman"/>
                <w:noProof/>
                <w:sz w:val="24"/>
                <w:lang w:val="en-GB"/>
              </w:rPr>
              <w:t xml:space="preserve"> disclose the </w:t>
            </w:r>
            <w:r w:rsidR="00E75E5D" w:rsidRPr="00E50FA4">
              <w:rPr>
                <w:rFonts w:ascii="Times New Roman" w:hAnsi="Times New Roman" w:cs="Times New Roman"/>
                <w:noProof/>
                <w:sz w:val="24"/>
                <w:lang w:val="en-GB"/>
              </w:rPr>
              <w:t xml:space="preserve">gross carrying amount subject to impact from </w:t>
            </w:r>
            <w:r w:rsidR="00302BAB" w:rsidRPr="00E50FA4">
              <w:rPr>
                <w:rFonts w:ascii="Times New Roman" w:hAnsi="Times New Roman" w:cs="Times New Roman"/>
                <w:noProof/>
                <w:sz w:val="24"/>
                <w:lang w:val="en-GB"/>
              </w:rPr>
              <w:t xml:space="preserve">both </w:t>
            </w:r>
            <w:r w:rsidR="00E75E5D" w:rsidRPr="00E50FA4">
              <w:rPr>
                <w:rFonts w:ascii="Times New Roman" w:hAnsi="Times New Roman" w:cs="Times New Roman"/>
                <w:noProof/>
                <w:sz w:val="24"/>
                <w:lang w:val="en-GB"/>
              </w:rPr>
              <w:t xml:space="preserve">chronic </w:t>
            </w:r>
            <w:r w:rsidR="00302BAB" w:rsidRPr="00E50FA4">
              <w:rPr>
                <w:rFonts w:ascii="Times New Roman" w:hAnsi="Times New Roman" w:cs="Times New Roman"/>
                <w:noProof/>
                <w:sz w:val="24"/>
                <w:lang w:val="en-GB"/>
              </w:rPr>
              <w:t>and</w:t>
            </w:r>
            <w:r w:rsidR="00E75E5D" w:rsidRPr="00E50FA4">
              <w:rPr>
                <w:rFonts w:ascii="Times New Roman" w:hAnsi="Times New Roman" w:cs="Times New Roman"/>
                <w:noProof/>
                <w:sz w:val="24"/>
                <w:lang w:val="en-GB"/>
              </w:rPr>
              <w:t xml:space="preserve"> acute climate change events</w:t>
            </w:r>
            <w:r w:rsidR="00393C46" w:rsidRPr="00E50FA4">
              <w:rPr>
                <w:rFonts w:ascii="Times New Roman" w:hAnsi="Times New Roman" w:cs="Times New Roman"/>
                <w:noProof/>
                <w:sz w:val="24"/>
                <w:lang w:val="en-GB"/>
              </w:rPr>
              <w:t xml:space="preserve">, </w:t>
            </w:r>
            <w:r w:rsidR="00107798" w:rsidRPr="00E50FA4">
              <w:rPr>
                <w:rFonts w:ascii="Times New Roman" w:hAnsi="Times New Roman" w:cs="Times New Roman"/>
                <w:noProof/>
                <w:sz w:val="24"/>
                <w:lang w:val="en-GB"/>
              </w:rPr>
              <w:t xml:space="preserve">referred to in </w:t>
            </w:r>
            <w:r w:rsidR="00E75E5D" w:rsidRPr="00E50FA4">
              <w:rPr>
                <w:rFonts w:ascii="Times New Roman" w:hAnsi="Times New Roman" w:cs="Times New Roman"/>
                <w:noProof/>
                <w:sz w:val="24"/>
                <w:lang w:val="en-GB"/>
              </w:rPr>
              <w:t xml:space="preserve">columns </w:t>
            </w:r>
            <w:r w:rsidR="007542B8" w:rsidRPr="00E50FA4">
              <w:rPr>
                <w:rFonts w:ascii="Times New Roman" w:hAnsi="Times New Roman" w:cs="Times New Roman"/>
                <w:noProof/>
                <w:sz w:val="24"/>
                <w:lang w:val="en-GB"/>
              </w:rPr>
              <w:t>(</w:t>
            </w:r>
            <w:r w:rsidR="00302BAB" w:rsidRPr="00E50FA4">
              <w:rPr>
                <w:rFonts w:ascii="Times New Roman" w:hAnsi="Times New Roman" w:cs="Times New Roman"/>
                <w:noProof/>
                <w:sz w:val="24"/>
                <w:lang w:val="en-GB"/>
              </w:rPr>
              <w:t>h</w:t>
            </w:r>
            <w:r w:rsidR="007542B8" w:rsidRPr="00E50FA4">
              <w:rPr>
                <w:rFonts w:ascii="Times New Roman" w:hAnsi="Times New Roman" w:cs="Times New Roman"/>
                <w:noProof/>
                <w:sz w:val="24"/>
                <w:lang w:val="en-GB"/>
              </w:rPr>
              <w:t>)</w:t>
            </w:r>
            <w:r w:rsidR="00E75E5D" w:rsidRPr="00E50FA4">
              <w:rPr>
                <w:rFonts w:ascii="Times New Roman" w:hAnsi="Times New Roman" w:cs="Times New Roman"/>
                <w:noProof/>
                <w:sz w:val="24"/>
                <w:lang w:val="en-GB"/>
              </w:rPr>
              <w:t xml:space="preserve"> and </w:t>
            </w:r>
            <w:r w:rsidR="007542B8" w:rsidRPr="00E50FA4">
              <w:rPr>
                <w:rFonts w:ascii="Times New Roman" w:hAnsi="Times New Roman" w:cs="Times New Roman"/>
                <w:noProof/>
                <w:sz w:val="24"/>
                <w:lang w:val="en-GB"/>
              </w:rPr>
              <w:t>(</w:t>
            </w:r>
            <w:r w:rsidR="00302BAB" w:rsidRPr="00E50FA4">
              <w:rPr>
                <w:rFonts w:ascii="Times New Roman" w:hAnsi="Times New Roman" w:cs="Times New Roman"/>
                <w:noProof/>
                <w:sz w:val="24"/>
                <w:lang w:val="en-GB"/>
              </w:rPr>
              <w:t>i</w:t>
            </w:r>
            <w:r w:rsidR="007542B8" w:rsidRPr="00E50FA4">
              <w:rPr>
                <w:rFonts w:ascii="Times New Roman" w:hAnsi="Times New Roman" w:cs="Times New Roman"/>
                <w:noProof/>
                <w:sz w:val="24"/>
                <w:lang w:val="en-GB"/>
              </w:rPr>
              <w:t>)</w:t>
            </w:r>
            <w:r w:rsidR="00E75E5D" w:rsidRPr="00E50FA4">
              <w:rPr>
                <w:rFonts w:ascii="Times New Roman" w:hAnsi="Times New Roman" w:cs="Times New Roman"/>
                <w:noProof/>
                <w:sz w:val="24"/>
                <w:lang w:val="en-GB"/>
              </w:rPr>
              <w:t>.</w:t>
            </w:r>
          </w:p>
        </w:tc>
      </w:tr>
      <w:tr w:rsidR="00E75E5D" w:rsidRPr="00E50FA4" w14:paraId="7FF2A275" w14:textId="77777777" w:rsidTr="00E75E5D">
        <w:trPr>
          <w:trHeight w:val="316"/>
        </w:trPr>
        <w:tc>
          <w:tcPr>
            <w:tcW w:w="1129" w:type="dxa"/>
          </w:tcPr>
          <w:p w14:paraId="4CB499DD" w14:textId="77777777" w:rsidR="00E75E5D" w:rsidRPr="00E50FA4" w:rsidRDefault="00296919" w:rsidP="00E75E5D">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k</w:t>
            </w:r>
          </w:p>
        </w:tc>
        <w:tc>
          <w:tcPr>
            <w:tcW w:w="7655" w:type="dxa"/>
          </w:tcPr>
          <w:p w14:paraId="477F833C" w14:textId="77777777" w:rsidR="00E75E5D" w:rsidRPr="00E50FA4" w:rsidRDefault="00E75E5D" w:rsidP="00720CB4">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stage 2</w:t>
            </w:r>
          </w:p>
          <w:p w14:paraId="01DA675F" w14:textId="3FEBDFB4" w:rsidR="00E75E5D" w:rsidRPr="00E50FA4" w:rsidRDefault="008F08CA" w:rsidP="00E75E5D">
            <w:pPr>
              <w:autoSpaceDE w:val="0"/>
              <w:autoSpaceDN w:val="0"/>
              <w:adjustRightInd w:val="0"/>
              <w:spacing w:before="120" w:after="120"/>
              <w:jc w:val="both"/>
              <w:rPr>
                <w:rFonts w:ascii="Times New Roman" w:hAnsi="Times New Roman" w:cs="Times New Roman"/>
                <w:noProof/>
                <w:sz w:val="24"/>
                <w:lang w:val="en-GB"/>
              </w:rPr>
            </w:pPr>
            <w:r w:rsidRPr="00E50FA4">
              <w:rPr>
                <w:rFonts w:ascii="Times New Roman" w:hAnsi="Times New Roman" w:cs="Times New Roman"/>
                <w:noProof/>
                <w:sz w:val="24"/>
                <w:lang w:val="en-GB"/>
              </w:rPr>
              <w:t>I</w:t>
            </w:r>
            <w:r w:rsidR="00E75E5D" w:rsidRPr="00E50FA4">
              <w:rPr>
                <w:rFonts w:ascii="Times New Roman" w:hAnsi="Times New Roman" w:cs="Times New Roman"/>
                <w:noProof/>
                <w:sz w:val="24"/>
                <w:lang w:val="en-GB"/>
              </w:rPr>
              <w:t>nstitutions applying IFRS</w:t>
            </w:r>
            <w:r w:rsidRPr="00E50FA4">
              <w:rPr>
                <w:rFonts w:ascii="Times New Roman" w:hAnsi="Times New Roman" w:cs="Times New Roman"/>
                <w:noProof/>
                <w:sz w:val="24"/>
                <w:lang w:val="en-GB"/>
              </w:rPr>
              <w:t xml:space="preserve"> </w:t>
            </w:r>
            <w:r w:rsidR="005C6269" w:rsidRPr="00E50FA4">
              <w:rPr>
                <w:rFonts w:ascii="Times New Roman" w:hAnsi="Times New Roman" w:cs="Times New Roman"/>
                <w:noProof/>
                <w:sz w:val="24"/>
                <w:lang w:val="en-GB"/>
              </w:rPr>
              <w:t>shall</w:t>
            </w:r>
            <w:r w:rsidR="00D66824" w:rsidRPr="00E50FA4">
              <w:rPr>
                <w:rFonts w:ascii="Times New Roman" w:hAnsi="Times New Roman" w:cs="Times New Roman"/>
                <w:noProof/>
                <w:sz w:val="24"/>
                <w:lang w:val="en-GB"/>
              </w:rPr>
              <w:t xml:space="preserve"> </w:t>
            </w:r>
            <w:r w:rsidRPr="00E50FA4">
              <w:rPr>
                <w:rFonts w:ascii="Times New Roman" w:hAnsi="Times New Roman" w:cs="Times New Roman"/>
                <w:noProof/>
                <w:sz w:val="24"/>
                <w:lang w:val="en-GB"/>
              </w:rPr>
              <w:t>disclose</w:t>
            </w:r>
            <w:r w:rsidR="005C6269" w:rsidRPr="00E50FA4">
              <w:rPr>
                <w:rFonts w:ascii="Times New Roman" w:hAnsi="Times New Roman" w:cs="Times New Roman"/>
                <w:noProof/>
                <w:sz w:val="24"/>
                <w:lang w:val="en-GB"/>
              </w:rPr>
              <w:t xml:space="preserve"> </w:t>
            </w:r>
            <w:r w:rsidR="00E75E5D" w:rsidRPr="00E50FA4">
              <w:rPr>
                <w:rFonts w:ascii="Times New Roman" w:hAnsi="Times New Roman" w:cs="Times New Roman"/>
                <w:noProof/>
                <w:sz w:val="24"/>
                <w:lang w:val="en-GB"/>
              </w:rPr>
              <w:t xml:space="preserve">the gross carrying amount of ‘Stage 2’ instruments as defined in IFRS 9. </w:t>
            </w:r>
          </w:p>
          <w:p w14:paraId="32BC616F" w14:textId="1389CB94" w:rsidR="0057151F" w:rsidRPr="00E50FA4" w:rsidRDefault="007B3637" w:rsidP="00507E2B">
            <w:pPr>
              <w:autoSpaceDE w:val="0"/>
              <w:autoSpaceDN w:val="0"/>
              <w:adjustRightInd w:val="0"/>
              <w:spacing w:before="120" w:after="120"/>
              <w:jc w:val="both"/>
              <w:rPr>
                <w:noProof/>
                <w:lang w:val="en-GB"/>
              </w:rPr>
            </w:pPr>
            <w:r w:rsidRPr="00E50FA4">
              <w:rPr>
                <w:rFonts w:ascii="Times New Roman" w:hAnsi="Times New Roman" w:cs="Times New Roman"/>
                <w:noProof/>
                <w:sz w:val="24"/>
                <w:lang w:val="en-GB"/>
              </w:rPr>
              <w:t xml:space="preserve">The </w:t>
            </w:r>
            <w:r w:rsidR="00E75E5D" w:rsidRPr="00E50FA4">
              <w:rPr>
                <w:rFonts w:ascii="Times New Roman" w:hAnsi="Times New Roman" w:cs="Times New Roman"/>
                <w:noProof/>
                <w:sz w:val="24"/>
                <w:lang w:val="en-GB"/>
              </w:rPr>
              <w:t>columns on ‘Of which stage 2’ shall not be disclosed by institutions that apply national generally accepted accounting principles based on Directive 86/635/EEC</w:t>
            </w:r>
            <w:r w:rsidR="00E75E5D" w:rsidRPr="00E50FA4">
              <w:rPr>
                <w:noProof/>
                <w:lang w:val="en-GB"/>
              </w:rPr>
              <w:t>.</w:t>
            </w:r>
          </w:p>
        </w:tc>
      </w:tr>
      <w:tr w:rsidR="00E75E5D" w:rsidRPr="00E50FA4" w14:paraId="60EF795C" w14:textId="77777777" w:rsidTr="00E75E5D">
        <w:trPr>
          <w:trHeight w:val="316"/>
        </w:trPr>
        <w:tc>
          <w:tcPr>
            <w:tcW w:w="1129" w:type="dxa"/>
          </w:tcPr>
          <w:p w14:paraId="1A4F701F" w14:textId="77777777" w:rsidR="00E75E5D" w:rsidRPr="00E50FA4" w:rsidRDefault="00296919" w:rsidP="00E75E5D">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l</w:t>
            </w:r>
          </w:p>
        </w:tc>
        <w:tc>
          <w:tcPr>
            <w:tcW w:w="7655" w:type="dxa"/>
          </w:tcPr>
          <w:p w14:paraId="748D146C" w14:textId="77777777" w:rsidR="00393C46" w:rsidRPr="00E50FA4" w:rsidRDefault="00E75E5D" w:rsidP="00720CB4">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non-performing exposures</w:t>
            </w:r>
          </w:p>
          <w:p w14:paraId="63557828" w14:textId="08A8B3D0" w:rsidR="00E75E5D" w:rsidRPr="00E50FA4" w:rsidRDefault="008F08CA" w:rsidP="005C6269">
            <w:pPr>
              <w:pStyle w:val="Fait"/>
              <w:spacing w:before="0" w:after="120"/>
              <w:rPr>
                <w:noProof/>
              </w:rPr>
            </w:pPr>
            <w:r w:rsidRPr="00E50FA4">
              <w:rPr>
                <w:noProof/>
              </w:rPr>
              <w:t xml:space="preserve">Institutions </w:t>
            </w:r>
            <w:r w:rsidR="005C6269" w:rsidRPr="00E50FA4">
              <w:rPr>
                <w:noProof/>
              </w:rPr>
              <w:t>shall</w:t>
            </w:r>
            <w:r w:rsidRPr="00E50FA4">
              <w:rPr>
                <w:noProof/>
              </w:rPr>
              <w:t xml:space="preserve"> disclose the </w:t>
            </w:r>
            <w:r w:rsidR="00E75E5D" w:rsidRPr="00E50FA4">
              <w:rPr>
                <w:noProof/>
              </w:rPr>
              <w:t xml:space="preserve">gross carrying amount of non-performing exposures as </w:t>
            </w:r>
            <w:r w:rsidR="007542B8" w:rsidRPr="00E50FA4">
              <w:rPr>
                <w:noProof/>
              </w:rPr>
              <w:t>referred to in</w:t>
            </w:r>
            <w:r w:rsidR="00E75E5D" w:rsidRPr="00E50FA4">
              <w:rPr>
                <w:noProof/>
              </w:rPr>
              <w:t xml:space="preserve"> Article 47a(3) </w:t>
            </w:r>
            <w:r w:rsidR="007F40F6" w:rsidRPr="00E50FA4">
              <w:rPr>
                <w:noProof/>
              </w:rPr>
              <w:t>Regulation (EU) No 575/2013</w:t>
            </w:r>
            <w:r w:rsidR="00E75E5D" w:rsidRPr="00E50FA4">
              <w:rPr>
                <w:noProof/>
              </w:rPr>
              <w:t>, which are prone to impact from climate change events.</w:t>
            </w:r>
          </w:p>
        </w:tc>
      </w:tr>
      <w:tr w:rsidR="00E75E5D" w:rsidRPr="00E50FA4" w14:paraId="58CA3989" w14:textId="77777777" w:rsidTr="00E75E5D">
        <w:trPr>
          <w:trHeight w:val="316"/>
        </w:trPr>
        <w:tc>
          <w:tcPr>
            <w:tcW w:w="1129" w:type="dxa"/>
          </w:tcPr>
          <w:p w14:paraId="5E0FAEAA" w14:textId="77777777" w:rsidR="00E75E5D" w:rsidRPr="00E50FA4" w:rsidRDefault="00E75E5D" w:rsidP="00E75E5D">
            <w:pPr>
              <w:autoSpaceDE w:val="0"/>
              <w:autoSpaceDN w:val="0"/>
              <w:adjustRightInd w:val="0"/>
              <w:jc w:val="both"/>
              <w:rPr>
                <w:rFonts w:ascii="Times New Roman" w:hAnsi="Times New Roman" w:cs="Times New Roman"/>
                <w:noProof/>
                <w:sz w:val="24"/>
                <w:lang w:val="en-GB"/>
              </w:rPr>
            </w:pPr>
            <w:r w:rsidRPr="00E50FA4">
              <w:rPr>
                <w:rFonts w:ascii="Times New Roman" w:hAnsi="Times New Roman" w:cs="Times New Roman"/>
                <w:noProof/>
                <w:sz w:val="24"/>
                <w:lang w:val="en-GB"/>
              </w:rPr>
              <w:t>m, n</w:t>
            </w:r>
            <w:r w:rsidR="00296919" w:rsidRPr="00E50FA4">
              <w:rPr>
                <w:rFonts w:ascii="Times New Roman" w:hAnsi="Times New Roman" w:cs="Times New Roman"/>
                <w:noProof/>
                <w:sz w:val="24"/>
                <w:lang w:val="en-GB"/>
              </w:rPr>
              <w:t>, o</w:t>
            </w:r>
          </w:p>
        </w:tc>
        <w:tc>
          <w:tcPr>
            <w:tcW w:w="7655" w:type="dxa"/>
          </w:tcPr>
          <w:p w14:paraId="1AAC8D59" w14:textId="77777777" w:rsidR="00393C46" w:rsidRPr="00E50FA4" w:rsidRDefault="00E75E5D" w:rsidP="0057151F">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Accumulated impairment, accumulated negative changes in fair value due to credit risk and provisions</w:t>
            </w:r>
          </w:p>
          <w:p w14:paraId="68B73DC9" w14:textId="45A8FE40" w:rsidR="00E75E5D" w:rsidRPr="00E50FA4" w:rsidRDefault="008F08CA" w:rsidP="00292EF5">
            <w:pPr>
              <w:autoSpaceDE w:val="0"/>
              <w:autoSpaceDN w:val="0"/>
              <w:adjustRightInd w:val="0"/>
              <w:spacing w:before="120" w:after="120"/>
              <w:jc w:val="both"/>
              <w:rPr>
                <w:rFonts w:ascii="Times New Roman" w:eastAsia="Times New Roman" w:hAnsi="Times New Roman" w:cs="Times New Roman"/>
                <w:noProof/>
                <w:sz w:val="24"/>
                <w:lang w:val="en-GB" w:eastAsia="sv-SE"/>
              </w:rPr>
            </w:pPr>
            <w:r w:rsidRPr="00E50FA4">
              <w:rPr>
                <w:rFonts w:ascii="Times New Roman" w:eastAsia="Times New Roman" w:hAnsi="Times New Roman" w:cs="Times New Roman"/>
                <w:noProof/>
                <w:sz w:val="24"/>
                <w:lang w:val="en-GB"/>
              </w:rPr>
              <w:t xml:space="preserve">Institutions </w:t>
            </w:r>
            <w:r w:rsidR="001C4B8F"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w:t>
            </w:r>
            <w:r w:rsidR="00E75E5D" w:rsidRPr="00E50FA4">
              <w:rPr>
                <w:rFonts w:ascii="Times New Roman" w:eastAsia="Times New Roman" w:hAnsi="Times New Roman" w:cs="Times New Roman"/>
                <w:noProof/>
                <w:sz w:val="24"/>
                <w:lang w:val="en-GB"/>
              </w:rPr>
              <w:t xml:space="preserve">amounts </w:t>
            </w:r>
            <w:r w:rsidR="00337D39" w:rsidRPr="00E50FA4">
              <w:rPr>
                <w:rFonts w:ascii="Times New Roman" w:eastAsia="Times New Roman" w:hAnsi="Times New Roman" w:cs="Times New Roman"/>
                <w:noProof/>
                <w:sz w:val="24"/>
                <w:lang w:val="en-GB"/>
              </w:rPr>
              <w:t xml:space="preserve">referred to in </w:t>
            </w:r>
            <w:r w:rsidR="003E4DB5" w:rsidRPr="00E50FA4">
              <w:rPr>
                <w:rFonts w:ascii="Times New Roman" w:eastAsia="Times New Roman" w:hAnsi="Times New Roman" w:cs="Times New Roman"/>
                <w:noProof/>
                <w:sz w:val="24"/>
                <w:lang w:val="en-GB"/>
              </w:rPr>
              <w:t xml:space="preserve">Part 2, </w:t>
            </w:r>
            <w:r w:rsidR="0025458E" w:rsidRPr="00E50FA4">
              <w:rPr>
                <w:rFonts w:ascii="Times New Roman" w:eastAsia="Times New Roman" w:hAnsi="Times New Roman" w:cs="Times New Roman"/>
                <w:noProof/>
                <w:sz w:val="24"/>
                <w:lang w:val="en-GB"/>
              </w:rPr>
              <w:t xml:space="preserve">points </w:t>
            </w:r>
            <w:r w:rsidR="00E75E5D" w:rsidRPr="00E50FA4">
              <w:rPr>
                <w:rFonts w:ascii="Times New Roman" w:eastAsia="Times New Roman" w:hAnsi="Times New Roman" w:cs="Times New Roman"/>
                <w:noProof/>
                <w:sz w:val="24"/>
                <w:lang w:val="en-GB"/>
              </w:rPr>
              <w:t>11, 69</w:t>
            </w:r>
            <w:r w:rsidR="00107798" w:rsidRPr="00E50FA4">
              <w:rPr>
                <w:rFonts w:ascii="Times New Roman" w:eastAsia="Times New Roman" w:hAnsi="Times New Roman" w:cs="Times New Roman"/>
                <w:noProof/>
                <w:sz w:val="24"/>
                <w:lang w:val="en-GB"/>
              </w:rPr>
              <w:t xml:space="preserve">, 70, </w:t>
            </w:r>
            <w:r w:rsidR="00E75E5D" w:rsidRPr="00E50FA4">
              <w:rPr>
                <w:rFonts w:ascii="Times New Roman" w:eastAsia="Times New Roman" w:hAnsi="Times New Roman" w:cs="Times New Roman"/>
                <w:noProof/>
                <w:sz w:val="24"/>
                <w:lang w:val="en-GB"/>
              </w:rPr>
              <w:t>71, 106 and 110</w:t>
            </w:r>
            <w:r w:rsidR="003E4DB5" w:rsidRPr="00E50FA4">
              <w:rPr>
                <w:rFonts w:ascii="Times New Roman" w:eastAsia="Times New Roman" w:hAnsi="Times New Roman" w:cs="Times New Roman"/>
                <w:noProof/>
                <w:sz w:val="24"/>
                <w:lang w:val="en-GB"/>
              </w:rPr>
              <w:t>,</w:t>
            </w:r>
            <w:r w:rsidR="00E75E5D" w:rsidRPr="00E50FA4">
              <w:rPr>
                <w:rFonts w:ascii="Times New Roman" w:eastAsia="Times New Roman" w:hAnsi="Times New Roman" w:cs="Times New Roman"/>
                <w:noProof/>
                <w:sz w:val="24"/>
                <w:lang w:val="en-GB"/>
              </w:rPr>
              <w:t xml:space="preserve"> of Annex V to Implementing Regulation (EU) 2021/451.</w:t>
            </w:r>
          </w:p>
        </w:tc>
      </w:tr>
      <w:tr w:rsidR="00E75E5D" w:rsidRPr="00E50FA4" w14:paraId="67FC4789" w14:textId="77777777" w:rsidTr="00E75E5D">
        <w:trPr>
          <w:trHeight w:val="316"/>
        </w:trPr>
        <w:tc>
          <w:tcPr>
            <w:tcW w:w="1129" w:type="dxa"/>
          </w:tcPr>
          <w:p w14:paraId="610E1DBA" w14:textId="5F919C5D" w:rsidR="00E75E5D" w:rsidRPr="00E50FA4" w:rsidRDefault="00475232" w:rsidP="00E75E5D">
            <w:pPr>
              <w:autoSpaceDE w:val="0"/>
              <w:autoSpaceDN w:val="0"/>
              <w:adjustRightInd w:val="0"/>
              <w:jc w:val="both"/>
              <w:rPr>
                <w:rFonts w:ascii="Times New Roman" w:hAnsi="Times New Roman" w:cs="Times New Roman"/>
                <w:noProof/>
                <w:sz w:val="24"/>
                <w:lang w:val="en-GB"/>
              </w:rPr>
            </w:pPr>
            <w:r>
              <w:rPr>
                <w:rFonts w:ascii="Times New Roman" w:hAnsi="Times New Roman" w:cs="Times New Roman"/>
                <w:noProof/>
                <w:sz w:val="24"/>
                <w:lang w:val="en-GB"/>
              </w:rPr>
              <w:t>n</w:t>
            </w:r>
          </w:p>
        </w:tc>
        <w:tc>
          <w:tcPr>
            <w:tcW w:w="7655" w:type="dxa"/>
          </w:tcPr>
          <w:p w14:paraId="7597440E" w14:textId="77777777" w:rsidR="00393C46" w:rsidRPr="00E50FA4" w:rsidRDefault="00E75E5D" w:rsidP="0057151F">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Stage 2 exposures</w:t>
            </w:r>
          </w:p>
          <w:p w14:paraId="471AC4F9" w14:textId="7F2EB12B" w:rsidR="00AF715C" w:rsidRPr="00E50FA4" w:rsidRDefault="00AF715C" w:rsidP="00AF715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Column </w:t>
            </w:r>
            <w:r w:rsidR="007542B8"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m</w:t>
            </w:r>
            <w:r w:rsidR="007542B8"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shall </w:t>
            </w:r>
            <w:r w:rsidR="005F2B0B" w:rsidRPr="00E50FA4">
              <w:rPr>
                <w:rFonts w:ascii="Times New Roman" w:eastAsia="Times New Roman" w:hAnsi="Times New Roman" w:cs="Times New Roman"/>
                <w:noProof/>
                <w:sz w:val="24"/>
                <w:lang w:val="en-GB"/>
              </w:rPr>
              <w:t xml:space="preserve">contain </w:t>
            </w:r>
            <w:r w:rsidRPr="00E50FA4">
              <w:rPr>
                <w:rFonts w:ascii="Times New Roman" w:eastAsia="Times New Roman" w:hAnsi="Times New Roman" w:cs="Times New Roman"/>
                <w:noProof/>
                <w:sz w:val="24"/>
                <w:lang w:val="en-GB"/>
              </w:rPr>
              <w:t>the accumulated impairment amount of stage 2 exposures.</w:t>
            </w:r>
          </w:p>
          <w:p w14:paraId="69034FE8" w14:textId="6F9A6A61" w:rsidR="00AF715C" w:rsidRPr="00E50FA4" w:rsidRDefault="00AF715C" w:rsidP="00AF715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applying IFRS </w:t>
            </w:r>
            <w:r w:rsidR="001C4B8F" w:rsidRPr="00E50FA4">
              <w:rPr>
                <w:rFonts w:ascii="Times New Roman" w:eastAsia="Times New Roman" w:hAnsi="Times New Roman" w:cs="Times New Roman"/>
                <w:noProof/>
                <w:sz w:val="24"/>
                <w:lang w:val="en-GB"/>
              </w:rPr>
              <w:t>shall</w:t>
            </w:r>
            <w:r w:rsidR="008F08CA"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disclose the gross carrying amount of ‘Stage 2’ instruments as defined in IFRS 9.</w:t>
            </w:r>
          </w:p>
          <w:p w14:paraId="3F1D741D" w14:textId="341C9BA5" w:rsidR="00E75E5D" w:rsidRPr="00E50FA4" w:rsidRDefault="00AF715C" w:rsidP="00507E2B">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columns on ‘Of which stage 2’ shall not be disclosed by institutions that apply national generally accepted accounting principles based on </w:t>
            </w:r>
            <w:r w:rsidRPr="00E50FA4">
              <w:rPr>
                <w:rFonts w:ascii="Times New Roman" w:hAnsi="Times New Roman" w:cs="Times New Roman"/>
                <w:noProof/>
                <w:sz w:val="24"/>
                <w:lang w:val="en-GB"/>
              </w:rPr>
              <w:t>Directive 86/635/EEC.</w:t>
            </w:r>
          </w:p>
        </w:tc>
      </w:tr>
      <w:tr w:rsidR="00E75E5D" w:rsidRPr="00E50FA4" w14:paraId="67B0E002" w14:textId="77777777" w:rsidTr="00E75E5D">
        <w:trPr>
          <w:trHeight w:val="316"/>
        </w:trPr>
        <w:tc>
          <w:tcPr>
            <w:tcW w:w="1129" w:type="dxa"/>
          </w:tcPr>
          <w:p w14:paraId="54514C27" w14:textId="59B159A7" w:rsidR="00E75E5D" w:rsidRPr="00E50FA4" w:rsidRDefault="00475232" w:rsidP="00E75E5D">
            <w:pPr>
              <w:autoSpaceDE w:val="0"/>
              <w:autoSpaceDN w:val="0"/>
              <w:adjustRightInd w:val="0"/>
              <w:jc w:val="both"/>
              <w:rPr>
                <w:rFonts w:ascii="Times New Roman" w:hAnsi="Times New Roman" w:cs="Times New Roman"/>
                <w:noProof/>
                <w:sz w:val="24"/>
                <w:lang w:val="en-GB"/>
              </w:rPr>
            </w:pPr>
            <w:r>
              <w:rPr>
                <w:rFonts w:ascii="Times New Roman" w:hAnsi="Times New Roman" w:cs="Times New Roman"/>
                <w:noProof/>
                <w:sz w:val="24"/>
                <w:lang w:val="en-GB"/>
              </w:rPr>
              <w:t>o</w:t>
            </w:r>
          </w:p>
        </w:tc>
        <w:tc>
          <w:tcPr>
            <w:tcW w:w="7655" w:type="dxa"/>
          </w:tcPr>
          <w:p w14:paraId="4DE357E6" w14:textId="77777777" w:rsidR="00393C46" w:rsidRPr="00E50FA4" w:rsidRDefault="00E75E5D" w:rsidP="0057151F">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non-performing exposures</w:t>
            </w:r>
          </w:p>
          <w:p w14:paraId="25AFE354" w14:textId="0A5224AA" w:rsidR="00E75E5D" w:rsidRPr="00E50FA4" w:rsidRDefault="008F08CA" w:rsidP="001C4B8F">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Institutions </w:t>
            </w:r>
            <w:r w:rsidR="001C4B8F"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w:t>
            </w:r>
            <w:r w:rsidR="00E75E5D" w:rsidRPr="00E50FA4">
              <w:rPr>
                <w:rFonts w:ascii="Times New Roman" w:eastAsia="Times New Roman" w:hAnsi="Times New Roman" w:cs="Times New Roman"/>
                <w:noProof/>
                <w:sz w:val="24"/>
                <w:lang w:val="en-GB"/>
              </w:rPr>
              <w:t xml:space="preserve">amount of the accumulated impairment, accumulated negative changes in fair value due to credit risk and provisions attributable to non-performing exposures, as </w:t>
            </w:r>
            <w:r w:rsidR="007542B8" w:rsidRPr="00E50FA4">
              <w:rPr>
                <w:rFonts w:ascii="Times New Roman" w:eastAsia="Times New Roman" w:hAnsi="Times New Roman" w:cs="Times New Roman"/>
                <w:noProof/>
                <w:sz w:val="24"/>
                <w:lang w:val="en-GB"/>
              </w:rPr>
              <w:t>referred to in</w:t>
            </w:r>
            <w:r w:rsidR="00E75E5D" w:rsidRPr="00E50FA4">
              <w:rPr>
                <w:rFonts w:ascii="Times New Roman" w:eastAsia="Times New Roman" w:hAnsi="Times New Roman" w:cs="Times New Roman"/>
                <w:noProof/>
                <w:sz w:val="24"/>
                <w:lang w:val="en-GB"/>
              </w:rPr>
              <w:t xml:space="preserve"> Art</w:t>
            </w:r>
            <w:r w:rsidR="007542B8" w:rsidRPr="00E50FA4">
              <w:rPr>
                <w:rFonts w:ascii="Times New Roman" w:eastAsia="Times New Roman" w:hAnsi="Times New Roman" w:cs="Times New Roman"/>
                <w:noProof/>
                <w:sz w:val="24"/>
                <w:lang w:val="en-GB"/>
              </w:rPr>
              <w:t>icle</w:t>
            </w:r>
            <w:r w:rsidR="00E75E5D" w:rsidRPr="00E50FA4">
              <w:rPr>
                <w:rFonts w:ascii="Times New Roman" w:eastAsia="Times New Roman" w:hAnsi="Times New Roman" w:cs="Times New Roman"/>
                <w:noProof/>
                <w:sz w:val="24"/>
                <w:lang w:val="en-GB"/>
              </w:rPr>
              <w:t xml:space="preserve"> 47a(3) </w:t>
            </w:r>
            <w:r w:rsidR="007F40F6" w:rsidRPr="00E50FA4">
              <w:rPr>
                <w:rFonts w:ascii="Times New Roman" w:eastAsia="Times New Roman" w:hAnsi="Times New Roman" w:cs="Times New Roman"/>
                <w:noProof/>
                <w:sz w:val="24"/>
                <w:lang w:val="en-GB"/>
              </w:rPr>
              <w:t>Regulation (EU) No 575/2013</w:t>
            </w:r>
            <w:r w:rsidR="00E75E5D" w:rsidRPr="00E50FA4">
              <w:rPr>
                <w:rFonts w:ascii="Times New Roman" w:eastAsia="Times New Roman" w:hAnsi="Times New Roman" w:cs="Times New Roman"/>
                <w:noProof/>
                <w:sz w:val="24"/>
                <w:lang w:val="en-GB"/>
              </w:rPr>
              <w:t>.</w:t>
            </w:r>
          </w:p>
        </w:tc>
      </w:tr>
    </w:tbl>
    <w:p w14:paraId="078EAC68" w14:textId="77777777" w:rsidR="00E75E5D" w:rsidRPr="00E50FA4" w:rsidRDefault="00E75E5D" w:rsidP="00D35812">
      <w:pPr>
        <w:spacing w:before="120" w:after="120"/>
        <w:jc w:val="both"/>
        <w:rPr>
          <w:rFonts w:ascii="Times New Roman" w:hAnsi="Times New Roman"/>
          <w:b/>
          <w:noProof/>
          <w:sz w:val="24"/>
          <w:lang w:val="en-GB"/>
        </w:rPr>
      </w:pPr>
    </w:p>
    <w:p w14:paraId="0778D90B" w14:textId="77777777" w:rsidR="00E75E5D" w:rsidRPr="00E50FA4" w:rsidRDefault="00E75E5D">
      <w:pPr>
        <w:rPr>
          <w:rFonts w:ascii="Times New Roman" w:hAnsi="Times New Roman"/>
          <w:b/>
          <w:noProof/>
          <w:sz w:val="24"/>
          <w:lang w:val="en-GB"/>
        </w:rPr>
      </w:pPr>
      <w:r w:rsidRPr="00E50FA4">
        <w:rPr>
          <w:rFonts w:ascii="Times New Roman" w:hAnsi="Times New Roman"/>
          <w:b/>
          <w:noProof/>
          <w:sz w:val="24"/>
          <w:lang w:val="en-GB"/>
        </w:rPr>
        <w:br w:type="page"/>
      </w:r>
    </w:p>
    <w:p w14:paraId="422B2482" w14:textId="77777777" w:rsidR="00414E05" w:rsidRPr="00E50FA4" w:rsidRDefault="00414E05" w:rsidP="001B102C">
      <w:pPr>
        <w:jc w:val="both"/>
        <w:rPr>
          <w:rFonts w:ascii="Times New Roman" w:hAnsi="Times New Roman" w:cs="Times New Roman"/>
          <w:b/>
          <w:noProof/>
          <w:sz w:val="24"/>
          <w:lang w:val="en-GB"/>
        </w:rPr>
      </w:pPr>
      <w:r w:rsidRPr="00E50FA4">
        <w:rPr>
          <w:rFonts w:ascii="Times New Roman" w:hAnsi="Times New Roman" w:cs="Times New Roman"/>
          <w:b/>
          <w:noProof/>
          <w:sz w:val="24"/>
          <w:lang w:val="en-GB"/>
        </w:rPr>
        <w:t xml:space="preserve">Template </w:t>
      </w:r>
      <w:r w:rsidR="00AE5EC1" w:rsidRPr="00E50FA4">
        <w:rPr>
          <w:rFonts w:ascii="Times New Roman" w:hAnsi="Times New Roman" w:cs="Times New Roman"/>
          <w:b/>
          <w:noProof/>
          <w:sz w:val="24"/>
          <w:lang w:val="en-GB"/>
        </w:rPr>
        <w:t>6</w:t>
      </w:r>
      <w:r w:rsidRPr="00E50FA4">
        <w:rPr>
          <w:rFonts w:ascii="Times New Roman" w:hAnsi="Times New Roman" w:cs="Times New Roman"/>
          <w:b/>
          <w:noProof/>
          <w:sz w:val="24"/>
          <w:lang w:val="en-GB"/>
        </w:rPr>
        <w:t xml:space="preserve"> – </w:t>
      </w:r>
      <w:r w:rsidR="00945FDC" w:rsidRPr="00E50FA4">
        <w:rPr>
          <w:rFonts w:ascii="Times New Roman" w:hAnsi="Times New Roman" w:cs="Times New Roman"/>
          <w:b/>
          <w:noProof/>
          <w:sz w:val="24"/>
          <w:lang w:val="en-GB"/>
        </w:rPr>
        <w:t xml:space="preserve">Summary of </w:t>
      </w:r>
      <w:r w:rsidR="00EE7717" w:rsidRPr="00E50FA4">
        <w:rPr>
          <w:rFonts w:ascii="Times New Roman" w:hAnsi="Times New Roman" w:cs="Times New Roman"/>
          <w:b/>
          <w:noProof/>
          <w:sz w:val="24"/>
          <w:lang w:val="en-GB"/>
        </w:rPr>
        <w:t>key performance indicators (</w:t>
      </w:r>
      <w:r w:rsidR="00945FDC" w:rsidRPr="00E50FA4">
        <w:rPr>
          <w:rFonts w:ascii="Times New Roman" w:hAnsi="Times New Roman" w:cs="Times New Roman"/>
          <w:b/>
          <w:noProof/>
          <w:sz w:val="24"/>
          <w:lang w:val="en-GB"/>
        </w:rPr>
        <w:t>KPIs</w:t>
      </w:r>
      <w:r w:rsidR="00EE7717" w:rsidRPr="00E50FA4">
        <w:rPr>
          <w:rFonts w:ascii="Times New Roman" w:hAnsi="Times New Roman" w:cs="Times New Roman"/>
          <w:b/>
          <w:noProof/>
          <w:sz w:val="24"/>
          <w:lang w:val="en-GB"/>
        </w:rPr>
        <w:t>)</w:t>
      </w:r>
      <w:r w:rsidR="00945FDC" w:rsidRPr="00E50FA4">
        <w:rPr>
          <w:rFonts w:ascii="Times New Roman" w:hAnsi="Times New Roman" w:cs="Times New Roman"/>
          <w:b/>
          <w:noProof/>
          <w:sz w:val="24"/>
          <w:lang w:val="en-GB"/>
        </w:rPr>
        <w:t xml:space="preserve"> on the Taxonomy-aligned exposures. </w:t>
      </w:r>
      <w:r w:rsidR="00945FDC" w:rsidRPr="00E50FA4">
        <w:rPr>
          <w:rFonts w:ascii="Times New Roman" w:hAnsi="Times New Roman" w:cs="Times New Roman"/>
          <w:noProof/>
          <w:sz w:val="24"/>
          <w:lang w:val="en-GB"/>
        </w:rPr>
        <w:t>Fixed format.</w:t>
      </w:r>
    </w:p>
    <w:p w14:paraId="0C245AD5" w14:textId="77777777" w:rsidR="00414E05" w:rsidRPr="00E50FA4" w:rsidRDefault="00414E05" w:rsidP="001B102C">
      <w:pPr>
        <w:jc w:val="both"/>
        <w:rPr>
          <w:rFonts w:ascii="Times New Roman" w:hAnsi="Times New Roman" w:cs="Times New Roman"/>
          <w:b/>
          <w:noProof/>
          <w:sz w:val="24"/>
          <w:lang w:val="en-GB"/>
        </w:rPr>
      </w:pPr>
    </w:p>
    <w:p w14:paraId="69BD5B6B" w14:textId="0D1BF646" w:rsidR="00E37C15" w:rsidRPr="00E50FA4" w:rsidRDefault="009545C6" w:rsidP="00B76863">
      <w:pPr>
        <w:pStyle w:val="ListParagraph"/>
        <w:numPr>
          <w:ilvl w:val="0"/>
          <w:numId w:val="63"/>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Institutions shall provide</w:t>
      </w:r>
      <w:r w:rsidR="00AE5EC1" w:rsidRPr="00E50FA4">
        <w:rPr>
          <w:rFonts w:ascii="Times New Roman" w:hAnsi="Times New Roman"/>
          <w:noProof/>
          <w:sz w:val="24"/>
        </w:rPr>
        <w:t xml:space="preserve"> in template 6</w:t>
      </w:r>
      <w:r w:rsidRPr="00E50FA4">
        <w:rPr>
          <w:rFonts w:ascii="Times New Roman" w:hAnsi="Times New Roman"/>
          <w:noProof/>
          <w:sz w:val="24"/>
        </w:rPr>
        <w:t xml:space="preserve"> an overview of the KPIs calculated on the basis of templates </w:t>
      </w:r>
      <w:r w:rsidR="00B41D4D" w:rsidRPr="00E50FA4">
        <w:rPr>
          <w:rFonts w:ascii="Times New Roman" w:hAnsi="Times New Roman"/>
          <w:noProof/>
          <w:sz w:val="24"/>
        </w:rPr>
        <w:t>7</w:t>
      </w:r>
      <w:r w:rsidRPr="00E50FA4">
        <w:rPr>
          <w:rFonts w:ascii="Times New Roman" w:hAnsi="Times New Roman"/>
          <w:noProof/>
          <w:sz w:val="24"/>
        </w:rPr>
        <w:t xml:space="preserve"> </w:t>
      </w:r>
      <w:r w:rsidR="00AE5EC1" w:rsidRPr="00E50FA4">
        <w:rPr>
          <w:rFonts w:ascii="Times New Roman" w:hAnsi="Times New Roman"/>
          <w:noProof/>
          <w:sz w:val="24"/>
        </w:rPr>
        <w:t xml:space="preserve">and </w:t>
      </w:r>
      <w:r w:rsidR="00B41D4D" w:rsidRPr="00E50FA4">
        <w:rPr>
          <w:rFonts w:ascii="Times New Roman" w:hAnsi="Times New Roman"/>
          <w:noProof/>
          <w:sz w:val="24"/>
        </w:rPr>
        <w:t>8</w:t>
      </w:r>
      <w:r w:rsidR="00AE5EC1" w:rsidRPr="00E50FA4">
        <w:rPr>
          <w:rFonts w:ascii="Times New Roman" w:hAnsi="Times New Roman"/>
          <w:noProof/>
          <w:sz w:val="24"/>
        </w:rPr>
        <w:t xml:space="preserve"> of Annex XXXIX</w:t>
      </w:r>
      <w:r w:rsidRPr="00E50FA4">
        <w:rPr>
          <w:rFonts w:ascii="Times New Roman" w:hAnsi="Times New Roman"/>
          <w:noProof/>
          <w:sz w:val="24"/>
        </w:rPr>
        <w:t>, including</w:t>
      </w:r>
      <w:r w:rsidR="00AE5EC1" w:rsidRPr="00E50FA4">
        <w:rPr>
          <w:rFonts w:ascii="Times New Roman" w:hAnsi="Times New Roman"/>
          <w:noProof/>
          <w:sz w:val="24"/>
        </w:rPr>
        <w:t xml:space="preserve"> the green asset ratio (</w:t>
      </w:r>
      <w:r w:rsidRPr="00E50FA4">
        <w:rPr>
          <w:rFonts w:ascii="Times New Roman" w:hAnsi="Times New Roman"/>
          <w:noProof/>
          <w:sz w:val="24"/>
        </w:rPr>
        <w:t>GAR</w:t>
      </w:r>
      <w:r w:rsidR="00AE5EC1" w:rsidRPr="00E50FA4">
        <w:rPr>
          <w:rFonts w:ascii="Times New Roman" w:hAnsi="Times New Roman"/>
          <w:noProof/>
          <w:sz w:val="24"/>
        </w:rPr>
        <w:t>)</w:t>
      </w:r>
      <w:r w:rsidR="00F901EE" w:rsidRPr="00E50FA4">
        <w:rPr>
          <w:rFonts w:ascii="Times New Roman" w:hAnsi="Times New Roman"/>
          <w:noProof/>
          <w:sz w:val="24"/>
        </w:rPr>
        <w:t xml:space="preserve"> as </w:t>
      </w:r>
      <w:r w:rsidR="00425050" w:rsidRPr="00E50FA4">
        <w:rPr>
          <w:rFonts w:ascii="Times New Roman" w:hAnsi="Times New Roman"/>
          <w:noProof/>
          <w:sz w:val="24"/>
        </w:rPr>
        <w:t>referred to</w:t>
      </w:r>
      <w:r w:rsidR="00F901EE" w:rsidRPr="00E50FA4">
        <w:rPr>
          <w:rFonts w:ascii="Times New Roman" w:hAnsi="Times New Roman"/>
          <w:noProof/>
          <w:sz w:val="24"/>
        </w:rPr>
        <w:t xml:space="preserve"> in Commission Delegated Regulation (EU) </w:t>
      </w:r>
      <w:r w:rsidR="004775AC" w:rsidRPr="00E50FA4">
        <w:rPr>
          <w:rFonts w:ascii="Times New Roman" w:hAnsi="Times New Roman"/>
          <w:noProof/>
          <w:sz w:val="24"/>
          <w:lang w:val="en-US"/>
        </w:rPr>
        <w:t>2021/2178</w:t>
      </w:r>
      <w:r w:rsidR="004775AC" w:rsidRPr="00E50FA4">
        <w:rPr>
          <w:rFonts w:ascii="Times New Roman" w:hAnsi="Times New Roman"/>
          <w:noProof/>
          <w:sz w:val="24"/>
          <w:vertAlign w:val="superscript"/>
          <w:lang w:val="en-US"/>
        </w:rPr>
        <w:t>*</w:t>
      </w:r>
      <w:r w:rsidR="00D65FBF" w:rsidRPr="00E50FA4">
        <w:rPr>
          <w:rFonts w:ascii="Times New Roman" w:hAnsi="Times New Roman"/>
          <w:noProof/>
          <w:sz w:val="24"/>
          <w:vertAlign w:val="superscript"/>
          <w:lang w:val="en-US"/>
        </w:rPr>
        <w:t>2</w:t>
      </w:r>
      <w:r w:rsidR="003E3703" w:rsidRPr="00E50FA4">
        <w:rPr>
          <w:rFonts w:ascii="Times New Roman" w:hAnsi="Times New Roman"/>
          <w:noProof/>
          <w:sz w:val="24"/>
          <w:vertAlign w:val="superscript"/>
          <w:lang w:val="en-US"/>
        </w:rPr>
        <w:t>1</w:t>
      </w:r>
      <w:r w:rsidR="00E37C15" w:rsidRPr="00E50FA4">
        <w:rPr>
          <w:rFonts w:ascii="Times New Roman" w:hAnsi="Times New Roman"/>
          <w:noProof/>
          <w:sz w:val="24"/>
        </w:rPr>
        <w:t xml:space="preserve"> </w:t>
      </w:r>
    </w:p>
    <w:p w14:paraId="206900FF" w14:textId="48B73BE6" w:rsidR="00682A8C" w:rsidRPr="00E50FA4" w:rsidRDefault="00E37C15" w:rsidP="00B76863">
      <w:pPr>
        <w:pStyle w:val="ListParagraph"/>
        <w:numPr>
          <w:ilvl w:val="0"/>
          <w:numId w:val="63"/>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While Delegated Regulation (EU) </w:t>
      </w:r>
      <w:r w:rsidR="004775AC" w:rsidRPr="00E50FA4">
        <w:rPr>
          <w:rFonts w:ascii="Times New Roman" w:hAnsi="Times New Roman"/>
          <w:noProof/>
          <w:sz w:val="24"/>
          <w:lang w:val="en-US"/>
        </w:rPr>
        <w:t>2021/2178</w:t>
      </w:r>
      <w:r w:rsidRPr="00E50FA4">
        <w:rPr>
          <w:rFonts w:ascii="Times New Roman" w:hAnsi="Times New Roman"/>
          <w:noProof/>
          <w:sz w:val="24"/>
        </w:rPr>
        <w:t xml:space="preserve"> requires </w:t>
      </w:r>
      <w:r w:rsidR="00F64639" w:rsidRPr="00E50FA4">
        <w:rPr>
          <w:rFonts w:ascii="Times New Roman" w:hAnsi="Times New Roman"/>
          <w:noProof/>
          <w:sz w:val="24"/>
        </w:rPr>
        <w:t xml:space="preserve">entities </w:t>
      </w:r>
      <w:r w:rsidRPr="00E50FA4">
        <w:rPr>
          <w:rFonts w:ascii="Times New Roman" w:hAnsi="Times New Roman"/>
          <w:noProof/>
          <w:sz w:val="24"/>
        </w:rPr>
        <w:t xml:space="preserve">to estimate and disclose the GAR twice, once based on the turnover taxonomy alignment of the counterparty (for non-financial corporates) for those exposures </w:t>
      </w:r>
      <w:r w:rsidR="005F2B0B" w:rsidRPr="00E50FA4">
        <w:rPr>
          <w:rFonts w:ascii="Times New Roman" w:hAnsi="Times New Roman"/>
          <w:noProof/>
          <w:sz w:val="24"/>
        </w:rPr>
        <w:t>the</w:t>
      </w:r>
      <w:r w:rsidRPr="00E50FA4">
        <w:rPr>
          <w:rFonts w:ascii="Times New Roman" w:hAnsi="Times New Roman"/>
          <w:noProof/>
          <w:sz w:val="24"/>
        </w:rPr>
        <w:t xml:space="preserve"> purpose</w:t>
      </w:r>
      <w:r w:rsidR="005F2B0B" w:rsidRPr="00E50FA4">
        <w:rPr>
          <w:rFonts w:ascii="Times New Roman" w:hAnsi="Times New Roman"/>
          <w:noProof/>
          <w:sz w:val="24"/>
        </w:rPr>
        <w:t xml:space="preserve"> of which</w:t>
      </w:r>
      <w:r w:rsidRPr="00E50FA4">
        <w:rPr>
          <w:rFonts w:ascii="Times New Roman" w:hAnsi="Times New Roman"/>
          <w:noProof/>
          <w:sz w:val="24"/>
        </w:rPr>
        <w:t xml:space="preserve"> is not to finance specific identified activities (general purpose lending), and again based on the </w:t>
      </w:r>
      <w:r w:rsidR="00EE7717" w:rsidRPr="00E50FA4">
        <w:rPr>
          <w:rFonts w:ascii="Times New Roman" w:hAnsi="Times New Roman"/>
          <w:noProof/>
          <w:sz w:val="24"/>
        </w:rPr>
        <w:t>capital expenditure (</w:t>
      </w:r>
      <w:r w:rsidRPr="00E50FA4">
        <w:rPr>
          <w:rFonts w:ascii="Times New Roman" w:hAnsi="Times New Roman"/>
          <w:noProof/>
          <w:sz w:val="24"/>
        </w:rPr>
        <w:t>C</w:t>
      </w:r>
      <w:r w:rsidR="00EE7717" w:rsidRPr="00E50FA4">
        <w:rPr>
          <w:rFonts w:ascii="Times New Roman" w:hAnsi="Times New Roman"/>
          <w:noProof/>
          <w:sz w:val="24"/>
        </w:rPr>
        <w:t>ap</w:t>
      </w:r>
      <w:r w:rsidRPr="00E50FA4">
        <w:rPr>
          <w:rFonts w:ascii="Times New Roman" w:hAnsi="Times New Roman"/>
          <w:noProof/>
          <w:sz w:val="24"/>
        </w:rPr>
        <w:t>E</w:t>
      </w:r>
      <w:r w:rsidR="00EE7717" w:rsidRPr="00E50FA4">
        <w:rPr>
          <w:rFonts w:ascii="Times New Roman" w:hAnsi="Times New Roman"/>
          <w:noProof/>
          <w:sz w:val="24"/>
        </w:rPr>
        <w:t>x)</w:t>
      </w:r>
      <w:r w:rsidRPr="00E50FA4">
        <w:rPr>
          <w:rFonts w:ascii="Times New Roman" w:hAnsi="Times New Roman"/>
          <w:noProof/>
          <w:sz w:val="24"/>
        </w:rPr>
        <w:t xml:space="preserve"> taxonomy alignment of the counterparty for the same general purpose lending exposures, </w:t>
      </w:r>
      <w:r w:rsidR="00F64639" w:rsidRPr="00E50FA4">
        <w:rPr>
          <w:rFonts w:ascii="Times New Roman" w:hAnsi="Times New Roman"/>
          <w:noProof/>
          <w:sz w:val="24"/>
        </w:rPr>
        <w:t xml:space="preserve">in this template </w:t>
      </w:r>
      <w:r w:rsidRPr="00E50FA4">
        <w:rPr>
          <w:rFonts w:ascii="Times New Roman" w:hAnsi="Times New Roman"/>
          <w:noProof/>
          <w:sz w:val="24"/>
        </w:rPr>
        <w:t>institutions shall only disclose the GAR once</w:t>
      </w:r>
      <w:r w:rsidR="00F64639" w:rsidRPr="00E50FA4">
        <w:rPr>
          <w:rFonts w:ascii="Times New Roman" w:hAnsi="Times New Roman"/>
          <w:noProof/>
          <w:sz w:val="24"/>
        </w:rPr>
        <w:t>,</w:t>
      </w:r>
      <w:r w:rsidRPr="00E50FA4">
        <w:rPr>
          <w:rFonts w:ascii="Times New Roman" w:hAnsi="Times New Roman"/>
          <w:noProof/>
          <w:sz w:val="24"/>
        </w:rPr>
        <w:t xml:space="preserve"> based on the turnover alignment of the counterparty for the general purpose lending part</w:t>
      </w:r>
      <w:r w:rsidR="005F2B0B" w:rsidRPr="00E50FA4">
        <w:rPr>
          <w:rFonts w:ascii="Times New Roman" w:hAnsi="Times New Roman"/>
          <w:noProof/>
          <w:sz w:val="24"/>
        </w:rPr>
        <w:t xml:space="preserve"> only</w:t>
      </w:r>
      <w:r w:rsidRPr="00E50FA4">
        <w:rPr>
          <w:rFonts w:ascii="Times New Roman" w:hAnsi="Times New Roman"/>
          <w:noProof/>
          <w:sz w:val="24"/>
        </w:rPr>
        <w:t>.</w:t>
      </w:r>
    </w:p>
    <w:p w14:paraId="77580A67" w14:textId="734B6C7B" w:rsidR="00501650" w:rsidRPr="00E50FA4" w:rsidRDefault="00682A8C" w:rsidP="00B76863">
      <w:pPr>
        <w:pStyle w:val="ListParagraph"/>
        <w:numPr>
          <w:ilvl w:val="0"/>
          <w:numId w:val="63"/>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For the stock, GAR (climate change mitigation), GAR (climate change adaptation), GAR (climate change mitigation and climate change adaptation) shall </w:t>
      </w:r>
      <w:r w:rsidR="000A7F89" w:rsidRPr="00E50FA4">
        <w:rPr>
          <w:rFonts w:ascii="Times New Roman" w:hAnsi="Times New Roman"/>
          <w:noProof/>
          <w:sz w:val="24"/>
        </w:rPr>
        <w:t>correspond to the KPI included in</w:t>
      </w:r>
      <w:r w:rsidRPr="00E50FA4">
        <w:rPr>
          <w:rFonts w:ascii="Times New Roman" w:hAnsi="Times New Roman"/>
          <w:noProof/>
          <w:sz w:val="24"/>
        </w:rPr>
        <w:t xml:space="preserve"> </w:t>
      </w:r>
      <w:r w:rsidR="00F901EE" w:rsidRPr="00E50FA4">
        <w:rPr>
          <w:rFonts w:ascii="Times New Roman" w:hAnsi="Times New Roman"/>
          <w:noProof/>
          <w:sz w:val="24"/>
        </w:rPr>
        <w:t xml:space="preserve">columns </w:t>
      </w:r>
      <w:r w:rsidR="00EE7717" w:rsidRPr="00E50FA4">
        <w:rPr>
          <w:rFonts w:ascii="Times New Roman" w:hAnsi="Times New Roman"/>
          <w:noProof/>
          <w:sz w:val="24"/>
        </w:rPr>
        <w:t>(</w:t>
      </w:r>
      <w:r w:rsidRPr="00E50FA4">
        <w:rPr>
          <w:rFonts w:ascii="Times New Roman" w:hAnsi="Times New Roman"/>
          <w:noProof/>
          <w:sz w:val="24"/>
        </w:rPr>
        <w:t>b</w:t>
      </w:r>
      <w:r w:rsidR="00EE7717" w:rsidRPr="00E50FA4">
        <w:rPr>
          <w:rFonts w:ascii="Times New Roman" w:hAnsi="Times New Roman"/>
          <w:noProof/>
          <w:sz w:val="24"/>
        </w:rPr>
        <w:t>)</w:t>
      </w:r>
      <w:r w:rsidRPr="00E50FA4">
        <w:rPr>
          <w:rFonts w:ascii="Times New Roman" w:hAnsi="Times New Roman"/>
          <w:noProof/>
          <w:sz w:val="24"/>
        </w:rPr>
        <w:t xml:space="preserve">, </w:t>
      </w:r>
      <w:r w:rsidR="00EE7717" w:rsidRPr="00E50FA4">
        <w:rPr>
          <w:rFonts w:ascii="Times New Roman" w:hAnsi="Times New Roman"/>
          <w:noProof/>
          <w:sz w:val="24"/>
        </w:rPr>
        <w:t>(</w:t>
      </w:r>
      <w:r w:rsidRPr="00E50FA4">
        <w:rPr>
          <w:rFonts w:ascii="Times New Roman" w:hAnsi="Times New Roman"/>
          <w:noProof/>
          <w:sz w:val="24"/>
        </w:rPr>
        <w:t>g</w:t>
      </w:r>
      <w:r w:rsidR="00EE7717" w:rsidRPr="00E50FA4">
        <w:rPr>
          <w:rFonts w:ascii="Times New Roman" w:hAnsi="Times New Roman"/>
          <w:noProof/>
          <w:sz w:val="24"/>
        </w:rPr>
        <w:t>)</w:t>
      </w:r>
      <w:r w:rsidR="00F901EE" w:rsidRPr="00E50FA4">
        <w:rPr>
          <w:rFonts w:ascii="Times New Roman" w:hAnsi="Times New Roman"/>
          <w:noProof/>
          <w:sz w:val="24"/>
        </w:rPr>
        <w:t xml:space="preserve"> </w:t>
      </w:r>
      <w:r w:rsidRPr="00E50FA4">
        <w:rPr>
          <w:rFonts w:ascii="Times New Roman" w:hAnsi="Times New Roman"/>
          <w:noProof/>
          <w:sz w:val="24"/>
        </w:rPr>
        <w:t xml:space="preserve">and </w:t>
      </w:r>
      <w:r w:rsidR="00EE7717" w:rsidRPr="00E50FA4">
        <w:rPr>
          <w:rFonts w:ascii="Times New Roman" w:hAnsi="Times New Roman"/>
          <w:noProof/>
          <w:sz w:val="24"/>
        </w:rPr>
        <w:t>(</w:t>
      </w:r>
      <w:r w:rsidRPr="00E50FA4">
        <w:rPr>
          <w:rFonts w:ascii="Times New Roman" w:hAnsi="Times New Roman"/>
          <w:noProof/>
          <w:sz w:val="24"/>
        </w:rPr>
        <w:t>l</w:t>
      </w:r>
      <w:r w:rsidR="00EE7717" w:rsidRPr="00E50FA4">
        <w:rPr>
          <w:rFonts w:ascii="Times New Roman" w:hAnsi="Times New Roman"/>
          <w:noProof/>
          <w:sz w:val="24"/>
        </w:rPr>
        <w:t>)</w:t>
      </w:r>
      <w:r w:rsidRPr="00E50FA4">
        <w:rPr>
          <w:rFonts w:ascii="Times New Roman" w:hAnsi="Times New Roman"/>
          <w:noProof/>
          <w:sz w:val="24"/>
        </w:rPr>
        <w:t xml:space="preserve"> </w:t>
      </w:r>
      <w:r w:rsidR="00F901EE" w:rsidRPr="00E50FA4">
        <w:rPr>
          <w:rFonts w:ascii="Times New Roman" w:hAnsi="Times New Roman"/>
          <w:noProof/>
          <w:sz w:val="24"/>
        </w:rPr>
        <w:t>respectively of</w:t>
      </w:r>
      <w:r w:rsidRPr="00E50FA4">
        <w:rPr>
          <w:rFonts w:ascii="Times New Roman" w:hAnsi="Times New Roman"/>
          <w:noProof/>
          <w:sz w:val="24"/>
        </w:rPr>
        <w:t xml:space="preserve"> Template 8, accordingly. Similarly, for the flow, GAR (climate change mitigation), GAR (climate change adaptation), GAR (climate change mitigation and climate change adaptation) shall </w:t>
      </w:r>
      <w:r w:rsidR="000A7F89" w:rsidRPr="00E50FA4">
        <w:rPr>
          <w:rFonts w:ascii="Times New Roman" w:hAnsi="Times New Roman"/>
          <w:noProof/>
          <w:sz w:val="24"/>
        </w:rPr>
        <w:t>correspond to the KPI included</w:t>
      </w:r>
      <w:r w:rsidR="00F901EE" w:rsidRPr="00E50FA4">
        <w:rPr>
          <w:rFonts w:ascii="Times New Roman" w:hAnsi="Times New Roman"/>
          <w:noProof/>
          <w:sz w:val="24"/>
        </w:rPr>
        <w:t xml:space="preserve"> in row 1, columns </w:t>
      </w:r>
      <w:r w:rsidR="00EE7717" w:rsidRPr="00E50FA4">
        <w:rPr>
          <w:rFonts w:ascii="Times New Roman" w:hAnsi="Times New Roman"/>
          <w:noProof/>
          <w:sz w:val="24"/>
        </w:rPr>
        <w:t>(</w:t>
      </w:r>
      <w:r w:rsidRPr="00E50FA4">
        <w:rPr>
          <w:rFonts w:ascii="Times New Roman" w:hAnsi="Times New Roman"/>
          <w:noProof/>
          <w:sz w:val="24"/>
        </w:rPr>
        <w:t>r</w:t>
      </w:r>
      <w:r w:rsidR="00EE7717" w:rsidRPr="00E50FA4">
        <w:rPr>
          <w:rFonts w:ascii="Times New Roman" w:hAnsi="Times New Roman"/>
          <w:noProof/>
          <w:sz w:val="24"/>
        </w:rPr>
        <w:t>)</w:t>
      </w:r>
      <w:r w:rsidRPr="00E50FA4">
        <w:rPr>
          <w:rFonts w:ascii="Times New Roman" w:hAnsi="Times New Roman"/>
          <w:noProof/>
          <w:sz w:val="24"/>
        </w:rPr>
        <w:t xml:space="preserve">, </w:t>
      </w:r>
      <w:r w:rsidR="00EE7717" w:rsidRPr="00E50FA4">
        <w:rPr>
          <w:rFonts w:ascii="Times New Roman" w:hAnsi="Times New Roman"/>
          <w:noProof/>
          <w:sz w:val="24"/>
        </w:rPr>
        <w:t>(</w:t>
      </w:r>
      <w:r w:rsidRPr="00E50FA4">
        <w:rPr>
          <w:rFonts w:ascii="Times New Roman" w:hAnsi="Times New Roman"/>
          <w:noProof/>
          <w:sz w:val="24"/>
        </w:rPr>
        <w:t>w</w:t>
      </w:r>
      <w:r w:rsidR="00EE7717" w:rsidRPr="00E50FA4">
        <w:rPr>
          <w:rFonts w:ascii="Times New Roman" w:hAnsi="Times New Roman"/>
          <w:noProof/>
          <w:sz w:val="24"/>
        </w:rPr>
        <w:t>)</w:t>
      </w:r>
      <w:r w:rsidRPr="00E50FA4">
        <w:rPr>
          <w:rFonts w:ascii="Times New Roman" w:hAnsi="Times New Roman"/>
          <w:noProof/>
          <w:sz w:val="24"/>
        </w:rPr>
        <w:t xml:space="preserve"> and </w:t>
      </w:r>
      <w:r w:rsidR="00EE7717" w:rsidRPr="00E50FA4">
        <w:rPr>
          <w:rFonts w:ascii="Times New Roman" w:hAnsi="Times New Roman"/>
          <w:noProof/>
          <w:sz w:val="24"/>
        </w:rPr>
        <w:t>(</w:t>
      </w:r>
      <w:r w:rsidRPr="00E50FA4">
        <w:rPr>
          <w:rFonts w:ascii="Times New Roman" w:hAnsi="Times New Roman"/>
          <w:noProof/>
          <w:sz w:val="24"/>
        </w:rPr>
        <w:t>ab</w:t>
      </w:r>
      <w:r w:rsidR="00EE7717" w:rsidRPr="00E50FA4">
        <w:rPr>
          <w:rFonts w:ascii="Times New Roman" w:hAnsi="Times New Roman"/>
          <w:noProof/>
          <w:sz w:val="24"/>
        </w:rPr>
        <w:t>)</w:t>
      </w:r>
      <w:r w:rsidRPr="00E50FA4">
        <w:rPr>
          <w:rFonts w:ascii="Times New Roman" w:hAnsi="Times New Roman"/>
          <w:noProof/>
          <w:sz w:val="24"/>
        </w:rPr>
        <w:t xml:space="preserve"> </w:t>
      </w:r>
      <w:r w:rsidR="00F901EE" w:rsidRPr="00E50FA4">
        <w:rPr>
          <w:rFonts w:ascii="Times New Roman" w:hAnsi="Times New Roman"/>
          <w:noProof/>
          <w:sz w:val="24"/>
        </w:rPr>
        <w:t>of the same</w:t>
      </w:r>
      <w:r w:rsidRPr="00E50FA4">
        <w:rPr>
          <w:rFonts w:ascii="Times New Roman" w:hAnsi="Times New Roman"/>
          <w:noProof/>
          <w:sz w:val="24"/>
        </w:rPr>
        <w:t xml:space="preserve"> Template 8</w:t>
      </w:r>
      <w:r w:rsidR="00501650" w:rsidRPr="00E50FA4">
        <w:rPr>
          <w:rFonts w:ascii="Times New Roman" w:hAnsi="Times New Roman"/>
          <w:noProof/>
          <w:sz w:val="24"/>
        </w:rPr>
        <w:t>.</w:t>
      </w:r>
    </w:p>
    <w:p w14:paraId="07941479" w14:textId="77777777" w:rsidR="00756501" w:rsidRPr="00E50FA4" w:rsidRDefault="00756501" w:rsidP="00B76863">
      <w:pPr>
        <w:pStyle w:val="ListParagraph"/>
        <w:numPr>
          <w:ilvl w:val="0"/>
          <w:numId w:val="63"/>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Information on the coverage shall </w:t>
      </w:r>
      <w:r w:rsidR="00F901EE" w:rsidRPr="00E50FA4">
        <w:rPr>
          <w:rFonts w:ascii="Times New Roman" w:hAnsi="Times New Roman"/>
          <w:noProof/>
          <w:sz w:val="24"/>
        </w:rPr>
        <w:t>be included in</w:t>
      </w:r>
      <w:r w:rsidR="00D547F5" w:rsidRPr="00E50FA4">
        <w:rPr>
          <w:rFonts w:ascii="Times New Roman" w:hAnsi="Times New Roman"/>
          <w:noProof/>
          <w:sz w:val="24"/>
        </w:rPr>
        <w:t xml:space="preserve"> Template 8</w:t>
      </w:r>
      <w:r w:rsidR="00F901EE" w:rsidRPr="00E50FA4">
        <w:rPr>
          <w:rFonts w:ascii="Times New Roman" w:hAnsi="Times New Roman"/>
          <w:noProof/>
          <w:sz w:val="24"/>
        </w:rPr>
        <w:t>, row 1, column</w:t>
      </w:r>
      <w:r w:rsidR="00D547F5" w:rsidRPr="00E50FA4">
        <w:rPr>
          <w:rFonts w:ascii="Times New Roman" w:hAnsi="Times New Roman"/>
          <w:noProof/>
          <w:sz w:val="24"/>
        </w:rPr>
        <w:t xml:space="preserve"> </w:t>
      </w:r>
      <w:r w:rsidR="00EE7717" w:rsidRPr="00E50FA4">
        <w:rPr>
          <w:rFonts w:ascii="Times New Roman" w:hAnsi="Times New Roman"/>
          <w:noProof/>
          <w:sz w:val="24"/>
        </w:rPr>
        <w:t>(</w:t>
      </w:r>
      <w:r w:rsidR="00D547F5" w:rsidRPr="00E50FA4">
        <w:rPr>
          <w:rFonts w:ascii="Times New Roman" w:hAnsi="Times New Roman"/>
          <w:noProof/>
          <w:sz w:val="24"/>
        </w:rPr>
        <w:t>p</w:t>
      </w:r>
      <w:r w:rsidR="00EE7717" w:rsidRPr="00E50FA4">
        <w:rPr>
          <w:rFonts w:ascii="Times New Roman" w:hAnsi="Times New Roman"/>
          <w:noProof/>
          <w:sz w:val="24"/>
        </w:rPr>
        <w:t>)</w:t>
      </w:r>
      <w:r w:rsidR="00D547F5" w:rsidRPr="00E50FA4">
        <w:rPr>
          <w:rFonts w:ascii="Times New Roman" w:hAnsi="Times New Roman"/>
          <w:noProof/>
          <w:sz w:val="24"/>
        </w:rPr>
        <w:t xml:space="preserve"> for GAR stock, </w:t>
      </w:r>
      <w:r w:rsidR="00F901EE" w:rsidRPr="00E50FA4">
        <w:rPr>
          <w:rFonts w:ascii="Times New Roman" w:hAnsi="Times New Roman"/>
          <w:noProof/>
          <w:sz w:val="24"/>
        </w:rPr>
        <w:t xml:space="preserve">and </w:t>
      </w:r>
      <w:r w:rsidR="00EE7717" w:rsidRPr="00E50FA4">
        <w:rPr>
          <w:rFonts w:ascii="Times New Roman" w:hAnsi="Times New Roman"/>
          <w:noProof/>
          <w:sz w:val="24"/>
        </w:rPr>
        <w:t>(</w:t>
      </w:r>
      <w:r w:rsidR="00D547F5" w:rsidRPr="00E50FA4">
        <w:rPr>
          <w:rFonts w:ascii="Times New Roman" w:hAnsi="Times New Roman"/>
          <w:noProof/>
          <w:sz w:val="24"/>
        </w:rPr>
        <w:t>af</w:t>
      </w:r>
      <w:r w:rsidR="00EE7717" w:rsidRPr="00E50FA4">
        <w:rPr>
          <w:rFonts w:ascii="Times New Roman" w:hAnsi="Times New Roman"/>
          <w:noProof/>
          <w:sz w:val="24"/>
        </w:rPr>
        <w:t>)</w:t>
      </w:r>
      <w:r w:rsidR="00D547F5" w:rsidRPr="00E50FA4">
        <w:rPr>
          <w:rFonts w:ascii="Times New Roman" w:hAnsi="Times New Roman"/>
          <w:noProof/>
          <w:sz w:val="24"/>
        </w:rPr>
        <w:t xml:space="preserve"> for GAR flow.</w:t>
      </w:r>
    </w:p>
    <w:p w14:paraId="56E20D98" w14:textId="5F9497B4" w:rsidR="00723764" w:rsidRPr="00E50FA4" w:rsidRDefault="001D0251" w:rsidP="00351B81">
      <w:pPr>
        <w:pStyle w:val="ListParagraph"/>
        <w:numPr>
          <w:ilvl w:val="0"/>
          <w:numId w:val="63"/>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Institutions shall disclose this information with first reference date </w:t>
      </w:r>
      <w:r w:rsidR="002A2C5B" w:rsidRPr="00E50FA4">
        <w:rPr>
          <w:rFonts w:ascii="Times New Roman" w:hAnsi="Times New Roman"/>
          <w:noProof/>
          <w:sz w:val="24"/>
        </w:rPr>
        <w:t>as of</w:t>
      </w:r>
      <w:r w:rsidRPr="00E50FA4">
        <w:rPr>
          <w:rFonts w:ascii="Times New Roman" w:hAnsi="Times New Roman"/>
          <w:noProof/>
          <w:sz w:val="24"/>
        </w:rPr>
        <w:t xml:space="preserve"> 31 December 2023</w:t>
      </w:r>
      <w:r w:rsidR="008F08CA" w:rsidRPr="00E50FA4">
        <w:rPr>
          <w:rFonts w:ascii="Times New Roman" w:hAnsi="Times New Roman"/>
          <w:noProof/>
          <w:sz w:val="24"/>
        </w:rPr>
        <w:t xml:space="preserve">, </w:t>
      </w:r>
      <w:r w:rsidR="005B2289" w:rsidRPr="005B2289">
        <w:rPr>
          <w:rFonts w:ascii="Times New Roman" w:hAnsi="Times New Roman"/>
          <w:noProof/>
          <w:sz w:val="24"/>
          <w:lang w:val="en-US"/>
        </w:rPr>
        <w:t>which is in line with the first reference date for the disclosure of the information on the GAR referred to in Delegated Regulation (EU) 2021/2178</w:t>
      </w:r>
      <w:r w:rsidR="006735DE" w:rsidRPr="00E50FA4">
        <w:rPr>
          <w:rFonts w:ascii="Times New Roman" w:hAnsi="Times New Roman"/>
          <w:noProof/>
          <w:sz w:val="24"/>
        </w:rPr>
        <w:t>.</w:t>
      </w:r>
    </w:p>
    <w:p w14:paraId="39305D6E" w14:textId="77777777" w:rsidR="00414E05" w:rsidRPr="00E50FA4" w:rsidRDefault="00414E05" w:rsidP="00D35812">
      <w:pPr>
        <w:spacing w:before="120" w:after="120"/>
        <w:jc w:val="both"/>
        <w:rPr>
          <w:rFonts w:ascii="Times New Roman" w:hAnsi="Times New Roman"/>
          <w:noProof/>
          <w:sz w:val="24"/>
          <w:lang w:val="en-GB"/>
        </w:rPr>
      </w:pPr>
    </w:p>
    <w:p w14:paraId="0F7D1D4E" w14:textId="77777777" w:rsidR="00E77292" w:rsidRPr="00E50FA4" w:rsidRDefault="00AE5EC1" w:rsidP="001B102C">
      <w:pPr>
        <w:jc w:val="both"/>
        <w:rPr>
          <w:rFonts w:ascii="Times New Roman" w:hAnsi="Times New Roman" w:cs="Times New Roman"/>
          <w:b/>
          <w:noProof/>
          <w:sz w:val="24"/>
          <w:lang w:val="en-GB"/>
        </w:rPr>
      </w:pPr>
      <w:r w:rsidRPr="00E50FA4">
        <w:rPr>
          <w:rFonts w:ascii="Times New Roman" w:hAnsi="Times New Roman" w:cs="Times New Roman"/>
          <w:b/>
          <w:noProof/>
          <w:sz w:val="24"/>
          <w:lang w:val="en-GB"/>
        </w:rPr>
        <w:t>Template 7</w:t>
      </w:r>
      <w:r w:rsidR="00B41D4D" w:rsidRPr="00E50FA4">
        <w:rPr>
          <w:rFonts w:ascii="Times New Roman" w:hAnsi="Times New Roman" w:cs="Times New Roman"/>
          <w:b/>
          <w:noProof/>
          <w:sz w:val="24"/>
          <w:lang w:val="en-GB"/>
        </w:rPr>
        <w:t xml:space="preserve"> -</w:t>
      </w:r>
      <w:r w:rsidR="00CB5006" w:rsidRPr="00E50FA4">
        <w:rPr>
          <w:rFonts w:ascii="Times New Roman" w:hAnsi="Times New Roman" w:cs="Times New Roman"/>
          <w:b/>
          <w:noProof/>
          <w:sz w:val="24"/>
          <w:lang w:val="en-GB"/>
        </w:rPr>
        <w:t xml:space="preserve"> </w:t>
      </w:r>
      <w:r w:rsidR="00B41D4D" w:rsidRPr="00E50FA4">
        <w:rPr>
          <w:rFonts w:ascii="Times New Roman" w:hAnsi="Times New Roman" w:cs="Times New Roman"/>
          <w:b/>
          <w:noProof/>
          <w:sz w:val="24"/>
          <w:lang w:val="en-GB"/>
        </w:rPr>
        <w:t xml:space="preserve">Mitigating actions: Assets for the calculation of GAR. </w:t>
      </w:r>
      <w:r w:rsidR="00B41D4D" w:rsidRPr="00E50FA4">
        <w:rPr>
          <w:rFonts w:ascii="Times New Roman" w:hAnsi="Times New Roman" w:cs="Times New Roman"/>
          <w:bCs/>
          <w:noProof/>
          <w:sz w:val="24"/>
          <w:lang w:val="en-GB"/>
        </w:rPr>
        <w:t>Fixed format</w:t>
      </w:r>
    </w:p>
    <w:p w14:paraId="4DD9F2BB" w14:textId="5D1C4390" w:rsidR="00C30D42" w:rsidRPr="00E50FA4" w:rsidRDefault="00AE5EC1" w:rsidP="00B76863">
      <w:pPr>
        <w:pStyle w:val="ListParagraph"/>
        <w:numPr>
          <w:ilvl w:val="0"/>
          <w:numId w:val="64"/>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Institutions shall </w:t>
      </w:r>
      <w:r w:rsidR="008F08CA" w:rsidRPr="00E50FA4">
        <w:rPr>
          <w:rFonts w:ascii="Times New Roman" w:hAnsi="Times New Roman"/>
          <w:noProof/>
          <w:sz w:val="24"/>
        </w:rPr>
        <w:t xml:space="preserve">use </w:t>
      </w:r>
      <w:r w:rsidRPr="00E50FA4">
        <w:rPr>
          <w:rFonts w:ascii="Times New Roman" w:hAnsi="Times New Roman"/>
          <w:noProof/>
          <w:sz w:val="24"/>
        </w:rPr>
        <w:t xml:space="preserve">the </w:t>
      </w:r>
      <w:r w:rsidR="008F08CA" w:rsidRPr="00E50FA4">
        <w:rPr>
          <w:rFonts w:ascii="Times New Roman" w:hAnsi="Times New Roman"/>
          <w:noProof/>
          <w:sz w:val="24"/>
        </w:rPr>
        <w:t xml:space="preserve">following </w:t>
      </w:r>
      <w:r w:rsidRPr="00E50FA4">
        <w:rPr>
          <w:rFonts w:ascii="Times New Roman" w:hAnsi="Times New Roman"/>
          <w:noProof/>
          <w:sz w:val="24"/>
        </w:rPr>
        <w:t>instructions to disclose the information required in ‘</w:t>
      </w:r>
      <w:r w:rsidRPr="00E50FA4">
        <w:rPr>
          <w:rFonts w:ascii="Times New Roman" w:hAnsi="Times New Roman"/>
          <w:bCs/>
          <w:noProof/>
          <w:sz w:val="24"/>
        </w:rPr>
        <w:t xml:space="preserve">Template 7 - </w:t>
      </w:r>
      <w:r w:rsidR="00B41D4D" w:rsidRPr="00E50FA4">
        <w:rPr>
          <w:rFonts w:ascii="Times New Roman" w:hAnsi="Times New Roman"/>
          <w:bCs/>
          <w:noProof/>
          <w:sz w:val="24"/>
        </w:rPr>
        <w:t>Mitigating actions: Assets for the calculation of GAR</w:t>
      </w:r>
      <w:r w:rsidRPr="00E50FA4">
        <w:rPr>
          <w:rFonts w:ascii="Times New Roman" w:hAnsi="Times New Roman"/>
          <w:bCs/>
          <w:noProof/>
          <w:sz w:val="24"/>
        </w:rPr>
        <w:t>’</w:t>
      </w:r>
      <w:r w:rsidRPr="00E50FA4">
        <w:rPr>
          <w:rFonts w:ascii="Times New Roman" w:hAnsi="Times New Roman"/>
          <w:noProof/>
          <w:sz w:val="24"/>
        </w:rPr>
        <w:t xml:space="preserve">, as </w:t>
      </w:r>
      <w:r w:rsidR="009906F2" w:rsidRPr="00E50FA4">
        <w:rPr>
          <w:rFonts w:ascii="Times New Roman" w:hAnsi="Times New Roman"/>
          <w:noProof/>
          <w:sz w:val="24"/>
        </w:rPr>
        <w:t>set out</w:t>
      </w:r>
      <w:r w:rsidRPr="00E50FA4">
        <w:rPr>
          <w:rFonts w:ascii="Times New Roman" w:hAnsi="Times New Roman"/>
          <w:noProof/>
          <w:sz w:val="24"/>
        </w:rPr>
        <w:t xml:space="preserve"> in Annex XXXIX to this Regulation.</w:t>
      </w:r>
      <w:r w:rsidR="00C30D42" w:rsidRPr="00E50FA4">
        <w:rPr>
          <w:rFonts w:ascii="Times New Roman" w:hAnsi="Times New Roman"/>
          <w:noProof/>
          <w:sz w:val="24"/>
        </w:rPr>
        <w:t xml:space="preserve"> </w:t>
      </w:r>
    </w:p>
    <w:p w14:paraId="20AFB98D" w14:textId="3C342B19" w:rsidR="00E77292" w:rsidRPr="00E50FA4" w:rsidRDefault="00401B4F" w:rsidP="00B76863">
      <w:pPr>
        <w:pStyle w:val="ListParagraph"/>
        <w:numPr>
          <w:ilvl w:val="0"/>
          <w:numId w:val="64"/>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Institutions shall disclose in this t</w:t>
      </w:r>
      <w:r w:rsidR="00E77292" w:rsidRPr="00E50FA4">
        <w:rPr>
          <w:rFonts w:ascii="Times New Roman" w:hAnsi="Times New Roman"/>
          <w:noProof/>
          <w:sz w:val="24"/>
        </w:rPr>
        <w:t xml:space="preserve">emplate </w:t>
      </w:r>
      <w:r w:rsidR="00F36193" w:rsidRPr="00E50FA4">
        <w:rPr>
          <w:rFonts w:ascii="Times New Roman" w:hAnsi="Times New Roman"/>
          <w:noProof/>
          <w:sz w:val="24"/>
        </w:rPr>
        <w:t xml:space="preserve">information on </w:t>
      </w:r>
      <w:r w:rsidR="00E77292" w:rsidRPr="00E50FA4">
        <w:rPr>
          <w:rFonts w:ascii="Times New Roman" w:hAnsi="Times New Roman"/>
          <w:noProof/>
          <w:sz w:val="24"/>
        </w:rPr>
        <w:t xml:space="preserve">gross carrying amount of </w:t>
      </w:r>
      <w:r w:rsidR="009D0F4E" w:rsidRPr="00E50FA4">
        <w:rPr>
          <w:rFonts w:ascii="Times New Roman" w:hAnsi="Times New Roman"/>
          <w:noProof/>
          <w:sz w:val="24"/>
        </w:rPr>
        <w:t>institutions</w:t>
      </w:r>
      <w:r w:rsidR="00E77292" w:rsidRPr="00E50FA4">
        <w:rPr>
          <w:rFonts w:ascii="Times New Roman" w:hAnsi="Times New Roman"/>
          <w:noProof/>
          <w:sz w:val="24"/>
        </w:rPr>
        <w:t>’ loans and advances, debt securities and equity instruments on their banking book</w:t>
      </w:r>
      <w:r w:rsidRPr="00E50FA4">
        <w:rPr>
          <w:rFonts w:ascii="Times New Roman" w:hAnsi="Times New Roman"/>
          <w:noProof/>
          <w:sz w:val="24"/>
        </w:rPr>
        <w:t>,</w:t>
      </w:r>
      <w:r w:rsidR="00E77292" w:rsidRPr="00E50FA4">
        <w:rPr>
          <w:rFonts w:ascii="Times New Roman" w:hAnsi="Times New Roman"/>
          <w:noProof/>
          <w:sz w:val="24"/>
        </w:rPr>
        <w:t xml:space="preserve"> </w:t>
      </w:r>
      <w:r w:rsidRPr="00E50FA4">
        <w:rPr>
          <w:rFonts w:ascii="Times New Roman" w:hAnsi="Times New Roman"/>
          <w:noProof/>
          <w:sz w:val="24"/>
        </w:rPr>
        <w:t>with a</w:t>
      </w:r>
      <w:r w:rsidRPr="00E50FA4" w:rsidDel="00401B4F">
        <w:rPr>
          <w:rFonts w:ascii="Times New Roman" w:hAnsi="Times New Roman"/>
          <w:noProof/>
          <w:sz w:val="24"/>
        </w:rPr>
        <w:t xml:space="preserve"> </w:t>
      </w:r>
      <w:r w:rsidR="00E77292" w:rsidRPr="00E50FA4">
        <w:rPr>
          <w:rFonts w:ascii="Times New Roman" w:hAnsi="Times New Roman"/>
          <w:noProof/>
          <w:sz w:val="24"/>
        </w:rPr>
        <w:t>breakdown of the information by</w:t>
      </w:r>
      <w:r w:rsidR="00C44D22" w:rsidRPr="00E50FA4">
        <w:rPr>
          <w:rFonts w:ascii="Times New Roman" w:hAnsi="Times New Roman"/>
          <w:noProof/>
          <w:sz w:val="24"/>
        </w:rPr>
        <w:t xml:space="preserve"> type of</w:t>
      </w:r>
      <w:r w:rsidR="00E77292" w:rsidRPr="00E50FA4">
        <w:rPr>
          <w:rFonts w:ascii="Times New Roman" w:hAnsi="Times New Roman"/>
          <w:noProof/>
          <w:sz w:val="24"/>
        </w:rPr>
        <w:t xml:space="preserve"> counterparty</w:t>
      </w:r>
      <w:r w:rsidR="00C44D22" w:rsidRPr="00E50FA4">
        <w:rPr>
          <w:rFonts w:ascii="Times New Roman" w:hAnsi="Times New Roman"/>
          <w:noProof/>
          <w:sz w:val="24"/>
        </w:rPr>
        <w:t>,</w:t>
      </w:r>
      <w:r w:rsidR="00E77292" w:rsidRPr="00E50FA4">
        <w:rPr>
          <w:rFonts w:ascii="Times New Roman" w:hAnsi="Times New Roman"/>
          <w:noProof/>
          <w:sz w:val="24"/>
        </w:rPr>
        <w:t xml:space="preserve"> including financial corporations, non-financial corporations, households, local governments as well as </w:t>
      </w:r>
      <w:r w:rsidR="00754F1F" w:rsidRPr="00E50FA4">
        <w:rPr>
          <w:rFonts w:ascii="Times New Roman" w:hAnsi="Times New Roman"/>
          <w:noProof/>
          <w:sz w:val="24"/>
        </w:rPr>
        <w:t>r</w:t>
      </w:r>
      <w:r w:rsidR="00C44D22" w:rsidRPr="00E50FA4">
        <w:rPr>
          <w:rFonts w:ascii="Times New Roman" w:hAnsi="Times New Roman"/>
          <w:noProof/>
          <w:sz w:val="24"/>
        </w:rPr>
        <w:t>eal estate</w:t>
      </w:r>
      <w:r w:rsidR="00E77292" w:rsidRPr="00E50FA4">
        <w:rPr>
          <w:rFonts w:ascii="Times New Roman" w:hAnsi="Times New Roman"/>
          <w:noProof/>
          <w:sz w:val="24"/>
        </w:rPr>
        <w:t xml:space="preserve"> lending</w:t>
      </w:r>
      <w:r w:rsidR="00C44D22" w:rsidRPr="00E50FA4">
        <w:rPr>
          <w:rFonts w:ascii="Times New Roman" w:hAnsi="Times New Roman"/>
          <w:noProof/>
          <w:sz w:val="24"/>
        </w:rPr>
        <w:t xml:space="preserve"> towards households</w:t>
      </w:r>
      <w:r w:rsidRPr="00E50FA4">
        <w:rPr>
          <w:rFonts w:ascii="Times New Roman" w:hAnsi="Times New Roman"/>
          <w:noProof/>
          <w:sz w:val="24"/>
        </w:rPr>
        <w:t xml:space="preserve">, </w:t>
      </w:r>
      <w:r w:rsidR="00C30D42" w:rsidRPr="00E50FA4">
        <w:rPr>
          <w:rFonts w:ascii="Times New Roman" w:hAnsi="Times New Roman"/>
          <w:noProof/>
          <w:sz w:val="24"/>
        </w:rPr>
        <w:t xml:space="preserve">and </w:t>
      </w:r>
      <w:r w:rsidRPr="00E50FA4">
        <w:rPr>
          <w:rFonts w:ascii="Times New Roman" w:hAnsi="Times New Roman"/>
          <w:noProof/>
          <w:sz w:val="24"/>
        </w:rPr>
        <w:t xml:space="preserve">the taxonomy eligibility and taxonomy alignment </w:t>
      </w:r>
      <w:r w:rsidR="00C30D42" w:rsidRPr="00E50FA4">
        <w:rPr>
          <w:rFonts w:ascii="Times New Roman" w:hAnsi="Times New Roman"/>
          <w:noProof/>
          <w:sz w:val="24"/>
        </w:rPr>
        <w:t xml:space="preserve">of the exposures </w:t>
      </w:r>
      <w:r w:rsidRPr="00E50FA4">
        <w:rPr>
          <w:rFonts w:ascii="Times New Roman" w:hAnsi="Times New Roman"/>
          <w:noProof/>
          <w:sz w:val="24"/>
        </w:rPr>
        <w:t xml:space="preserve">with regard to the environmental objectives of climate change mitigation and climate change adaptation as </w:t>
      </w:r>
      <w:r w:rsidR="004775AC" w:rsidRPr="00E50FA4">
        <w:rPr>
          <w:rFonts w:ascii="Times New Roman" w:hAnsi="Times New Roman"/>
          <w:noProof/>
          <w:sz w:val="24"/>
        </w:rPr>
        <w:t>referred to</w:t>
      </w:r>
      <w:r w:rsidRPr="00E50FA4">
        <w:rPr>
          <w:rFonts w:ascii="Times New Roman" w:hAnsi="Times New Roman"/>
          <w:noProof/>
          <w:sz w:val="24"/>
        </w:rPr>
        <w:t xml:space="preserve"> in Article 9, points (a) and (b)</w:t>
      </w:r>
      <w:r w:rsidR="004775AC" w:rsidRPr="00E50FA4">
        <w:rPr>
          <w:rFonts w:ascii="Times New Roman" w:hAnsi="Times New Roman"/>
          <w:noProof/>
          <w:sz w:val="24"/>
        </w:rPr>
        <w:t>,</w:t>
      </w:r>
      <w:r w:rsidRPr="00E50FA4">
        <w:rPr>
          <w:rFonts w:ascii="Times New Roman" w:hAnsi="Times New Roman"/>
          <w:noProof/>
          <w:sz w:val="24"/>
        </w:rPr>
        <w:t xml:space="preserve"> of Regulation (EU) 2020/852.</w:t>
      </w:r>
    </w:p>
    <w:p w14:paraId="106E1BAF" w14:textId="3837042F" w:rsidR="00401B4F" w:rsidRPr="00E50FA4" w:rsidRDefault="00401B4F" w:rsidP="00B76863">
      <w:pPr>
        <w:pStyle w:val="ListParagraph"/>
        <w:numPr>
          <w:ilvl w:val="0"/>
          <w:numId w:val="64"/>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In particular, institutions shall include in this template information necessary for the calculation of the GAR in accordance with Delegated Regulation (EU) </w:t>
      </w:r>
      <w:r w:rsidR="004775AC" w:rsidRPr="00E50FA4">
        <w:rPr>
          <w:rFonts w:ascii="Times New Roman" w:hAnsi="Times New Roman"/>
          <w:noProof/>
          <w:sz w:val="24"/>
          <w:lang w:val="en-US"/>
        </w:rPr>
        <w:t>2021/2178</w:t>
      </w:r>
      <w:r w:rsidRPr="00E50FA4">
        <w:rPr>
          <w:rFonts w:ascii="Times New Roman" w:hAnsi="Times New Roman"/>
          <w:noProof/>
          <w:sz w:val="24"/>
        </w:rPr>
        <w:t>.</w:t>
      </w:r>
      <w:r w:rsidR="000A7F89" w:rsidRPr="00E50FA4">
        <w:rPr>
          <w:rFonts w:ascii="Times New Roman" w:hAnsi="Times New Roman"/>
          <w:noProof/>
          <w:sz w:val="24"/>
        </w:rPr>
        <w:t xml:space="preserve"> While</w:t>
      </w:r>
      <w:r w:rsidR="009620B8" w:rsidRPr="00E50FA4">
        <w:rPr>
          <w:rFonts w:ascii="Times New Roman" w:hAnsi="Times New Roman"/>
          <w:noProof/>
          <w:sz w:val="24"/>
        </w:rPr>
        <w:t xml:space="preserve">  </w:t>
      </w:r>
      <w:r w:rsidR="000A7F89" w:rsidRPr="00E50FA4">
        <w:rPr>
          <w:rFonts w:ascii="Times New Roman" w:hAnsi="Times New Roman"/>
          <w:noProof/>
          <w:sz w:val="24"/>
        </w:rPr>
        <w:t xml:space="preserve">Delegated Regulation (EU) </w:t>
      </w:r>
      <w:r w:rsidR="00425050" w:rsidRPr="00E50FA4">
        <w:rPr>
          <w:rFonts w:ascii="Times New Roman" w:hAnsi="Times New Roman"/>
          <w:noProof/>
          <w:sz w:val="24"/>
          <w:lang w:val="en-US"/>
        </w:rPr>
        <w:t>2021/2178</w:t>
      </w:r>
      <w:r w:rsidR="000A7F89" w:rsidRPr="00E50FA4">
        <w:rPr>
          <w:rFonts w:ascii="Times New Roman" w:hAnsi="Times New Roman"/>
          <w:noProof/>
          <w:sz w:val="24"/>
        </w:rPr>
        <w:t xml:space="preserve"> requires institutions to estimate and disclose the GAR twice, once based on the turnover taxonomy alignment of the counterparty (for non-financial corporates) for those exposures </w:t>
      </w:r>
      <w:r w:rsidR="005F2B0B" w:rsidRPr="00E50FA4">
        <w:rPr>
          <w:rFonts w:ascii="Times New Roman" w:hAnsi="Times New Roman"/>
          <w:noProof/>
          <w:sz w:val="24"/>
        </w:rPr>
        <w:t xml:space="preserve">the </w:t>
      </w:r>
      <w:r w:rsidR="000A7F89" w:rsidRPr="00E50FA4">
        <w:rPr>
          <w:rFonts w:ascii="Times New Roman" w:hAnsi="Times New Roman"/>
          <w:noProof/>
          <w:sz w:val="24"/>
        </w:rPr>
        <w:t xml:space="preserve">purpose </w:t>
      </w:r>
      <w:r w:rsidR="005F2B0B" w:rsidRPr="00E50FA4">
        <w:rPr>
          <w:rFonts w:ascii="Times New Roman" w:hAnsi="Times New Roman"/>
          <w:noProof/>
          <w:sz w:val="24"/>
        </w:rPr>
        <w:t xml:space="preserve">of which </w:t>
      </w:r>
      <w:r w:rsidR="000A7F89" w:rsidRPr="00E50FA4">
        <w:rPr>
          <w:rFonts w:ascii="Times New Roman" w:hAnsi="Times New Roman"/>
          <w:noProof/>
          <w:sz w:val="24"/>
        </w:rPr>
        <w:t xml:space="preserve">is not to finance specific identified activities (general purpose lending), and again based on the </w:t>
      </w:r>
      <w:r w:rsidR="00A419E8" w:rsidRPr="00E50FA4">
        <w:rPr>
          <w:rFonts w:ascii="Times New Roman" w:hAnsi="Times New Roman"/>
          <w:noProof/>
          <w:sz w:val="24"/>
        </w:rPr>
        <w:t>C</w:t>
      </w:r>
      <w:r w:rsidR="00425050" w:rsidRPr="00E50FA4">
        <w:rPr>
          <w:rFonts w:ascii="Times New Roman" w:hAnsi="Times New Roman"/>
          <w:noProof/>
          <w:sz w:val="24"/>
        </w:rPr>
        <w:t>ap</w:t>
      </w:r>
      <w:r w:rsidR="00A419E8" w:rsidRPr="00E50FA4">
        <w:rPr>
          <w:rFonts w:ascii="Times New Roman" w:hAnsi="Times New Roman"/>
          <w:noProof/>
          <w:sz w:val="24"/>
        </w:rPr>
        <w:t>E</w:t>
      </w:r>
      <w:r w:rsidR="00425050" w:rsidRPr="00E50FA4">
        <w:rPr>
          <w:rFonts w:ascii="Times New Roman" w:hAnsi="Times New Roman"/>
          <w:noProof/>
          <w:sz w:val="24"/>
        </w:rPr>
        <w:t>x</w:t>
      </w:r>
      <w:r w:rsidR="00A419E8" w:rsidRPr="00E50FA4">
        <w:rPr>
          <w:rFonts w:ascii="Times New Roman" w:hAnsi="Times New Roman"/>
          <w:noProof/>
          <w:sz w:val="24"/>
        </w:rPr>
        <w:t xml:space="preserve"> taxonomy alignment of the counterparty for the same general purpose lending exposures, </w:t>
      </w:r>
      <w:r w:rsidR="006657B1" w:rsidRPr="00E50FA4">
        <w:rPr>
          <w:rFonts w:ascii="Times New Roman" w:hAnsi="Times New Roman"/>
          <w:noProof/>
          <w:sz w:val="24"/>
        </w:rPr>
        <w:t xml:space="preserve">in this template </w:t>
      </w:r>
      <w:r w:rsidR="00A419E8" w:rsidRPr="00E50FA4">
        <w:rPr>
          <w:rFonts w:ascii="Times New Roman" w:hAnsi="Times New Roman"/>
          <w:noProof/>
          <w:sz w:val="24"/>
        </w:rPr>
        <w:t>institutions shall only disclose the GAR once based only on the turnover alignment of the counterparty for the general purpose lending part.</w:t>
      </w:r>
    </w:p>
    <w:p w14:paraId="6B28CAA9" w14:textId="3543F55D" w:rsidR="00E77292" w:rsidRPr="00E50FA4" w:rsidRDefault="00401B4F" w:rsidP="00B76863">
      <w:pPr>
        <w:pStyle w:val="ListParagraph"/>
        <w:numPr>
          <w:ilvl w:val="0"/>
          <w:numId w:val="64"/>
        </w:numPr>
        <w:spacing w:before="120" w:after="120"/>
        <w:ind w:left="0" w:firstLine="0"/>
        <w:jc w:val="both"/>
        <w:rPr>
          <w:rFonts w:ascii="Times New Roman" w:hAnsi="Times New Roman"/>
          <w:noProof/>
          <w:sz w:val="24"/>
        </w:rPr>
      </w:pPr>
      <w:r w:rsidRPr="00E50FA4">
        <w:rPr>
          <w:rFonts w:ascii="Times New Roman" w:hAnsi="Times New Roman"/>
          <w:noProof/>
          <w:sz w:val="24"/>
        </w:rPr>
        <w:t>Based on th</w:t>
      </w:r>
      <w:r w:rsidR="005F2B0B" w:rsidRPr="00E50FA4">
        <w:rPr>
          <w:rFonts w:ascii="Times New Roman" w:hAnsi="Times New Roman"/>
          <w:noProof/>
          <w:sz w:val="24"/>
        </w:rPr>
        <w:t>at</w:t>
      </w:r>
      <w:r w:rsidRPr="00E50FA4">
        <w:rPr>
          <w:rFonts w:ascii="Times New Roman" w:hAnsi="Times New Roman"/>
          <w:noProof/>
          <w:sz w:val="24"/>
        </w:rPr>
        <w:t xml:space="preserve"> information, institutions shall calculate and disclose their GAR as </w:t>
      </w:r>
      <w:r w:rsidR="00425050" w:rsidRPr="00E50FA4">
        <w:rPr>
          <w:rFonts w:ascii="Times New Roman" w:hAnsi="Times New Roman"/>
          <w:noProof/>
          <w:sz w:val="24"/>
        </w:rPr>
        <w:t>referred to in</w:t>
      </w:r>
      <w:r w:rsidRPr="00E50FA4">
        <w:rPr>
          <w:rFonts w:ascii="Times New Roman" w:hAnsi="Times New Roman"/>
          <w:noProof/>
          <w:sz w:val="24"/>
        </w:rPr>
        <w:t xml:space="preserve"> Delegated Regulation (EU) </w:t>
      </w:r>
      <w:r w:rsidR="00425050" w:rsidRPr="00E50FA4">
        <w:rPr>
          <w:rFonts w:ascii="Times New Roman" w:hAnsi="Times New Roman"/>
          <w:noProof/>
          <w:sz w:val="24"/>
          <w:lang w:val="en-US"/>
        </w:rPr>
        <w:t>2021/2178</w:t>
      </w:r>
      <w:r w:rsidR="00425050" w:rsidRPr="00E50FA4">
        <w:rPr>
          <w:rFonts w:ascii="Times New Roman" w:hAnsi="Times New Roman"/>
          <w:noProof/>
          <w:sz w:val="24"/>
        </w:rPr>
        <w:t>.</w:t>
      </w:r>
      <w:r w:rsidR="00CB5006" w:rsidRPr="00E50FA4">
        <w:rPr>
          <w:rFonts w:ascii="Times New Roman" w:hAnsi="Times New Roman"/>
          <w:noProof/>
          <w:sz w:val="24"/>
        </w:rPr>
        <w:t xml:space="preserve"> </w:t>
      </w:r>
      <w:r w:rsidR="00C44D22" w:rsidRPr="00E50FA4">
        <w:rPr>
          <w:rFonts w:ascii="Times New Roman" w:hAnsi="Times New Roman"/>
          <w:noProof/>
          <w:sz w:val="24"/>
        </w:rPr>
        <w:t>The i</w:t>
      </w:r>
      <w:r w:rsidR="00E77292" w:rsidRPr="00E50FA4">
        <w:rPr>
          <w:rFonts w:ascii="Times New Roman" w:hAnsi="Times New Roman"/>
          <w:noProof/>
          <w:sz w:val="24"/>
        </w:rPr>
        <w:t xml:space="preserve">nformation </w:t>
      </w:r>
      <w:r w:rsidR="00C44D22" w:rsidRPr="00E50FA4">
        <w:rPr>
          <w:rFonts w:ascii="Times New Roman" w:hAnsi="Times New Roman"/>
          <w:noProof/>
          <w:sz w:val="24"/>
        </w:rPr>
        <w:t>included</w:t>
      </w:r>
      <w:r w:rsidR="005F2B0B" w:rsidRPr="00E50FA4">
        <w:rPr>
          <w:rFonts w:ascii="Times New Roman" w:hAnsi="Times New Roman"/>
          <w:noProof/>
          <w:sz w:val="24"/>
        </w:rPr>
        <w:t xml:space="preserve"> shall</w:t>
      </w:r>
      <w:r w:rsidR="00E77292" w:rsidRPr="00E50FA4">
        <w:rPr>
          <w:rFonts w:ascii="Times New Roman" w:hAnsi="Times New Roman"/>
          <w:noProof/>
          <w:sz w:val="24"/>
        </w:rPr>
        <w:t xml:space="preserve"> relate to climate change mitigation and climate change adaptation as </w:t>
      </w:r>
      <w:r w:rsidR="00425050" w:rsidRPr="00E50FA4">
        <w:rPr>
          <w:rFonts w:ascii="Times New Roman" w:hAnsi="Times New Roman"/>
          <w:noProof/>
          <w:sz w:val="24"/>
        </w:rPr>
        <w:t>referred to</w:t>
      </w:r>
      <w:r w:rsidR="009906F2" w:rsidRPr="00E50FA4">
        <w:rPr>
          <w:rFonts w:ascii="Times New Roman" w:hAnsi="Times New Roman"/>
          <w:noProof/>
          <w:sz w:val="24"/>
        </w:rPr>
        <w:t xml:space="preserve"> in</w:t>
      </w:r>
      <w:r w:rsidR="00E77292" w:rsidRPr="00E50FA4">
        <w:rPr>
          <w:rFonts w:ascii="Times New Roman" w:hAnsi="Times New Roman"/>
          <w:noProof/>
          <w:sz w:val="24"/>
        </w:rPr>
        <w:t xml:space="preserve"> Article 9</w:t>
      </w:r>
      <w:r w:rsidR="00880707" w:rsidRPr="00E50FA4">
        <w:rPr>
          <w:rFonts w:ascii="Times New Roman" w:hAnsi="Times New Roman"/>
          <w:noProof/>
          <w:sz w:val="24"/>
        </w:rPr>
        <w:t>,</w:t>
      </w:r>
      <w:r w:rsidR="00E77292" w:rsidRPr="00E50FA4">
        <w:rPr>
          <w:rFonts w:ascii="Times New Roman" w:hAnsi="Times New Roman"/>
          <w:noProof/>
          <w:sz w:val="24"/>
        </w:rPr>
        <w:t xml:space="preserve"> </w:t>
      </w:r>
      <w:r w:rsidR="00880707" w:rsidRPr="00E50FA4">
        <w:rPr>
          <w:rFonts w:ascii="Times New Roman" w:hAnsi="Times New Roman"/>
          <w:noProof/>
          <w:sz w:val="24"/>
        </w:rPr>
        <w:t>points (a) and (b)</w:t>
      </w:r>
      <w:r w:rsidR="00425050" w:rsidRPr="00E50FA4">
        <w:rPr>
          <w:rFonts w:ascii="Times New Roman" w:hAnsi="Times New Roman"/>
          <w:noProof/>
          <w:sz w:val="24"/>
        </w:rPr>
        <w:t>,</w:t>
      </w:r>
      <w:r w:rsidR="00880707" w:rsidRPr="00E50FA4">
        <w:rPr>
          <w:rFonts w:ascii="Times New Roman" w:hAnsi="Times New Roman"/>
          <w:noProof/>
          <w:sz w:val="24"/>
        </w:rPr>
        <w:t xml:space="preserve"> </w:t>
      </w:r>
      <w:r w:rsidR="00E77292" w:rsidRPr="00E50FA4">
        <w:rPr>
          <w:rFonts w:ascii="Times New Roman" w:hAnsi="Times New Roman"/>
          <w:noProof/>
          <w:sz w:val="24"/>
        </w:rPr>
        <w:t>of Regulation (EU) 2020/852.</w:t>
      </w:r>
    </w:p>
    <w:p w14:paraId="16F3972E" w14:textId="23917C4C" w:rsidR="00A419E8" w:rsidRPr="00E50FA4" w:rsidRDefault="00C14674" w:rsidP="00B76863">
      <w:pPr>
        <w:pStyle w:val="ListParagraph"/>
        <w:numPr>
          <w:ilvl w:val="0"/>
          <w:numId w:val="64"/>
        </w:numPr>
        <w:spacing w:before="120" w:after="120"/>
        <w:ind w:left="0" w:firstLine="0"/>
        <w:jc w:val="both"/>
        <w:rPr>
          <w:rFonts w:ascii="Times New Roman" w:hAnsi="Times New Roman"/>
          <w:noProof/>
          <w:sz w:val="24"/>
        </w:rPr>
      </w:pPr>
      <w:r w:rsidRPr="00E50FA4">
        <w:rPr>
          <w:rFonts w:ascii="Times New Roman" w:hAnsi="Times New Roman"/>
          <w:noProof/>
          <w:sz w:val="24"/>
        </w:rPr>
        <w:t xml:space="preserve">Institutions shall disclose this information with first reference date </w:t>
      </w:r>
      <w:r w:rsidR="002A2C5B" w:rsidRPr="00E50FA4">
        <w:rPr>
          <w:rFonts w:ascii="Times New Roman" w:hAnsi="Times New Roman"/>
          <w:noProof/>
          <w:sz w:val="24"/>
        </w:rPr>
        <w:t>as of</w:t>
      </w:r>
      <w:r w:rsidRPr="00E50FA4">
        <w:rPr>
          <w:rFonts w:ascii="Times New Roman" w:hAnsi="Times New Roman"/>
          <w:noProof/>
          <w:sz w:val="24"/>
        </w:rPr>
        <w:t xml:space="preserve"> 31 December 2023</w:t>
      </w:r>
      <w:r w:rsidR="00D0430B">
        <w:rPr>
          <w:rFonts w:ascii="Times New Roman" w:hAnsi="Times New Roman"/>
          <w:noProof/>
          <w:sz w:val="24"/>
        </w:rPr>
        <w:t xml:space="preserve"> </w:t>
      </w:r>
      <w:r w:rsidR="001D258D" w:rsidRPr="00E50FA4">
        <w:rPr>
          <w:rFonts w:ascii="Times New Roman" w:hAnsi="Times New Roman"/>
          <w:noProof/>
          <w:sz w:val="24"/>
        </w:rPr>
        <w:t>that is the</w:t>
      </w:r>
      <w:r w:rsidR="00A419E8" w:rsidRPr="00E50FA4">
        <w:rPr>
          <w:rFonts w:ascii="Times New Roman" w:hAnsi="Times New Roman"/>
          <w:noProof/>
          <w:sz w:val="24"/>
        </w:rPr>
        <w:t xml:space="preserve"> first disclosure reference date for the information on the GAR </w:t>
      </w:r>
      <w:r w:rsidR="00425050" w:rsidRPr="00E50FA4">
        <w:rPr>
          <w:rFonts w:ascii="Times New Roman" w:hAnsi="Times New Roman"/>
          <w:noProof/>
          <w:sz w:val="24"/>
        </w:rPr>
        <w:t xml:space="preserve">as referred to in </w:t>
      </w:r>
      <w:r w:rsidR="00A419E8" w:rsidRPr="00E50FA4">
        <w:rPr>
          <w:rFonts w:ascii="Times New Roman" w:hAnsi="Times New Roman"/>
          <w:noProof/>
          <w:sz w:val="24"/>
        </w:rPr>
        <w:t xml:space="preserve">Delegated Regulation (EU) </w:t>
      </w:r>
      <w:r w:rsidR="00425050" w:rsidRPr="00E50FA4">
        <w:rPr>
          <w:rFonts w:ascii="Times New Roman" w:hAnsi="Times New Roman"/>
          <w:noProof/>
          <w:sz w:val="24"/>
        </w:rPr>
        <w:t>2021/2178</w:t>
      </w:r>
      <w:r w:rsidR="00EF3EEA" w:rsidRPr="00E50FA4">
        <w:rPr>
          <w:rFonts w:ascii="Times New Roman" w:hAnsi="Times New Roman"/>
          <w:noProof/>
          <w:sz w:val="24"/>
        </w:rPr>
        <w:t>.</w:t>
      </w:r>
      <w:r w:rsidR="00A419E8" w:rsidRPr="00E50FA4">
        <w:rPr>
          <w:rFonts w:ascii="Times New Roman" w:hAnsi="Times New Roman"/>
          <w:noProof/>
          <w:sz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879"/>
      </w:tblGrid>
      <w:tr w:rsidR="00E77292" w:rsidRPr="00E50FA4" w14:paraId="3B298728" w14:textId="77777777" w:rsidTr="00BA313D">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19FB74D6" w14:textId="77777777" w:rsidR="00E77292" w:rsidRPr="00E50FA4" w:rsidRDefault="00E77292" w:rsidP="00DA390D">
            <w:pPr>
              <w:spacing w:before="120" w:after="120"/>
              <w:jc w:val="both"/>
              <w:rPr>
                <w:rFonts w:ascii="Times New Roman" w:eastAsia="Times New Roman" w:hAnsi="Times New Roman" w:cs="Times New Roman"/>
                <w:noProof/>
                <w:sz w:val="24"/>
                <w:lang w:val="en-GB" w:bidi="ne-NP"/>
              </w:rPr>
            </w:pPr>
            <w:r w:rsidRPr="00E50FA4">
              <w:rPr>
                <w:rFonts w:ascii="Times New Roman" w:eastAsia="Times New Roman" w:hAnsi="Times New Roman" w:cs="Times New Roman"/>
                <w:noProof/>
                <w:sz w:val="24"/>
                <w:lang w:val="en-GB" w:bidi="ne-NP"/>
              </w:rPr>
              <w:t>Columns</w:t>
            </w:r>
          </w:p>
        </w:tc>
        <w:tc>
          <w:tcPr>
            <w:tcW w:w="7879" w:type="dxa"/>
            <w:tcBorders>
              <w:top w:val="single" w:sz="4" w:space="0" w:color="auto"/>
              <w:left w:val="single" w:sz="4" w:space="0" w:color="auto"/>
              <w:bottom w:val="single" w:sz="4" w:space="0" w:color="auto"/>
              <w:right w:val="single" w:sz="4" w:space="0" w:color="auto"/>
            </w:tcBorders>
            <w:shd w:val="clear" w:color="auto" w:fill="CCCCCC"/>
            <w:hideMark/>
          </w:tcPr>
          <w:p w14:paraId="5EBE0743" w14:textId="77777777" w:rsidR="00E77292" w:rsidRPr="00E50FA4" w:rsidRDefault="00E77292" w:rsidP="00DA390D">
            <w:pPr>
              <w:spacing w:before="120" w:after="120"/>
              <w:jc w:val="both"/>
              <w:rPr>
                <w:rFonts w:ascii="Times New Roman" w:eastAsia="Times New Roman" w:hAnsi="Times New Roman" w:cs="Times New Roman"/>
                <w:noProof/>
                <w:sz w:val="24"/>
                <w:lang w:val="en-GB" w:bidi="ne-NP"/>
              </w:rPr>
            </w:pPr>
            <w:r w:rsidRPr="00E50FA4">
              <w:rPr>
                <w:rFonts w:ascii="Times New Roman" w:eastAsia="Times New Roman" w:hAnsi="Times New Roman" w:cs="Times New Roman"/>
                <w:noProof/>
                <w:sz w:val="24"/>
                <w:lang w:val="en-GB" w:bidi="ne-NP"/>
              </w:rPr>
              <w:t>Instructions</w:t>
            </w:r>
          </w:p>
        </w:tc>
      </w:tr>
      <w:tr w:rsidR="00E77292" w:rsidRPr="00E50FA4" w14:paraId="2EB0CB55" w14:textId="77777777" w:rsidTr="00BA313D">
        <w:tc>
          <w:tcPr>
            <w:tcW w:w="1188" w:type="dxa"/>
            <w:tcBorders>
              <w:top w:val="single" w:sz="4" w:space="0" w:color="auto"/>
              <w:left w:val="single" w:sz="4" w:space="0" w:color="auto"/>
              <w:bottom w:val="single" w:sz="4" w:space="0" w:color="auto"/>
              <w:right w:val="single" w:sz="4" w:space="0" w:color="auto"/>
            </w:tcBorders>
          </w:tcPr>
          <w:p w14:paraId="4332E000"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a</w:t>
            </w:r>
          </w:p>
        </w:tc>
        <w:tc>
          <w:tcPr>
            <w:tcW w:w="7879" w:type="dxa"/>
            <w:tcBorders>
              <w:top w:val="single" w:sz="4" w:space="0" w:color="auto"/>
              <w:left w:val="single" w:sz="4" w:space="0" w:color="auto"/>
              <w:bottom w:val="single" w:sz="4" w:space="0" w:color="auto"/>
              <w:right w:val="single" w:sz="4" w:space="0" w:color="auto"/>
            </w:tcBorders>
          </w:tcPr>
          <w:p w14:paraId="11C82B02"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Gross carrying amount</w:t>
            </w:r>
          </w:p>
          <w:p w14:paraId="47269862" w14:textId="6222FC17" w:rsidR="00E77292" w:rsidRPr="00E50FA4" w:rsidRDefault="008F08CA" w:rsidP="009B6F06">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9B6F06"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gross </w:t>
            </w:r>
            <w:r w:rsidR="00C30D42" w:rsidRPr="00E50FA4">
              <w:rPr>
                <w:rFonts w:ascii="Times New Roman" w:eastAsia="Times New Roman" w:hAnsi="Times New Roman" w:cs="Times New Roman"/>
                <w:noProof/>
                <w:sz w:val="24"/>
                <w:lang w:val="en-GB"/>
              </w:rPr>
              <w:t>carrying amount as defined in Part 1 of Annex V to Implementing Regulation (EU) 2021/451</w:t>
            </w:r>
            <w:r w:rsidR="00FA43A9" w:rsidRPr="00E50FA4">
              <w:rPr>
                <w:rFonts w:ascii="Times New Roman" w:eastAsia="Times New Roman" w:hAnsi="Times New Roman" w:cs="Times New Roman"/>
                <w:noProof/>
                <w:sz w:val="24"/>
                <w:lang w:val="en-GB"/>
              </w:rPr>
              <w:t>.</w:t>
            </w:r>
          </w:p>
        </w:tc>
      </w:tr>
      <w:tr w:rsidR="00E77292" w:rsidRPr="00E50FA4" w14:paraId="5AA9D0AB" w14:textId="77777777" w:rsidTr="00BA313D">
        <w:tc>
          <w:tcPr>
            <w:tcW w:w="1188" w:type="dxa"/>
            <w:tcBorders>
              <w:top w:val="single" w:sz="4" w:space="0" w:color="auto"/>
              <w:left w:val="single" w:sz="4" w:space="0" w:color="auto"/>
              <w:bottom w:val="single" w:sz="4" w:space="0" w:color="auto"/>
              <w:right w:val="single" w:sz="4" w:space="0" w:color="auto"/>
            </w:tcBorders>
          </w:tcPr>
          <w:p w14:paraId="4F754CA7"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b</w:t>
            </w:r>
          </w:p>
        </w:tc>
        <w:tc>
          <w:tcPr>
            <w:tcW w:w="7879" w:type="dxa"/>
            <w:tcBorders>
              <w:top w:val="single" w:sz="4" w:space="0" w:color="auto"/>
              <w:left w:val="single" w:sz="4" w:space="0" w:color="auto"/>
              <w:bottom w:val="single" w:sz="4" w:space="0" w:color="auto"/>
              <w:right w:val="single" w:sz="4" w:space="0" w:color="auto"/>
            </w:tcBorders>
          </w:tcPr>
          <w:p w14:paraId="620A752A"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towards taxonomy relevant sectors </w:t>
            </w:r>
          </w:p>
          <w:p w14:paraId="463DA593" w14:textId="6628A5EA" w:rsidR="00E77292" w:rsidRPr="00E50FA4" w:rsidRDefault="008F08CA"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9B6F06"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gross </w:t>
            </w:r>
            <w:r w:rsidR="00C30D42" w:rsidRPr="00E50FA4">
              <w:rPr>
                <w:rFonts w:ascii="Times New Roman" w:eastAsia="Times New Roman" w:hAnsi="Times New Roman" w:cs="Times New Roman"/>
                <w:noProof/>
                <w:sz w:val="24"/>
                <w:lang w:val="en-GB"/>
              </w:rPr>
              <w:t>carrying amount as defined in Part 1 of Annex V to Implementing Regulation (EU) 2021/451</w:t>
            </w:r>
            <w:r w:rsidR="00E77292" w:rsidRPr="00E50FA4">
              <w:rPr>
                <w:rFonts w:ascii="Times New Roman" w:eastAsia="Times New Roman" w:hAnsi="Times New Roman" w:cs="Times New Roman"/>
                <w:noProof/>
                <w:sz w:val="24"/>
                <w:lang w:val="en-GB"/>
              </w:rPr>
              <w:t>.</w:t>
            </w:r>
          </w:p>
          <w:p w14:paraId="4605BFA9" w14:textId="6856CE8F" w:rsidR="00E77292" w:rsidRPr="00E50FA4" w:rsidRDefault="00E77292"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9B6F06" w:rsidRPr="00E50FA4">
              <w:rPr>
                <w:rFonts w:ascii="Times New Roman" w:eastAsia="Times New Roman" w:hAnsi="Times New Roman" w:cs="Times New Roman"/>
                <w:noProof/>
                <w:sz w:val="24"/>
                <w:lang w:val="en-GB"/>
              </w:rPr>
              <w:t>shall</w:t>
            </w:r>
            <w:r w:rsidR="008F08CA"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disclose the gross carrying amount of eligible exposures towards sectors (4 level NACE codes) relevant for the corresponding environmental objective according to the Taxonomy, as specified in </w:t>
            </w:r>
            <w:r w:rsidR="00425050" w:rsidRPr="00E50FA4">
              <w:rPr>
                <w:rFonts w:ascii="Times New Roman" w:eastAsia="Times New Roman" w:hAnsi="Times New Roman" w:cs="Times New Roman"/>
                <w:noProof/>
                <w:sz w:val="24"/>
                <w:lang w:val="en-GB"/>
              </w:rPr>
              <w:t>A</w:t>
            </w:r>
            <w:r w:rsidRPr="00E50FA4">
              <w:rPr>
                <w:rFonts w:ascii="Times New Roman" w:eastAsia="Times New Roman" w:hAnsi="Times New Roman" w:cs="Times New Roman"/>
                <w:noProof/>
                <w:sz w:val="24"/>
                <w:lang w:val="en-GB"/>
              </w:rPr>
              <w:t xml:space="preserve">nnex </w:t>
            </w:r>
            <w:r w:rsidR="00D12513" w:rsidRPr="00E50FA4">
              <w:rPr>
                <w:rFonts w:ascii="Times New Roman" w:eastAsia="Times New Roman" w:hAnsi="Times New Roman" w:cs="Times New Roman"/>
                <w:noProof/>
                <w:sz w:val="24"/>
                <w:lang w:val="en-GB"/>
              </w:rPr>
              <w:t>I</w:t>
            </w:r>
            <w:r w:rsidR="00425050"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to the Commission Delegated </w:t>
            </w:r>
            <w:r w:rsidR="00725A3A" w:rsidRPr="00E50FA4">
              <w:rPr>
                <w:rFonts w:ascii="Times New Roman" w:eastAsia="Times New Roman" w:hAnsi="Times New Roman" w:cs="Times New Roman"/>
                <w:noProof/>
                <w:sz w:val="24"/>
                <w:lang w:val="en-GB"/>
              </w:rPr>
              <w:t>Regulation</w:t>
            </w:r>
            <w:r w:rsidR="00425050" w:rsidRPr="00E50FA4">
              <w:rPr>
                <w:rFonts w:ascii="Times New Roman" w:eastAsia="Times New Roman" w:hAnsi="Times New Roman" w:cs="Times New Roman"/>
                <w:noProof/>
                <w:sz w:val="24"/>
                <w:lang w:val="en-GB"/>
              </w:rPr>
              <w:t xml:space="preserve"> (EU) 2021/213</w:t>
            </w:r>
            <w:r w:rsidR="003E3703" w:rsidRPr="00E50FA4">
              <w:rPr>
                <w:rFonts w:ascii="Times New Roman" w:eastAsia="Times New Roman" w:hAnsi="Times New Roman" w:cs="Times New Roman"/>
                <w:noProof/>
                <w:sz w:val="24"/>
                <w:lang w:val="en-GB"/>
              </w:rPr>
              <w:t>9</w:t>
            </w:r>
            <w:r w:rsidR="008676F3" w:rsidRPr="00E50FA4">
              <w:rPr>
                <w:rFonts w:ascii="Times New Roman" w:eastAsia="Times New Roman" w:hAnsi="Times New Roman" w:cs="Times New Roman"/>
                <w:noProof/>
                <w:sz w:val="24"/>
                <w:vertAlign w:val="superscript"/>
                <w:lang w:val="en-GB"/>
              </w:rPr>
              <w:t>*</w:t>
            </w:r>
            <w:r w:rsidR="003E3703" w:rsidRPr="00E50FA4">
              <w:rPr>
                <w:rFonts w:ascii="Times New Roman" w:eastAsia="Times New Roman" w:hAnsi="Times New Roman" w:cs="Times New Roman"/>
                <w:noProof/>
                <w:sz w:val="24"/>
                <w:vertAlign w:val="superscript"/>
                <w:lang w:val="en-GB"/>
              </w:rPr>
              <w:t>22</w:t>
            </w:r>
            <w:r w:rsidRPr="00E50FA4">
              <w:rPr>
                <w:rFonts w:ascii="Times New Roman" w:eastAsia="Times New Roman" w:hAnsi="Times New Roman" w:cs="Times New Roman"/>
                <w:noProof/>
                <w:sz w:val="24"/>
                <w:lang w:val="en-GB"/>
              </w:rPr>
              <w:t>.</w:t>
            </w:r>
            <w:r w:rsidR="009620B8" w:rsidRPr="00E50FA4">
              <w:rPr>
                <w:rFonts w:ascii="Times New Roman" w:eastAsia="Times New Roman" w:hAnsi="Times New Roman" w:cs="Times New Roman"/>
                <w:noProof/>
                <w:sz w:val="24"/>
                <w:lang w:val="en-GB"/>
              </w:rPr>
              <w:t xml:space="preserve">  </w:t>
            </w:r>
          </w:p>
          <w:p w14:paraId="65968644" w14:textId="653F2055" w:rsidR="00E77292" w:rsidRPr="00E50FA4" w:rsidRDefault="00E77292" w:rsidP="009B6F06">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9B6F06" w:rsidRPr="00E50FA4">
              <w:rPr>
                <w:rFonts w:ascii="Times New Roman" w:eastAsia="Times New Roman" w:hAnsi="Times New Roman" w:cs="Times New Roman"/>
                <w:noProof/>
                <w:sz w:val="24"/>
                <w:lang w:val="en-GB"/>
              </w:rPr>
              <w:t>shall</w:t>
            </w:r>
            <w:r w:rsidR="008F08CA"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disclose exposures towards relevant sectors under the objective of climate change mitigation in accordance with Article 9</w:t>
            </w:r>
            <w:r w:rsidR="00880707"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w:t>
            </w:r>
            <w:r w:rsidR="00880707" w:rsidRPr="00E50FA4">
              <w:rPr>
                <w:rFonts w:ascii="Times New Roman" w:eastAsia="Times New Roman" w:hAnsi="Times New Roman" w:cs="Times New Roman"/>
                <w:noProof/>
                <w:sz w:val="24"/>
                <w:lang w:val="en-GB"/>
              </w:rPr>
              <w:t>point (a)</w:t>
            </w:r>
            <w:r w:rsidR="00425050"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and Article 10 of </w:t>
            </w:r>
            <w:r w:rsidRPr="00E50FA4">
              <w:rPr>
                <w:rFonts w:ascii="Times New Roman" w:hAnsi="Times New Roman"/>
                <w:noProof/>
                <w:sz w:val="24"/>
                <w:lang w:val="en-GB"/>
              </w:rPr>
              <w:t>Regulation (EU) 2020/852.</w:t>
            </w:r>
          </w:p>
        </w:tc>
      </w:tr>
      <w:tr w:rsidR="00E77292" w:rsidRPr="00E50FA4" w14:paraId="593725AF" w14:textId="77777777" w:rsidTr="00BA313D">
        <w:tc>
          <w:tcPr>
            <w:tcW w:w="1188" w:type="dxa"/>
            <w:tcBorders>
              <w:top w:val="single" w:sz="4" w:space="0" w:color="auto"/>
              <w:left w:val="single" w:sz="4" w:space="0" w:color="auto"/>
              <w:bottom w:val="single" w:sz="4" w:space="0" w:color="auto"/>
              <w:right w:val="single" w:sz="4" w:space="0" w:color="auto"/>
            </w:tcBorders>
            <w:hideMark/>
          </w:tcPr>
          <w:p w14:paraId="3FB71486"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c</w:t>
            </w:r>
          </w:p>
        </w:tc>
        <w:tc>
          <w:tcPr>
            <w:tcW w:w="7879" w:type="dxa"/>
            <w:tcBorders>
              <w:top w:val="single" w:sz="4" w:space="0" w:color="auto"/>
              <w:left w:val="single" w:sz="4" w:space="0" w:color="auto"/>
              <w:bottom w:val="single" w:sz="4" w:space="0" w:color="auto"/>
              <w:right w:val="single" w:sz="4" w:space="0" w:color="auto"/>
            </w:tcBorders>
          </w:tcPr>
          <w:p w14:paraId="6D9B41CD"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environmentally sustainable </w:t>
            </w:r>
          </w:p>
          <w:p w14:paraId="78384F9A" w14:textId="3E7122C2" w:rsidR="00E77292" w:rsidRPr="00E50FA4" w:rsidRDefault="008F08CA"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9B6F06"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gross </w:t>
            </w:r>
            <w:r w:rsidR="00C30D42" w:rsidRPr="00E50FA4">
              <w:rPr>
                <w:rFonts w:ascii="Times New Roman" w:eastAsia="Times New Roman" w:hAnsi="Times New Roman" w:cs="Times New Roman"/>
                <w:noProof/>
                <w:sz w:val="24"/>
                <w:lang w:val="en-GB"/>
              </w:rPr>
              <w:t>carrying amount as defined in Part 1 of Annex V to Implementing Regulation (EU) 2021/451</w:t>
            </w:r>
            <w:r w:rsidR="00E77292" w:rsidRPr="00E50FA4">
              <w:rPr>
                <w:rFonts w:ascii="Times New Roman" w:eastAsia="Times New Roman" w:hAnsi="Times New Roman" w:cs="Times New Roman"/>
                <w:noProof/>
                <w:sz w:val="24"/>
                <w:lang w:val="en-GB"/>
              </w:rPr>
              <w:t xml:space="preserve">. </w:t>
            </w:r>
          </w:p>
          <w:p w14:paraId="2352CA26" w14:textId="198BC3D6" w:rsidR="00E77292" w:rsidRPr="00E50FA4" w:rsidRDefault="00E77292"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9B6F06" w:rsidRPr="00E50FA4">
              <w:rPr>
                <w:rFonts w:ascii="Times New Roman" w:eastAsia="Times New Roman" w:hAnsi="Times New Roman" w:cs="Times New Roman"/>
                <w:noProof/>
                <w:sz w:val="24"/>
                <w:lang w:val="en-GB"/>
              </w:rPr>
              <w:t>shall</w:t>
            </w:r>
            <w:r w:rsidR="008F08CA"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disclose the gross carrying amount of eligible exposures that are environmentally sustainable, as specified in </w:t>
            </w:r>
            <w:r w:rsidR="003E3703" w:rsidRPr="00E50FA4">
              <w:rPr>
                <w:rFonts w:ascii="Times New Roman" w:eastAsia="Times New Roman" w:hAnsi="Times New Roman" w:cs="Times New Roman"/>
                <w:noProof/>
                <w:sz w:val="24"/>
                <w:lang w:val="en-GB"/>
              </w:rPr>
              <w:t xml:space="preserve">the </w:t>
            </w:r>
            <w:r w:rsidR="00425050" w:rsidRPr="00E50FA4">
              <w:rPr>
                <w:rFonts w:ascii="Times New Roman" w:eastAsia="Times New Roman" w:hAnsi="Times New Roman" w:cs="Times New Roman"/>
                <w:noProof/>
                <w:sz w:val="24"/>
                <w:lang w:val="en-GB"/>
              </w:rPr>
              <w:t>A</w:t>
            </w:r>
            <w:r w:rsidRPr="00E50FA4">
              <w:rPr>
                <w:rFonts w:ascii="Times New Roman" w:eastAsia="Times New Roman" w:hAnsi="Times New Roman" w:cs="Times New Roman"/>
                <w:noProof/>
                <w:sz w:val="24"/>
                <w:lang w:val="en-GB"/>
              </w:rPr>
              <w:t xml:space="preserve">nnex </w:t>
            </w:r>
            <w:r w:rsidR="00D12513" w:rsidRPr="00E50FA4">
              <w:rPr>
                <w:rFonts w:ascii="Times New Roman" w:eastAsia="Times New Roman" w:hAnsi="Times New Roman" w:cs="Times New Roman"/>
                <w:noProof/>
                <w:sz w:val="24"/>
                <w:lang w:val="en-GB"/>
              </w:rPr>
              <w:t>I</w:t>
            </w:r>
            <w:r w:rsidR="00425050"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to Delegated </w:t>
            </w:r>
            <w:r w:rsidR="001A5405" w:rsidRPr="00E50FA4">
              <w:rPr>
                <w:rFonts w:ascii="Times New Roman" w:eastAsia="Times New Roman" w:hAnsi="Times New Roman" w:cs="Times New Roman"/>
                <w:noProof/>
                <w:sz w:val="24"/>
                <w:lang w:val="en-GB"/>
              </w:rPr>
              <w:t>Regulation</w:t>
            </w:r>
            <w:r w:rsidRPr="00E50FA4">
              <w:rPr>
                <w:rFonts w:ascii="Times New Roman" w:eastAsia="Times New Roman" w:hAnsi="Times New Roman" w:cs="Times New Roman"/>
                <w:noProof/>
                <w:sz w:val="24"/>
                <w:lang w:val="en-GB"/>
              </w:rPr>
              <w:t xml:space="preserve"> </w:t>
            </w:r>
            <w:r w:rsidR="00425050" w:rsidRPr="00E50FA4">
              <w:rPr>
                <w:rFonts w:ascii="Times New Roman" w:eastAsia="Times New Roman" w:hAnsi="Times New Roman" w:cs="Times New Roman"/>
                <w:noProof/>
                <w:sz w:val="24"/>
                <w:lang w:val="en-GB"/>
              </w:rPr>
              <w:t>(EU) 2021/2139</w:t>
            </w:r>
            <w:r w:rsidRPr="00E50FA4">
              <w:rPr>
                <w:rFonts w:ascii="Times New Roman" w:eastAsia="Times New Roman" w:hAnsi="Times New Roman" w:cs="Times New Roman"/>
                <w:noProof/>
                <w:sz w:val="24"/>
                <w:lang w:val="en-GB"/>
              </w:rPr>
              <w:t>.</w:t>
            </w:r>
          </w:p>
          <w:p w14:paraId="3A21C961" w14:textId="178F12E6" w:rsidR="00E77292" w:rsidRPr="00E50FA4" w:rsidRDefault="00E77292"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Institutions </w:t>
            </w:r>
            <w:r w:rsidR="009B6F06" w:rsidRPr="00E50FA4">
              <w:rPr>
                <w:rFonts w:ascii="Times New Roman" w:eastAsia="Times New Roman" w:hAnsi="Times New Roman" w:cs="Times New Roman"/>
                <w:noProof/>
                <w:sz w:val="24"/>
                <w:lang w:val="en-GB"/>
              </w:rPr>
              <w:t>shall</w:t>
            </w:r>
            <w:r w:rsidR="008F08CA"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disclose environmentally</w:t>
            </w:r>
            <w:r w:rsidR="006657B1"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sustainable exposures under the objective of climate</w:t>
            </w:r>
            <w:r w:rsidR="006657B1"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change mitigation in accordance with Article 9</w:t>
            </w:r>
            <w:r w:rsidR="00880707"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w:t>
            </w:r>
            <w:r w:rsidR="00880707" w:rsidRPr="00E50FA4">
              <w:rPr>
                <w:rFonts w:ascii="Times New Roman" w:eastAsia="Times New Roman" w:hAnsi="Times New Roman" w:cs="Times New Roman"/>
                <w:noProof/>
                <w:sz w:val="24"/>
                <w:lang w:val="en-GB"/>
              </w:rPr>
              <w:t>point (a)</w:t>
            </w:r>
            <w:r w:rsidR="003A31DE" w:rsidRPr="00E50FA4">
              <w:rPr>
                <w:rFonts w:ascii="Times New Roman" w:eastAsia="Times New Roman" w:hAnsi="Times New Roman" w:cs="Times New Roman"/>
                <w:noProof/>
                <w:sz w:val="24"/>
                <w:lang w:val="en-GB"/>
              </w:rPr>
              <w:t>,</w:t>
            </w:r>
            <w:r w:rsidR="00880707"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and Article 10 of </w:t>
            </w:r>
            <w:r w:rsidRPr="00E50FA4">
              <w:rPr>
                <w:rFonts w:ascii="Times New Roman" w:hAnsi="Times New Roman"/>
                <w:noProof/>
                <w:sz w:val="24"/>
                <w:lang w:val="en-GB"/>
              </w:rPr>
              <w:t>Regulation (EU) 2020/852.</w:t>
            </w:r>
          </w:p>
          <w:p w14:paraId="3D376335" w14:textId="628CC8D4" w:rsidR="00E77292" w:rsidRPr="00E50FA4" w:rsidRDefault="00E77292" w:rsidP="00DA390D">
            <w:pPr>
              <w:spacing w:before="120" w:after="120"/>
              <w:jc w:val="both"/>
              <w:rPr>
                <w:rFonts w:ascii="Times New Roman" w:hAnsi="Times New Roman"/>
                <w:noProof/>
                <w:sz w:val="24"/>
                <w:lang w:val="en-GB"/>
              </w:rPr>
            </w:pPr>
            <w:r w:rsidRPr="00E50FA4">
              <w:rPr>
                <w:rFonts w:ascii="Times New Roman" w:hAnsi="Times New Roman"/>
                <w:noProof/>
                <w:sz w:val="24"/>
                <w:lang w:val="en-GB"/>
              </w:rPr>
              <w:t>When the</w:t>
            </w:r>
            <w:r w:rsidR="00C44D22" w:rsidRPr="00E50FA4">
              <w:rPr>
                <w:rFonts w:ascii="Times New Roman" w:hAnsi="Times New Roman"/>
                <w:noProof/>
                <w:sz w:val="24"/>
                <w:lang w:val="en-GB"/>
              </w:rPr>
              <w:t xml:space="preserve"> use of</w:t>
            </w:r>
            <w:r w:rsidRPr="00E50FA4">
              <w:rPr>
                <w:rFonts w:ascii="Times New Roman" w:hAnsi="Times New Roman"/>
                <w:noProof/>
                <w:sz w:val="24"/>
                <w:lang w:val="en-GB"/>
              </w:rPr>
              <w:t xml:space="preserve"> proceeds </w:t>
            </w:r>
            <w:r w:rsidR="00C44D22" w:rsidRPr="00E50FA4">
              <w:rPr>
                <w:rFonts w:ascii="Times New Roman" w:hAnsi="Times New Roman"/>
                <w:noProof/>
                <w:sz w:val="24"/>
                <w:lang w:val="en-GB"/>
              </w:rPr>
              <w:t xml:space="preserve">is </w:t>
            </w:r>
            <w:r w:rsidRPr="00E50FA4">
              <w:rPr>
                <w:rFonts w:ascii="Times New Roman" w:hAnsi="Times New Roman"/>
                <w:noProof/>
                <w:sz w:val="24"/>
                <w:lang w:val="en-GB"/>
              </w:rPr>
              <w:t>known</w:t>
            </w:r>
            <w:r w:rsidR="00BA313D" w:rsidRPr="00E50FA4">
              <w:rPr>
                <w:rFonts w:ascii="Times New Roman" w:hAnsi="Times New Roman"/>
                <w:noProof/>
                <w:sz w:val="24"/>
                <w:lang w:val="en-GB"/>
              </w:rPr>
              <w:t xml:space="preserve"> </w:t>
            </w:r>
            <w:r w:rsidR="00F84A07" w:rsidRPr="00E50FA4">
              <w:rPr>
                <w:rFonts w:ascii="Times New Roman" w:hAnsi="Times New Roman"/>
                <w:noProof/>
                <w:sz w:val="24"/>
                <w:lang w:val="en-GB"/>
              </w:rPr>
              <w:t>(</w:t>
            </w:r>
            <w:r w:rsidR="00931BA6" w:rsidRPr="00E50FA4">
              <w:rPr>
                <w:rFonts w:ascii="Times New Roman" w:hAnsi="Times New Roman"/>
                <w:noProof/>
                <w:sz w:val="24"/>
                <w:lang w:val="en-GB"/>
              </w:rPr>
              <w:t>specialised lending</w:t>
            </w:r>
            <w:r w:rsidR="00F84A07" w:rsidRPr="00E50FA4">
              <w:rPr>
                <w:rFonts w:ascii="Times New Roman" w:hAnsi="Times New Roman"/>
                <w:noProof/>
                <w:sz w:val="24"/>
                <w:lang w:val="en-GB"/>
              </w:rPr>
              <w:t xml:space="preserve">, </w:t>
            </w:r>
            <w:r w:rsidR="0086592A" w:rsidRPr="00E50FA4">
              <w:rPr>
                <w:rFonts w:ascii="Times New Roman" w:hAnsi="Times New Roman"/>
                <w:noProof/>
                <w:sz w:val="24"/>
                <w:lang w:val="en-GB"/>
              </w:rPr>
              <w:t>including</w:t>
            </w:r>
            <w:r w:rsidR="00BA313D" w:rsidRPr="00E50FA4">
              <w:rPr>
                <w:rFonts w:ascii="Times New Roman" w:hAnsi="Times New Roman"/>
                <w:noProof/>
                <w:sz w:val="24"/>
                <w:lang w:val="en-GB"/>
              </w:rPr>
              <w:t xml:space="preserve"> </w:t>
            </w:r>
            <w:r w:rsidR="00931BA6" w:rsidRPr="00E50FA4">
              <w:rPr>
                <w:rFonts w:ascii="Times New Roman" w:hAnsi="Times New Roman"/>
                <w:noProof/>
                <w:sz w:val="24"/>
                <w:lang w:val="en-GB"/>
              </w:rPr>
              <w:t>project finance loans</w:t>
            </w:r>
            <w:r w:rsidR="00BA313D" w:rsidRPr="00E50FA4">
              <w:rPr>
                <w:rFonts w:ascii="Times New Roman" w:hAnsi="Times New Roman"/>
                <w:noProof/>
                <w:sz w:val="24"/>
                <w:lang w:val="en-GB"/>
              </w:rPr>
              <w:t xml:space="preserve">, </w:t>
            </w:r>
            <w:r w:rsidR="00931BA6" w:rsidRPr="00E50FA4">
              <w:rPr>
                <w:rFonts w:ascii="Times New Roman" w:hAnsi="Times New Roman"/>
                <w:noProof/>
                <w:sz w:val="24"/>
                <w:lang w:val="en-GB"/>
              </w:rPr>
              <w:t xml:space="preserve">as </w:t>
            </w:r>
            <w:r w:rsidR="009B6F06" w:rsidRPr="00E50FA4">
              <w:rPr>
                <w:rFonts w:ascii="Times New Roman" w:hAnsi="Times New Roman"/>
                <w:noProof/>
                <w:sz w:val="24"/>
                <w:lang w:val="en-GB"/>
              </w:rPr>
              <w:t xml:space="preserve">referred to </w:t>
            </w:r>
            <w:r w:rsidR="00B76863" w:rsidRPr="00E50FA4">
              <w:rPr>
                <w:rFonts w:ascii="Times New Roman" w:hAnsi="Times New Roman"/>
                <w:noProof/>
                <w:sz w:val="24"/>
                <w:lang w:val="en-GB"/>
              </w:rPr>
              <w:t>in Annex</w:t>
            </w:r>
            <w:r w:rsidR="00931BA6" w:rsidRPr="00E50FA4">
              <w:rPr>
                <w:rFonts w:ascii="Times New Roman" w:hAnsi="Times New Roman"/>
                <w:noProof/>
                <w:sz w:val="24"/>
                <w:lang w:val="en-GB"/>
              </w:rPr>
              <w:t xml:space="preserve"> V</w:t>
            </w:r>
            <w:r w:rsidR="00DA390D" w:rsidRPr="00E50FA4">
              <w:rPr>
                <w:rFonts w:ascii="Times New Roman" w:hAnsi="Times New Roman"/>
                <w:noProof/>
                <w:sz w:val="24"/>
                <w:lang w:val="en-GB"/>
              </w:rPr>
              <w:t xml:space="preserve"> to </w:t>
            </w:r>
            <w:r w:rsidR="00DA390D" w:rsidRPr="00E50FA4">
              <w:rPr>
                <w:rFonts w:ascii="Times New Roman" w:eastAsia="Times New Roman" w:hAnsi="Times New Roman" w:cs="Times New Roman"/>
                <w:noProof/>
                <w:sz w:val="24"/>
                <w:lang w:val="en-GB"/>
              </w:rPr>
              <w:t xml:space="preserve">Implementing Regulation </w:t>
            </w:r>
            <w:r w:rsidR="00C30D42" w:rsidRPr="00E50FA4">
              <w:rPr>
                <w:rFonts w:ascii="Times New Roman" w:eastAsia="Times New Roman" w:hAnsi="Times New Roman" w:cs="Times New Roman"/>
                <w:noProof/>
                <w:sz w:val="24"/>
                <w:lang w:val="en-GB"/>
              </w:rPr>
              <w:t>(EU) 2021/451</w:t>
            </w:r>
            <w:r w:rsidR="00931BA6" w:rsidRPr="00E50FA4">
              <w:rPr>
                <w:rFonts w:ascii="Times New Roman" w:hAnsi="Times New Roman"/>
                <w:noProof/>
                <w:sz w:val="24"/>
                <w:lang w:val="en-GB"/>
              </w:rPr>
              <w:t xml:space="preserve">), </w:t>
            </w:r>
            <w:r w:rsidRPr="00E50FA4">
              <w:rPr>
                <w:rFonts w:ascii="Times New Roman" w:hAnsi="Times New Roman"/>
                <w:noProof/>
                <w:sz w:val="24"/>
                <w:lang w:val="en-GB"/>
              </w:rPr>
              <w:t xml:space="preserve">institutions </w:t>
            </w:r>
            <w:r w:rsidR="009B6F06" w:rsidRPr="00E50FA4">
              <w:rPr>
                <w:rFonts w:ascii="Times New Roman" w:hAnsi="Times New Roman"/>
                <w:noProof/>
                <w:sz w:val="24"/>
                <w:lang w:val="en-GB"/>
              </w:rPr>
              <w:t>shall</w:t>
            </w:r>
            <w:r w:rsidR="008F08CA" w:rsidRPr="00E50FA4">
              <w:rPr>
                <w:rFonts w:ascii="Times New Roman" w:hAnsi="Times New Roman"/>
                <w:noProof/>
                <w:sz w:val="24"/>
                <w:lang w:val="en-GB"/>
              </w:rPr>
              <w:t xml:space="preserve"> </w:t>
            </w:r>
            <w:r w:rsidRPr="00E50FA4">
              <w:rPr>
                <w:rFonts w:ascii="Times New Roman" w:hAnsi="Times New Roman"/>
                <w:noProof/>
                <w:sz w:val="24"/>
                <w:lang w:val="en-GB"/>
              </w:rPr>
              <w:t>disclose the extent to which the exposure is environmentally</w:t>
            </w:r>
            <w:r w:rsidR="008F08CA" w:rsidRPr="00E50FA4">
              <w:rPr>
                <w:rFonts w:ascii="Times New Roman" w:hAnsi="Times New Roman"/>
                <w:noProof/>
                <w:sz w:val="24"/>
                <w:lang w:val="en-GB"/>
              </w:rPr>
              <w:t>-</w:t>
            </w:r>
            <w:r w:rsidRPr="00E50FA4">
              <w:rPr>
                <w:rFonts w:ascii="Times New Roman" w:hAnsi="Times New Roman"/>
                <w:noProof/>
                <w:sz w:val="24"/>
                <w:lang w:val="en-GB"/>
              </w:rPr>
              <w:t>sustainable</w:t>
            </w:r>
            <w:r w:rsidR="006657B1" w:rsidRPr="00E50FA4">
              <w:rPr>
                <w:rFonts w:ascii="Times New Roman" w:hAnsi="Times New Roman"/>
                <w:noProof/>
                <w:sz w:val="24"/>
                <w:lang w:val="en-GB"/>
              </w:rPr>
              <w:t>. Such disclosure is</w:t>
            </w:r>
            <w:r w:rsidR="00931BA6" w:rsidRPr="00E50FA4">
              <w:rPr>
                <w:rFonts w:ascii="Times New Roman" w:hAnsi="Times New Roman"/>
                <w:noProof/>
                <w:sz w:val="24"/>
                <w:lang w:val="en-GB"/>
              </w:rPr>
              <w:t xml:space="preserve"> based on the extent </w:t>
            </w:r>
            <w:r w:rsidR="00BA313D" w:rsidRPr="00E50FA4">
              <w:rPr>
                <w:rFonts w:ascii="Times New Roman" w:hAnsi="Times New Roman"/>
                <w:noProof/>
                <w:sz w:val="24"/>
                <w:lang w:val="en-GB"/>
              </w:rPr>
              <w:t>which</w:t>
            </w:r>
            <w:r w:rsidR="00931BA6" w:rsidRPr="00E50FA4">
              <w:rPr>
                <w:rFonts w:ascii="Times New Roman" w:hAnsi="Times New Roman"/>
                <w:noProof/>
                <w:sz w:val="24"/>
                <w:lang w:val="en-GB"/>
              </w:rPr>
              <w:t xml:space="preserve"> the </w:t>
            </w:r>
            <w:r w:rsidR="008F08CA" w:rsidRPr="00E50FA4">
              <w:rPr>
                <w:rFonts w:ascii="Times New Roman" w:hAnsi="Times New Roman"/>
                <w:noProof/>
                <w:sz w:val="24"/>
                <w:lang w:val="en-GB"/>
              </w:rPr>
              <w:t xml:space="preserve">funded </w:t>
            </w:r>
            <w:r w:rsidR="00931BA6" w:rsidRPr="00E50FA4">
              <w:rPr>
                <w:rFonts w:ascii="Times New Roman" w:hAnsi="Times New Roman"/>
                <w:noProof/>
                <w:sz w:val="24"/>
                <w:lang w:val="en-GB"/>
              </w:rPr>
              <w:t xml:space="preserve">project </w:t>
            </w:r>
            <w:r w:rsidR="006657B1" w:rsidRPr="00E50FA4">
              <w:rPr>
                <w:rFonts w:ascii="Times New Roman" w:hAnsi="Times New Roman"/>
                <w:noProof/>
                <w:sz w:val="24"/>
                <w:lang w:val="en-GB"/>
              </w:rPr>
              <w:t xml:space="preserve">substantially </w:t>
            </w:r>
            <w:r w:rsidR="00F84A07" w:rsidRPr="00E50FA4">
              <w:rPr>
                <w:rFonts w:ascii="Times New Roman" w:hAnsi="Times New Roman"/>
                <w:noProof/>
                <w:sz w:val="24"/>
                <w:lang w:val="en-GB"/>
              </w:rPr>
              <w:t>contributes</w:t>
            </w:r>
            <w:r w:rsidR="00931BA6" w:rsidRPr="00E50FA4">
              <w:rPr>
                <w:rFonts w:ascii="Times New Roman" w:hAnsi="Times New Roman"/>
                <w:noProof/>
                <w:sz w:val="24"/>
                <w:lang w:val="en-GB"/>
              </w:rPr>
              <w:t xml:space="preserve"> to climate change mitigation, in accordance with Article 10</w:t>
            </w:r>
            <w:r w:rsidR="003A31DE" w:rsidRPr="00E50FA4">
              <w:rPr>
                <w:rFonts w:ascii="Times New Roman" w:hAnsi="Times New Roman"/>
                <w:noProof/>
                <w:sz w:val="24"/>
                <w:lang w:val="en-GB"/>
              </w:rPr>
              <w:t xml:space="preserve"> of Regulation </w:t>
            </w:r>
            <w:r w:rsidR="006657B1" w:rsidRPr="00E50FA4">
              <w:rPr>
                <w:rFonts w:ascii="Times New Roman" w:hAnsi="Times New Roman"/>
                <w:noProof/>
                <w:sz w:val="24"/>
                <w:lang w:val="en-GB"/>
              </w:rPr>
              <w:t xml:space="preserve">(EU) </w:t>
            </w:r>
            <w:r w:rsidR="003A31DE" w:rsidRPr="00E50FA4">
              <w:rPr>
                <w:rFonts w:ascii="Times New Roman" w:hAnsi="Times New Roman"/>
                <w:noProof/>
                <w:sz w:val="24"/>
                <w:lang w:val="en-GB"/>
              </w:rPr>
              <w:t>2020/852</w:t>
            </w:r>
            <w:r w:rsidR="00BA313D" w:rsidRPr="00E50FA4">
              <w:rPr>
                <w:rFonts w:ascii="Times New Roman" w:hAnsi="Times New Roman"/>
                <w:noProof/>
                <w:sz w:val="24"/>
                <w:lang w:val="en-GB"/>
              </w:rPr>
              <w:t>,</w:t>
            </w:r>
            <w:r w:rsidR="00931BA6" w:rsidRPr="00E50FA4">
              <w:rPr>
                <w:rFonts w:ascii="Times New Roman" w:hAnsi="Times New Roman"/>
                <w:noProof/>
                <w:sz w:val="24"/>
                <w:lang w:val="en-GB"/>
              </w:rPr>
              <w:t xml:space="preserve"> or </w:t>
            </w:r>
            <w:r w:rsidR="00F84A07" w:rsidRPr="00E50FA4">
              <w:rPr>
                <w:rFonts w:ascii="Times New Roman" w:hAnsi="Times New Roman"/>
                <w:noProof/>
                <w:sz w:val="24"/>
                <w:lang w:val="en-GB"/>
              </w:rPr>
              <w:t>is an</w:t>
            </w:r>
            <w:r w:rsidR="00931BA6" w:rsidRPr="00E50FA4">
              <w:rPr>
                <w:rFonts w:ascii="Times New Roman" w:hAnsi="Times New Roman"/>
                <w:noProof/>
                <w:sz w:val="24"/>
                <w:lang w:val="en-GB"/>
              </w:rPr>
              <w:t xml:space="preserve"> enabling activity in accordance with Article 16</w:t>
            </w:r>
            <w:r w:rsidR="003A31DE" w:rsidRPr="00E50FA4">
              <w:rPr>
                <w:rFonts w:ascii="Times New Roman" w:hAnsi="Times New Roman"/>
                <w:noProof/>
                <w:sz w:val="24"/>
                <w:lang w:val="en-GB"/>
              </w:rPr>
              <w:t xml:space="preserve"> of that Regulation</w:t>
            </w:r>
            <w:r w:rsidR="00931BA6" w:rsidRPr="00E50FA4">
              <w:rPr>
                <w:rFonts w:ascii="Times New Roman" w:hAnsi="Times New Roman"/>
                <w:noProof/>
                <w:sz w:val="24"/>
                <w:lang w:val="en-GB"/>
              </w:rPr>
              <w:t>, and meet</w:t>
            </w:r>
            <w:r w:rsidR="00FA43A9" w:rsidRPr="00E50FA4">
              <w:rPr>
                <w:rFonts w:ascii="Times New Roman" w:hAnsi="Times New Roman"/>
                <w:noProof/>
                <w:sz w:val="24"/>
                <w:lang w:val="en-GB"/>
              </w:rPr>
              <w:t>s</w:t>
            </w:r>
            <w:r w:rsidR="00931BA6" w:rsidRPr="00E50FA4">
              <w:rPr>
                <w:rFonts w:ascii="Times New Roman" w:hAnsi="Times New Roman"/>
                <w:noProof/>
                <w:sz w:val="24"/>
                <w:lang w:val="en-GB"/>
              </w:rPr>
              <w:t xml:space="preserve"> the criteria specified in Article 3</w:t>
            </w:r>
            <w:r w:rsidR="008F08CA" w:rsidRPr="00E50FA4">
              <w:rPr>
                <w:rFonts w:ascii="Times New Roman" w:hAnsi="Times New Roman"/>
                <w:noProof/>
                <w:sz w:val="24"/>
                <w:lang w:val="en-GB"/>
              </w:rPr>
              <w:t xml:space="preserve"> of that Regulation</w:t>
            </w:r>
            <w:r w:rsidR="00931BA6" w:rsidRPr="00E50FA4">
              <w:rPr>
                <w:rFonts w:ascii="Times New Roman" w:hAnsi="Times New Roman"/>
                <w:noProof/>
                <w:sz w:val="24"/>
                <w:lang w:val="en-GB"/>
              </w:rPr>
              <w:t>.</w:t>
            </w:r>
            <w:r w:rsidR="00CB5006" w:rsidRPr="00E50FA4">
              <w:rPr>
                <w:rFonts w:ascii="Times New Roman" w:hAnsi="Times New Roman"/>
                <w:noProof/>
                <w:sz w:val="24"/>
                <w:lang w:val="en-GB"/>
              </w:rPr>
              <w:t xml:space="preserve"> </w:t>
            </w:r>
            <w:r w:rsidRPr="00E50FA4">
              <w:rPr>
                <w:rFonts w:ascii="Times New Roman" w:hAnsi="Times New Roman"/>
                <w:noProof/>
                <w:sz w:val="24"/>
                <w:lang w:val="en-GB"/>
              </w:rPr>
              <w:t xml:space="preserve">When the </w:t>
            </w:r>
            <w:r w:rsidR="00BA313D" w:rsidRPr="00E50FA4">
              <w:rPr>
                <w:rFonts w:ascii="Times New Roman" w:hAnsi="Times New Roman"/>
                <w:noProof/>
                <w:sz w:val="24"/>
                <w:lang w:val="en-GB"/>
              </w:rPr>
              <w:t xml:space="preserve">use of </w:t>
            </w:r>
            <w:r w:rsidRPr="00E50FA4">
              <w:rPr>
                <w:rFonts w:ascii="Times New Roman" w:hAnsi="Times New Roman"/>
                <w:noProof/>
                <w:sz w:val="24"/>
                <w:lang w:val="en-GB"/>
              </w:rPr>
              <w:t xml:space="preserve">proceeds </w:t>
            </w:r>
            <w:r w:rsidR="00BA313D" w:rsidRPr="00E50FA4">
              <w:rPr>
                <w:rFonts w:ascii="Times New Roman" w:hAnsi="Times New Roman"/>
                <w:noProof/>
                <w:sz w:val="24"/>
                <w:lang w:val="en-GB"/>
              </w:rPr>
              <w:t>is</w:t>
            </w:r>
            <w:r w:rsidRPr="00E50FA4">
              <w:rPr>
                <w:rFonts w:ascii="Times New Roman" w:hAnsi="Times New Roman"/>
                <w:noProof/>
                <w:sz w:val="24"/>
                <w:lang w:val="en-GB"/>
              </w:rPr>
              <w:t xml:space="preserve"> unknown</w:t>
            </w:r>
            <w:r w:rsidR="00BA313D" w:rsidRPr="00E50FA4">
              <w:rPr>
                <w:rFonts w:ascii="Times New Roman" w:hAnsi="Times New Roman"/>
                <w:noProof/>
                <w:sz w:val="24"/>
                <w:lang w:val="en-GB"/>
              </w:rPr>
              <w:t>,</w:t>
            </w:r>
            <w:r w:rsidRPr="00E50FA4">
              <w:rPr>
                <w:rFonts w:ascii="Times New Roman" w:hAnsi="Times New Roman"/>
                <w:noProof/>
                <w:sz w:val="24"/>
                <w:lang w:val="en-GB"/>
              </w:rPr>
              <w:t xml:space="preserve"> institutions </w:t>
            </w:r>
            <w:r w:rsidR="009B6F06" w:rsidRPr="00E50FA4">
              <w:rPr>
                <w:rFonts w:ascii="Times New Roman" w:hAnsi="Times New Roman"/>
                <w:noProof/>
                <w:sz w:val="24"/>
                <w:lang w:val="en-GB"/>
              </w:rPr>
              <w:t>shall</w:t>
            </w:r>
            <w:r w:rsidR="008F08CA" w:rsidRPr="00E50FA4">
              <w:rPr>
                <w:rFonts w:ascii="Times New Roman" w:hAnsi="Times New Roman"/>
                <w:noProof/>
                <w:sz w:val="24"/>
                <w:lang w:val="en-GB"/>
              </w:rPr>
              <w:t xml:space="preserve"> </w:t>
            </w:r>
            <w:r w:rsidRPr="00E50FA4">
              <w:rPr>
                <w:rFonts w:ascii="Times New Roman" w:hAnsi="Times New Roman"/>
                <w:noProof/>
                <w:sz w:val="24"/>
                <w:lang w:val="en-GB"/>
              </w:rPr>
              <w:t xml:space="preserve">disclose the extent to which the exposure is environmentally sustainable by using the information </w:t>
            </w:r>
            <w:r w:rsidR="006657B1" w:rsidRPr="00E50FA4">
              <w:rPr>
                <w:rFonts w:ascii="Times New Roman" w:hAnsi="Times New Roman"/>
                <w:noProof/>
                <w:sz w:val="24"/>
                <w:lang w:val="en-GB"/>
              </w:rPr>
              <w:t xml:space="preserve">received </w:t>
            </w:r>
            <w:r w:rsidRPr="00E50FA4">
              <w:rPr>
                <w:rFonts w:ascii="Times New Roman" w:hAnsi="Times New Roman"/>
                <w:noProof/>
                <w:sz w:val="24"/>
                <w:lang w:val="en-GB"/>
              </w:rPr>
              <w:t xml:space="preserve">from the counterparty, in accordance with Article 8 of Regulation (EU) 2020/852, on the proportion of the turnover derived from products or services associated with economic activities that qualify as environmentally sustainable under Article 3 of </w:t>
            </w:r>
            <w:r w:rsidR="003A31DE" w:rsidRPr="00E50FA4">
              <w:rPr>
                <w:rFonts w:ascii="Times New Roman" w:hAnsi="Times New Roman"/>
                <w:noProof/>
                <w:sz w:val="24"/>
                <w:lang w:val="en-GB"/>
              </w:rPr>
              <w:t xml:space="preserve">that </w:t>
            </w:r>
            <w:r w:rsidRPr="00E50FA4">
              <w:rPr>
                <w:rFonts w:ascii="Times New Roman" w:hAnsi="Times New Roman"/>
                <w:noProof/>
                <w:sz w:val="24"/>
                <w:lang w:val="en-GB"/>
              </w:rPr>
              <w:t>Regulation.</w:t>
            </w:r>
          </w:p>
          <w:p w14:paraId="10E5C159" w14:textId="3EABB629" w:rsidR="00E77292" w:rsidRPr="00E50FA4" w:rsidRDefault="00E77292" w:rsidP="003D5084">
            <w:pPr>
              <w:spacing w:before="120" w:after="120"/>
              <w:jc w:val="both"/>
              <w:rPr>
                <w:rFonts w:ascii="Times New Roman" w:hAnsi="Times New Roman"/>
                <w:noProof/>
                <w:sz w:val="24"/>
                <w:lang w:val="en-GB"/>
              </w:rPr>
            </w:pPr>
            <w:r w:rsidRPr="00E50FA4">
              <w:rPr>
                <w:rFonts w:ascii="Times New Roman" w:hAnsi="Times New Roman"/>
                <w:noProof/>
                <w:sz w:val="24"/>
                <w:lang w:val="en-GB"/>
              </w:rPr>
              <w:t xml:space="preserve">Each exposure </w:t>
            </w:r>
            <w:r w:rsidR="00B76863" w:rsidRPr="00E50FA4">
              <w:rPr>
                <w:rFonts w:ascii="Times New Roman" w:hAnsi="Times New Roman"/>
                <w:noProof/>
                <w:sz w:val="24"/>
                <w:lang w:val="en-GB"/>
              </w:rPr>
              <w:t>shall be</w:t>
            </w:r>
            <w:r w:rsidRPr="00E50FA4">
              <w:rPr>
                <w:rFonts w:ascii="Times New Roman" w:hAnsi="Times New Roman"/>
                <w:noProof/>
                <w:sz w:val="24"/>
                <w:lang w:val="en-GB"/>
              </w:rPr>
              <w:t xml:space="preserve"> considered </w:t>
            </w:r>
            <w:r w:rsidR="00080540" w:rsidRPr="00E50FA4">
              <w:rPr>
                <w:rFonts w:ascii="Times New Roman" w:hAnsi="Times New Roman"/>
                <w:noProof/>
                <w:sz w:val="24"/>
                <w:lang w:val="en-GB"/>
              </w:rPr>
              <w:t xml:space="preserve">only </w:t>
            </w:r>
            <w:r w:rsidRPr="00E50FA4">
              <w:rPr>
                <w:rFonts w:ascii="Times New Roman" w:hAnsi="Times New Roman"/>
                <w:noProof/>
                <w:sz w:val="24"/>
                <w:lang w:val="en-GB"/>
              </w:rPr>
              <w:t>once and shall be allocated to only one environmental objective.</w:t>
            </w:r>
            <w:r w:rsidR="0017393D" w:rsidRPr="00E50FA4">
              <w:rPr>
                <w:rFonts w:ascii="Times New Roman" w:hAnsi="Times New Roman"/>
                <w:noProof/>
                <w:sz w:val="24"/>
                <w:lang w:val="en-GB"/>
              </w:rPr>
              <w:t xml:space="preserve"> Where</w:t>
            </w:r>
            <w:r w:rsidR="00DD5274" w:rsidRPr="00E50FA4">
              <w:rPr>
                <w:rFonts w:ascii="Times New Roman" w:hAnsi="Times New Roman"/>
                <w:noProof/>
                <w:sz w:val="24"/>
                <w:lang w:val="en-GB"/>
              </w:rPr>
              <w:t xml:space="preserve"> the </w:t>
            </w:r>
            <w:r w:rsidRPr="00E50FA4">
              <w:rPr>
                <w:rFonts w:ascii="Times New Roman" w:hAnsi="Times New Roman"/>
                <w:noProof/>
                <w:sz w:val="24"/>
                <w:lang w:val="en-GB"/>
              </w:rPr>
              <w:t>exposures are relevant for more than one environmental objective</w:t>
            </w:r>
            <w:r w:rsidR="00DD5274" w:rsidRPr="00E50FA4">
              <w:rPr>
                <w:rFonts w:ascii="Times New Roman" w:hAnsi="Times New Roman"/>
                <w:noProof/>
                <w:sz w:val="24"/>
                <w:lang w:val="en-GB"/>
              </w:rPr>
              <w:t xml:space="preserve">, the allocation </w:t>
            </w:r>
            <w:r w:rsidR="003D5084" w:rsidRPr="00E50FA4">
              <w:rPr>
                <w:rFonts w:ascii="Times New Roman" w:hAnsi="Times New Roman"/>
                <w:noProof/>
                <w:sz w:val="24"/>
                <w:lang w:val="en-GB"/>
              </w:rPr>
              <w:t>shall</w:t>
            </w:r>
            <w:r w:rsidR="008F08CA" w:rsidRPr="00E50FA4">
              <w:rPr>
                <w:rFonts w:ascii="Times New Roman" w:hAnsi="Times New Roman"/>
                <w:noProof/>
                <w:sz w:val="24"/>
                <w:lang w:val="en-GB"/>
              </w:rPr>
              <w:t xml:space="preserve"> be</w:t>
            </w:r>
            <w:r w:rsidR="003D5084" w:rsidRPr="00E50FA4">
              <w:rPr>
                <w:rFonts w:ascii="Times New Roman" w:hAnsi="Times New Roman"/>
                <w:noProof/>
                <w:sz w:val="24"/>
                <w:lang w:val="en-GB"/>
              </w:rPr>
              <w:t xml:space="preserve"> </w:t>
            </w:r>
            <w:r w:rsidR="00DD5274" w:rsidRPr="00E50FA4">
              <w:rPr>
                <w:rFonts w:ascii="Times New Roman" w:hAnsi="Times New Roman"/>
                <w:noProof/>
                <w:sz w:val="24"/>
                <w:lang w:val="en-GB"/>
              </w:rPr>
              <w:t>made to the most relevant objective.</w:t>
            </w:r>
          </w:p>
        </w:tc>
      </w:tr>
      <w:tr w:rsidR="00E77292" w:rsidRPr="00E50FA4" w14:paraId="5907FB69" w14:textId="77777777" w:rsidTr="00BA313D">
        <w:tc>
          <w:tcPr>
            <w:tcW w:w="1188" w:type="dxa"/>
            <w:tcBorders>
              <w:top w:val="single" w:sz="4" w:space="0" w:color="auto"/>
              <w:left w:val="single" w:sz="4" w:space="0" w:color="auto"/>
              <w:bottom w:val="single" w:sz="4" w:space="0" w:color="auto"/>
              <w:right w:val="single" w:sz="4" w:space="0" w:color="auto"/>
            </w:tcBorders>
          </w:tcPr>
          <w:p w14:paraId="33AD86D0"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d</w:t>
            </w:r>
          </w:p>
        </w:tc>
        <w:tc>
          <w:tcPr>
            <w:tcW w:w="7879" w:type="dxa"/>
            <w:tcBorders>
              <w:top w:val="single" w:sz="4" w:space="0" w:color="auto"/>
              <w:left w:val="single" w:sz="4" w:space="0" w:color="auto"/>
              <w:bottom w:val="single" w:sz="4" w:space="0" w:color="auto"/>
              <w:right w:val="single" w:sz="4" w:space="0" w:color="auto"/>
            </w:tcBorders>
          </w:tcPr>
          <w:p w14:paraId="2319A40B"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specialised lending</w:t>
            </w:r>
          </w:p>
          <w:p w14:paraId="29B7029A" w14:textId="08344F0B" w:rsidR="005B5055" w:rsidRPr="00E50FA4" w:rsidRDefault="008F08CA" w:rsidP="005B5055">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3D5084"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gross </w:t>
            </w:r>
            <w:r w:rsidR="005B5055" w:rsidRPr="00E50FA4">
              <w:rPr>
                <w:rFonts w:ascii="Times New Roman" w:eastAsia="Times New Roman" w:hAnsi="Times New Roman" w:cs="Times New Roman"/>
                <w:noProof/>
                <w:sz w:val="24"/>
                <w:lang w:val="en-GB"/>
              </w:rPr>
              <w:t>carrying amount as defined in Part 1 of Annex V to Implementing Regulation (EU) 2021/451.</w:t>
            </w:r>
          </w:p>
          <w:p w14:paraId="279EFB0C" w14:textId="60FCA169" w:rsidR="00E77292" w:rsidRPr="00E50FA4" w:rsidRDefault="00184269" w:rsidP="008F08CA">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Specialised lending </w:t>
            </w:r>
            <w:r w:rsidR="00107E03" w:rsidRPr="00E50FA4">
              <w:rPr>
                <w:rFonts w:ascii="Times New Roman" w:eastAsia="Times New Roman" w:hAnsi="Times New Roman" w:cs="Times New Roman"/>
                <w:noProof/>
                <w:sz w:val="24"/>
                <w:lang w:val="en-GB"/>
              </w:rPr>
              <w:t xml:space="preserve">exposures shall be understood as referred to in Article 147(8) </w:t>
            </w:r>
            <w:r w:rsidR="00107E03">
              <w:rPr>
                <w:rFonts w:ascii="Times New Roman" w:eastAsia="Times New Roman" w:hAnsi="Times New Roman" w:cs="Times New Roman"/>
                <w:noProof/>
                <w:sz w:val="24"/>
                <w:lang w:val="en-GB"/>
              </w:rPr>
              <w:t>of</w:t>
            </w:r>
            <w:r w:rsidR="00E77292" w:rsidRPr="00E50FA4">
              <w:rPr>
                <w:rFonts w:ascii="Times New Roman" w:eastAsia="Times New Roman" w:hAnsi="Times New Roman" w:cs="Times New Roman"/>
                <w:noProof/>
                <w:sz w:val="24"/>
                <w:lang w:val="en-GB"/>
              </w:rPr>
              <w:t xml:space="preserve"> Regulation </w:t>
            </w:r>
            <w:r w:rsidR="00AC69F0">
              <w:rPr>
                <w:rFonts w:ascii="Times New Roman" w:eastAsia="Times New Roman" w:hAnsi="Times New Roman" w:cs="Times New Roman"/>
                <w:noProof/>
                <w:sz w:val="24"/>
                <w:lang w:val="en-GB"/>
              </w:rPr>
              <w:t xml:space="preserve">(EU) </w:t>
            </w:r>
            <w:r w:rsidR="00107E03" w:rsidRPr="00E50FA4">
              <w:rPr>
                <w:rFonts w:ascii="Times New Roman" w:eastAsia="Times New Roman" w:hAnsi="Times New Roman" w:cs="Times New Roman"/>
                <w:noProof/>
                <w:sz w:val="24"/>
                <w:lang w:val="en-GB"/>
              </w:rPr>
              <w:t>No 575/2013</w:t>
            </w:r>
            <w:r w:rsidR="00E77292" w:rsidRPr="00E50FA4">
              <w:rPr>
                <w:rFonts w:ascii="Times New Roman" w:eastAsia="Times New Roman" w:hAnsi="Times New Roman" w:cs="Times New Roman"/>
                <w:noProof/>
                <w:sz w:val="24"/>
                <w:lang w:val="en-GB"/>
              </w:rPr>
              <w:t>.</w:t>
            </w:r>
            <w:r w:rsidR="003F2674" w:rsidRPr="00E50FA4">
              <w:rPr>
                <w:rFonts w:ascii="Times New Roman" w:eastAsia="Times New Roman" w:hAnsi="Times New Roman" w:cs="Times New Roman"/>
                <w:noProof/>
                <w:sz w:val="24"/>
                <w:lang w:val="en-GB"/>
              </w:rPr>
              <w:t xml:space="preserve"> </w:t>
            </w:r>
            <w:r w:rsidR="008F08CA" w:rsidRPr="00E50FA4">
              <w:rPr>
                <w:rFonts w:ascii="Times New Roman" w:eastAsia="Times New Roman" w:hAnsi="Times New Roman" w:cs="Times New Roman"/>
                <w:noProof/>
                <w:sz w:val="24"/>
                <w:lang w:val="en-GB"/>
              </w:rPr>
              <w:t xml:space="preserve">It </w:t>
            </w:r>
            <w:r w:rsidR="00BA313D" w:rsidRPr="00E50FA4">
              <w:rPr>
                <w:rFonts w:ascii="Times New Roman" w:eastAsia="Times New Roman" w:hAnsi="Times New Roman" w:cs="Times New Roman"/>
                <w:noProof/>
                <w:sz w:val="24"/>
                <w:lang w:val="en-GB"/>
              </w:rPr>
              <w:t>include</w:t>
            </w:r>
            <w:r w:rsidR="008F08CA" w:rsidRPr="00E50FA4">
              <w:rPr>
                <w:rFonts w:ascii="Times New Roman" w:eastAsia="Times New Roman" w:hAnsi="Times New Roman" w:cs="Times New Roman"/>
                <w:noProof/>
                <w:sz w:val="24"/>
                <w:lang w:val="en-GB"/>
              </w:rPr>
              <w:t>s</w:t>
            </w:r>
            <w:r w:rsidR="00BA313D" w:rsidRPr="00E50FA4">
              <w:rPr>
                <w:rFonts w:ascii="Times New Roman" w:eastAsia="Times New Roman" w:hAnsi="Times New Roman" w:cs="Times New Roman"/>
                <w:noProof/>
                <w:sz w:val="24"/>
                <w:lang w:val="en-GB"/>
              </w:rPr>
              <w:t xml:space="preserve"> </w:t>
            </w:r>
            <w:r w:rsidR="00E77292" w:rsidRPr="00E50FA4">
              <w:rPr>
                <w:rFonts w:ascii="Times New Roman" w:eastAsia="Times New Roman" w:hAnsi="Times New Roman" w:cs="Times New Roman"/>
                <w:noProof/>
                <w:sz w:val="24"/>
                <w:lang w:val="en-GB"/>
              </w:rPr>
              <w:t>exposures which are environmentally sustainable under the objective of climate</w:t>
            </w:r>
            <w:r w:rsidR="003F2674" w:rsidRPr="00E50FA4">
              <w:rPr>
                <w:rFonts w:ascii="Times New Roman" w:eastAsia="Times New Roman" w:hAnsi="Times New Roman" w:cs="Times New Roman"/>
                <w:noProof/>
                <w:sz w:val="24"/>
                <w:lang w:val="en-GB"/>
              </w:rPr>
              <w:t>-</w:t>
            </w:r>
            <w:r w:rsidR="00E77292" w:rsidRPr="00E50FA4">
              <w:rPr>
                <w:rFonts w:ascii="Times New Roman" w:eastAsia="Times New Roman" w:hAnsi="Times New Roman" w:cs="Times New Roman"/>
                <w:noProof/>
                <w:sz w:val="24"/>
                <w:lang w:val="en-GB"/>
              </w:rPr>
              <w:t>change mitigation in accordance with Article 9</w:t>
            </w:r>
            <w:r w:rsidR="00E95979" w:rsidRPr="00E50FA4">
              <w:rPr>
                <w:rFonts w:ascii="Times New Roman" w:eastAsia="Times New Roman" w:hAnsi="Times New Roman" w:cs="Times New Roman"/>
                <w:noProof/>
                <w:sz w:val="24"/>
                <w:lang w:val="en-GB"/>
              </w:rPr>
              <w:t>,</w:t>
            </w:r>
            <w:r w:rsidR="00E77292" w:rsidRPr="00E50FA4">
              <w:rPr>
                <w:rFonts w:ascii="Times New Roman" w:eastAsia="Times New Roman" w:hAnsi="Times New Roman" w:cs="Times New Roman"/>
                <w:noProof/>
                <w:sz w:val="24"/>
                <w:lang w:val="en-GB"/>
              </w:rPr>
              <w:t xml:space="preserve"> </w:t>
            </w:r>
            <w:r w:rsidR="00E95979" w:rsidRPr="00E50FA4">
              <w:rPr>
                <w:rFonts w:ascii="Times New Roman" w:eastAsia="Times New Roman" w:hAnsi="Times New Roman" w:cs="Times New Roman"/>
                <w:noProof/>
                <w:sz w:val="24"/>
                <w:lang w:val="en-GB"/>
              </w:rPr>
              <w:t>point (a)</w:t>
            </w:r>
            <w:r w:rsidR="003A31DE" w:rsidRPr="00E50FA4">
              <w:rPr>
                <w:rFonts w:ascii="Times New Roman" w:eastAsia="Times New Roman" w:hAnsi="Times New Roman" w:cs="Times New Roman"/>
                <w:noProof/>
                <w:sz w:val="24"/>
                <w:lang w:val="en-GB"/>
              </w:rPr>
              <w:t>,</w:t>
            </w:r>
            <w:r w:rsidR="00E95979" w:rsidRPr="00E50FA4">
              <w:rPr>
                <w:rFonts w:ascii="Times New Roman" w:eastAsia="Times New Roman" w:hAnsi="Times New Roman" w:cs="Times New Roman"/>
                <w:noProof/>
                <w:sz w:val="24"/>
                <w:lang w:val="en-GB"/>
              </w:rPr>
              <w:t xml:space="preserve"> </w:t>
            </w:r>
            <w:r w:rsidR="00E77292" w:rsidRPr="00E50FA4">
              <w:rPr>
                <w:rFonts w:ascii="Times New Roman" w:eastAsia="Times New Roman" w:hAnsi="Times New Roman" w:cs="Times New Roman"/>
                <w:noProof/>
                <w:sz w:val="24"/>
                <w:lang w:val="en-GB"/>
              </w:rPr>
              <w:t xml:space="preserve">and Article 10 of </w:t>
            </w:r>
            <w:r w:rsidR="00E77292" w:rsidRPr="00E50FA4">
              <w:rPr>
                <w:rFonts w:ascii="Times New Roman" w:hAnsi="Times New Roman"/>
                <w:noProof/>
                <w:sz w:val="24"/>
                <w:lang w:val="en-GB"/>
              </w:rPr>
              <w:t>Regulation (EU) 2020/852</w:t>
            </w:r>
            <w:r w:rsidR="00540776" w:rsidRPr="00E50FA4">
              <w:rPr>
                <w:rFonts w:ascii="Times New Roman" w:hAnsi="Times New Roman"/>
                <w:noProof/>
                <w:sz w:val="24"/>
                <w:lang w:val="en-GB"/>
              </w:rPr>
              <w:t>.</w:t>
            </w:r>
          </w:p>
          <w:p w14:paraId="1911C039" w14:textId="1DBCFAA3" w:rsidR="00E77292" w:rsidRPr="00E50FA4" w:rsidRDefault="00034BAB" w:rsidP="00293C40">
            <w:pPr>
              <w:spacing w:before="120" w:after="120"/>
              <w:jc w:val="both"/>
              <w:rPr>
                <w:rFonts w:ascii="Times New Roman" w:hAnsi="Times New Roman"/>
                <w:noProof/>
                <w:sz w:val="24"/>
                <w:lang w:val="en-GB"/>
              </w:rPr>
            </w:pPr>
            <w:r w:rsidRPr="00E50FA4">
              <w:rPr>
                <w:rFonts w:ascii="Times New Roman" w:hAnsi="Times New Roman"/>
                <w:noProof/>
                <w:sz w:val="24"/>
                <w:lang w:val="en-GB"/>
              </w:rPr>
              <w:t xml:space="preserve">When the use of proceeds is known, in the case of specialised lending institutions </w:t>
            </w:r>
            <w:r w:rsidR="000C40AF" w:rsidRPr="00E50FA4">
              <w:rPr>
                <w:rFonts w:ascii="Times New Roman" w:hAnsi="Times New Roman"/>
                <w:noProof/>
                <w:sz w:val="24"/>
                <w:lang w:val="en-GB"/>
              </w:rPr>
              <w:t>shall</w:t>
            </w:r>
            <w:r w:rsidR="008F08CA" w:rsidRPr="00E50FA4">
              <w:rPr>
                <w:rFonts w:ascii="Times New Roman" w:hAnsi="Times New Roman"/>
                <w:noProof/>
                <w:sz w:val="24"/>
                <w:lang w:val="en-GB"/>
              </w:rPr>
              <w:t xml:space="preserve"> </w:t>
            </w:r>
            <w:r w:rsidRPr="00E50FA4">
              <w:rPr>
                <w:rFonts w:ascii="Times New Roman" w:hAnsi="Times New Roman"/>
                <w:noProof/>
                <w:sz w:val="24"/>
                <w:lang w:val="en-GB"/>
              </w:rPr>
              <w:t>disclose the extent to which the exposure is environmentally sustainable based on the extent and proportion to which the specific project funded qualify as contributing substantially to climate change mitigation (project specific information), in accordance with Article 10</w:t>
            </w:r>
            <w:r w:rsidR="00D25680" w:rsidRPr="00E50FA4">
              <w:rPr>
                <w:rFonts w:ascii="Times New Roman" w:hAnsi="Times New Roman"/>
                <w:noProof/>
                <w:sz w:val="24"/>
                <w:lang w:val="en-GB"/>
              </w:rPr>
              <w:t xml:space="preserve"> of </w:t>
            </w:r>
            <w:r w:rsidR="00903F9E" w:rsidRPr="00E50FA4">
              <w:rPr>
                <w:rFonts w:ascii="Times New Roman" w:hAnsi="Times New Roman"/>
                <w:noProof/>
                <w:sz w:val="24"/>
                <w:lang w:val="en-GB"/>
              </w:rPr>
              <w:t>Regulation (EU) 2020/852</w:t>
            </w:r>
            <w:r w:rsidRPr="00E50FA4">
              <w:rPr>
                <w:rFonts w:ascii="Times New Roman" w:hAnsi="Times New Roman"/>
                <w:noProof/>
                <w:sz w:val="24"/>
                <w:lang w:val="en-GB"/>
              </w:rPr>
              <w:t>, or as enabling activity in accordance with Article 16, and meet</w:t>
            </w:r>
            <w:r w:rsidR="00FA43A9" w:rsidRPr="00E50FA4">
              <w:rPr>
                <w:rFonts w:ascii="Times New Roman" w:hAnsi="Times New Roman"/>
                <w:noProof/>
                <w:sz w:val="24"/>
                <w:lang w:val="en-GB"/>
              </w:rPr>
              <w:t>s</w:t>
            </w:r>
            <w:r w:rsidRPr="00E50FA4">
              <w:rPr>
                <w:rFonts w:ascii="Times New Roman" w:hAnsi="Times New Roman"/>
                <w:noProof/>
                <w:sz w:val="24"/>
                <w:lang w:val="en-GB"/>
              </w:rPr>
              <w:t xml:space="preserve"> the criteria specified in Article 3 of th</w:t>
            </w:r>
            <w:r w:rsidR="003A31DE" w:rsidRPr="00E50FA4">
              <w:rPr>
                <w:rFonts w:ascii="Times New Roman" w:hAnsi="Times New Roman"/>
                <w:noProof/>
                <w:sz w:val="24"/>
                <w:lang w:val="en-GB"/>
              </w:rPr>
              <w:t>at</w:t>
            </w:r>
            <w:r w:rsidRPr="00E50FA4">
              <w:rPr>
                <w:rFonts w:ascii="Times New Roman" w:hAnsi="Times New Roman"/>
                <w:noProof/>
                <w:sz w:val="24"/>
                <w:lang w:val="en-GB"/>
              </w:rPr>
              <w:t xml:space="preserve"> </w:t>
            </w:r>
            <w:r w:rsidR="003A31DE" w:rsidRPr="00E50FA4">
              <w:rPr>
                <w:rFonts w:ascii="Times New Roman" w:hAnsi="Times New Roman"/>
                <w:noProof/>
                <w:sz w:val="24"/>
                <w:lang w:val="en-GB"/>
              </w:rPr>
              <w:t>R</w:t>
            </w:r>
            <w:r w:rsidRPr="00E50FA4">
              <w:rPr>
                <w:rFonts w:ascii="Times New Roman" w:hAnsi="Times New Roman"/>
                <w:noProof/>
                <w:sz w:val="24"/>
                <w:lang w:val="en-GB"/>
              </w:rPr>
              <w:t xml:space="preserve">egulation. Institutions </w:t>
            </w:r>
            <w:r w:rsidR="00293C40" w:rsidRPr="00E50FA4">
              <w:rPr>
                <w:rFonts w:ascii="Times New Roman" w:hAnsi="Times New Roman"/>
                <w:noProof/>
                <w:sz w:val="24"/>
                <w:lang w:val="en-GB"/>
              </w:rPr>
              <w:t>shall</w:t>
            </w:r>
            <w:r w:rsidR="008F08CA" w:rsidRPr="00E50FA4">
              <w:rPr>
                <w:rFonts w:ascii="Times New Roman" w:hAnsi="Times New Roman"/>
                <w:noProof/>
                <w:sz w:val="24"/>
                <w:lang w:val="en-GB"/>
              </w:rPr>
              <w:t xml:space="preserve"> </w:t>
            </w:r>
            <w:r w:rsidRPr="00E50FA4">
              <w:rPr>
                <w:rFonts w:ascii="Times New Roman" w:hAnsi="Times New Roman"/>
                <w:noProof/>
                <w:sz w:val="24"/>
                <w:lang w:val="en-GB"/>
              </w:rPr>
              <w:t>provide transpare</w:t>
            </w:r>
            <w:r w:rsidR="008F08CA" w:rsidRPr="00E50FA4">
              <w:rPr>
                <w:rFonts w:ascii="Times New Roman" w:hAnsi="Times New Roman"/>
                <w:noProof/>
                <w:sz w:val="24"/>
                <w:lang w:val="en-GB"/>
              </w:rPr>
              <w:t>nt information</w:t>
            </w:r>
            <w:r w:rsidRPr="00E50FA4">
              <w:rPr>
                <w:rFonts w:ascii="Times New Roman" w:hAnsi="Times New Roman"/>
                <w:noProof/>
                <w:sz w:val="24"/>
                <w:lang w:val="en-GB"/>
              </w:rPr>
              <w:t xml:space="preserve"> on the kind of economic activities that are being funded through specialised lending. </w:t>
            </w:r>
            <w:r w:rsidR="00693BD2" w:rsidRPr="00E50FA4">
              <w:rPr>
                <w:rFonts w:ascii="Times New Roman" w:hAnsi="Times New Roman"/>
                <w:noProof/>
                <w:sz w:val="24"/>
                <w:lang w:val="en-GB"/>
              </w:rPr>
              <w:t xml:space="preserve">Where </w:t>
            </w:r>
            <w:r w:rsidRPr="00E50FA4">
              <w:rPr>
                <w:rFonts w:ascii="Times New Roman" w:hAnsi="Times New Roman"/>
                <w:noProof/>
                <w:sz w:val="24"/>
                <w:lang w:val="en-GB"/>
              </w:rPr>
              <w:t xml:space="preserve">the same specialised lending exposure </w:t>
            </w:r>
            <w:r w:rsidR="00693BD2" w:rsidRPr="00E50FA4">
              <w:rPr>
                <w:rFonts w:ascii="Times New Roman" w:hAnsi="Times New Roman"/>
                <w:noProof/>
                <w:sz w:val="24"/>
                <w:lang w:val="en-GB"/>
              </w:rPr>
              <w:t xml:space="preserve">is </w:t>
            </w:r>
            <w:r w:rsidRPr="00E50FA4">
              <w:rPr>
                <w:rFonts w:ascii="Times New Roman" w:hAnsi="Times New Roman"/>
                <w:noProof/>
                <w:sz w:val="24"/>
                <w:lang w:val="en-GB"/>
              </w:rPr>
              <w:t xml:space="preserve">relevant </w:t>
            </w:r>
            <w:r w:rsidR="00693BD2" w:rsidRPr="00E50FA4">
              <w:rPr>
                <w:rFonts w:ascii="Times New Roman" w:hAnsi="Times New Roman"/>
                <w:noProof/>
                <w:sz w:val="24"/>
                <w:lang w:val="en-GB"/>
              </w:rPr>
              <w:t xml:space="preserve">to </w:t>
            </w:r>
            <w:r w:rsidRPr="00E50FA4">
              <w:rPr>
                <w:rFonts w:ascii="Times New Roman" w:hAnsi="Times New Roman"/>
                <w:noProof/>
                <w:sz w:val="24"/>
                <w:lang w:val="en-GB"/>
              </w:rPr>
              <w:t>two environmental objective</w:t>
            </w:r>
            <w:r w:rsidR="00693BD2" w:rsidRPr="00E50FA4">
              <w:rPr>
                <w:rFonts w:ascii="Times New Roman" w:hAnsi="Times New Roman"/>
                <w:noProof/>
                <w:sz w:val="24"/>
                <w:lang w:val="en-GB"/>
              </w:rPr>
              <w:t>s</w:t>
            </w:r>
            <w:r w:rsidRPr="00E50FA4">
              <w:rPr>
                <w:rFonts w:ascii="Times New Roman" w:hAnsi="Times New Roman"/>
                <w:noProof/>
                <w:sz w:val="24"/>
                <w:lang w:val="en-GB"/>
              </w:rPr>
              <w:t>, institutions shall allocate it to the most relevant</w:t>
            </w:r>
            <w:r w:rsidR="00693BD2" w:rsidRPr="00E50FA4">
              <w:rPr>
                <w:rFonts w:ascii="Times New Roman" w:hAnsi="Times New Roman"/>
                <w:noProof/>
                <w:sz w:val="24"/>
                <w:lang w:val="en-GB"/>
              </w:rPr>
              <w:t xml:space="preserve"> one</w:t>
            </w:r>
            <w:r w:rsidRPr="00E50FA4">
              <w:rPr>
                <w:rFonts w:ascii="Times New Roman" w:hAnsi="Times New Roman"/>
                <w:noProof/>
                <w:sz w:val="24"/>
                <w:lang w:val="en-GB"/>
              </w:rPr>
              <w:t>.</w:t>
            </w:r>
          </w:p>
        </w:tc>
      </w:tr>
      <w:tr w:rsidR="00C80D87" w:rsidRPr="00E50FA4" w14:paraId="57409B6A" w14:textId="77777777" w:rsidTr="00BA313D">
        <w:tc>
          <w:tcPr>
            <w:tcW w:w="1188" w:type="dxa"/>
            <w:tcBorders>
              <w:top w:val="single" w:sz="4" w:space="0" w:color="auto"/>
              <w:left w:val="single" w:sz="4" w:space="0" w:color="auto"/>
              <w:bottom w:val="single" w:sz="4" w:space="0" w:color="auto"/>
              <w:right w:val="single" w:sz="4" w:space="0" w:color="auto"/>
            </w:tcBorders>
          </w:tcPr>
          <w:p w14:paraId="2244C789" w14:textId="77777777" w:rsidR="00C80D87" w:rsidRPr="00E50FA4" w:rsidRDefault="00392D8A"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e</w:t>
            </w:r>
          </w:p>
        </w:tc>
        <w:tc>
          <w:tcPr>
            <w:tcW w:w="7879" w:type="dxa"/>
            <w:tcBorders>
              <w:top w:val="single" w:sz="4" w:space="0" w:color="auto"/>
              <w:left w:val="single" w:sz="4" w:space="0" w:color="auto"/>
              <w:bottom w:val="single" w:sz="4" w:space="0" w:color="auto"/>
              <w:right w:val="single" w:sz="4" w:space="0" w:color="auto"/>
            </w:tcBorders>
          </w:tcPr>
          <w:p w14:paraId="43A784D2" w14:textId="77777777" w:rsidR="00C80D87" w:rsidRPr="00E50FA4" w:rsidRDefault="00C80D87"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transitional</w:t>
            </w:r>
          </w:p>
          <w:p w14:paraId="0C9F5305" w14:textId="77777777" w:rsidR="00C80D87" w:rsidRPr="00E50FA4" w:rsidRDefault="00C23C8F"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Article 10</w:t>
            </w:r>
            <w:r w:rsidR="00540776" w:rsidRPr="00E50FA4">
              <w:rPr>
                <w:rFonts w:ascii="Times New Roman" w:eastAsia="Times New Roman" w:hAnsi="Times New Roman" w:cs="Times New Roman"/>
                <w:noProof/>
                <w:sz w:val="24"/>
                <w:lang w:val="en-GB"/>
              </w:rPr>
              <w:t xml:space="preserve"> of </w:t>
            </w:r>
            <w:r w:rsidR="00540776" w:rsidRPr="00E50FA4">
              <w:rPr>
                <w:rFonts w:ascii="Times New Roman" w:hAnsi="Times New Roman"/>
                <w:noProof/>
                <w:sz w:val="24"/>
                <w:lang w:val="en-GB"/>
              </w:rPr>
              <w:t>Regulation (EU) 2020/852.</w:t>
            </w:r>
          </w:p>
        </w:tc>
      </w:tr>
      <w:tr w:rsidR="00C80D87" w:rsidRPr="00E50FA4" w14:paraId="34731177" w14:textId="77777777" w:rsidTr="00BA313D">
        <w:tc>
          <w:tcPr>
            <w:tcW w:w="1188" w:type="dxa"/>
            <w:tcBorders>
              <w:top w:val="single" w:sz="4" w:space="0" w:color="auto"/>
              <w:left w:val="single" w:sz="4" w:space="0" w:color="auto"/>
              <w:bottom w:val="single" w:sz="4" w:space="0" w:color="auto"/>
              <w:right w:val="single" w:sz="4" w:space="0" w:color="auto"/>
            </w:tcBorders>
          </w:tcPr>
          <w:p w14:paraId="64971EFA" w14:textId="77777777" w:rsidR="00C80D87" w:rsidRPr="00E50FA4" w:rsidRDefault="00392D8A"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f</w:t>
            </w:r>
          </w:p>
        </w:tc>
        <w:tc>
          <w:tcPr>
            <w:tcW w:w="7879" w:type="dxa"/>
            <w:tcBorders>
              <w:top w:val="single" w:sz="4" w:space="0" w:color="auto"/>
              <w:left w:val="single" w:sz="4" w:space="0" w:color="auto"/>
              <w:bottom w:val="single" w:sz="4" w:space="0" w:color="auto"/>
              <w:right w:val="single" w:sz="4" w:space="0" w:color="auto"/>
            </w:tcBorders>
          </w:tcPr>
          <w:p w14:paraId="148C4520" w14:textId="77777777" w:rsidR="00C80D87" w:rsidRPr="00E50FA4" w:rsidRDefault="00C80D87"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enabling</w:t>
            </w:r>
          </w:p>
          <w:p w14:paraId="64448A1B" w14:textId="77777777" w:rsidR="00C80D87" w:rsidRPr="00E50FA4" w:rsidRDefault="00540776"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Article 16 of </w:t>
            </w:r>
            <w:r w:rsidRPr="00E50FA4">
              <w:rPr>
                <w:rFonts w:ascii="Times New Roman" w:hAnsi="Times New Roman"/>
                <w:noProof/>
                <w:sz w:val="24"/>
                <w:lang w:val="en-GB"/>
              </w:rPr>
              <w:t>Regulation (EU) 2020/852.</w:t>
            </w:r>
          </w:p>
        </w:tc>
      </w:tr>
      <w:tr w:rsidR="00E77292" w:rsidRPr="00E50FA4" w14:paraId="7E220A26" w14:textId="77777777" w:rsidTr="00BA313D">
        <w:tc>
          <w:tcPr>
            <w:tcW w:w="1188" w:type="dxa"/>
            <w:tcBorders>
              <w:top w:val="single" w:sz="4" w:space="0" w:color="auto"/>
              <w:left w:val="single" w:sz="4" w:space="0" w:color="auto"/>
              <w:bottom w:val="single" w:sz="4" w:space="0" w:color="auto"/>
              <w:right w:val="single" w:sz="4" w:space="0" w:color="auto"/>
            </w:tcBorders>
          </w:tcPr>
          <w:p w14:paraId="3D71CC09" w14:textId="77777777" w:rsidR="00E77292" w:rsidRPr="00E50FA4" w:rsidRDefault="00392D8A"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g</w:t>
            </w:r>
          </w:p>
        </w:tc>
        <w:tc>
          <w:tcPr>
            <w:tcW w:w="7879" w:type="dxa"/>
            <w:tcBorders>
              <w:top w:val="single" w:sz="4" w:space="0" w:color="auto"/>
              <w:left w:val="single" w:sz="4" w:space="0" w:color="auto"/>
              <w:bottom w:val="single" w:sz="4" w:space="0" w:color="auto"/>
              <w:right w:val="single" w:sz="4" w:space="0" w:color="auto"/>
            </w:tcBorders>
          </w:tcPr>
          <w:p w14:paraId="51AD4BE3"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towards taxonomy relevant sectors</w:t>
            </w:r>
          </w:p>
          <w:p w14:paraId="00451C69" w14:textId="601F4D68" w:rsidR="005B5055" w:rsidRPr="00E50FA4" w:rsidRDefault="008F08CA" w:rsidP="005B5055">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293C40"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gross </w:t>
            </w:r>
            <w:r w:rsidR="005B5055" w:rsidRPr="00E50FA4">
              <w:rPr>
                <w:rFonts w:ascii="Times New Roman" w:eastAsia="Times New Roman" w:hAnsi="Times New Roman" w:cs="Times New Roman"/>
                <w:noProof/>
                <w:sz w:val="24"/>
                <w:lang w:val="en-GB"/>
              </w:rPr>
              <w:t xml:space="preserve">carrying amount as defined in Part 1 of Annex V to Implementing Regulation (EU) 2021/451. </w:t>
            </w:r>
          </w:p>
          <w:p w14:paraId="765F8C8F" w14:textId="19C0705B"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293C40" w:rsidRPr="00E50FA4">
              <w:rPr>
                <w:rFonts w:ascii="Times New Roman" w:eastAsia="Times New Roman" w:hAnsi="Times New Roman" w:cs="Times New Roman"/>
                <w:noProof/>
                <w:sz w:val="24"/>
                <w:lang w:val="en-GB"/>
              </w:rPr>
              <w:t>shall</w:t>
            </w:r>
            <w:r w:rsidR="008F08CA"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disclose the gross carrying amount of eligible exposures towards sectors (4 level NACE codes) relevant for the corresponding environmental objective according to the Taxonomy, as specified </w:t>
            </w:r>
            <w:r w:rsidR="00B76863" w:rsidRPr="00E50FA4">
              <w:rPr>
                <w:rFonts w:ascii="Times New Roman" w:eastAsia="Times New Roman" w:hAnsi="Times New Roman" w:cs="Times New Roman"/>
                <w:noProof/>
                <w:sz w:val="24"/>
                <w:lang w:val="en-GB"/>
              </w:rPr>
              <w:t>in Annex</w:t>
            </w:r>
            <w:r w:rsidRPr="00E50FA4">
              <w:rPr>
                <w:rFonts w:ascii="Times New Roman" w:eastAsia="Times New Roman" w:hAnsi="Times New Roman" w:cs="Times New Roman"/>
                <w:noProof/>
                <w:sz w:val="24"/>
                <w:lang w:val="en-GB"/>
              </w:rPr>
              <w:t xml:space="preserve"> </w:t>
            </w:r>
            <w:r w:rsidR="00E82934" w:rsidRPr="00E50FA4">
              <w:rPr>
                <w:rFonts w:ascii="Times New Roman" w:eastAsia="Times New Roman" w:hAnsi="Times New Roman" w:cs="Times New Roman"/>
                <w:noProof/>
                <w:sz w:val="24"/>
                <w:lang w:val="en-GB"/>
              </w:rPr>
              <w:t>I</w:t>
            </w:r>
            <w:r w:rsidR="002B3CD1" w:rsidRPr="00E50FA4">
              <w:rPr>
                <w:rFonts w:ascii="Times New Roman" w:eastAsia="Times New Roman" w:hAnsi="Times New Roman" w:cs="Times New Roman"/>
                <w:noProof/>
                <w:sz w:val="24"/>
                <w:lang w:val="en-GB"/>
              </w:rPr>
              <w:t>I</w:t>
            </w:r>
            <w:r w:rsidR="00CC1411"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to Delegated </w:t>
            </w:r>
            <w:r w:rsidR="00D974ED" w:rsidRPr="00E50FA4">
              <w:rPr>
                <w:rFonts w:ascii="Times New Roman" w:eastAsia="Times New Roman" w:hAnsi="Times New Roman" w:cs="Times New Roman"/>
                <w:noProof/>
                <w:sz w:val="24"/>
                <w:lang w:val="en-GB"/>
              </w:rPr>
              <w:t>Regulation</w:t>
            </w:r>
            <w:r w:rsidRPr="00E50FA4">
              <w:rPr>
                <w:rFonts w:ascii="Times New Roman" w:eastAsia="Times New Roman" w:hAnsi="Times New Roman" w:cs="Times New Roman"/>
                <w:noProof/>
                <w:sz w:val="24"/>
                <w:lang w:val="en-GB"/>
              </w:rPr>
              <w:t xml:space="preserve"> </w:t>
            </w:r>
            <w:r w:rsidR="003A31DE" w:rsidRPr="00E50FA4">
              <w:rPr>
                <w:rFonts w:ascii="Times New Roman" w:eastAsia="Times New Roman" w:hAnsi="Times New Roman" w:cs="Times New Roman"/>
                <w:noProof/>
                <w:sz w:val="24"/>
                <w:lang w:val="en-GB"/>
              </w:rPr>
              <w:t>(EU) 2021/2139</w:t>
            </w:r>
            <w:r w:rsidRPr="00E50FA4">
              <w:rPr>
                <w:rFonts w:ascii="Times New Roman" w:eastAsia="Times New Roman" w:hAnsi="Times New Roman" w:cs="Times New Roman"/>
                <w:noProof/>
                <w:sz w:val="24"/>
                <w:lang w:val="en-GB"/>
              </w:rPr>
              <w:t>.</w:t>
            </w:r>
            <w:r w:rsidR="009620B8" w:rsidRPr="00E50FA4">
              <w:rPr>
                <w:rFonts w:ascii="Times New Roman" w:eastAsia="Times New Roman" w:hAnsi="Times New Roman" w:cs="Times New Roman"/>
                <w:noProof/>
                <w:sz w:val="24"/>
                <w:lang w:val="en-GB"/>
              </w:rPr>
              <w:t xml:space="preserve">  </w:t>
            </w:r>
          </w:p>
          <w:p w14:paraId="4AA02E6E" w14:textId="3F22BB75" w:rsidR="00E77292" w:rsidRPr="00E50FA4" w:rsidRDefault="00E77292" w:rsidP="00293C40">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293C40" w:rsidRPr="00E50FA4">
              <w:rPr>
                <w:rFonts w:ascii="Times New Roman" w:eastAsia="Times New Roman" w:hAnsi="Times New Roman" w:cs="Times New Roman"/>
                <w:noProof/>
                <w:sz w:val="24"/>
                <w:lang w:val="en-GB"/>
              </w:rPr>
              <w:t>shall</w:t>
            </w:r>
            <w:r w:rsidR="008F08CA"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disclose exposures towards relevant sectors under the objective of climate change adaptation in accordance with Article 9</w:t>
            </w:r>
            <w:r w:rsidR="00E9597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w:t>
            </w:r>
            <w:r w:rsidR="00E95979" w:rsidRPr="00E50FA4">
              <w:rPr>
                <w:rFonts w:ascii="Times New Roman" w:eastAsia="Times New Roman" w:hAnsi="Times New Roman" w:cs="Times New Roman"/>
                <w:noProof/>
                <w:sz w:val="24"/>
                <w:lang w:val="en-GB"/>
              </w:rPr>
              <w:t>point (b)</w:t>
            </w:r>
            <w:r w:rsidR="003A31DE" w:rsidRPr="00E50FA4">
              <w:rPr>
                <w:rFonts w:ascii="Times New Roman" w:eastAsia="Times New Roman" w:hAnsi="Times New Roman" w:cs="Times New Roman"/>
                <w:noProof/>
                <w:sz w:val="24"/>
                <w:lang w:val="en-GB"/>
              </w:rPr>
              <w:t>,</w:t>
            </w:r>
            <w:r w:rsidR="00E95979"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and Article 11 of </w:t>
            </w:r>
            <w:r w:rsidRPr="00E50FA4">
              <w:rPr>
                <w:rFonts w:ascii="Times New Roman" w:hAnsi="Times New Roman"/>
                <w:noProof/>
                <w:sz w:val="24"/>
                <w:lang w:val="en-GB"/>
              </w:rPr>
              <w:t>Regulation (EU) 2020/852.</w:t>
            </w:r>
          </w:p>
        </w:tc>
      </w:tr>
      <w:tr w:rsidR="00E77292" w:rsidRPr="00E50FA4" w14:paraId="4C4E7FFD" w14:textId="77777777" w:rsidTr="00BA313D">
        <w:tc>
          <w:tcPr>
            <w:tcW w:w="1188" w:type="dxa"/>
            <w:tcBorders>
              <w:top w:val="single" w:sz="4" w:space="0" w:color="auto"/>
              <w:left w:val="single" w:sz="4" w:space="0" w:color="auto"/>
              <w:bottom w:val="single" w:sz="4" w:space="0" w:color="auto"/>
              <w:right w:val="single" w:sz="4" w:space="0" w:color="auto"/>
            </w:tcBorders>
          </w:tcPr>
          <w:p w14:paraId="7AEC4BFD" w14:textId="77777777" w:rsidR="00E77292" w:rsidRPr="00E50FA4" w:rsidRDefault="00392D8A"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h</w:t>
            </w:r>
          </w:p>
        </w:tc>
        <w:tc>
          <w:tcPr>
            <w:tcW w:w="7879" w:type="dxa"/>
            <w:tcBorders>
              <w:top w:val="single" w:sz="4" w:space="0" w:color="auto"/>
              <w:left w:val="single" w:sz="4" w:space="0" w:color="auto"/>
              <w:bottom w:val="single" w:sz="4" w:space="0" w:color="auto"/>
              <w:right w:val="single" w:sz="4" w:space="0" w:color="auto"/>
            </w:tcBorders>
          </w:tcPr>
          <w:p w14:paraId="562C103C"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environmentally sustainable </w:t>
            </w:r>
          </w:p>
          <w:p w14:paraId="7377BA37" w14:textId="350037C0" w:rsidR="005B5055" w:rsidRPr="00E50FA4" w:rsidRDefault="008F08CA" w:rsidP="005B5055">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293C40"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gross </w:t>
            </w:r>
            <w:r w:rsidR="005B5055" w:rsidRPr="00E50FA4">
              <w:rPr>
                <w:rFonts w:ascii="Times New Roman" w:eastAsia="Times New Roman" w:hAnsi="Times New Roman" w:cs="Times New Roman"/>
                <w:noProof/>
                <w:sz w:val="24"/>
                <w:lang w:val="en-GB"/>
              </w:rPr>
              <w:t xml:space="preserve">carrying amount as defined in Part 1 of Annex V to Implementing Regulation (EU) 2021/451. </w:t>
            </w:r>
          </w:p>
          <w:p w14:paraId="532FC9D0" w14:textId="70992BF0"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293C40" w:rsidRPr="00E50FA4">
              <w:rPr>
                <w:rFonts w:ascii="Times New Roman" w:eastAsia="Times New Roman" w:hAnsi="Times New Roman" w:cs="Times New Roman"/>
                <w:noProof/>
                <w:sz w:val="24"/>
                <w:lang w:val="en-GB"/>
              </w:rPr>
              <w:t>shall</w:t>
            </w:r>
            <w:r w:rsidR="008F08CA"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disclose the gross carrying amount of eligible exposures that are environmentally sustainable, as specified in </w:t>
            </w:r>
            <w:r w:rsidR="00CC1411" w:rsidRPr="00E50FA4">
              <w:rPr>
                <w:rFonts w:ascii="Times New Roman" w:eastAsia="Times New Roman" w:hAnsi="Times New Roman" w:cs="Times New Roman"/>
                <w:noProof/>
                <w:sz w:val="24"/>
                <w:lang w:val="en-GB"/>
              </w:rPr>
              <w:t>A</w:t>
            </w:r>
            <w:r w:rsidRPr="00E50FA4">
              <w:rPr>
                <w:rFonts w:ascii="Times New Roman" w:eastAsia="Times New Roman" w:hAnsi="Times New Roman" w:cs="Times New Roman"/>
                <w:noProof/>
                <w:sz w:val="24"/>
                <w:lang w:val="en-GB"/>
              </w:rPr>
              <w:t>nnex</w:t>
            </w:r>
            <w:r w:rsidR="00CC1411" w:rsidRPr="00E50FA4">
              <w:rPr>
                <w:rFonts w:ascii="Times New Roman" w:eastAsia="Times New Roman" w:hAnsi="Times New Roman" w:cs="Times New Roman"/>
                <w:noProof/>
                <w:sz w:val="24"/>
                <w:lang w:val="en-GB"/>
              </w:rPr>
              <w:t xml:space="preserve"> </w:t>
            </w:r>
            <w:r w:rsidR="00E82934" w:rsidRPr="00E50FA4">
              <w:rPr>
                <w:rFonts w:ascii="Times New Roman" w:eastAsia="Times New Roman" w:hAnsi="Times New Roman" w:cs="Times New Roman"/>
                <w:noProof/>
                <w:sz w:val="24"/>
                <w:lang w:val="en-GB"/>
              </w:rPr>
              <w:t>I</w:t>
            </w:r>
            <w:r w:rsidR="002B3CD1" w:rsidRPr="00E50FA4">
              <w:rPr>
                <w:rFonts w:ascii="Times New Roman" w:eastAsia="Times New Roman" w:hAnsi="Times New Roman" w:cs="Times New Roman"/>
                <w:noProof/>
                <w:sz w:val="24"/>
                <w:lang w:val="en-GB"/>
              </w:rPr>
              <w:t>I</w:t>
            </w:r>
            <w:r w:rsidRPr="00E50FA4">
              <w:rPr>
                <w:rFonts w:ascii="Times New Roman" w:eastAsia="Times New Roman" w:hAnsi="Times New Roman" w:cs="Times New Roman"/>
                <w:noProof/>
                <w:sz w:val="24"/>
                <w:lang w:val="en-GB"/>
              </w:rPr>
              <w:t xml:space="preserve"> </w:t>
            </w:r>
            <w:r w:rsidR="00B76863" w:rsidRPr="00E50FA4">
              <w:rPr>
                <w:rFonts w:ascii="Times New Roman" w:eastAsia="Times New Roman" w:hAnsi="Times New Roman" w:cs="Times New Roman"/>
                <w:noProof/>
                <w:sz w:val="24"/>
                <w:lang w:val="en-GB"/>
              </w:rPr>
              <w:t>to Delegated</w:t>
            </w:r>
            <w:r w:rsidRPr="00E50FA4">
              <w:rPr>
                <w:rFonts w:ascii="Times New Roman" w:eastAsia="Times New Roman" w:hAnsi="Times New Roman" w:cs="Times New Roman"/>
                <w:noProof/>
                <w:sz w:val="24"/>
                <w:lang w:val="en-GB"/>
              </w:rPr>
              <w:t xml:space="preserve"> </w:t>
            </w:r>
            <w:r w:rsidR="00D41E35" w:rsidRPr="00E50FA4">
              <w:rPr>
                <w:rFonts w:ascii="Times New Roman" w:eastAsia="Times New Roman" w:hAnsi="Times New Roman" w:cs="Times New Roman"/>
                <w:noProof/>
                <w:sz w:val="24"/>
                <w:lang w:val="en-GB"/>
              </w:rPr>
              <w:t>Regulation</w:t>
            </w:r>
            <w:r w:rsidRPr="00E50FA4">
              <w:rPr>
                <w:rFonts w:ascii="Times New Roman" w:eastAsia="Times New Roman" w:hAnsi="Times New Roman" w:cs="Times New Roman"/>
                <w:noProof/>
                <w:sz w:val="24"/>
                <w:lang w:val="en-GB"/>
              </w:rPr>
              <w:t xml:space="preserve"> </w:t>
            </w:r>
            <w:r w:rsidR="00CC1411" w:rsidRPr="00E50FA4">
              <w:rPr>
                <w:rFonts w:ascii="Times New Roman" w:eastAsia="Times New Roman" w:hAnsi="Times New Roman" w:cs="Times New Roman"/>
                <w:noProof/>
                <w:sz w:val="24"/>
                <w:lang w:val="en-GB"/>
              </w:rPr>
              <w:t>(EU) 2021/2139</w:t>
            </w:r>
            <w:r w:rsidRPr="00E50FA4">
              <w:rPr>
                <w:rFonts w:ascii="Times New Roman" w:eastAsia="Times New Roman" w:hAnsi="Times New Roman" w:cs="Times New Roman"/>
                <w:noProof/>
                <w:sz w:val="24"/>
                <w:lang w:val="en-GB"/>
              </w:rPr>
              <w:t>.</w:t>
            </w:r>
          </w:p>
          <w:p w14:paraId="6B5E17E3" w14:textId="39D8ACCB" w:rsidR="00E77292" w:rsidRPr="00E50FA4" w:rsidRDefault="00E77292" w:rsidP="008D522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Institutions </w:t>
            </w:r>
            <w:r w:rsidR="00293C40" w:rsidRPr="00E50FA4">
              <w:rPr>
                <w:rFonts w:ascii="Times New Roman" w:eastAsia="Times New Roman" w:hAnsi="Times New Roman" w:cs="Times New Roman"/>
                <w:noProof/>
                <w:sz w:val="24"/>
                <w:lang w:val="en-GB"/>
              </w:rPr>
              <w:t>shall</w:t>
            </w:r>
            <w:r w:rsidR="008F08CA"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disclose environmentally</w:t>
            </w:r>
            <w:r w:rsidR="003F2674"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sustainable exposures under the objective of climate change adaptation in accordance with Article 9</w:t>
            </w:r>
            <w:r w:rsidR="00E9597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w:t>
            </w:r>
            <w:r w:rsidR="00E95979" w:rsidRPr="00E50FA4">
              <w:rPr>
                <w:rFonts w:ascii="Times New Roman" w:eastAsia="Times New Roman" w:hAnsi="Times New Roman" w:cs="Times New Roman"/>
                <w:noProof/>
                <w:sz w:val="24"/>
                <w:lang w:val="en-GB"/>
              </w:rPr>
              <w:t>point (b)</w:t>
            </w:r>
            <w:r w:rsidR="00CC1411" w:rsidRPr="00E50FA4">
              <w:rPr>
                <w:rFonts w:ascii="Times New Roman" w:eastAsia="Times New Roman" w:hAnsi="Times New Roman" w:cs="Times New Roman"/>
                <w:noProof/>
                <w:sz w:val="24"/>
                <w:lang w:val="en-GB"/>
              </w:rPr>
              <w:t>,</w:t>
            </w:r>
            <w:r w:rsidR="00E95979"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and Article 11 of </w:t>
            </w:r>
            <w:r w:rsidRPr="00E50FA4">
              <w:rPr>
                <w:rFonts w:ascii="Times New Roman" w:hAnsi="Times New Roman"/>
                <w:noProof/>
                <w:sz w:val="24"/>
                <w:lang w:val="en-GB"/>
              </w:rPr>
              <w:t>Regulation (EU) 2020/852.</w:t>
            </w:r>
          </w:p>
          <w:p w14:paraId="13C74BD0" w14:textId="1B12163B" w:rsidR="00034BAB" w:rsidRPr="00E50FA4" w:rsidRDefault="00034BAB" w:rsidP="001B102C">
            <w:pPr>
              <w:spacing w:before="120" w:after="120"/>
              <w:jc w:val="both"/>
              <w:rPr>
                <w:rFonts w:ascii="Times New Roman" w:hAnsi="Times New Roman"/>
                <w:noProof/>
                <w:sz w:val="24"/>
                <w:lang w:val="en-GB"/>
              </w:rPr>
            </w:pPr>
            <w:r w:rsidRPr="00E50FA4">
              <w:rPr>
                <w:rFonts w:ascii="Times New Roman" w:hAnsi="Times New Roman"/>
                <w:noProof/>
                <w:sz w:val="24"/>
                <w:lang w:val="en-GB"/>
              </w:rPr>
              <w:t xml:space="preserve">When the use of proceeds is known, in the case of specialised lending institutions </w:t>
            </w:r>
            <w:r w:rsidR="00293C40" w:rsidRPr="00E50FA4">
              <w:rPr>
                <w:rFonts w:ascii="Times New Roman" w:hAnsi="Times New Roman"/>
                <w:noProof/>
                <w:sz w:val="24"/>
                <w:lang w:val="en-GB"/>
              </w:rPr>
              <w:t>shall</w:t>
            </w:r>
            <w:r w:rsidR="008F08CA" w:rsidRPr="00E50FA4">
              <w:rPr>
                <w:rFonts w:ascii="Times New Roman" w:hAnsi="Times New Roman"/>
                <w:noProof/>
                <w:sz w:val="24"/>
                <w:lang w:val="en-GB"/>
              </w:rPr>
              <w:t xml:space="preserve"> </w:t>
            </w:r>
            <w:r w:rsidRPr="00E50FA4">
              <w:rPr>
                <w:rFonts w:ascii="Times New Roman" w:hAnsi="Times New Roman"/>
                <w:noProof/>
                <w:sz w:val="24"/>
                <w:lang w:val="en-GB"/>
              </w:rPr>
              <w:t xml:space="preserve">disclose the extent to which the exposure is environmentally sustainable based on the extent and proportion to which the </w:t>
            </w:r>
            <w:r w:rsidR="008F08CA" w:rsidRPr="00E50FA4">
              <w:rPr>
                <w:rFonts w:ascii="Times New Roman" w:hAnsi="Times New Roman"/>
                <w:noProof/>
                <w:sz w:val="24"/>
                <w:lang w:val="en-GB"/>
              </w:rPr>
              <w:t xml:space="preserve">funded </w:t>
            </w:r>
            <w:r w:rsidRPr="00E50FA4">
              <w:rPr>
                <w:rFonts w:ascii="Times New Roman" w:hAnsi="Times New Roman"/>
                <w:noProof/>
                <w:sz w:val="24"/>
                <w:lang w:val="en-GB"/>
              </w:rPr>
              <w:t xml:space="preserve">project </w:t>
            </w:r>
            <w:r w:rsidR="008F08CA" w:rsidRPr="00E50FA4">
              <w:rPr>
                <w:rFonts w:ascii="Times New Roman" w:hAnsi="Times New Roman"/>
                <w:noProof/>
                <w:sz w:val="24"/>
                <w:lang w:val="en-GB"/>
              </w:rPr>
              <w:t xml:space="preserve">qualifies </w:t>
            </w:r>
            <w:r w:rsidRPr="00E50FA4">
              <w:rPr>
                <w:rFonts w:ascii="Times New Roman" w:hAnsi="Times New Roman"/>
                <w:noProof/>
                <w:sz w:val="24"/>
                <w:lang w:val="en-GB"/>
              </w:rPr>
              <w:t xml:space="preserve">as contributing substantially to climate change </w:t>
            </w:r>
            <w:r w:rsidR="002048EA" w:rsidRPr="00E50FA4">
              <w:rPr>
                <w:rFonts w:ascii="Times New Roman" w:hAnsi="Times New Roman"/>
                <w:noProof/>
                <w:sz w:val="24"/>
                <w:lang w:val="en-GB"/>
              </w:rPr>
              <w:t>adaptation</w:t>
            </w:r>
            <w:r w:rsidRPr="00E50FA4">
              <w:rPr>
                <w:rFonts w:ascii="Times New Roman" w:hAnsi="Times New Roman"/>
                <w:noProof/>
                <w:sz w:val="24"/>
                <w:lang w:val="en-GB"/>
              </w:rPr>
              <w:t>, in accordance with Article 1</w:t>
            </w:r>
            <w:r w:rsidR="00DC50BB" w:rsidRPr="00E50FA4">
              <w:rPr>
                <w:rFonts w:ascii="Times New Roman" w:hAnsi="Times New Roman"/>
                <w:noProof/>
                <w:sz w:val="24"/>
                <w:lang w:val="en-GB"/>
              </w:rPr>
              <w:t>1</w:t>
            </w:r>
            <w:r w:rsidR="00CC1411" w:rsidRPr="00E50FA4">
              <w:rPr>
                <w:rFonts w:ascii="Times New Roman" w:hAnsi="Times New Roman"/>
                <w:noProof/>
                <w:sz w:val="24"/>
                <w:lang w:val="en-GB"/>
              </w:rPr>
              <w:t xml:space="preserve"> </w:t>
            </w:r>
            <w:r w:rsidR="00CC1411" w:rsidRPr="00E50FA4">
              <w:rPr>
                <w:rFonts w:ascii="Times New Roman" w:eastAsia="Times New Roman" w:hAnsi="Times New Roman" w:cs="Times New Roman"/>
                <w:noProof/>
                <w:sz w:val="24"/>
                <w:lang w:val="en-GB"/>
              </w:rPr>
              <w:t xml:space="preserve">of </w:t>
            </w:r>
            <w:r w:rsidR="00CC1411" w:rsidRPr="00E50FA4">
              <w:rPr>
                <w:rFonts w:ascii="Times New Roman" w:hAnsi="Times New Roman"/>
                <w:noProof/>
                <w:sz w:val="24"/>
                <w:lang w:val="en-GB"/>
              </w:rPr>
              <w:t>Regulation (EU) 2020/852</w:t>
            </w:r>
            <w:r w:rsidRPr="00E50FA4">
              <w:rPr>
                <w:rFonts w:ascii="Times New Roman" w:hAnsi="Times New Roman"/>
                <w:noProof/>
                <w:sz w:val="24"/>
                <w:lang w:val="en-GB"/>
              </w:rPr>
              <w:t>, or as enabling activity in accordance with Article 16</w:t>
            </w:r>
            <w:r w:rsidR="00CC1411" w:rsidRPr="00E50FA4">
              <w:rPr>
                <w:rFonts w:ascii="Times New Roman" w:hAnsi="Times New Roman"/>
                <w:noProof/>
                <w:sz w:val="24"/>
                <w:lang w:val="en-GB"/>
              </w:rPr>
              <w:t xml:space="preserve"> of that Regulation</w:t>
            </w:r>
            <w:r w:rsidRPr="00E50FA4">
              <w:rPr>
                <w:rFonts w:ascii="Times New Roman" w:hAnsi="Times New Roman"/>
                <w:noProof/>
                <w:sz w:val="24"/>
                <w:lang w:val="en-GB"/>
              </w:rPr>
              <w:t>, and meet</w:t>
            </w:r>
            <w:r w:rsidR="00FA43A9" w:rsidRPr="00E50FA4">
              <w:rPr>
                <w:rFonts w:ascii="Times New Roman" w:hAnsi="Times New Roman"/>
                <w:noProof/>
                <w:sz w:val="24"/>
                <w:lang w:val="en-GB"/>
              </w:rPr>
              <w:t>s</w:t>
            </w:r>
            <w:r w:rsidRPr="00E50FA4">
              <w:rPr>
                <w:rFonts w:ascii="Times New Roman" w:hAnsi="Times New Roman"/>
                <w:noProof/>
                <w:sz w:val="24"/>
                <w:lang w:val="en-GB"/>
              </w:rPr>
              <w:t xml:space="preserve"> the criteria specified in </w:t>
            </w:r>
            <w:r w:rsidR="00CC1411" w:rsidRPr="00E50FA4">
              <w:rPr>
                <w:rFonts w:ascii="Times New Roman" w:hAnsi="Times New Roman"/>
                <w:noProof/>
                <w:sz w:val="24"/>
                <w:lang w:val="en-GB"/>
              </w:rPr>
              <w:t xml:space="preserve">its </w:t>
            </w:r>
            <w:r w:rsidRPr="00E50FA4">
              <w:rPr>
                <w:rFonts w:ascii="Times New Roman" w:hAnsi="Times New Roman"/>
                <w:noProof/>
                <w:sz w:val="24"/>
                <w:lang w:val="en-GB"/>
              </w:rPr>
              <w:t>Article 3</w:t>
            </w:r>
            <w:r w:rsidR="008F08CA" w:rsidRPr="00E50FA4">
              <w:rPr>
                <w:rFonts w:ascii="Times New Roman" w:hAnsi="Times New Roman"/>
                <w:noProof/>
                <w:sz w:val="24"/>
                <w:lang w:val="en-GB"/>
              </w:rPr>
              <w:t xml:space="preserve"> of that Regulation</w:t>
            </w:r>
            <w:r w:rsidRPr="00E50FA4">
              <w:rPr>
                <w:rFonts w:ascii="Times New Roman" w:hAnsi="Times New Roman"/>
                <w:noProof/>
                <w:sz w:val="24"/>
                <w:lang w:val="en-GB"/>
              </w:rPr>
              <w:t>.</w:t>
            </w:r>
          </w:p>
          <w:p w14:paraId="5FB43736" w14:textId="4E015132" w:rsidR="00E77292" w:rsidRPr="00E50FA4" w:rsidRDefault="00E77292" w:rsidP="001B102C">
            <w:pPr>
              <w:spacing w:before="120" w:after="120"/>
              <w:jc w:val="both"/>
              <w:rPr>
                <w:rFonts w:ascii="Times New Roman" w:hAnsi="Times New Roman"/>
                <w:noProof/>
                <w:sz w:val="24"/>
                <w:lang w:val="en-GB"/>
              </w:rPr>
            </w:pPr>
            <w:r w:rsidRPr="00E50FA4">
              <w:rPr>
                <w:rFonts w:ascii="Times New Roman" w:hAnsi="Times New Roman"/>
                <w:noProof/>
                <w:sz w:val="24"/>
                <w:lang w:val="en-GB"/>
              </w:rPr>
              <w:t>Whe</w:t>
            </w:r>
            <w:r w:rsidR="000E0A05" w:rsidRPr="00E50FA4">
              <w:rPr>
                <w:rFonts w:ascii="Times New Roman" w:hAnsi="Times New Roman"/>
                <w:noProof/>
                <w:sz w:val="24"/>
                <w:lang w:val="en-GB"/>
              </w:rPr>
              <w:t>re</w:t>
            </w:r>
            <w:r w:rsidRPr="00E50FA4">
              <w:rPr>
                <w:rFonts w:ascii="Times New Roman" w:hAnsi="Times New Roman"/>
                <w:noProof/>
                <w:sz w:val="24"/>
                <w:lang w:val="en-GB"/>
              </w:rPr>
              <w:t xml:space="preserve"> the </w:t>
            </w:r>
            <w:r w:rsidR="00034BAB" w:rsidRPr="00E50FA4">
              <w:rPr>
                <w:rFonts w:ascii="Times New Roman" w:hAnsi="Times New Roman"/>
                <w:noProof/>
                <w:sz w:val="24"/>
                <w:lang w:val="en-GB"/>
              </w:rPr>
              <w:t xml:space="preserve">use of </w:t>
            </w:r>
            <w:r w:rsidRPr="00E50FA4">
              <w:rPr>
                <w:rFonts w:ascii="Times New Roman" w:hAnsi="Times New Roman"/>
                <w:noProof/>
                <w:sz w:val="24"/>
                <w:lang w:val="en-GB"/>
              </w:rPr>
              <w:t xml:space="preserve">proceeds </w:t>
            </w:r>
            <w:r w:rsidR="00034BAB" w:rsidRPr="00E50FA4">
              <w:rPr>
                <w:rFonts w:ascii="Times New Roman" w:hAnsi="Times New Roman"/>
                <w:noProof/>
                <w:sz w:val="24"/>
                <w:lang w:val="en-GB"/>
              </w:rPr>
              <w:t>is</w:t>
            </w:r>
            <w:r w:rsidRPr="00E50FA4">
              <w:rPr>
                <w:rFonts w:ascii="Times New Roman" w:hAnsi="Times New Roman"/>
                <w:noProof/>
                <w:sz w:val="24"/>
                <w:lang w:val="en-GB"/>
              </w:rPr>
              <w:t xml:space="preserve"> unknown</w:t>
            </w:r>
            <w:r w:rsidR="00080540" w:rsidRPr="00E50FA4">
              <w:rPr>
                <w:rFonts w:ascii="Times New Roman" w:hAnsi="Times New Roman"/>
                <w:noProof/>
                <w:sz w:val="24"/>
                <w:lang w:val="en-GB"/>
              </w:rPr>
              <w:t>,</w:t>
            </w:r>
            <w:r w:rsidRPr="00E50FA4">
              <w:rPr>
                <w:rFonts w:ascii="Times New Roman" w:hAnsi="Times New Roman"/>
                <w:noProof/>
                <w:sz w:val="24"/>
                <w:lang w:val="en-GB"/>
              </w:rPr>
              <w:t xml:space="preserve"> institutions </w:t>
            </w:r>
            <w:r w:rsidR="00E07AA9" w:rsidRPr="00E50FA4">
              <w:rPr>
                <w:rFonts w:ascii="Times New Roman" w:hAnsi="Times New Roman"/>
                <w:noProof/>
                <w:sz w:val="24"/>
                <w:lang w:val="en-GB"/>
              </w:rPr>
              <w:t>shall</w:t>
            </w:r>
            <w:r w:rsidR="008F08CA" w:rsidRPr="00E50FA4">
              <w:rPr>
                <w:rFonts w:ascii="Times New Roman" w:hAnsi="Times New Roman"/>
                <w:noProof/>
                <w:sz w:val="24"/>
                <w:lang w:val="en-GB"/>
              </w:rPr>
              <w:t xml:space="preserve"> </w:t>
            </w:r>
            <w:r w:rsidRPr="00E50FA4">
              <w:rPr>
                <w:rFonts w:ascii="Times New Roman" w:hAnsi="Times New Roman"/>
                <w:noProof/>
                <w:sz w:val="24"/>
                <w:lang w:val="en-GB"/>
              </w:rPr>
              <w:t xml:space="preserve">disclose the extent to which the exposure is environmentally sustainable by using the information from the counterparty, in accordance with Article 8 of Regulation (EU) 2020/852, on the proportion of the turnover derived from products or services associated with economic activities that qualify as environmentally sustainable under Article 3 of </w:t>
            </w:r>
            <w:r w:rsidR="000E0A05" w:rsidRPr="00E50FA4">
              <w:rPr>
                <w:rFonts w:ascii="Times New Roman" w:hAnsi="Times New Roman"/>
                <w:noProof/>
                <w:sz w:val="24"/>
                <w:lang w:val="en-GB"/>
              </w:rPr>
              <w:t xml:space="preserve">that </w:t>
            </w:r>
            <w:r w:rsidRPr="00E50FA4">
              <w:rPr>
                <w:rFonts w:ascii="Times New Roman" w:hAnsi="Times New Roman"/>
                <w:noProof/>
                <w:sz w:val="24"/>
                <w:lang w:val="en-GB"/>
              </w:rPr>
              <w:t>Regulation.</w:t>
            </w:r>
          </w:p>
          <w:p w14:paraId="1FB70BDA" w14:textId="1FEB82B1" w:rsidR="00E77292" w:rsidRPr="00E50FA4" w:rsidRDefault="00E77292" w:rsidP="00080540">
            <w:pPr>
              <w:spacing w:before="120" w:after="120"/>
              <w:jc w:val="both"/>
              <w:rPr>
                <w:rFonts w:ascii="Times New Roman" w:hAnsi="Times New Roman"/>
                <w:noProof/>
                <w:sz w:val="24"/>
                <w:lang w:val="en-GB"/>
              </w:rPr>
            </w:pPr>
            <w:r w:rsidRPr="00E50FA4">
              <w:rPr>
                <w:rFonts w:ascii="Times New Roman" w:hAnsi="Times New Roman"/>
                <w:noProof/>
                <w:sz w:val="24"/>
                <w:lang w:val="en-GB"/>
              </w:rPr>
              <w:t xml:space="preserve">Each exposure shall be considered </w:t>
            </w:r>
            <w:r w:rsidR="00080540" w:rsidRPr="00E50FA4">
              <w:rPr>
                <w:rFonts w:ascii="Times New Roman" w:hAnsi="Times New Roman"/>
                <w:noProof/>
                <w:sz w:val="24"/>
                <w:lang w:val="en-GB"/>
              </w:rPr>
              <w:t xml:space="preserve">only </w:t>
            </w:r>
            <w:r w:rsidRPr="00E50FA4">
              <w:rPr>
                <w:rFonts w:ascii="Times New Roman" w:hAnsi="Times New Roman"/>
                <w:noProof/>
                <w:sz w:val="24"/>
                <w:lang w:val="en-GB"/>
              </w:rPr>
              <w:t>once and shall be allocated to only one environmental objective.</w:t>
            </w:r>
            <w:r w:rsidR="000E0A05" w:rsidRPr="00E50FA4">
              <w:rPr>
                <w:rFonts w:ascii="Times New Roman" w:hAnsi="Times New Roman"/>
                <w:noProof/>
                <w:sz w:val="24"/>
                <w:lang w:val="en-GB"/>
              </w:rPr>
              <w:t xml:space="preserve"> Where </w:t>
            </w:r>
            <w:r w:rsidRPr="00E50FA4">
              <w:rPr>
                <w:rFonts w:ascii="Times New Roman" w:hAnsi="Times New Roman"/>
                <w:noProof/>
                <w:sz w:val="24"/>
                <w:lang w:val="en-GB"/>
              </w:rPr>
              <w:t>the exposures are relevant for more than one environmental objective</w:t>
            </w:r>
            <w:r w:rsidR="000E0A05" w:rsidRPr="00E50FA4">
              <w:rPr>
                <w:rFonts w:ascii="Times New Roman" w:hAnsi="Times New Roman"/>
                <w:noProof/>
                <w:sz w:val="24"/>
                <w:lang w:val="en-GB"/>
              </w:rPr>
              <w:t>, exposures shall be allocated to the most relevant objective.</w:t>
            </w:r>
          </w:p>
        </w:tc>
      </w:tr>
      <w:tr w:rsidR="00E77292" w:rsidRPr="00E50FA4" w14:paraId="3C0899CD" w14:textId="77777777" w:rsidTr="00BA313D">
        <w:tc>
          <w:tcPr>
            <w:tcW w:w="1188" w:type="dxa"/>
            <w:tcBorders>
              <w:top w:val="single" w:sz="4" w:space="0" w:color="auto"/>
              <w:left w:val="single" w:sz="4" w:space="0" w:color="auto"/>
              <w:bottom w:val="single" w:sz="4" w:space="0" w:color="auto"/>
              <w:right w:val="single" w:sz="4" w:space="0" w:color="auto"/>
            </w:tcBorders>
          </w:tcPr>
          <w:p w14:paraId="7A90E5EC" w14:textId="77777777" w:rsidR="00E77292" w:rsidRPr="00E50FA4" w:rsidRDefault="00392D8A"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w:t>
            </w:r>
          </w:p>
        </w:tc>
        <w:tc>
          <w:tcPr>
            <w:tcW w:w="7879" w:type="dxa"/>
            <w:tcBorders>
              <w:top w:val="single" w:sz="4" w:space="0" w:color="auto"/>
              <w:left w:val="single" w:sz="4" w:space="0" w:color="auto"/>
              <w:bottom w:val="single" w:sz="4" w:space="0" w:color="auto"/>
              <w:right w:val="single" w:sz="4" w:space="0" w:color="auto"/>
            </w:tcBorders>
          </w:tcPr>
          <w:p w14:paraId="23D186D9"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specialised lending</w:t>
            </w:r>
          </w:p>
          <w:p w14:paraId="528B71C4" w14:textId="3BD9BBE4" w:rsidR="00D66824" w:rsidRPr="00E50FA4" w:rsidRDefault="00D66824" w:rsidP="00D66824">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are to disclose the gross carrying amount as defined in Part 1 of Annex V to Implementing Regulation (EU) 2021/451. </w:t>
            </w:r>
          </w:p>
          <w:p w14:paraId="4A984F1C" w14:textId="6EEA3AFC" w:rsidR="00D66824" w:rsidRPr="00E50FA4" w:rsidRDefault="00230676" w:rsidP="00D66824">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S</w:t>
            </w:r>
            <w:r w:rsidR="00D66824" w:rsidRPr="00E50FA4">
              <w:rPr>
                <w:rFonts w:ascii="Times New Roman" w:eastAsia="Times New Roman" w:hAnsi="Times New Roman" w:cs="Times New Roman"/>
                <w:noProof/>
                <w:sz w:val="24"/>
                <w:lang w:val="en-GB"/>
              </w:rPr>
              <w:t xml:space="preserve">pecialised lending </w:t>
            </w:r>
            <w:r w:rsidRPr="00E50FA4">
              <w:rPr>
                <w:rFonts w:ascii="Times New Roman" w:eastAsia="Times New Roman" w:hAnsi="Times New Roman" w:cs="Times New Roman"/>
                <w:noProof/>
                <w:sz w:val="24"/>
                <w:lang w:val="en-GB"/>
              </w:rPr>
              <w:t xml:space="preserve">exposures shall be understood </w:t>
            </w:r>
            <w:r w:rsidR="00D66824" w:rsidRPr="00E50FA4">
              <w:rPr>
                <w:rFonts w:ascii="Times New Roman" w:eastAsia="Times New Roman" w:hAnsi="Times New Roman" w:cs="Times New Roman"/>
                <w:noProof/>
                <w:sz w:val="24"/>
                <w:lang w:val="en-GB"/>
              </w:rPr>
              <w:t>as referred to in Article 147(8) of Regulation (EU) No 575/2013.</w:t>
            </w:r>
          </w:p>
          <w:p w14:paraId="5AD51A47" w14:textId="467A4357" w:rsidR="00E77292" w:rsidRPr="00E50FA4" w:rsidRDefault="00E77292" w:rsidP="008D522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Institutions </w:t>
            </w:r>
            <w:r w:rsidR="00AA68AB" w:rsidRPr="00E50FA4">
              <w:rPr>
                <w:rFonts w:ascii="Times New Roman" w:eastAsia="Times New Roman" w:hAnsi="Times New Roman" w:cs="Times New Roman"/>
                <w:noProof/>
                <w:sz w:val="24"/>
                <w:lang w:val="en-GB"/>
              </w:rPr>
              <w:t>shall</w:t>
            </w:r>
            <w:r w:rsidR="008F08CA"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disclose special lending exposures which are environmentally sustainable under the objective of climate change adaptation in accordance with Article 9</w:t>
            </w:r>
            <w:r w:rsidR="00E9597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w:t>
            </w:r>
            <w:r w:rsidR="00E95979" w:rsidRPr="00E50FA4">
              <w:rPr>
                <w:rFonts w:ascii="Times New Roman" w:eastAsia="Times New Roman" w:hAnsi="Times New Roman" w:cs="Times New Roman"/>
                <w:noProof/>
                <w:sz w:val="24"/>
                <w:lang w:val="en-GB"/>
              </w:rPr>
              <w:t>point (b)</w:t>
            </w:r>
            <w:r w:rsidR="00CC1411" w:rsidRPr="00E50FA4">
              <w:rPr>
                <w:rFonts w:ascii="Times New Roman" w:eastAsia="Times New Roman" w:hAnsi="Times New Roman" w:cs="Times New Roman"/>
                <w:noProof/>
                <w:sz w:val="24"/>
                <w:lang w:val="en-GB"/>
              </w:rPr>
              <w:t>,</w:t>
            </w:r>
            <w:r w:rsidR="00E95979"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and Article 11 of </w:t>
            </w:r>
            <w:r w:rsidRPr="00E50FA4">
              <w:rPr>
                <w:rFonts w:ascii="Times New Roman" w:hAnsi="Times New Roman"/>
                <w:noProof/>
                <w:sz w:val="24"/>
                <w:lang w:val="en-GB"/>
              </w:rPr>
              <w:t>Regulation (EU) 2020/852.</w:t>
            </w:r>
          </w:p>
          <w:p w14:paraId="3C5E0510" w14:textId="75260028" w:rsidR="00E77292" w:rsidRPr="00E50FA4" w:rsidRDefault="005E5062" w:rsidP="001B102C">
            <w:pPr>
              <w:spacing w:before="120" w:after="120"/>
              <w:jc w:val="both"/>
              <w:rPr>
                <w:rFonts w:ascii="Times New Roman" w:hAnsi="Times New Roman"/>
                <w:noProof/>
                <w:sz w:val="24"/>
                <w:lang w:val="en-GB"/>
              </w:rPr>
            </w:pPr>
            <w:r w:rsidRPr="00E50FA4">
              <w:rPr>
                <w:rFonts w:ascii="Times New Roman" w:hAnsi="Times New Roman"/>
                <w:noProof/>
                <w:sz w:val="24"/>
                <w:lang w:val="en-GB"/>
              </w:rPr>
              <w:t>I</w:t>
            </w:r>
            <w:r w:rsidR="00E77292" w:rsidRPr="00E50FA4">
              <w:rPr>
                <w:rFonts w:ascii="Times New Roman" w:hAnsi="Times New Roman"/>
                <w:noProof/>
                <w:sz w:val="24"/>
                <w:lang w:val="en-GB"/>
              </w:rPr>
              <w:t xml:space="preserve">nstitutions </w:t>
            </w:r>
            <w:r w:rsidR="00AA68AB" w:rsidRPr="00E50FA4">
              <w:rPr>
                <w:rFonts w:ascii="Times New Roman" w:hAnsi="Times New Roman"/>
                <w:noProof/>
                <w:sz w:val="24"/>
                <w:lang w:val="en-GB"/>
              </w:rPr>
              <w:t>shall</w:t>
            </w:r>
            <w:r w:rsidR="008F08CA" w:rsidRPr="00E50FA4">
              <w:rPr>
                <w:rFonts w:ascii="Times New Roman" w:hAnsi="Times New Roman"/>
                <w:noProof/>
                <w:sz w:val="24"/>
                <w:lang w:val="en-GB"/>
              </w:rPr>
              <w:t xml:space="preserve"> </w:t>
            </w:r>
            <w:r w:rsidR="00E77292" w:rsidRPr="00E50FA4">
              <w:rPr>
                <w:rFonts w:ascii="Times New Roman" w:hAnsi="Times New Roman"/>
                <w:noProof/>
                <w:sz w:val="24"/>
                <w:lang w:val="en-GB"/>
              </w:rPr>
              <w:t>disclose the extent to which the exposure is environmentally sustainable by using the information from the counterparty.</w:t>
            </w:r>
          </w:p>
          <w:p w14:paraId="7DF50688" w14:textId="4F0284E0" w:rsidR="00E77292" w:rsidRPr="00E50FA4" w:rsidRDefault="00034BAB" w:rsidP="00AA68AB">
            <w:pPr>
              <w:spacing w:before="120" w:after="120"/>
              <w:jc w:val="both"/>
              <w:rPr>
                <w:rFonts w:ascii="Times New Roman" w:eastAsia="Times New Roman" w:hAnsi="Times New Roman" w:cs="Times New Roman"/>
                <w:noProof/>
                <w:sz w:val="24"/>
                <w:lang w:val="en-GB"/>
              </w:rPr>
            </w:pPr>
            <w:r w:rsidRPr="00E50FA4">
              <w:rPr>
                <w:rFonts w:ascii="Times New Roman" w:hAnsi="Times New Roman"/>
                <w:noProof/>
                <w:sz w:val="24"/>
                <w:lang w:val="en-GB"/>
              </w:rPr>
              <w:t xml:space="preserve">When the use of proceeds is known, in the case of specialised lending institutions </w:t>
            </w:r>
            <w:r w:rsidR="00AA68AB" w:rsidRPr="00E50FA4">
              <w:rPr>
                <w:rFonts w:ascii="Times New Roman" w:hAnsi="Times New Roman"/>
                <w:noProof/>
                <w:sz w:val="24"/>
                <w:lang w:val="en-GB"/>
              </w:rPr>
              <w:t>shall</w:t>
            </w:r>
            <w:r w:rsidR="008F08CA" w:rsidRPr="00E50FA4">
              <w:rPr>
                <w:rFonts w:ascii="Times New Roman" w:hAnsi="Times New Roman"/>
                <w:noProof/>
                <w:sz w:val="24"/>
                <w:lang w:val="en-GB"/>
              </w:rPr>
              <w:t xml:space="preserve"> </w:t>
            </w:r>
            <w:r w:rsidRPr="00E50FA4">
              <w:rPr>
                <w:rFonts w:ascii="Times New Roman" w:hAnsi="Times New Roman"/>
                <w:noProof/>
                <w:sz w:val="24"/>
                <w:lang w:val="en-GB"/>
              </w:rPr>
              <w:t>disclose the extent to which the exposure is environmentally sustainable</w:t>
            </w:r>
            <w:r w:rsidRPr="00E50FA4">
              <w:rPr>
                <w:noProof/>
                <w:lang w:val="en-GB"/>
              </w:rPr>
              <w:t xml:space="preserve"> </w:t>
            </w:r>
            <w:r w:rsidRPr="00E50FA4">
              <w:rPr>
                <w:rFonts w:ascii="Times New Roman" w:hAnsi="Times New Roman"/>
                <w:noProof/>
                <w:sz w:val="24"/>
                <w:lang w:val="en-GB"/>
              </w:rPr>
              <w:t xml:space="preserve">based on the extent and proportion to which the specific </w:t>
            </w:r>
            <w:r w:rsidR="008F08CA" w:rsidRPr="00E50FA4">
              <w:rPr>
                <w:rFonts w:ascii="Times New Roman" w:hAnsi="Times New Roman"/>
                <w:noProof/>
                <w:sz w:val="24"/>
                <w:lang w:val="en-GB"/>
              </w:rPr>
              <w:t xml:space="preserve">funded </w:t>
            </w:r>
            <w:r w:rsidRPr="00E50FA4">
              <w:rPr>
                <w:rFonts w:ascii="Times New Roman" w:hAnsi="Times New Roman"/>
                <w:noProof/>
                <w:sz w:val="24"/>
                <w:lang w:val="en-GB"/>
              </w:rPr>
              <w:t xml:space="preserve">project </w:t>
            </w:r>
            <w:r w:rsidR="008F08CA" w:rsidRPr="00E50FA4">
              <w:rPr>
                <w:rFonts w:ascii="Times New Roman" w:hAnsi="Times New Roman"/>
                <w:noProof/>
                <w:sz w:val="24"/>
                <w:lang w:val="en-GB"/>
              </w:rPr>
              <w:t xml:space="preserve">qualifies </w:t>
            </w:r>
            <w:r w:rsidRPr="00E50FA4">
              <w:rPr>
                <w:rFonts w:ascii="Times New Roman" w:hAnsi="Times New Roman"/>
                <w:noProof/>
                <w:sz w:val="24"/>
                <w:lang w:val="en-GB"/>
              </w:rPr>
              <w:t>as contributing substantially to climate change adaptation (project specific information), in accordance with Article 11</w:t>
            </w:r>
            <w:r w:rsidR="00CC1411" w:rsidRPr="00E50FA4">
              <w:rPr>
                <w:rFonts w:ascii="Times New Roman" w:hAnsi="Times New Roman"/>
                <w:noProof/>
                <w:sz w:val="24"/>
                <w:lang w:val="en-GB"/>
              </w:rPr>
              <w:t xml:space="preserve"> </w:t>
            </w:r>
            <w:r w:rsidR="00CC1411" w:rsidRPr="00E50FA4">
              <w:rPr>
                <w:rFonts w:ascii="Times New Roman" w:eastAsia="Times New Roman" w:hAnsi="Times New Roman" w:cs="Times New Roman"/>
                <w:noProof/>
                <w:sz w:val="24"/>
                <w:lang w:val="en-GB"/>
              </w:rPr>
              <w:t xml:space="preserve">of </w:t>
            </w:r>
            <w:r w:rsidR="00CC1411" w:rsidRPr="00E50FA4">
              <w:rPr>
                <w:rFonts w:ascii="Times New Roman" w:hAnsi="Times New Roman"/>
                <w:noProof/>
                <w:sz w:val="24"/>
                <w:lang w:val="en-GB"/>
              </w:rPr>
              <w:t>Regulation (EU) 2020/852</w:t>
            </w:r>
            <w:r w:rsidRPr="00E50FA4">
              <w:rPr>
                <w:rFonts w:ascii="Times New Roman" w:hAnsi="Times New Roman"/>
                <w:noProof/>
                <w:sz w:val="24"/>
                <w:lang w:val="en-GB"/>
              </w:rPr>
              <w:t>, or as enabling activity in accordance with Article 16</w:t>
            </w:r>
            <w:r w:rsidR="00CC1411" w:rsidRPr="00E50FA4">
              <w:rPr>
                <w:rFonts w:ascii="Times New Roman" w:hAnsi="Times New Roman"/>
                <w:noProof/>
                <w:sz w:val="24"/>
                <w:lang w:val="en-GB"/>
              </w:rPr>
              <w:t xml:space="preserve"> of that Regulation</w:t>
            </w:r>
            <w:r w:rsidRPr="00E50FA4">
              <w:rPr>
                <w:rFonts w:ascii="Times New Roman" w:hAnsi="Times New Roman"/>
                <w:noProof/>
                <w:sz w:val="24"/>
                <w:lang w:val="en-GB"/>
              </w:rPr>
              <w:t>, and meet</w:t>
            </w:r>
            <w:r w:rsidR="008F08CA" w:rsidRPr="00E50FA4">
              <w:rPr>
                <w:rFonts w:ascii="Times New Roman" w:hAnsi="Times New Roman"/>
                <w:noProof/>
                <w:sz w:val="24"/>
                <w:lang w:val="en-GB"/>
              </w:rPr>
              <w:t>s</w:t>
            </w:r>
            <w:r w:rsidRPr="00E50FA4">
              <w:rPr>
                <w:rFonts w:ascii="Times New Roman" w:hAnsi="Times New Roman"/>
                <w:noProof/>
                <w:sz w:val="24"/>
                <w:lang w:val="en-GB"/>
              </w:rPr>
              <w:t xml:space="preserve"> the criteria specified in </w:t>
            </w:r>
            <w:r w:rsidR="00CC1411" w:rsidRPr="00E50FA4">
              <w:rPr>
                <w:rFonts w:ascii="Times New Roman" w:hAnsi="Times New Roman"/>
                <w:noProof/>
                <w:sz w:val="24"/>
                <w:lang w:val="en-GB"/>
              </w:rPr>
              <w:t xml:space="preserve">its </w:t>
            </w:r>
            <w:r w:rsidRPr="00E50FA4">
              <w:rPr>
                <w:rFonts w:ascii="Times New Roman" w:hAnsi="Times New Roman"/>
                <w:noProof/>
                <w:sz w:val="24"/>
                <w:lang w:val="en-GB"/>
              </w:rPr>
              <w:t>Article 3</w:t>
            </w:r>
            <w:r w:rsidR="008F08CA" w:rsidRPr="00E50FA4">
              <w:rPr>
                <w:rFonts w:ascii="Times New Roman" w:hAnsi="Times New Roman"/>
                <w:noProof/>
                <w:sz w:val="24"/>
                <w:lang w:val="en-GB"/>
              </w:rPr>
              <w:t xml:space="preserve"> of that Regulation</w:t>
            </w:r>
            <w:r w:rsidRPr="00E50FA4">
              <w:rPr>
                <w:rFonts w:ascii="Times New Roman" w:hAnsi="Times New Roman"/>
                <w:noProof/>
                <w:sz w:val="24"/>
                <w:lang w:val="en-GB"/>
              </w:rPr>
              <w:t xml:space="preserve">. Institutions </w:t>
            </w:r>
            <w:r w:rsidR="00AA68AB" w:rsidRPr="00E50FA4">
              <w:rPr>
                <w:rFonts w:ascii="Times New Roman" w:hAnsi="Times New Roman"/>
                <w:noProof/>
                <w:sz w:val="24"/>
                <w:lang w:val="en-GB"/>
              </w:rPr>
              <w:t>shall</w:t>
            </w:r>
            <w:r w:rsidR="008F08CA" w:rsidRPr="00E50FA4">
              <w:rPr>
                <w:rFonts w:ascii="Times New Roman" w:hAnsi="Times New Roman"/>
                <w:noProof/>
                <w:sz w:val="24"/>
                <w:lang w:val="en-GB"/>
              </w:rPr>
              <w:t xml:space="preserve"> </w:t>
            </w:r>
            <w:r w:rsidRPr="00E50FA4">
              <w:rPr>
                <w:rFonts w:ascii="Times New Roman" w:hAnsi="Times New Roman"/>
                <w:noProof/>
                <w:sz w:val="24"/>
                <w:lang w:val="en-GB"/>
              </w:rPr>
              <w:t xml:space="preserve">provide </w:t>
            </w:r>
            <w:r w:rsidR="008F08CA" w:rsidRPr="00E50FA4">
              <w:rPr>
                <w:rFonts w:ascii="Times New Roman" w:hAnsi="Times New Roman"/>
                <w:noProof/>
                <w:sz w:val="24"/>
                <w:lang w:val="en-GB"/>
              </w:rPr>
              <w:t xml:space="preserve">transparent information </w:t>
            </w:r>
            <w:r w:rsidRPr="00E50FA4">
              <w:rPr>
                <w:rFonts w:ascii="Times New Roman" w:hAnsi="Times New Roman"/>
                <w:noProof/>
                <w:sz w:val="24"/>
                <w:lang w:val="en-GB"/>
              </w:rPr>
              <w:t xml:space="preserve">on the kind of economic activities that are being funded through specialised lending. </w:t>
            </w:r>
            <w:r w:rsidR="005E5062" w:rsidRPr="00E50FA4">
              <w:rPr>
                <w:rFonts w:ascii="Times New Roman" w:hAnsi="Times New Roman"/>
                <w:noProof/>
                <w:sz w:val="24"/>
                <w:lang w:val="en-GB"/>
              </w:rPr>
              <w:t xml:space="preserve">Where </w:t>
            </w:r>
            <w:r w:rsidRPr="00E50FA4">
              <w:rPr>
                <w:rFonts w:ascii="Times New Roman" w:hAnsi="Times New Roman"/>
                <w:noProof/>
                <w:sz w:val="24"/>
                <w:lang w:val="en-GB"/>
              </w:rPr>
              <w:t>the same specialised lending exposure can be relevant for two environmental objective</w:t>
            </w:r>
            <w:r w:rsidR="00CB5006" w:rsidRPr="00E50FA4">
              <w:rPr>
                <w:rFonts w:ascii="Times New Roman" w:hAnsi="Times New Roman"/>
                <w:noProof/>
                <w:sz w:val="24"/>
                <w:lang w:val="en-GB"/>
              </w:rPr>
              <w:t>s</w:t>
            </w:r>
            <w:r w:rsidRPr="00E50FA4">
              <w:rPr>
                <w:rFonts w:ascii="Times New Roman" w:hAnsi="Times New Roman"/>
                <w:noProof/>
                <w:sz w:val="24"/>
                <w:lang w:val="en-GB"/>
              </w:rPr>
              <w:t xml:space="preserve">, </w:t>
            </w:r>
            <w:r w:rsidR="005E5062" w:rsidRPr="00E50FA4">
              <w:rPr>
                <w:rFonts w:ascii="Times New Roman" w:hAnsi="Times New Roman"/>
                <w:noProof/>
                <w:sz w:val="24"/>
                <w:lang w:val="en-GB"/>
              </w:rPr>
              <w:t xml:space="preserve">the exposure </w:t>
            </w:r>
            <w:r w:rsidRPr="00E50FA4">
              <w:rPr>
                <w:rFonts w:ascii="Times New Roman" w:hAnsi="Times New Roman"/>
                <w:noProof/>
                <w:sz w:val="24"/>
                <w:lang w:val="en-GB"/>
              </w:rPr>
              <w:t xml:space="preserve">shall </w:t>
            </w:r>
            <w:r w:rsidR="005E5062" w:rsidRPr="00E50FA4">
              <w:rPr>
                <w:rFonts w:ascii="Times New Roman" w:hAnsi="Times New Roman"/>
                <w:noProof/>
                <w:sz w:val="24"/>
                <w:lang w:val="en-GB"/>
              </w:rPr>
              <w:t xml:space="preserve">be </w:t>
            </w:r>
            <w:r w:rsidRPr="00E50FA4">
              <w:rPr>
                <w:rFonts w:ascii="Times New Roman" w:hAnsi="Times New Roman"/>
                <w:noProof/>
                <w:sz w:val="24"/>
                <w:lang w:val="en-GB"/>
              </w:rPr>
              <w:t>allocate</w:t>
            </w:r>
            <w:r w:rsidR="005E5062" w:rsidRPr="00E50FA4">
              <w:rPr>
                <w:rFonts w:ascii="Times New Roman" w:hAnsi="Times New Roman"/>
                <w:noProof/>
                <w:sz w:val="24"/>
                <w:lang w:val="en-GB"/>
              </w:rPr>
              <w:t>d</w:t>
            </w:r>
            <w:r w:rsidRPr="00E50FA4">
              <w:rPr>
                <w:rFonts w:ascii="Times New Roman" w:hAnsi="Times New Roman"/>
                <w:noProof/>
                <w:sz w:val="24"/>
                <w:lang w:val="en-GB"/>
              </w:rPr>
              <w:t xml:space="preserve"> to the most relevant</w:t>
            </w:r>
            <w:r w:rsidR="005E5062" w:rsidRPr="00E50FA4">
              <w:rPr>
                <w:rFonts w:ascii="Times New Roman" w:hAnsi="Times New Roman"/>
                <w:noProof/>
                <w:sz w:val="24"/>
                <w:lang w:val="en-GB"/>
              </w:rPr>
              <w:t xml:space="preserve"> one</w:t>
            </w:r>
            <w:r w:rsidRPr="00E50FA4">
              <w:rPr>
                <w:rFonts w:ascii="Times New Roman" w:hAnsi="Times New Roman"/>
                <w:noProof/>
                <w:sz w:val="24"/>
                <w:lang w:val="en-GB"/>
              </w:rPr>
              <w:t>.</w:t>
            </w:r>
          </w:p>
        </w:tc>
      </w:tr>
      <w:tr w:rsidR="007829F5" w:rsidRPr="00E50FA4" w14:paraId="7F580B71" w14:textId="77777777" w:rsidTr="00BA313D">
        <w:tc>
          <w:tcPr>
            <w:tcW w:w="1188" w:type="dxa"/>
            <w:tcBorders>
              <w:top w:val="single" w:sz="4" w:space="0" w:color="auto"/>
              <w:left w:val="single" w:sz="4" w:space="0" w:color="auto"/>
              <w:bottom w:val="single" w:sz="4" w:space="0" w:color="auto"/>
              <w:right w:val="single" w:sz="4" w:space="0" w:color="auto"/>
            </w:tcBorders>
          </w:tcPr>
          <w:p w14:paraId="310113D5" w14:textId="77777777" w:rsidR="007829F5" w:rsidRPr="00E50FA4" w:rsidRDefault="00392D8A"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j</w:t>
            </w:r>
          </w:p>
        </w:tc>
        <w:tc>
          <w:tcPr>
            <w:tcW w:w="7879" w:type="dxa"/>
            <w:tcBorders>
              <w:top w:val="single" w:sz="4" w:space="0" w:color="auto"/>
              <w:left w:val="single" w:sz="4" w:space="0" w:color="auto"/>
              <w:bottom w:val="single" w:sz="4" w:space="0" w:color="auto"/>
              <w:right w:val="single" w:sz="4" w:space="0" w:color="auto"/>
            </w:tcBorders>
          </w:tcPr>
          <w:p w14:paraId="11629B5D" w14:textId="77777777" w:rsidR="007829F5" w:rsidRPr="00E50FA4" w:rsidRDefault="007829F5"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w:t>
            </w:r>
            <w:r w:rsidR="00BA002B" w:rsidRPr="00E50FA4">
              <w:rPr>
                <w:rFonts w:ascii="Times New Roman" w:eastAsia="Times New Roman" w:hAnsi="Times New Roman" w:cs="Times New Roman"/>
                <w:b/>
                <w:noProof/>
                <w:sz w:val="24"/>
                <w:u w:val="single"/>
                <w:lang w:val="en-GB"/>
              </w:rPr>
              <w:t>adaptation</w:t>
            </w:r>
          </w:p>
          <w:p w14:paraId="0EEEEF1E" w14:textId="77777777" w:rsidR="007829F5" w:rsidRPr="00E50FA4" w:rsidRDefault="007829F5"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Article 11 of </w:t>
            </w:r>
            <w:r w:rsidRPr="00E50FA4">
              <w:rPr>
                <w:rFonts w:ascii="Times New Roman" w:hAnsi="Times New Roman"/>
                <w:noProof/>
                <w:sz w:val="24"/>
                <w:lang w:val="en-GB"/>
              </w:rPr>
              <w:t>Regulation (EU) 2020/852.</w:t>
            </w:r>
            <w:r w:rsidR="006913E5" w:rsidRPr="00E50FA4">
              <w:rPr>
                <w:rFonts w:ascii="Times New Roman" w:hAnsi="Times New Roman"/>
                <w:noProof/>
                <w:sz w:val="24"/>
                <w:lang w:val="en-GB"/>
              </w:rPr>
              <w:t xml:space="preserve"> </w:t>
            </w:r>
            <w:r w:rsidR="00C00CD7" w:rsidRPr="00E50FA4">
              <w:rPr>
                <w:rFonts w:ascii="Times New Roman" w:hAnsi="Times New Roman"/>
                <w:noProof/>
                <w:sz w:val="24"/>
                <w:lang w:val="en-GB"/>
              </w:rPr>
              <w:t>These</w:t>
            </w:r>
            <w:r w:rsidR="006913E5" w:rsidRPr="00E50FA4">
              <w:rPr>
                <w:rFonts w:ascii="Times New Roman" w:hAnsi="Times New Roman"/>
                <w:noProof/>
                <w:sz w:val="24"/>
                <w:lang w:val="en-GB"/>
              </w:rPr>
              <w:t xml:space="preserve"> activities shall cover those that are</w:t>
            </w:r>
            <w:r w:rsidR="00B32E7E" w:rsidRPr="00E50FA4">
              <w:rPr>
                <w:rFonts w:ascii="Times New Roman" w:hAnsi="Times New Roman"/>
                <w:noProof/>
                <w:sz w:val="24"/>
                <w:lang w:val="en-GB"/>
              </w:rPr>
              <w:t xml:space="preserve"> not</w:t>
            </w:r>
            <w:r w:rsidR="00C00CD7" w:rsidRPr="00E50FA4">
              <w:rPr>
                <w:rFonts w:ascii="Times New Roman" w:hAnsi="Times New Roman"/>
                <w:noProof/>
                <w:sz w:val="24"/>
                <w:lang w:val="en-GB"/>
              </w:rPr>
              <w:t xml:space="preserve"> enabling activities.</w:t>
            </w:r>
          </w:p>
        </w:tc>
      </w:tr>
      <w:tr w:rsidR="007829F5" w:rsidRPr="00E50FA4" w14:paraId="6487C0B9" w14:textId="77777777" w:rsidTr="00BA313D">
        <w:tc>
          <w:tcPr>
            <w:tcW w:w="1188" w:type="dxa"/>
            <w:tcBorders>
              <w:top w:val="single" w:sz="4" w:space="0" w:color="auto"/>
              <w:left w:val="single" w:sz="4" w:space="0" w:color="auto"/>
              <w:bottom w:val="single" w:sz="4" w:space="0" w:color="auto"/>
              <w:right w:val="single" w:sz="4" w:space="0" w:color="auto"/>
            </w:tcBorders>
          </w:tcPr>
          <w:p w14:paraId="6FBBDB12" w14:textId="77777777" w:rsidR="007829F5" w:rsidRPr="00E50FA4" w:rsidRDefault="00392D8A"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k</w:t>
            </w:r>
          </w:p>
        </w:tc>
        <w:tc>
          <w:tcPr>
            <w:tcW w:w="7879" w:type="dxa"/>
            <w:tcBorders>
              <w:top w:val="single" w:sz="4" w:space="0" w:color="auto"/>
              <w:left w:val="single" w:sz="4" w:space="0" w:color="auto"/>
              <w:bottom w:val="single" w:sz="4" w:space="0" w:color="auto"/>
              <w:right w:val="single" w:sz="4" w:space="0" w:color="auto"/>
            </w:tcBorders>
          </w:tcPr>
          <w:p w14:paraId="14D02678" w14:textId="77777777" w:rsidR="007829F5" w:rsidRPr="00E50FA4" w:rsidRDefault="007829F5"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enabling</w:t>
            </w:r>
          </w:p>
          <w:p w14:paraId="106096D9" w14:textId="77777777" w:rsidR="007829F5" w:rsidRPr="00E50FA4" w:rsidRDefault="007829F5"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Article 16 of </w:t>
            </w:r>
            <w:r w:rsidRPr="00E50FA4">
              <w:rPr>
                <w:rFonts w:ascii="Times New Roman" w:hAnsi="Times New Roman"/>
                <w:noProof/>
                <w:sz w:val="24"/>
                <w:lang w:val="en-GB"/>
              </w:rPr>
              <w:t>Regulation (EU) 2020/852.</w:t>
            </w:r>
          </w:p>
        </w:tc>
      </w:tr>
      <w:tr w:rsidR="00E77292" w:rsidRPr="00E50FA4" w14:paraId="611A1423" w14:textId="77777777" w:rsidTr="00BA313D">
        <w:tc>
          <w:tcPr>
            <w:tcW w:w="1188" w:type="dxa"/>
            <w:tcBorders>
              <w:top w:val="single" w:sz="4" w:space="0" w:color="auto"/>
              <w:left w:val="single" w:sz="4" w:space="0" w:color="auto"/>
              <w:bottom w:val="single" w:sz="4" w:space="0" w:color="auto"/>
              <w:right w:val="single" w:sz="4" w:space="0" w:color="auto"/>
            </w:tcBorders>
          </w:tcPr>
          <w:p w14:paraId="46F95465" w14:textId="77777777" w:rsidR="00E77292" w:rsidRPr="00E50FA4" w:rsidRDefault="00392D8A"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l</w:t>
            </w:r>
          </w:p>
        </w:tc>
        <w:tc>
          <w:tcPr>
            <w:tcW w:w="7879" w:type="dxa"/>
            <w:tcBorders>
              <w:top w:val="single" w:sz="4" w:space="0" w:color="auto"/>
              <w:left w:val="single" w:sz="4" w:space="0" w:color="auto"/>
              <w:bottom w:val="single" w:sz="4" w:space="0" w:color="auto"/>
              <w:right w:val="single" w:sz="4" w:space="0" w:color="auto"/>
            </w:tcBorders>
          </w:tcPr>
          <w:p w14:paraId="662782B4"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towards taxonomy relevant sectors </w:t>
            </w:r>
          </w:p>
          <w:p w14:paraId="14CE0F55" w14:textId="42A5B70F" w:rsidR="00C6176D" w:rsidRPr="00E50FA4" w:rsidRDefault="00000C40" w:rsidP="00C6176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AA68AB"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gross </w:t>
            </w:r>
            <w:r w:rsidR="00C6176D" w:rsidRPr="00E50FA4">
              <w:rPr>
                <w:rFonts w:ascii="Times New Roman" w:eastAsia="Times New Roman" w:hAnsi="Times New Roman" w:cs="Times New Roman"/>
                <w:noProof/>
                <w:sz w:val="24"/>
                <w:lang w:val="en-GB"/>
              </w:rPr>
              <w:t xml:space="preserve">carrying amount as defined in Part 1 of Annex V to Implementing Regulation (EU) 2021/451. </w:t>
            </w:r>
          </w:p>
          <w:p w14:paraId="402EDE7C" w14:textId="6472F62E" w:rsidR="00E77292" w:rsidRPr="00E50FA4" w:rsidRDefault="00000C40" w:rsidP="00AA68AB">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AA68AB"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include </w:t>
            </w:r>
            <w:r w:rsidR="00CA045D" w:rsidRPr="00E50FA4">
              <w:rPr>
                <w:rFonts w:ascii="Times New Roman" w:eastAsia="Times New Roman" w:hAnsi="Times New Roman" w:cs="Times New Roman"/>
                <w:noProof/>
                <w:sz w:val="24"/>
                <w:lang w:val="en-GB"/>
              </w:rPr>
              <w:t>the s</w:t>
            </w:r>
            <w:r w:rsidR="00E77292" w:rsidRPr="00E50FA4">
              <w:rPr>
                <w:rFonts w:ascii="Times New Roman" w:eastAsia="Times New Roman" w:hAnsi="Times New Roman" w:cs="Times New Roman"/>
                <w:noProof/>
                <w:sz w:val="24"/>
                <w:lang w:val="en-GB"/>
              </w:rPr>
              <w:t>um of column (b) and column (</w:t>
            </w:r>
            <w:r w:rsidR="008A197E" w:rsidRPr="00E50FA4">
              <w:rPr>
                <w:rFonts w:ascii="Times New Roman" w:eastAsia="Times New Roman" w:hAnsi="Times New Roman" w:cs="Times New Roman"/>
                <w:noProof/>
                <w:sz w:val="24"/>
                <w:lang w:val="en-GB"/>
              </w:rPr>
              <w:t>g</w:t>
            </w:r>
            <w:r w:rsidR="00E77292" w:rsidRPr="00E50FA4">
              <w:rPr>
                <w:rFonts w:ascii="Times New Roman" w:eastAsia="Times New Roman" w:hAnsi="Times New Roman" w:cs="Times New Roman"/>
                <w:noProof/>
                <w:sz w:val="24"/>
                <w:lang w:val="en-GB"/>
              </w:rPr>
              <w:t>)</w:t>
            </w:r>
            <w:r w:rsidR="00CA045D" w:rsidRPr="00E50FA4">
              <w:rPr>
                <w:rFonts w:ascii="Times New Roman" w:eastAsia="Times New Roman" w:hAnsi="Times New Roman" w:cs="Times New Roman"/>
                <w:noProof/>
                <w:sz w:val="24"/>
                <w:lang w:val="en-GB"/>
              </w:rPr>
              <w:t xml:space="preserve"> of </w:t>
            </w:r>
            <w:r w:rsidR="00D2126D" w:rsidRPr="00E50FA4">
              <w:rPr>
                <w:rFonts w:ascii="Times New Roman" w:eastAsia="Times New Roman" w:hAnsi="Times New Roman" w:cs="Times New Roman"/>
                <w:noProof/>
                <w:sz w:val="24"/>
                <w:lang w:val="en-GB"/>
              </w:rPr>
              <w:t>this template</w:t>
            </w:r>
            <w:r w:rsidR="00CA045D" w:rsidRPr="00E50FA4">
              <w:rPr>
                <w:rFonts w:ascii="Times New Roman" w:eastAsia="Times New Roman" w:hAnsi="Times New Roman" w:cs="Times New Roman"/>
                <w:noProof/>
                <w:sz w:val="24"/>
                <w:lang w:val="en-GB"/>
              </w:rPr>
              <w:t>.</w:t>
            </w:r>
          </w:p>
        </w:tc>
      </w:tr>
      <w:tr w:rsidR="00E77292" w:rsidRPr="00E50FA4" w14:paraId="6B236217" w14:textId="77777777" w:rsidTr="00BA313D">
        <w:tc>
          <w:tcPr>
            <w:tcW w:w="1188" w:type="dxa"/>
            <w:tcBorders>
              <w:top w:val="single" w:sz="4" w:space="0" w:color="auto"/>
              <w:left w:val="single" w:sz="4" w:space="0" w:color="auto"/>
              <w:bottom w:val="single" w:sz="4" w:space="0" w:color="auto"/>
              <w:right w:val="single" w:sz="4" w:space="0" w:color="auto"/>
            </w:tcBorders>
          </w:tcPr>
          <w:p w14:paraId="40835B6E" w14:textId="77777777" w:rsidR="00E77292" w:rsidRPr="00E50FA4" w:rsidRDefault="00392D8A"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m</w:t>
            </w:r>
          </w:p>
        </w:tc>
        <w:tc>
          <w:tcPr>
            <w:tcW w:w="7879" w:type="dxa"/>
            <w:tcBorders>
              <w:top w:val="single" w:sz="4" w:space="0" w:color="auto"/>
              <w:left w:val="single" w:sz="4" w:space="0" w:color="auto"/>
              <w:bottom w:val="single" w:sz="4" w:space="0" w:color="auto"/>
              <w:right w:val="single" w:sz="4" w:space="0" w:color="auto"/>
            </w:tcBorders>
          </w:tcPr>
          <w:p w14:paraId="0A576734"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environmentally sustainable </w:t>
            </w:r>
          </w:p>
          <w:p w14:paraId="561EDA01" w14:textId="5785CB14" w:rsidR="00C6176D" w:rsidRPr="00E50FA4" w:rsidRDefault="00000C40" w:rsidP="00C6176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AA68AB"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gross </w:t>
            </w:r>
            <w:r w:rsidR="00C6176D" w:rsidRPr="00E50FA4">
              <w:rPr>
                <w:rFonts w:ascii="Times New Roman" w:eastAsia="Times New Roman" w:hAnsi="Times New Roman" w:cs="Times New Roman"/>
                <w:noProof/>
                <w:sz w:val="24"/>
                <w:lang w:val="en-GB"/>
              </w:rPr>
              <w:t xml:space="preserve">carrying amount as defined in Part 1 of Annex V </w:t>
            </w:r>
            <w:r w:rsidR="00B76863" w:rsidRPr="00E50FA4">
              <w:rPr>
                <w:rFonts w:ascii="Times New Roman" w:eastAsia="Times New Roman" w:hAnsi="Times New Roman" w:cs="Times New Roman"/>
                <w:noProof/>
                <w:sz w:val="24"/>
                <w:lang w:val="en-GB"/>
              </w:rPr>
              <w:t>to Implementing</w:t>
            </w:r>
            <w:r w:rsidR="00C6176D" w:rsidRPr="00E50FA4">
              <w:rPr>
                <w:rFonts w:ascii="Times New Roman" w:eastAsia="Times New Roman" w:hAnsi="Times New Roman" w:cs="Times New Roman"/>
                <w:noProof/>
                <w:sz w:val="24"/>
                <w:lang w:val="en-GB"/>
              </w:rPr>
              <w:t xml:space="preserve"> Regulation (EU) 2021/451. </w:t>
            </w:r>
          </w:p>
          <w:p w14:paraId="789E4754" w14:textId="222ECC54" w:rsidR="00E77292" w:rsidRPr="00E50FA4" w:rsidRDefault="00000C40" w:rsidP="00AA68AB">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AA68AB"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include </w:t>
            </w:r>
            <w:r w:rsidR="00CA045D" w:rsidRPr="00E50FA4">
              <w:rPr>
                <w:rFonts w:ascii="Times New Roman" w:eastAsia="Times New Roman" w:hAnsi="Times New Roman" w:cs="Times New Roman"/>
                <w:noProof/>
                <w:sz w:val="24"/>
                <w:lang w:val="en-GB"/>
              </w:rPr>
              <w:t>the s</w:t>
            </w:r>
            <w:r w:rsidR="00E77292" w:rsidRPr="00E50FA4">
              <w:rPr>
                <w:rFonts w:ascii="Times New Roman" w:eastAsia="Times New Roman" w:hAnsi="Times New Roman" w:cs="Times New Roman"/>
                <w:noProof/>
                <w:sz w:val="24"/>
                <w:lang w:val="en-GB"/>
              </w:rPr>
              <w:t>um of column (c) and column (</w:t>
            </w:r>
            <w:r w:rsidR="008A197E" w:rsidRPr="00E50FA4">
              <w:rPr>
                <w:rFonts w:ascii="Times New Roman" w:eastAsia="Times New Roman" w:hAnsi="Times New Roman" w:cs="Times New Roman"/>
                <w:noProof/>
                <w:sz w:val="24"/>
                <w:lang w:val="en-GB"/>
              </w:rPr>
              <w:t>h</w:t>
            </w:r>
            <w:r w:rsidR="00E77292" w:rsidRPr="00E50FA4">
              <w:rPr>
                <w:rFonts w:ascii="Times New Roman" w:eastAsia="Times New Roman" w:hAnsi="Times New Roman" w:cs="Times New Roman"/>
                <w:noProof/>
                <w:sz w:val="24"/>
                <w:lang w:val="en-GB"/>
              </w:rPr>
              <w:t>)</w:t>
            </w:r>
            <w:r w:rsidR="00CA045D" w:rsidRPr="00E50FA4">
              <w:rPr>
                <w:rFonts w:ascii="Times New Roman" w:eastAsia="Times New Roman" w:hAnsi="Times New Roman" w:cs="Times New Roman"/>
                <w:noProof/>
                <w:sz w:val="24"/>
                <w:lang w:val="en-GB"/>
              </w:rPr>
              <w:t xml:space="preserve"> of </w:t>
            </w:r>
            <w:r w:rsidR="00D2126D" w:rsidRPr="00E50FA4">
              <w:rPr>
                <w:rFonts w:ascii="Times New Roman" w:eastAsia="Times New Roman" w:hAnsi="Times New Roman" w:cs="Times New Roman"/>
                <w:noProof/>
                <w:sz w:val="24"/>
                <w:lang w:val="en-GB"/>
              </w:rPr>
              <w:t>this template.</w:t>
            </w:r>
          </w:p>
        </w:tc>
      </w:tr>
      <w:tr w:rsidR="00E77292" w:rsidRPr="00E50FA4" w14:paraId="344DAB5B" w14:textId="77777777" w:rsidTr="00BA313D">
        <w:tc>
          <w:tcPr>
            <w:tcW w:w="1188" w:type="dxa"/>
            <w:tcBorders>
              <w:top w:val="single" w:sz="4" w:space="0" w:color="auto"/>
              <w:left w:val="single" w:sz="4" w:space="0" w:color="auto"/>
              <w:bottom w:val="single" w:sz="4" w:space="0" w:color="auto"/>
              <w:right w:val="single" w:sz="4" w:space="0" w:color="auto"/>
            </w:tcBorders>
          </w:tcPr>
          <w:p w14:paraId="477700DE" w14:textId="77777777" w:rsidR="00E77292" w:rsidRPr="00E50FA4" w:rsidRDefault="00392D8A"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n</w:t>
            </w:r>
          </w:p>
        </w:tc>
        <w:tc>
          <w:tcPr>
            <w:tcW w:w="7879" w:type="dxa"/>
            <w:tcBorders>
              <w:top w:val="single" w:sz="4" w:space="0" w:color="auto"/>
              <w:left w:val="single" w:sz="4" w:space="0" w:color="auto"/>
              <w:bottom w:val="single" w:sz="4" w:space="0" w:color="auto"/>
              <w:right w:val="single" w:sz="4" w:space="0" w:color="auto"/>
            </w:tcBorders>
          </w:tcPr>
          <w:p w14:paraId="3B692FDF"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specialised lending</w:t>
            </w:r>
          </w:p>
          <w:p w14:paraId="4D5E5514" w14:textId="4F33092C" w:rsidR="00C6176D" w:rsidRPr="00E50FA4" w:rsidRDefault="00000C40" w:rsidP="00C6176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AA68AB"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the gross </w:t>
            </w:r>
            <w:r w:rsidR="00C6176D" w:rsidRPr="00E50FA4">
              <w:rPr>
                <w:rFonts w:ascii="Times New Roman" w:eastAsia="Times New Roman" w:hAnsi="Times New Roman" w:cs="Times New Roman"/>
                <w:noProof/>
                <w:sz w:val="24"/>
                <w:lang w:val="en-GB"/>
              </w:rPr>
              <w:t xml:space="preserve">carrying amount as defined in Part 1 of Annex V to Implementing Regulation (EU) 2021/451. </w:t>
            </w:r>
          </w:p>
          <w:p w14:paraId="5A100C7A" w14:textId="46F9A775" w:rsidR="00AD24BC" w:rsidRPr="00E50FA4" w:rsidRDefault="00AD24BC" w:rsidP="00AD24B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Specialised lending exposures shall be understood as referred to in Article 147(8) of Regulation (EU) No 575/2013.</w:t>
            </w:r>
          </w:p>
          <w:p w14:paraId="193C2B16" w14:textId="1D7FBDCE" w:rsidR="00E77292" w:rsidRPr="00E50FA4" w:rsidRDefault="00000C40" w:rsidP="00AA68AB">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AA68AB"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include </w:t>
            </w:r>
            <w:r w:rsidR="0060023C" w:rsidRPr="00E50FA4">
              <w:rPr>
                <w:rFonts w:ascii="Times New Roman" w:eastAsia="Times New Roman" w:hAnsi="Times New Roman" w:cs="Times New Roman"/>
                <w:noProof/>
                <w:sz w:val="24"/>
                <w:lang w:val="en-GB"/>
              </w:rPr>
              <w:t>the s</w:t>
            </w:r>
            <w:r w:rsidR="00E77292" w:rsidRPr="00E50FA4">
              <w:rPr>
                <w:rFonts w:ascii="Times New Roman" w:eastAsia="Times New Roman" w:hAnsi="Times New Roman" w:cs="Times New Roman"/>
                <w:noProof/>
                <w:sz w:val="24"/>
                <w:lang w:val="en-GB"/>
              </w:rPr>
              <w:t>um of column (d) and column (</w:t>
            </w:r>
            <w:r w:rsidR="008A197E" w:rsidRPr="00E50FA4">
              <w:rPr>
                <w:rFonts w:ascii="Times New Roman" w:eastAsia="Times New Roman" w:hAnsi="Times New Roman" w:cs="Times New Roman"/>
                <w:noProof/>
                <w:sz w:val="24"/>
                <w:lang w:val="en-GB"/>
              </w:rPr>
              <w:t>i</w:t>
            </w:r>
            <w:r w:rsidR="00E77292" w:rsidRPr="00E50FA4">
              <w:rPr>
                <w:rFonts w:ascii="Times New Roman" w:eastAsia="Times New Roman" w:hAnsi="Times New Roman" w:cs="Times New Roman"/>
                <w:noProof/>
                <w:sz w:val="24"/>
                <w:lang w:val="en-GB"/>
              </w:rPr>
              <w:t>)</w:t>
            </w:r>
            <w:r w:rsidR="0060023C" w:rsidRPr="00E50FA4">
              <w:rPr>
                <w:rFonts w:ascii="Times New Roman" w:eastAsia="Times New Roman" w:hAnsi="Times New Roman" w:cs="Times New Roman"/>
                <w:noProof/>
                <w:sz w:val="24"/>
                <w:lang w:val="en-GB"/>
              </w:rPr>
              <w:t xml:space="preserve"> of </w:t>
            </w:r>
            <w:r w:rsidR="00D2126D" w:rsidRPr="00E50FA4">
              <w:rPr>
                <w:rFonts w:ascii="Times New Roman" w:eastAsia="Times New Roman" w:hAnsi="Times New Roman" w:cs="Times New Roman"/>
                <w:noProof/>
                <w:sz w:val="24"/>
                <w:lang w:val="en-GB"/>
              </w:rPr>
              <w:t>this template.</w:t>
            </w:r>
          </w:p>
        </w:tc>
      </w:tr>
      <w:tr w:rsidR="007829F5" w:rsidRPr="00E50FA4" w14:paraId="1BDCBE15" w14:textId="77777777" w:rsidTr="00BA313D">
        <w:tc>
          <w:tcPr>
            <w:tcW w:w="1188" w:type="dxa"/>
            <w:tcBorders>
              <w:top w:val="single" w:sz="4" w:space="0" w:color="auto"/>
              <w:left w:val="single" w:sz="4" w:space="0" w:color="auto"/>
              <w:bottom w:val="single" w:sz="4" w:space="0" w:color="auto"/>
              <w:right w:val="single" w:sz="4" w:space="0" w:color="auto"/>
            </w:tcBorders>
          </w:tcPr>
          <w:p w14:paraId="22B39D06" w14:textId="77777777" w:rsidR="007829F5" w:rsidRPr="00E50FA4" w:rsidRDefault="00392D8A"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o</w:t>
            </w:r>
          </w:p>
        </w:tc>
        <w:tc>
          <w:tcPr>
            <w:tcW w:w="7879" w:type="dxa"/>
            <w:tcBorders>
              <w:top w:val="single" w:sz="4" w:space="0" w:color="auto"/>
              <w:left w:val="single" w:sz="4" w:space="0" w:color="auto"/>
              <w:bottom w:val="single" w:sz="4" w:space="0" w:color="auto"/>
              <w:right w:val="single" w:sz="4" w:space="0" w:color="auto"/>
            </w:tcBorders>
          </w:tcPr>
          <w:p w14:paraId="5F9BB649" w14:textId="77777777" w:rsidR="007829F5" w:rsidRPr="00E50FA4" w:rsidRDefault="007829F5"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transitional</w:t>
            </w:r>
            <w:r w:rsidR="00BA002B" w:rsidRPr="00E50FA4">
              <w:rPr>
                <w:rFonts w:ascii="Times New Roman" w:eastAsia="Times New Roman" w:hAnsi="Times New Roman" w:cs="Times New Roman"/>
                <w:b/>
                <w:noProof/>
                <w:sz w:val="24"/>
                <w:u w:val="single"/>
                <w:lang w:val="en-GB"/>
              </w:rPr>
              <w:t>/adaptation</w:t>
            </w:r>
          </w:p>
          <w:p w14:paraId="73ACF6D1" w14:textId="77777777" w:rsidR="007829F5" w:rsidRPr="00E50FA4" w:rsidRDefault="0077330E"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Article 10 and Article 11</w:t>
            </w:r>
            <w:r w:rsidR="007829F5" w:rsidRPr="00E50FA4">
              <w:rPr>
                <w:rFonts w:ascii="Times New Roman" w:eastAsia="Times New Roman" w:hAnsi="Times New Roman" w:cs="Times New Roman"/>
                <w:noProof/>
                <w:sz w:val="24"/>
                <w:lang w:val="en-GB"/>
              </w:rPr>
              <w:t xml:space="preserve"> of </w:t>
            </w:r>
            <w:r w:rsidR="007829F5" w:rsidRPr="00E50FA4">
              <w:rPr>
                <w:rFonts w:ascii="Times New Roman" w:hAnsi="Times New Roman"/>
                <w:noProof/>
                <w:sz w:val="24"/>
                <w:lang w:val="en-GB"/>
              </w:rPr>
              <w:t>Regulation (EU) 2020/852.</w:t>
            </w:r>
          </w:p>
          <w:p w14:paraId="4D85AA22" w14:textId="6CA0FB67" w:rsidR="008A197E" w:rsidRPr="00E50FA4" w:rsidRDefault="00000C40" w:rsidP="00AA68AB">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Institutions </w:t>
            </w:r>
            <w:r w:rsidR="00AA68AB"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include </w:t>
            </w:r>
            <w:r w:rsidR="0060023C" w:rsidRPr="00E50FA4">
              <w:rPr>
                <w:rFonts w:ascii="Times New Roman" w:eastAsia="Times New Roman" w:hAnsi="Times New Roman" w:cs="Times New Roman"/>
                <w:noProof/>
                <w:sz w:val="24"/>
                <w:lang w:val="en-GB"/>
              </w:rPr>
              <w:t>the s</w:t>
            </w:r>
            <w:r w:rsidR="008A197E" w:rsidRPr="00E50FA4">
              <w:rPr>
                <w:rFonts w:ascii="Times New Roman" w:eastAsia="Times New Roman" w:hAnsi="Times New Roman" w:cs="Times New Roman"/>
                <w:noProof/>
                <w:sz w:val="24"/>
                <w:lang w:val="en-GB"/>
              </w:rPr>
              <w:t>um of column (e) and column (j)</w:t>
            </w:r>
            <w:r w:rsidR="0060023C" w:rsidRPr="00E50FA4">
              <w:rPr>
                <w:rFonts w:ascii="Times New Roman" w:eastAsia="Times New Roman" w:hAnsi="Times New Roman" w:cs="Times New Roman"/>
                <w:noProof/>
                <w:sz w:val="24"/>
                <w:lang w:val="en-GB"/>
              </w:rPr>
              <w:t xml:space="preserve"> of </w:t>
            </w:r>
            <w:r w:rsidR="00D2126D" w:rsidRPr="00E50FA4">
              <w:rPr>
                <w:rFonts w:ascii="Times New Roman" w:eastAsia="Times New Roman" w:hAnsi="Times New Roman" w:cs="Times New Roman"/>
                <w:noProof/>
                <w:sz w:val="24"/>
                <w:lang w:val="en-GB"/>
              </w:rPr>
              <w:t>this template.</w:t>
            </w:r>
          </w:p>
        </w:tc>
      </w:tr>
      <w:tr w:rsidR="007829F5" w:rsidRPr="00E50FA4" w14:paraId="6A51ABE8" w14:textId="77777777" w:rsidTr="00BA313D">
        <w:tc>
          <w:tcPr>
            <w:tcW w:w="1188" w:type="dxa"/>
            <w:tcBorders>
              <w:top w:val="single" w:sz="4" w:space="0" w:color="auto"/>
              <w:left w:val="single" w:sz="4" w:space="0" w:color="auto"/>
              <w:bottom w:val="single" w:sz="4" w:space="0" w:color="auto"/>
              <w:right w:val="single" w:sz="4" w:space="0" w:color="auto"/>
            </w:tcBorders>
          </w:tcPr>
          <w:p w14:paraId="7E74FC66" w14:textId="77777777" w:rsidR="007829F5" w:rsidRPr="00E50FA4" w:rsidRDefault="00392D8A"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p</w:t>
            </w:r>
          </w:p>
        </w:tc>
        <w:tc>
          <w:tcPr>
            <w:tcW w:w="7879" w:type="dxa"/>
            <w:tcBorders>
              <w:top w:val="single" w:sz="4" w:space="0" w:color="auto"/>
              <w:left w:val="single" w:sz="4" w:space="0" w:color="auto"/>
              <w:bottom w:val="single" w:sz="4" w:space="0" w:color="auto"/>
              <w:right w:val="single" w:sz="4" w:space="0" w:color="auto"/>
            </w:tcBorders>
          </w:tcPr>
          <w:p w14:paraId="6903CDE9" w14:textId="77777777" w:rsidR="007829F5" w:rsidRPr="00E50FA4" w:rsidRDefault="007829F5"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enabling</w:t>
            </w:r>
          </w:p>
          <w:p w14:paraId="51FF6366" w14:textId="77777777" w:rsidR="007829F5" w:rsidRPr="00E50FA4" w:rsidRDefault="007829F5"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Article 16 of </w:t>
            </w:r>
            <w:r w:rsidRPr="00E50FA4">
              <w:rPr>
                <w:rFonts w:ascii="Times New Roman" w:hAnsi="Times New Roman"/>
                <w:noProof/>
                <w:sz w:val="24"/>
                <w:lang w:val="en-GB"/>
              </w:rPr>
              <w:t>Regulation (EU) 2020/852.</w:t>
            </w:r>
          </w:p>
          <w:p w14:paraId="4D950E48" w14:textId="15F787E4" w:rsidR="008A197E" w:rsidRPr="00E50FA4" w:rsidRDefault="00000C40" w:rsidP="00AA68AB">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Institutions </w:t>
            </w:r>
            <w:r w:rsidR="00AA68AB" w:rsidRPr="00E50FA4">
              <w:rPr>
                <w:rFonts w:ascii="Times New Roman" w:eastAsia="Times New Roman" w:hAnsi="Times New Roman" w:cs="Times New Roman"/>
                <w:noProof/>
                <w:sz w:val="24"/>
                <w:lang w:val="en-GB"/>
              </w:rPr>
              <w:t xml:space="preserve">shall </w:t>
            </w:r>
            <w:r w:rsidRPr="00E50FA4">
              <w:rPr>
                <w:rFonts w:ascii="Times New Roman" w:eastAsia="Times New Roman" w:hAnsi="Times New Roman" w:cs="Times New Roman"/>
                <w:noProof/>
                <w:sz w:val="24"/>
                <w:lang w:val="en-GB"/>
              </w:rPr>
              <w:t xml:space="preserve">include </w:t>
            </w:r>
            <w:r w:rsidR="0051326C" w:rsidRPr="00E50FA4">
              <w:rPr>
                <w:rFonts w:ascii="Times New Roman" w:eastAsia="Times New Roman" w:hAnsi="Times New Roman" w:cs="Times New Roman"/>
                <w:noProof/>
                <w:sz w:val="24"/>
                <w:lang w:val="en-GB"/>
              </w:rPr>
              <w:t>the s</w:t>
            </w:r>
            <w:r w:rsidR="008A197E" w:rsidRPr="00E50FA4">
              <w:rPr>
                <w:rFonts w:ascii="Times New Roman" w:eastAsia="Times New Roman" w:hAnsi="Times New Roman" w:cs="Times New Roman"/>
                <w:noProof/>
                <w:sz w:val="24"/>
                <w:lang w:val="en-GB"/>
              </w:rPr>
              <w:t>um of column (f) and column (k)</w:t>
            </w:r>
            <w:r w:rsidR="0051326C" w:rsidRPr="00E50FA4">
              <w:rPr>
                <w:rFonts w:ascii="Times New Roman" w:eastAsia="Times New Roman" w:hAnsi="Times New Roman" w:cs="Times New Roman"/>
                <w:noProof/>
                <w:sz w:val="24"/>
                <w:lang w:val="en-GB"/>
              </w:rPr>
              <w:t xml:space="preserve"> of </w:t>
            </w:r>
            <w:r w:rsidR="00D2126D" w:rsidRPr="00E50FA4">
              <w:rPr>
                <w:rFonts w:ascii="Times New Roman" w:eastAsia="Times New Roman" w:hAnsi="Times New Roman" w:cs="Times New Roman"/>
                <w:noProof/>
                <w:sz w:val="24"/>
                <w:lang w:val="en-GB"/>
              </w:rPr>
              <w:t>this template.</w:t>
            </w:r>
          </w:p>
        </w:tc>
      </w:tr>
    </w:tbl>
    <w:p w14:paraId="5A3CD59F" w14:textId="77777777" w:rsidR="00E77292" w:rsidRPr="00E50FA4" w:rsidRDefault="00E77292" w:rsidP="001A08A2">
      <w:pPr>
        <w:spacing w:before="120" w:after="120"/>
        <w:jc w:val="both"/>
        <w:rPr>
          <w:rFonts w:ascii="Times New Roman" w:hAnsi="Times New Roman"/>
          <w:noProof/>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879"/>
      </w:tblGrid>
      <w:tr w:rsidR="00E77292" w:rsidRPr="00E50FA4" w14:paraId="18249783" w14:textId="77777777" w:rsidTr="00BA313D">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6ADC15A4" w14:textId="77777777" w:rsidR="00E77292" w:rsidRPr="00E50FA4" w:rsidRDefault="00E77292" w:rsidP="00D35812">
            <w:pPr>
              <w:spacing w:before="120" w:after="120"/>
              <w:jc w:val="both"/>
              <w:rPr>
                <w:rFonts w:ascii="Times New Roman" w:eastAsia="Times New Roman" w:hAnsi="Times New Roman" w:cs="Times New Roman"/>
                <w:noProof/>
                <w:sz w:val="24"/>
                <w:lang w:val="en-GB" w:bidi="ne-NP"/>
              </w:rPr>
            </w:pPr>
            <w:r w:rsidRPr="00E50FA4">
              <w:rPr>
                <w:rFonts w:ascii="Times New Roman" w:eastAsia="Times New Roman" w:hAnsi="Times New Roman" w:cs="Times New Roman"/>
                <w:noProof/>
                <w:sz w:val="24"/>
                <w:lang w:val="en-GB" w:bidi="ne-NP"/>
              </w:rPr>
              <w:t>Rows</w:t>
            </w:r>
          </w:p>
        </w:tc>
        <w:tc>
          <w:tcPr>
            <w:tcW w:w="7879" w:type="dxa"/>
            <w:tcBorders>
              <w:top w:val="single" w:sz="4" w:space="0" w:color="auto"/>
              <w:left w:val="single" w:sz="4" w:space="0" w:color="auto"/>
              <w:bottom w:val="single" w:sz="4" w:space="0" w:color="auto"/>
              <w:right w:val="single" w:sz="4" w:space="0" w:color="auto"/>
            </w:tcBorders>
            <w:shd w:val="clear" w:color="auto" w:fill="CCCCCC"/>
            <w:hideMark/>
          </w:tcPr>
          <w:p w14:paraId="18372F77" w14:textId="77777777" w:rsidR="00E77292" w:rsidRPr="00E50FA4" w:rsidRDefault="00E77292" w:rsidP="00DA390D">
            <w:pPr>
              <w:spacing w:before="120" w:after="120"/>
              <w:jc w:val="both"/>
              <w:rPr>
                <w:rFonts w:ascii="Times New Roman" w:eastAsia="Times New Roman" w:hAnsi="Times New Roman" w:cs="Times New Roman"/>
                <w:noProof/>
                <w:sz w:val="24"/>
                <w:lang w:val="en-GB" w:bidi="ne-NP"/>
              </w:rPr>
            </w:pPr>
            <w:r w:rsidRPr="00E50FA4">
              <w:rPr>
                <w:rFonts w:ascii="Times New Roman" w:eastAsia="Times New Roman" w:hAnsi="Times New Roman" w:cs="Times New Roman"/>
                <w:noProof/>
                <w:sz w:val="24"/>
                <w:lang w:val="en-GB" w:bidi="ne-NP"/>
              </w:rPr>
              <w:t xml:space="preserve"> Instructions</w:t>
            </w:r>
          </w:p>
        </w:tc>
      </w:tr>
      <w:tr w:rsidR="00E77292" w:rsidRPr="00E50FA4" w14:paraId="66CE23CD" w14:textId="77777777" w:rsidTr="00BA313D">
        <w:tc>
          <w:tcPr>
            <w:tcW w:w="1188" w:type="dxa"/>
            <w:tcBorders>
              <w:top w:val="single" w:sz="4" w:space="0" w:color="auto"/>
              <w:left w:val="single" w:sz="4" w:space="0" w:color="auto"/>
              <w:bottom w:val="single" w:sz="4" w:space="0" w:color="auto"/>
              <w:right w:val="single" w:sz="4" w:space="0" w:color="auto"/>
            </w:tcBorders>
          </w:tcPr>
          <w:p w14:paraId="4ED547AB"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p>
        </w:tc>
        <w:tc>
          <w:tcPr>
            <w:tcW w:w="7879" w:type="dxa"/>
            <w:tcBorders>
              <w:top w:val="single" w:sz="4" w:space="0" w:color="auto"/>
              <w:left w:val="single" w:sz="4" w:space="0" w:color="auto"/>
              <w:bottom w:val="single" w:sz="4" w:space="0" w:color="auto"/>
              <w:right w:val="single" w:sz="4" w:space="0" w:color="auto"/>
            </w:tcBorders>
          </w:tcPr>
          <w:p w14:paraId="672B451C" w14:textId="77777777" w:rsidR="00006CBB" w:rsidRPr="00E50FA4" w:rsidRDefault="00006CBB"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b/>
                <w:noProof/>
                <w:sz w:val="24"/>
                <w:u w:val="single"/>
                <w:lang w:val="en-GB"/>
              </w:rPr>
              <w:t>GAR - Covered assets in both numerator and denominator</w:t>
            </w:r>
          </w:p>
          <w:p w14:paraId="020722C9" w14:textId="77777777" w:rsidR="00E77292" w:rsidRPr="00E50FA4" w:rsidRDefault="00E77292" w:rsidP="001B102C">
            <w:pPr>
              <w:spacing w:before="120" w:after="120"/>
              <w:jc w:val="both"/>
              <w:rPr>
                <w:rFonts w:ascii="Times New Roman" w:eastAsia="Times New Roman" w:hAnsi="Times New Roman" w:cs="Times New Roman"/>
                <w:noProof/>
                <w:sz w:val="24"/>
                <w:lang w:val="en-GB"/>
              </w:rPr>
            </w:pPr>
            <w:r w:rsidRPr="00E50FA4">
              <w:rPr>
                <w:rFonts w:ascii="Times New Roman" w:hAnsi="Times New Roman"/>
                <w:noProof/>
                <w:sz w:val="24"/>
                <w:lang w:val="en-GB"/>
              </w:rPr>
              <w:t xml:space="preserve">Eligible exposures </w:t>
            </w:r>
            <w:r w:rsidR="00092A28" w:rsidRPr="00E50FA4">
              <w:rPr>
                <w:rFonts w:ascii="Times New Roman" w:hAnsi="Times New Roman"/>
                <w:noProof/>
                <w:sz w:val="24"/>
                <w:lang w:val="en-GB"/>
              </w:rPr>
              <w:t xml:space="preserve">shall be </w:t>
            </w:r>
            <w:r w:rsidRPr="00E50FA4">
              <w:rPr>
                <w:rFonts w:ascii="Times New Roman" w:eastAsia="Times New Roman" w:hAnsi="Times New Roman" w:cs="Times New Roman"/>
                <w:noProof/>
                <w:sz w:val="24"/>
                <w:lang w:val="en-GB"/>
              </w:rPr>
              <w:t xml:space="preserve">those that are related to the counterparties and asset classes covered in the scope of the disclosure requirements in accordance with Article 8 of </w:t>
            </w:r>
            <w:r w:rsidRPr="00E50FA4">
              <w:rPr>
                <w:rFonts w:ascii="Times New Roman" w:hAnsi="Times New Roman"/>
                <w:noProof/>
                <w:sz w:val="24"/>
                <w:lang w:val="en-GB"/>
              </w:rPr>
              <w:t>Regulation (EU) 2020/852.</w:t>
            </w:r>
          </w:p>
        </w:tc>
      </w:tr>
      <w:tr w:rsidR="00E77292" w:rsidRPr="00E50FA4" w14:paraId="777D2115" w14:textId="77777777" w:rsidTr="00BA313D">
        <w:tc>
          <w:tcPr>
            <w:tcW w:w="1188" w:type="dxa"/>
            <w:tcBorders>
              <w:top w:val="single" w:sz="4" w:space="0" w:color="auto"/>
              <w:left w:val="single" w:sz="4" w:space="0" w:color="auto"/>
              <w:bottom w:val="single" w:sz="4" w:space="0" w:color="auto"/>
              <w:right w:val="single" w:sz="4" w:space="0" w:color="auto"/>
            </w:tcBorders>
          </w:tcPr>
          <w:p w14:paraId="0D4064D1" w14:textId="77777777" w:rsidR="00E77292" w:rsidRPr="00E50FA4" w:rsidRDefault="00006CB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1</w:t>
            </w:r>
          </w:p>
        </w:tc>
        <w:tc>
          <w:tcPr>
            <w:tcW w:w="7879" w:type="dxa"/>
            <w:tcBorders>
              <w:top w:val="single" w:sz="4" w:space="0" w:color="auto"/>
              <w:left w:val="single" w:sz="4" w:space="0" w:color="auto"/>
              <w:bottom w:val="single" w:sz="4" w:space="0" w:color="auto"/>
              <w:right w:val="single" w:sz="4" w:space="0" w:color="auto"/>
            </w:tcBorders>
          </w:tcPr>
          <w:p w14:paraId="7A685B46"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Loans and advances, debt securities and equity instruments not HfT eligible for GAR</w:t>
            </w:r>
          </w:p>
          <w:p w14:paraId="108272DC" w14:textId="79DBD45F" w:rsidR="00E77292" w:rsidRPr="00E50FA4" w:rsidRDefault="00BA4944" w:rsidP="00E03C13">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w:t>
            </w:r>
            <w:r w:rsidR="00AA68AB" w:rsidRPr="00E50FA4">
              <w:rPr>
                <w:rFonts w:ascii="Times New Roman" w:eastAsia="Times New Roman" w:hAnsi="Times New Roman" w:cs="Times New Roman"/>
                <w:noProof/>
                <w:sz w:val="24"/>
                <w:lang w:val="en-GB"/>
              </w:rPr>
              <w:t>shall</w:t>
            </w:r>
            <w:r w:rsidRPr="00E50FA4">
              <w:rPr>
                <w:rFonts w:ascii="Times New Roman" w:eastAsia="Times New Roman" w:hAnsi="Times New Roman" w:cs="Times New Roman"/>
                <w:noProof/>
                <w:sz w:val="24"/>
                <w:lang w:val="en-GB"/>
              </w:rPr>
              <w:t xml:space="preserve"> disclose loans </w:t>
            </w:r>
            <w:r w:rsidR="00E77292" w:rsidRPr="00E50FA4">
              <w:rPr>
                <w:rFonts w:ascii="Times New Roman" w:eastAsia="Times New Roman" w:hAnsi="Times New Roman" w:cs="Times New Roman"/>
                <w:noProof/>
                <w:sz w:val="24"/>
                <w:lang w:val="en-GB"/>
              </w:rPr>
              <w:t xml:space="preserve">and advances, debt securities and equity instruments </w:t>
            </w:r>
            <w:r w:rsidR="004C2F9A" w:rsidRPr="00E50FA4">
              <w:rPr>
                <w:rFonts w:ascii="Times New Roman" w:eastAsia="Times New Roman" w:hAnsi="Times New Roman" w:cs="Times New Roman"/>
                <w:noProof/>
                <w:sz w:val="24"/>
                <w:lang w:val="en-GB"/>
              </w:rPr>
              <w:t xml:space="preserve">classified </w:t>
            </w:r>
            <w:r w:rsidR="00034BAB" w:rsidRPr="00E50FA4">
              <w:rPr>
                <w:rFonts w:ascii="Times New Roman" w:eastAsia="Times New Roman" w:hAnsi="Times New Roman" w:cs="Times New Roman"/>
                <w:noProof/>
                <w:sz w:val="24"/>
                <w:lang w:val="en-GB"/>
              </w:rPr>
              <w:t xml:space="preserve">in the banking book, </w:t>
            </w:r>
            <w:r w:rsidR="00E77292" w:rsidRPr="00E50FA4">
              <w:rPr>
                <w:rFonts w:ascii="Times New Roman" w:eastAsia="Times New Roman" w:hAnsi="Times New Roman" w:cs="Times New Roman"/>
                <w:noProof/>
                <w:sz w:val="24"/>
                <w:lang w:val="en-GB"/>
              </w:rPr>
              <w:t>not held for trading</w:t>
            </w:r>
            <w:r w:rsidR="004C2F9A" w:rsidRPr="00E50FA4">
              <w:rPr>
                <w:rFonts w:ascii="Times New Roman" w:eastAsia="Times New Roman" w:hAnsi="Times New Roman" w:cs="Times New Roman"/>
                <w:noProof/>
                <w:sz w:val="24"/>
                <w:lang w:val="en-GB"/>
              </w:rPr>
              <w:t xml:space="preserve"> and not held for sale</w:t>
            </w:r>
            <w:r w:rsidR="00E77292" w:rsidRPr="00E50FA4">
              <w:rPr>
                <w:rFonts w:ascii="Times New Roman" w:eastAsia="Times New Roman" w:hAnsi="Times New Roman" w:cs="Times New Roman"/>
                <w:noProof/>
                <w:sz w:val="24"/>
                <w:lang w:val="en-GB"/>
              </w:rPr>
              <w:t xml:space="preserve"> as defined in </w:t>
            </w:r>
            <w:r w:rsidR="00E77292" w:rsidRPr="00E50FA4">
              <w:rPr>
                <w:rFonts w:ascii="Times New Roman" w:eastAsia="Times New Roman" w:hAnsi="Times New Roman" w:cs="Times New Roman"/>
                <w:noProof/>
                <w:sz w:val="24"/>
                <w:lang w:val="en-GB" w:bidi="ne-NP"/>
              </w:rPr>
              <w:t xml:space="preserve">Annex V to Implementing Regulation (EU) </w:t>
            </w:r>
            <w:r w:rsidR="00C6176D" w:rsidRPr="00E50FA4">
              <w:rPr>
                <w:rFonts w:ascii="Times New Roman" w:eastAsia="Times New Roman" w:hAnsi="Times New Roman" w:cs="Times New Roman"/>
                <w:noProof/>
                <w:sz w:val="24"/>
                <w:lang w:val="en-GB"/>
              </w:rPr>
              <w:t>2021/451</w:t>
            </w:r>
            <w:r w:rsidR="00E77292" w:rsidRPr="00E50FA4">
              <w:rPr>
                <w:rFonts w:ascii="Times New Roman" w:eastAsia="Times New Roman" w:hAnsi="Times New Roman" w:cs="Times New Roman"/>
                <w:noProof/>
                <w:sz w:val="24"/>
                <w:lang w:val="en-GB"/>
              </w:rPr>
              <w:t>.</w:t>
            </w:r>
          </w:p>
        </w:tc>
      </w:tr>
      <w:tr w:rsidR="00E77292" w:rsidRPr="00E50FA4" w14:paraId="575EE251" w14:textId="77777777" w:rsidTr="00BA313D">
        <w:tc>
          <w:tcPr>
            <w:tcW w:w="1188" w:type="dxa"/>
            <w:tcBorders>
              <w:top w:val="single" w:sz="4" w:space="0" w:color="auto"/>
              <w:left w:val="single" w:sz="4" w:space="0" w:color="auto"/>
              <w:bottom w:val="single" w:sz="4" w:space="0" w:color="auto"/>
              <w:right w:val="single" w:sz="4" w:space="0" w:color="auto"/>
            </w:tcBorders>
          </w:tcPr>
          <w:p w14:paraId="166B278E" w14:textId="77777777" w:rsidR="00E77292" w:rsidRPr="00E50FA4" w:rsidRDefault="00006CB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2</w:t>
            </w:r>
          </w:p>
        </w:tc>
        <w:tc>
          <w:tcPr>
            <w:tcW w:w="7879" w:type="dxa"/>
            <w:tcBorders>
              <w:top w:val="single" w:sz="4" w:space="0" w:color="auto"/>
              <w:left w:val="single" w:sz="4" w:space="0" w:color="auto"/>
              <w:bottom w:val="single" w:sz="4" w:space="0" w:color="auto"/>
              <w:right w:val="single" w:sz="4" w:space="0" w:color="auto"/>
            </w:tcBorders>
          </w:tcPr>
          <w:p w14:paraId="27D92F0E" w14:textId="77777777" w:rsidR="00E77292" w:rsidRPr="00E50FA4" w:rsidRDefault="00E77292" w:rsidP="001A08A2">
            <w:pPr>
              <w:spacing w:before="120" w:after="120"/>
              <w:jc w:val="both"/>
              <w:rPr>
                <w:rFonts w:ascii="Times New Roman" w:eastAsia="Times New Roman" w:hAnsi="Times New Roman" w:cs="Times New Roman"/>
                <w:b/>
                <w:noProof/>
                <w:sz w:val="24"/>
                <w:u w:val="single"/>
                <w:lang w:val="en-GB" w:bidi="ne-NP"/>
              </w:rPr>
            </w:pPr>
            <w:r w:rsidRPr="00E50FA4">
              <w:rPr>
                <w:rFonts w:ascii="Times New Roman" w:eastAsia="Times New Roman" w:hAnsi="Times New Roman" w:cs="Times New Roman"/>
                <w:b/>
                <w:noProof/>
                <w:sz w:val="24"/>
                <w:u w:val="single"/>
                <w:lang w:val="en-GB" w:bidi="ne-NP"/>
              </w:rPr>
              <w:t>Financial corporations</w:t>
            </w:r>
          </w:p>
          <w:p w14:paraId="51EEF5F7" w14:textId="59F5845D" w:rsidR="00E77292" w:rsidRPr="00E50FA4" w:rsidRDefault="00BA4944" w:rsidP="0025458E">
            <w:pPr>
              <w:spacing w:before="120" w:after="120"/>
              <w:jc w:val="both"/>
              <w:rPr>
                <w:rFonts w:ascii="Times New Roman" w:eastAsia="Times New Roman" w:hAnsi="Times New Roman" w:cs="Times New Roman"/>
                <w:noProof/>
                <w:sz w:val="24"/>
                <w:lang w:val="en-GB" w:bidi="ne-NP"/>
              </w:rPr>
            </w:pPr>
            <w:r w:rsidRPr="00E50FA4">
              <w:rPr>
                <w:rFonts w:ascii="Times New Roman" w:eastAsia="Times New Roman" w:hAnsi="Times New Roman" w:cs="Times New Roman"/>
                <w:noProof/>
                <w:sz w:val="24"/>
                <w:lang w:val="en-GB" w:bidi="ne-NP"/>
              </w:rPr>
              <w:t xml:space="preserve">Institutions </w:t>
            </w:r>
            <w:r w:rsidR="00AA68A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exposures </w:t>
            </w:r>
            <w:r w:rsidR="00DD5EA1" w:rsidRPr="00E50FA4">
              <w:rPr>
                <w:rFonts w:ascii="Times New Roman" w:eastAsia="Times New Roman" w:hAnsi="Times New Roman" w:cs="Times New Roman"/>
                <w:noProof/>
                <w:sz w:val="24"/>
                <w:lang w:val="en-GB" w:bidi="ne-NP"/>
              </w:rPr>
              <w:t xml:space="preserve">referred </w:t>
            </w:r>
            <w:r w:rsidR="00E82934" w:rsidRPr="00E50FA4">
              <w:rPr>
                <w:rFonts w:ascii="Times New Roman" w:eastAsia="Times New Roman" w:hAnsi="Times New Roman" w:cs="Times New Roman"/>
                <w:noProof/>
                <w:sz w:val="24"/>
                <w:lang w:val="en-GB" w:bidi="ne-NP"/>
              </w:rPr>
              <w:t xml:space="preserve">to </w:t>
            </w:r>
            <w:r w:rsidR="00560AE5" w:rsidRPr="00E50FA4">
              <w:rPr>
                <w:rFonts w:ascii="Times New Roman" w:eastAsia="Times New Roman" w:hAnsi="Times New Roman" w:cs="Times New Roman"/>
                <w:noProof/>
                <w:sz w:val="24"/>
                <w:lang w:val="en-GB" w:bidi="ne-NP"/>
              </w:rPr>
              <w:t xml:space="preserve">in </w:t>
            </w:r>
            <w:r w:rsidR="00946A88" w:rsidRPr="00E50FA4">
              <w:rPr>
                <w:rFonts w:ascii="Times New Roman" w:eastAsia="Times New Roman" w:hAnsi="Times New Roman" w:cs="Times New Roman"/>
                <w:noProof/>
                <w:sz w:val="24"/>
                <w:lang w:val="en-GB" w:bidi="ne-NP"/>
              </w:rPr>
              <w:t xml:space="preserve">Part 1, </w:t>
            </w:r>
            <w:r w:rsidR="0025458E" w:rsidRPr="00E50FA4">
              <w:rPr>
                <w:rFonts w:ascii="Times New Roman" w:eastAsia="Times New Roman" w:hAnsi="Times New Roman" w:cs="Times New Roman"/>
                <w:noProof/>
                <w:sz w:val="24"/>
                <w:lang w:val="en-GB" w:bidi="ne-NP"/>
              </w:rPr>
              <w:t xml:space="preserve">point </w:t>
            </w:r>
            <w:r w:rsidR="00946A88" w:rsidRPr="00E50FA4">
              <w:rPr>
                <w:rFonts w:ascii="Times New Roman" w:eastAsia="Times New Roman" w:hAnsi="Times New Roman" w:cs="Times New Roman"/>
                <w:noProof/>
                <w:sz w:val="24"/>
                <w:lang w:val="en-GB" w:bidi="ne-NP"/>
              </w:rPr>
              <w:t xml:space="preserve">42, </w:t>
            </w:r>
            <w:r w:rsidR="00560AE5" w:rsidRPr="00E50FA4">
              <w:rPr>
                <w:rFonts w:ascii="Times New Roman" w:eastAsia="Times New Roman" w:hAnsi="Times New Roman" w:cs="Times New Roman"/>
                <w:noProof/>
                <w:sz w:val="24"/>
                <w:lang w:val="en-GB" w:bidi="ne-NP"/>
              </w:rPr>
              <w:t>p</w:t>
            </w:r>
            <w:r w:rsidR="00E77292" w:rsidRPr="00E50FA4">
              <w:rPr>
                <w:rFonts w:ascii="Times New Roman" w:eastAsia="Times New Roman" w:hAnsi="Times New Roman" w:cs="Times New Roman"/>
                <w:noProof/>
                <w:sz w:val="24"/>
                <w:lang w:val="en-GB" w:bidi="ne-NP"/>
              </w:rPr>
              <w:t>oint (c) and point (d)</w:t>
            </w:r>
            <w:r w:rsidR="00946A88" w:rsidRPr="00E50FA4">
              <w:rPr>
                <w:rFonts w:ascii="Times New Roman" w:eastAsia="Times New Roman" w:hAnsi="Times New Roman" w:cs="Times New Roman"/>
                <w:noProof/>
                <w:sz w:val="24"/>
                <w:lang w:val="en-GB" w:bidi="ne-NP"/>
              </w:rPr>
              <w:t>,</w:t>
            </w:r>
            <w:r w:rsidR="009620B8" w:rsidRPr="00E50FA4">
              <w:rPr>
                <w:rFonts w:ascii="Times New Roman" w:eastAsia="Times New Roman" w:hAnsi="Times New Roman" w:cs="Times New Roman"/>
                <w:noProof/>
                <w:sz w:val="24"/>
                <w:lang w:val="en-GB" w:bidi="ne-NP"/>
              </w:rPr>
              <w:t xml:space="preserve">  </w:t>
            </w:r>
            <w:r w:rsidR="00E77292" w:rsidRPr="00E50FA4">
              <w:rPr>
                <w:rFonts w:ascii="Times New Roman" w:eastAsia="Times New Roman" w:hAnsi="Times New Roman" w:cs="Times New Roman"/>
                <w:noProof/>
                <w:sz w:val="24"/>
                <w:lang w:val="en-GB" w:bidi="ne-NP"/>
              </w:rPr>
              <w:t>of Annex V to Implementing Regulation (EU)</w:t>
            </w:r>
            <w:r w:rsidR="009620B8" w:rsidRPr="00E50FA4">
              <w:rPr>
                <w:rFonts w:ascii="Times New Roman" w:eastAsia="Times New Roman" w:hAnsi="Times New Roman" w:cs="Times New Roman"/>
                <w:noProof/>
                <w:sz w:val="24"/>
                <w:lang w:val="en-GB" w:bidi="ne-NP"/>
              </w:rPr>
              <w:t xml:space="preserve">  </w:t>
            </w:r>
            <w:r w:rsidR="00C6176D" w:rsidRPr="00E50FA4">
              <w:rPr>
                <w:rFonts w:ascii="Times New Roman" w:eastAsia="Times New Roman" w:hAnsi="Times New Roman" w:cs="Times New Roman"/>
                <w:noProof/>
                <w:sz w:val="24"/>
                <w:lang w:val="en-GB"/>
              </w:rPr>
              <w:t>2021/451</w:t>
            </w:r>
            <w:r w:rsidR="00E77292" w:rsidRPr="00E50FA4">
              <w:rPr>
                <w:rFonts w:ascii="Times New Roman" w:eastAsia="Times New Roman" w:hAnsi="Times New Roman" w:cs="Times New Roman"/>
                <w:noProof/>
                <w:sz w:val="24"/>
                <w:lang w:val="en-GB"/>
              </w:rPr>
              <w:t>.</w:t>
            </w:r>
          </w:p>
        </w:tc>
      </w:tr>
      <w:tr w:rsidR="00E77292" w:rsidRPr="00E50FA4" w14:paraId="3701B24A" w14:textId="77777777" w:rsidTr="00BA313D">
        <w:tc>
          <w:tcPr>
            <w:tcW w:w="1188" w:type="dxa"/>
            <w:tcBorders>
              <w:top w:val="single" w:sz="4" w:space="0" w:color="auto"/>
              <w:left w:val="single" w:sz="4" w:space="0" w:color="auto"/>
              <w:bottom w:val="single" w:sz="4" w:space="0" w:color="auto"/>
              <w:right w:val="single" w:sz="4" w:space="0" w:color="auto"/>
            </w:tcBorders>
          </w:tcPr>
          <w:p w14:paraId="6E1D123E" w14:textId="77777777" w:rsidR="00E77292" w:rsidRPr="00E50FA4" w:rsidRDefault="00006CB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3</w:t>
            </w:r>
          </w:p>
        </w:tc>
        <w:tc>
          <w:tcPr>
            <w:tcW w:w="7879" w:type="dxa"/>
            <w:tcBorders>
              <w:top w:val="single" w:sz="4" w:space="0" w:color="auto"/>
              <w:left w:val="single" w:sz="4" w:space="0" w:color="auto"/>
              <w:bottom w:val="single" w:sz="4" w:space="0" w:color="auto"/>
              <w:right w:val="single" w:sz="4" w:space="0" w:color="auto"/>
            </w:tcBorders>
          </w:tcPr>
          <w:p w14:paraId="6C51C60A"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Credit institutions</w:t>
            </w:r>
          </w:p>
          <w:p w14:paraId="18274EAB" w14:textId="4735E17E" w:rsidR="00E77292" w:rsidRPr="00E50FA4" w:rsidRDefault="00BA4944" w:rsidP="0025458E">
            <w:pPr>
              <w:spacing w:before="120" w:after="120"/>
              <w:jc w:val="both"/>
              <w:rPr>
                <w:rFonts w:ascii="Times New Roman" w:eastAsia="Times New Roman" w:hAnsi="Times New Roman" w:cs="Times New Roman"/>
                <w:noProof/>
                <w:sz w:val="24"/>
                <w:lang w:val="en-GB" w:bidi="ne-NP"/>
              </w:rPr>
            </w:pPr>
            <w:r w:rsidRPr="00E50FA4">
              <w:rPr>
                <w:rFonts w:ascii="Times New Roman" w:eastAsia="Times New Roman" w:hAnsi="Times New Roman" w:cs="Times New Roman"/>
                <w:noProof/>
                <w:sz w:val="24"/>
                <w:lang w:val="en-GB" w:bidi="ne-NP"/>
              </w:rPr>
              <w:t xml:space="preserve">Institutions </w:t>
            </w:r>
            <w:r w:rsidR="00AA68A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exposures </w:t>
            </w:r>
            <w:r w:rsidR="00DD5EA1" w:rsidRPr="00E50FA4">
              <w:rPr>
                <w:rFonts w:ascii="Times New Roman" w:eastAsia="Times New Roman" w:hAnsi="Times New Roman" w:cs="Times New Roman"/>
                <w:noProof/>
                <w:sz w:val="24"/>
                <w:lang w:val="en-GB" w:bidi="ne-NP"/>
              </w:rPr>
              <w:t xml:space="preserve">referred </w:t>
            </w:r>
            <w:r w:rsidR="00E82934" w:rsidRPr="00E50FA4">
              <w:rPr>
                <w:rFonts w:ascii="Times New Roman" w:eastAsia="Times New Roman" w:hAnsi="Times New Roman" w:cs="Times New Roman"/>
                <w:noProof/>
                <w:sz w:val="24"/>
                <w:lang w:val="en-GB" w:bidi="ne-NP"/>
              </w:rPr>
              <w:t xml:space="preserve">to </w:t>
            </w:r>
            <w:r w:rsidR="00560AE5" w:rsidRPr="00E50FA4">
              <w:rPr>
                <w:rFonts w:ascii="Times New Roman" w:eastAsia="Times New Roman" w:hAnsi="Times New Roman" w:cs="Times New Roman"/>
                <w:noProof/>
                <w:sz w:val="24"/>
                <w:lang w:val="en-GB" w:bidi="ne-NP"/>
              </w:rPr>
              <w:t>in</w:t>
            </w:r>
            <w:r w:rsidR="00E82934" w:rsidRPr="00E50FA4">
              <w:rPr>
                <w:rFonts w:ascii="Times New Roman" w:eastAsia="Times New Roman" w:hAnsi="Times New Roman" w:cs="Times New Roman"/>
                <w:noProof/>
                <w:sz w:val="24"/>
                <w:lang w:val="en-GB" w:bidi="ne-NP"/>
              </w:rPr>
              <w:t xml:space="preserve"> </w:t>
            </w:r>
            <w:r w:rsidR="00946A88" w:rsidRPr="00E50FA4">
              <w:rPr>
                <w:rFonts w:ascii="Times New Roman" w:eastAsia="Times New Roman" w:hAnsi="Times New Roman" w:cs="Times New Roman"/>
                <w:noProof/>
                <w:sz w:val="24"/>
                <w:lang w:val="en-GB" w:bidi="ne-NP"/>
              </w:rPr>
              <w:t xml:space="preserve">Part 1, </w:t>
            </w:r>
            <w:r w:rsidR="0025458E" w:rsidRPr="00E50FA4">
              <w:rPr>
                <w:rFonts w:ascii="Times New Roman" w:eastAsia="Times New Roman" w:hAnsi="Times New Roman" w:cs="Times New Roman"/>
                <w:noProof/>
                <w:sz w:val="24"/>
                <w:lang w:val="en-GB" w:bidi="ne-NP"/>
              </w:rPr>
              <w:t xml:space="preserve">point </w:t>
            </w:r>
            <w:r w:rsidR="00946A88" w:rsidRPr="00E50FA4">
              <w:rPr>
                <w:rFonts w:ascii="Times New Roman" w:eastAsia="Times New Roman" w:hAnsi="Times New Roman" w:cs="Times New Roman"/>
                <w:noProof/>
                <w:sz w:val="24"/>
                <w:lang w:val="en-GB" w:bidi="ne-NP"/>
              </w:rPr>
              <w:t xml:space="preserve">42, </w:t>
            </w:r>
            <w:r w:rsidR="0025458E" w:rsidRPr="00E50FA4">
              <w:rPr>
                <w:rFonts w:ascii="Times New Roman" w:eastAsia="Times New Roman" w:hAnsi="Times New Roman" w:cs="Times New Roman"/>
                <w:noProof/>
                <w:sz w:val="24"/>
                <w:lang w:val="en-GB" w:bidi="ne-NP"/>
              </w:rPr>
              <w:t>letter</w:t>
            </w:r>
            <w:r w:rsidR="00E77292" w:rsidRPr="00E50FA4">
              <w:rPr>
                <w:rFonts w:ascii="Times New Roman" w:eastAsia="Times New Roman" w:hAnsi="Times New Roman" w:cs="Times New Roman"/>
                <w:noProof/>
                <w:sz w:val="24"/>
                <w:lang w:val="en-GB" w:bidi="ne-NP"/>
              </w:rPr>
              <w:t xml:space="preserve"> (c)</w:t>
            </w:r>
            <w:r w:rsidR="00B76863" w:rsidRPr="00E50FA4">
              <w:rPr>
                <w:rFonts w:ascii="Times New Roman" w:eastAsia="Times New Roman" w:hAnsi="Times New Roman" w:cs="Times New Roman"/>
                <w:noProof/>
                <w:sz w:val="24"/>
                <w:lang w:val="en-GB" w:bidi="ne-NP"/>
              </w:rPr>
              <w:t>, of</w:t>
            </w:r>
            <w:r w:rsidR="00E77292" w:rsidRPr="00E50FA4">
              <w:rPr>
                <w:rFonts w:ascii="Times New Roman" w:eastAsia="Times New Roman" w:hAnsi="Times New Roman" w:cs="Times New Roman"/>
                <w:noProof/>
                <w:sz w:val="24"/>
                <w:lang w:val="en-GB" w:bidi="ne-NP"/>
              </w:rPr>
              <w:t xml:space="preserve"> Annex V to Implementing Regulation (EU) </w:t>
            </w:r>
            <w:r w:rsidR="00C6176D" w:rsidRPr="00E50FA4">
              <w:rPr>
                <w:rFonts w:ascii="Times New Roman" w:eastAsia="Times New Roman" w:hAnsi="Times New Roman" w:cs="Times New Roman"/>
                <w:noProof/>
                <w:sz w:val="24"/>
                <w:lang w:val="en-GB"/>
              </w:rPr>
              <w:t>2021/451</w:t>
            </w:r>
            <w:r w:rsidR="00E77292" w:rsidRPr="00E50FA4">
              <w:rPr>
                <w:rFonts w:ascii="Times New Roman" w:eastAsia="Times New Roman" w:hAnsi="Times New Roman" w:cs="Times New Roman"/>
                <w:noProof/>
                <w:sz w:val="24"/>
                <w:lang w:val="en-GB"/>
              </w:rPr>
              <w:t>.</w:t>
            </w:r>
            <w:r w:rsidR="00E77292" w:rsidRPr="00E50FA4">
              <w:rPr>
                <w:rFonts w:ascii="Times New Roman" w:eastAsia="Times New Roman" w:hAnsi="Times New Roman" w:cs="Times New Roman"/>
                <w:noProof/>
                <w:sz w:val="24"/>
                <w:lang w:val="en-GB" w:bidi="ne-NP"/>
              </w:rPr>
              <w:t xml:space="preserve"> </w:t>
            </w:r>
          </w:p>
        </w:tc>
      </w:tr>
      <w:tr w:rsidR="00E77292" w:rsidRPr="00E50FA4" w14:paraId="0C6DEA6A" w14:textId="77777777" w:rsidTr="00BA313D">
        <w:trPr>
          <w:trHeight w:val="800"/>
        </w:trPr>
        <w:tc>
          <w:tcPr>
            <w:tcW w:w="1188" w:type="dxa"/>
            <w:tcBorders>
              <w:top w:val="single" w:sz="4" w:space="0" w:color="auto"/>
              <w:left w:val="single" w:sz="4" w:space="0" w:color="auto"/>
              <w:bottom w:val="single" w:sz="4" w:space="0" w:color="auto"/>
              <w:right w:val="single" w:sz="4" w:space="0" w:color="auto"/>
            </w:tcBorders>
          </w:tcPr>
          <w:p w14:paraId="57219540" w14:textId="77777777" w:rsidR="00E77292" w:rsidRPr="00E50FA4" w:rsidRDefault="00006CB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4</w:t>
            </w:r>
            <w:r w:rsidR="00E77292"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9</w:t>
            </w:r>
            <w:r w:rsidR="00E77292" w:rsidRPr="00E50FA4">
              <w:rPr>
                <w:rFonts w:ascii="Times New Roman" w:eastAsia="Times New Roman" w:hAnsi="Times New Roman" w:cs="Times New Roman"/>
                <w:noProof/>
                <w:sz w:val="24"/>
                <w:lang w:val="en-GB"/>
              </w:rPr>
              <w:t>, 1</w:t>
            </w:r>
            <w:r w:rsidRPr="00E50FA4">
              <w:rPr>
                <w:rFonts w:ascii="Times New Roman" w:eastAsia="Times New Roman" w:hAnsi="Times New Roman" w:cs="Times New Roman"/>
                <w:noProof/>
                <w:sz w:val="24"/>
                <w:lang w:val="en-GB"/>
              </w:rPr>
              <w:t>3</w:t>
            </w:r>
            <w:r w:rsidR="00E77292" w:rsidRPr="00E50FA4">
              <w:rPr>
                <w:rFonts w:ascii="Times New Roman" w:eastAsia="Times New Roman" w:hAnsi="Times New Roman" w:cs="Times New Roman"/>
                <w:noProof/>
                <w:sz w:val="24"/>
                <w:lang w:val="en-GB"/>
              </w:rPr>
              <w:t>, 1</w:t>
            </w:r>
            <w:r w:rsidRPr="00E50FA4">
              <w:rPr>
                <w:rFonts w:ascii="Times New Roman" w:eastAsia="Times New Roman" w:hAnsi="Times New Roman" w:cs="Times New Roman"/>
                <w:noProof/>
                <w:sz w:val="24"/>
                <w:lang w:val="en-GB"/>
              </w:rPr>
              <w:t>7</w:t>
            </w:r>
            <w:r w:rsidR="00E77292" w:rsidRPr="00E50FA4">
              <w:rPr>
                <w:rFonts w:ascii="Times New Roman" w:eastAsia="Times New Roman" w:hAnsi="Times New Roman" w:cs="Times New Roman"/>
                <w:noProof/>
                <w:sz w:val="24"/>
                <w:lang w:val="en-GB"/>
              </w:rPr>
              <w:t>, 2</w:t>
            </w:r>
            <w:r w:rsidRPr="00E50FA4">
              <w:rPr>
                <w:rFonts w:ascii="Times New Roman" w:eastAsia="Times New Roman" w:hAnsi="Times New Roman" w:cs="Times New Roman"/>
                <w:noProof/>
                <w:sz w:val="24"/>
                <w:lang w:val="en-GB"/>
              </w:rPr>
              <w:t>1</w:t>
            </w:r>
            <w:r w:rsidR="00E77292"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3</w:t>
            </w:r>
            <w:r w:rsidR="002A5633" w:rsidRPr="00E50FA4">
              <w:rPr>
                <w:rFonts w:ascii="Times New Roman" w:eastAsia="Times New Roman" w:hAnsi="Times New Roman" w:cs="Times New Roman"/>
                <w:noProof/>
                <w:sz w:val="24"/>
                <w:lang w:val="en-GB"/>
              </w:rPr>
              <w:t>4</w:t>
            </w:r>
            <w:r w:rsidRPr="00E50FA4">
              <w:rPr>
                <w:rFonts w:ascii="Times New Roman" w:eastAsia="Times New Roman" w:hAnsi="Times New Roman" w:cs="Times New Roman"/>
                <w:noProof/>
                <w:sz w:val="24"/>
                <w:lang w:val="en-GB"/>
              </w:rPr>
              <w:t>, 4</w:t>
            </w:r>
            <w:r w:rsidR="002A5633" w:rsidRPr="00E50FA4">
              <w:rPr>
                <w:rFonts w:ascii="Times New Roman" w:eastAsia="Times New Roman" w:hAnsi="Times New Roman" w:cs="Times New Roman"/>
                <w:noProof/>
                <w:sz w:val="24"/>
                <w:lang w:val="en-GB"/>
              </w:rPr>
              <w:t>0</w:t>
            </w:r>
          </w:p>
        </w:tc>
        <w:tc>
          <w:tcPr>
            <w:tcW w:w="7879" w:type="dxa"/>
            <w:tcBorders>
              <w:top w:val="single" w:sz="4" w:space="0" w:color="auto"/>
              <w:left w:val="single" w:sz="4" w:space="0" w:color="auto"/>
              <w:bottom w:val="single" w:sz="4" w:space="0" w:color="auto"/>
              <w:right w:val="single" w:sz="4" w:space="0" w:color="auto"/>
            </w:tcBorders>
          </w:tcPr>
          <w:p w14:paraId="3E67A652"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Loans and advances</w:t>
            </w:r>
          </w:p>
          <w:p w14:paraId="29646B1C" w14:textId="76166E70" w:rsidR="00E77292" w:rsidRPr="00E50FA4" w:rsidRDefault="00BA4944" w:rsidP="0025458E">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 xml:space="preserve">Institutions </w:t>
            </w:r>
            <w:r w:rsidR="00AA68A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loans </w:t>
            </w:r>
            <w:r w:rsidR="00560AE5" w:rsidRPr="00E50FA4">
              <w:rPr>
                <w:rFonts w:ascii="Times New Roman" w:eastAsia="Times New Roman" w:hAnsi="Times New Roman" w:cs="Times New Roman"/>
                <w:noProof/>
                <w:sz w:val="24"/>
                <w:lang w:val="en-GB" w:bidi="ne-NP"/>
              </w:rPr>
              <w:t xml:space="preserve">and advances </w:t>
            </w:r>
            <w:r w:rsidR="00DD5EA1" w:rsidRPr="00E50FA4">
              <w:rPr>
                <w:rFonts w:ascii="Times New Roman" w:eastAsia="Times New Roman" w:hAnsi="Times New Roman" w:cs="Times New Roman"/>
                <w:noProof/>
                <w:sz w:val="24"/>
                <w:lang w:val="en-GB" w:bidi="ne-NP"/>
              </w:rPr>
              <w:t xml:space="preserve">referred </w:t>
            </w:r>
            <w:r w:rsidR="00E82934" w:rsidRPr="00E50FA4">
              <w:rPr>
                <w:rFonts w:ascii="Times New Roman" w:eastAsia="Times New Roman" w:hAnsi="Times New Roman" w:cs="Times New Roman"/>
                <w:noProof/>
                <w:sz w:val="24"/>
                <w:lang w:val="en-GB" w:bidi="ne-NP"/>
              </w:rPr>
              <w:t xml:space="preserve">to </w:t>
            </w:r>
            <w:r w:rsidR="00560AE5" w:rsidRPr="00E50FA4">
              <w:rPr>
                <w:rFonts w:ascii="Times New Roman" w:eastAsia="Times New Roman" w:hAnsi="Times New Roman" w:cs="Times New Roman"/>
                <w:noProof/>
                <w:sz w:val="24"/>
                <w:lang w:val="en-GB" w:bidi="ne-NP"/>
              </w:rPr>
              <w:t xml:space="preserve">in </w:t>
            </w:r>
            <w:r w:rsidR="00946A88" w:rsidRPr="00E50FA4">
              <w:rPr>
                <w:rFonts w:ascii="Times New Roman" w:eastAsia="Times New Roman" w:hAnsi="Times New Roman" w:cs="Times New Roman"/>
                <w:noProof/>
                <w:sz w:val="24"/>
                <w:lang w:val="en-GB" w:bidi="ne-NP"/>
              </w:rPr>
              <w:t xml:space="preserve">Part 1, </w:t>
            </w:r>
            <w:r w:rsidR="0025458E" w:rsidRPr="00E50FA4">
              <w:rPr>
                <w:rFonts w:ascii="Times New Roman" w:eastAsia="Times New Roman" w:hAnsi="Times New Roman" w:cs="Times New Roman"/>
                <w:noProof/>
                <w:sz w:val="24"/>
                <w:lang w:val="en-GB" w:bidi="ne-NP"/>
              </w:rPr>
              <w:t xml:space="preserve">point </w:t>
            </w:r>
            <w:r w:rsidR="00E77292" w:rsidRPr="00E50FA4">
              <w:rPr>
                <w:rFonts w:ascii="Times New Roman" w:eastAsia="Times New Roman" w:hAnsi="Times New Roman" w:cs="Times New Roman"/>
                <w:noProof/>
                <w:sz w:val="24"/>
                <w:lang w:val="en-GB" w:bidi="ne-NP"/>
              </w:rPr>
              <w:t>32</w:t>
            </w:r>
            <w:r w:rsidR="00946A88" w:rsidRPr="00E50FA4">
              <w:rPr>
                <w:rFonts w:ascii="Times New Roman" w:eastAsia="Times New Roman" w:hAnsi="Times New Roman" w:cs="Times New Roman"/>
                <w:noProof/>
                <w:sz w:val="24"/>
                <w:lang w:val="en-GB" w:bidi="ne-NP"/>
              </w:rPr>
              <w:t>,</w:t>
            </w:r>
            <w:r w:rsidR="00E77292" w:rsidRPr="00E50FA4">
              <w:rPr>
                <w:rFonts w:ascii="Times New Roman" w:eastAsia="Times New Roman" w:hAnsi="Times New Roman" w:cs="Times New Roman"/>
                <w:noProof/>
                <w:sz w:val="24"/>
                <w:lang w:val="en-GB" w:bidi="ne-NP"/>
              </w:rPr>
              <w:t xml:space="preserve"> of Annex V to Implementing Regulation (EU) </w:t>
            </w:r>
            <w:r w:rsidR="00C6176D" w:rsidRPr="00E50FA4">
              <w:rPr>
                <w:rFonts w:ascii="Times New Roman" w:eastAsia="Times New Roman" w:hAnsi="Times New Roman" w:cs="Times New Roman"/>
                <w:noProof/>
                <w:sz w:val="24"/>
                <w:lang w:val="en-GB"/>
              </w:rPr>
              <w:t>2021/451</w:t>
            </w:r>
            <w:r w:rsidR="00E77292" w:rsidRPr="00E50FA4">
              <w:rPr>
                <w:rFonts w:ascii="Times New Roman" w:eastAsia="Times New Roman" w:hAnsi="Times New Roman" w:cs="Times New Roman"/>
                <w:noProof/>
                <w:sz w:val="24"/>
                <w:lang w:val="en-GB"/>
              </w:rPr>
              <w:t>.</w:t>
            </w:r>
          </w:p>
        </w:tc>
      </w:tr>
      <w:tr w:rsidR="00E77292" w:rsidRPr="00E50FA4" w14:paraId="747B8610" w14:textId="77777777" w:rsidTr="00BA313D">
        <w:tc>
          <w:tcPr>
            <w:tcW w:w="1188" w:type="dxa"/>
            <w:tcBorders>
              <w:top w:val="single" w:sz="4" w:space="0" w:color="auto"/>
              <w:left w:val="single" w:sz="4" w:space="0" w:color="auto"/>
              <w:bottom w:val="single" w:sz="4" w:space="0" w:color="auto"/>
              <w:right w:val="single" w:sz="4" w:space="0" w:color="auto"/>
            </w:tcBorders>
          </w:tcPr>
          <w:p w14:paraId="6FC6A4CB" w14:textId="77777777" w:rsidR="00E77292" w:rsidRPr="00E50FA4" w:rsidRDefault="00006CB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5</w:t>
            </w:r>
            <w:r w:rsidR="00E77292" w:rsidRPr="00E50FA4">
              <w:rPr>
                <w:rFonts w:ascii="Times New Roman" w:eastAsia="Times New Roman" w:hAnsi="Times New Roman" w:cs="Times New Roman"/>
                <w:noProof/>
                <w:sz w:val="24"/>
                <w:lang w:val="en-GB"/>
              </w:rPr>
              <w:t>, 1</w:t>
            </w:r>
            <w:r w:rsidRPr="00E50FA4">
              <w:rPr>
                <w:rFonts w:ascii="Times New Roman" w:eastAsia="Times New Roman" w:hAnsi="Times New Roman" w:cs="Times New Roman"/>
                <w:noProof/>
                <w:sz w:val="24"/>
                <w:lang w:val="en-GB"/>
              </w:rPr>
              <w:t>0</w:t>
            </w:r>
            <w:r w:rsidR="00E77292" w:rsidRPr="00E50FA4">
              <w:rPr>
                <w:rFonts w:ascii="Times New Roman" w:eastAsia="Times New Roman" w:hAnsi="Times New Roman" w:cs="Times New Roman"/>
                <w:noProof/>
                <w:sz w:val="24"/>
                <w:lang w:val="en-GB"/>
              </w:rPr>
              <w:t>, 1</w:t>
            </w:r>
            <w:r w:rsidRPr="00E50FA4">
              <w:rPr>
                <w:rFonts w:ascii="Times New Roman" w:eastAsia="Times New Roman" w:hAnsi="Times New Roman" w:cs="Times New Roman"/>
                <w:noProof/>
                <w:sz w:val="24"/>
                <w:lang w:val="en-GB"/>
              </w:rPr>
              <w:t>4</w:t>
            </w:r>
            <w:r w:rsidR="00E77292" w:rsidRPr="00E50FA4">
              <w:rPr>
                <w:rFonts w:ascii="Times New Roman" w:eastAsia="Times New Roman" w:hAnsi="Times New Roman" w:cs="Times New Roman"/>
                <w:noProof/>
                <w:sz w:val="24"/>
                <w:lang w:val="en-GB"/>
              </w:rPr>
              <w:t>,</w:t>
            </w:r>
            <w:r w:rsidR="00E72225" w:rsidRPr="00E50FA4">
              <w:rPr>
                <w:rFonts w:ascii="Times New Roman" w:eastAsia="Times New Roman" w:hAnsi="Times New Roman" w:cs="Times New Roman"/>
                <w:noProof/>
                <w:sz w:val="24"/>
                <w:lang w:val="en-GB"/>
              </w:rPr>
              <w:t xml:space="preserve"> 18, </w:t>
            </w:r>
            <w:r w:rsidRPr="00E50FA4">
              <w:rPr>
                <w:rFonts w:ascii="Times New Roman" w:eastAsia="Times New Roman" w:hAnsi="Times New Roman" w:cs="Times New Roman"/>
                <w:noProof/>
                <w:sz w:val="24"/>
                <w:lang w:val="en-GB"/>
              </w:rPr>
              <w:t>22</w:t>
            </w:r>
            <w:r w:rsidR="00E77292"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3</w:t>
            </w:r>
            <w:r w:rsidR="002A5633" w:rsidRPr="00E50FA4">
              <w:rPr>
                <w:rFonts w:ascii="Times New Roman" w:eastAsia="Times New Roman" w:hAnsi="Times New Roman" w:cs="Times New Roman"/>
                <w:noProof/>
                <w:sz w:val="24"/>
                <w:lang w:val="en-GB"/>
              </w:rPr>
              <w:t>7</w:t>
            </w:r>
            <w:r w:rsidR="00E77292"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4</w:t>
            </w:r>
            <w:r w:rsidR="002A5633" w:rsidRPr="00E50FA4">
              <w:rPr>
                <w:rFonts w:ascii="Times New Roman" w:eastAsia="Times New Roman" w:hAnsi="Times New Roman" w:cs="Times New Roman"/>
                <w:noProof/>
                <w:sz w:val="24"/>
                <w:lang w:val="en-GB"/>
              </w:rPr>
              <w:t>1</w:t>
            </w:r>
          </w:p>
        </w:tc>
        <w:tc>
          <w:tcPr>
            <w:tcW w:w="7879" w:type="dxa"/>
            <w:tcBorders>
              <w:top w:val="single" w:sz="4" w:space="0" w:color="auto"/>
              <w:left w:val="single" w:sz="4" w:space="0" w:color="auto"/>
              <w:bottom w:val="single" w:sz="4" w:space="0" w:color="auto"/>
              <w:right w:val="single" w:sz="4" w:space="0" w:color="auto"/>
            </w:tcBorders>
          </w:tcPr>
          <w:p w14:paraId="32ACFA1B"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Debt securities</w:t>
            </w:r>
          </w:p>
          <w:p w14:paraId="3103A91D" w14:textId="4E2875E0" w:rsidR="00E77292" w:rsidRPr="00E50FA4" w:rsidRDefault="00BA4944" w:rsidP="0025458E">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bidi="ne-NP"/>
              </w:rPr>
              <w:t xml:space="preserve">Institutions </w:t>
            </w:r>
            <w:r w:rsidR="00AA68A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debt </w:t>
            </w:r>
            <w:r w:rsidR="00560AE5" w:rsidRPr="00E50FA4">
              <w:rPr>
                <w:rFonts w:ascii="Times New Roman" w:eastAsia="Times New Roman" w:hAnsi="Times New Roman" w:cs="Times New Roman"/>
                <w:noProof/>
                <w:sz w:val="24"/>
                <w:lang w:val="en-GB" w:bidi="ne-NP"/>
              </w:rPr>
              <w:t xml:space="preserve">securities as </w:t>
            </w:r>
            <w:r w:rsidR="00DD5EA1" w:rsidRPr="00E50FA4">
              <w:rPr>
                <w:rFonts w:ascii="Times New Roman" w:eastAsia="Times New Roman" w:hAnsi="Times New Roman" w:cs="Times New Roman"/>
                <w:noProof/>
                <w:sz w:val="24"/>
                <w:lang w:val="en-GB" w:bidi="ne-NP"/>
              </w:rPr>
              <w:t xml:space="preserve">referred </w:t>
            </w:r>
            <w:r w:rsidR="00E82934" w:rsidRPr="00E50FA4">
              <w:rPr>
                <w:rFonts w:ascii="Times New Roman" w:eastAsia="Times New Roman" w:hAnsi="Times New Roman" w:cs="Times New Roman"/>
                <w:noProof/>
                <w:sz w:val="24"/>
                <w:lang w:val="en-GB" w:bidi="ne-NP"/>
              </w:rPr>
              <w:t xml:space="preserve">to </w:t>
            </w:r>
            <w:r w:rsidR="00560AE5" w:rsidRPr="00E50FA4">
              <w:rPr>
                <w:rFonts w:ascii="Times New Roman" w:eastAsia="Times New Roman" w:hAnsi="Times New Roman" w:cs="Times New Roman"/>
                <w:noProof/>
                <w:sz w:val="24"/>
                <w:lang w:val="en-GB" w:bidi="ne-NP"/>
              </w:rPr>
              <w:t xml:space="preserve">in </w:t>
            </w:r>
            <w:r w:rsidR="00946A88" w:rsidRPr="00E50FA4">
              <w:rPr>
                <w:rFonts w:ascii="Times New Roman" w:eastAsia="Times New Roman" w:hAnsi="Times New Roman" w:cs="Times New Roman"/>
                <w:noProof/>
                <w:sz w:val="24"/>
                <w:lang w:val="en-GB" w:bidi="ne-NP"/>
              </w:rPr>
              <w:t xml:space="preserve">Part 1, </w:t>
            </w:r>
            <w:r w:rsidR="0025458E" w:rsidRPr="00E50FA4">
              <w:rPr>
                <w:rFonts w:ascii="Times New Roman" w:eastAsia="Times New Roman" w:hAnsi="Times New Roman" w:cs="Times New Roman"/>
                <w:noProof/>
                <w:sz w:val="24"/>
                <w:lang w:val="en-GB" w:bidi="ne-NP"/>
              </w:rPr>
              <w:t xml:space="preserve">point </w:t>
            </w:r>
            <w:r w:rsidR="00E77292" w:rsidRPr="00E50FA4">
              <w:rPr>
                <w:rFonts w:ascii="Times New Roman" w:eastAsia="Times New Roman" w:hAnsi="Times New Roman" w:cs="Times New Roman"/>
                <w:noProof/>
                <w:sz w:val="24"/>
                <w:lang w:val="en-GB" w:bidi="ne-NP"/>
              </w:rPr>
              <w:t>31</w:t>
            </w:r>
            <w:r w:rsidR="00946A88" w:rsidRPr="00E50FA4">
              <w:rPr>
                <w:rFonts w:ascii="Times New Roman" w:eastAsia="Times New Roman" w:hAnsi="Times New Roman" w:cs="Times New Roman"/>
                <w:noProof/>
                <w:sz w:val="24"/>
                <w:lang w:val="en-GB" w:bidi="ne-NP"/>
              </w:rPr>
              <w:t>,</w:t>
            </w:r>
            <w:r w:rsidR="00E77292" w:rsidRPr="00E50FA4">
              <w:rPr>
                <w:rFonts w:ascii="Times New Roman" w:eastAsia="Times New Roman" w:hAnsi="Times New Roman" w:cs="Times New Roman"/>
                <w:noProof/>
                <w:sz w:val="24"/>
                <w:lang w:val="en-GB" w:bidi="ne-NP"/>
              </w:rPr>
              <w:t xml:space="preserve"> of Annex V to</w:t>
            </w:r>
            <w:r w:rsidR="00560AE5" w:rsidRPr="00E50FA4">
              <w:rPr>
                <w:rFonts w:ascii="Times New Roman" w:eastAsia="Times New Roman" w:hAnsi="Times New Roman" w:cs="Times New Roman"/>
                <w:noProof/>
                <w:sz w:val="24"/>
                <w:lang w:val="en-GB" w:bidi="ne-NP"/>
              </w:rPr>
              <w:t xml:space="preserve"> </w:t>
            </w:r>
            <w:r w:rsidR="00E77292" w:rsidRPr="00E50FA4">
              <w:rPr>
                <w:rFonts w:ascii="Times New Roman" w:eastAsia="Times New Roman" w:hAnsi="Times New Roman" w:cs="Times New Roman"/>
                <w:noProof/>
                <w:sz w:val="24"/>
                <w:lang w:val="en-GB" w:bidi="ne-NP"/>
              </w:rPr>
              <w:t xml:space="preserve">Implementing Regulation (EU) </w:t>
            </w:r>
            <w:r w:rsidR="00C6176D" w:rsidRPr="00E50FA4">
              <w:rPr>
                <w:rFonts w:ascii="Times New Roman" w:eastAsia="Times New Roman" w:hAnsi="Times New Roman" w:cs="Times New Roman"/>
                <w:noProof/>
                <w:sz w:val="24"/>
                <w:lang w:val="en-GB"/>
              </w:rPr>
              <w:t>2021/451</w:t>
            </w:r>
            <w:r w:rsidR="00E77292" w:rsidRPr="00E50FA4">
              <w:rPr>
                <w:rFonts w:ascii="Times New Roman" w:eastAsia="Times New Roman" w:hAnsi="Times New Roman" w:cs="Times New Roman"/>
                <w:noProof/>
                <w:sz w:val="24"/>
                <w:lang w:val="en-GB"/>
              </w:rPr>
              <w:t>.</w:t>
            </w:r>
          </w:p>
        </w:tc>
      </w:tr>
      <w:tr w:rsidR="00E77292" w:rsidRPr="00E50FA4" w14:paraId="024697BB" w14:textId="77777777" w:rsidTr="00BA313D">
        <w:tc>
          <w:tcPr>
            <w:tcW w:w="1188" w:type="dxa"/>
            <w:tcBorders>
              <w:top w:val="single" w:sz="4" w:space="0" w:color="auto"/>
              <w:left w:val="single" w:sz="4" w:space="0" w:color="auto"/>
              <w:bottom w:val="single" w:sz="4" w:space="0" w:color="auto"/>
              <w:right w:val="single" w:sz="4" w:space="0" w:color="auto"/>
            </w:tcBorders>
          </w:tcPr>
          <w:p w14:paraId="41D30D6C" w14:textId="77777777" w:rsidR="00E77292" w:rsidRPr="00E50FA4" w:rsidRDefault="00006CB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6</w:t>
            </w:r>
            <w:r w:rsidR="00E77292" w:rsidRPr="00E50FA4">
              <w:rPr>
                <w:rFonts w:ascii="Times New Roman" w:eastAsia="Times New Roman" w:hAnsi="Times New Roman" w:cs="Times New Roman"/>
                <w:noProof/>
                <w:sz w:val="24"/>
                <w:lang w:val="en-GB"/>
              </w:rPr>
              <w:t>, 1</w:t>
            </w:r>
            <w:r w:rsidRPr="00E50FA4">
              <w:rPr>
                <w:rFonts w:ascii="Times New Roman" w:eastAsia="Times New Roman" w:hAnsi="Times New Roman" w:cs="Times New Roman"/>
                <w:noProof/>
                <w:sz w:val="24"/>
                <w:lang w:val="en-GB"/>
              </w:rPr>
              <w:t>1</w:t>
            </w:r>
            <w:r w:rsidR="00E77292" w:rsidRPr="00E50FA4">
              <w:rPr>
                <w:rFonts w:ascii="Times New Roman" w:eastAsia="Times New Roman" w:hAnsi="Times New Roman" w:cs="Times New Roman"/>
                <w:noProof/>
                <w:sz w:val="24"/>
                <w:lang w:val="en-GB"/>
              </w:rPr>
              <w:t>, 1</w:t>
            </w:r>
            <w:r w:rsidRPr="00E50FA4">
              <w:rPr>
                <w:rFonts w:ascii="Times New Roman" w:eastAsia="Times New Roman" w:hAnsi="Times New Roman" w:cs="Times New Roman"/>
                <w:noProof/>
                <w:sz w:val="24"/>
                <w:lang w:val="en-GB"/>
              </w:rPr>
              <w:t>5</w:t>
            </w:r>
            <w:r w:rsidR="00E77292" w:rsidRPr="00E50FA4">
              <w:rPr>
                <w:rFonts w:ascii="Times New Roman" w:eastAsia="Times New Roman" w:hAnsi="Times New Roman" w:cs="Times New Roman"/>
                <w:noProof/>
                <w:sz w:val="24"/>
                <w:lang w:val="en-GB"/>
              </w:rPr>
              <w:t>,</w:t>
            </w:r>
            <w:r w:rsidR="00E72225" w:rsidRPr="00E50FA4">
              <w:rPr>
                <w:rFonts w:ascii="Times New Roman" w:eastAsia="Times New Roman" w:hAnsi="Times New Roman" w:cs="Times New Roman"/>
                <w:noProof/>
                <w:sz w:val="24"/>
                <w:lang w:val="en-GB"/>
              </w:rPr>
              <w:t xml:space="preserve"> 19, </w:t>
            </w:r>
            <w:r w:rsidR="00E77292" w:rsidRPr="00E50FA4">
              <w:rPr>
                <w:rFonts w:ascii="Times New Roman" w:eastAsia="Times New Roman" w:hAnsi="Times New Roman" w:cs="Times New Roman"/>
                <w:noProof/>
                <w:sz w:val="24"/>
                <w:lang w:val="en-GB"/>
              </w:rPr>
              <w:t>2</w:t>
            </w:r>
            <w:r w:rsidRPr="00E50FA4">
              <w:rPr>
                <w:rFonts w:ascii="Times New Roman" w:eastAsia="Times New Roman" w:hAnsi="Times New Roman" w:cs="Times New Roman"/>
                <w:noProof/>
                <w:sz w:val="24"/>
                <w:lang w:val="en-GB"/>
              </w:rPr>
              <w:t>3</w:t>
            </w:r>
            <w:r w:rsidR="00E77292"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3</w:t>
            </w:r>
            <w:r w:rsidR="002A5633" w:rsidRPr="00E50FA4">
              <w:rPr>
                <w:rFonts w:ascii="Times New Roman" w:eastAsia="Times New Roman" w:hAnsi="Times New Roman" w:cs="Times New Roman"/>
                <w:noProof/>
                <w:sz w:val="24"/>
                <w:lang w:val="en-GB"/>
              </w:rPr>
              <w:t>8</w:t>
            </w:r>
            <w:r w:rsidR="00E77292"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4</w:t>
            </w:r>
            <w:r w:rsidR="002A5633" w:rsidRPr="00E50FA4">
              <w:rPr>
                <w:rFonts w:ascii="Times New Roman" w:eastAsia="Times New Roman" w:hAnsi="Times New Roman" w:cs="Times New Roman"/>
                <w:noProof/>
                <w:sz w:val="24"/>
                <w:lang w:val="en-GB"/>
              </w:rPr>
              <w:t>2</w:t>
            </w:r>
          </w:p>
        </w:tc>
        <w:tc>
          <w:tcPr>
            <w:tcW w:w="7879" w:type="dxa"/>
            <w:tcBorders>
              <w:top w:val="single" w:sz="4" w:space="0" w:color="auto"/>
              <w:left w:val="single" w:sz="4" w:space="0" w:color="auto"/>
              <w:bottom w:val="single" w:sz="4" w:space="0" w:color="auto"/>
              <w:right w:val="single" w:sz="4" w:space="0" w:color="auto"/>
            </w:tcBorders>
          </w:tcPr>
          <w:p w14:paraId="58B6BA94"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Equity instruments</w:t>
            </w:r>
          </w:p>
          <w:p w14:paraId="7520B181" w14:textId="72F0D5B9" w:rsidR="00E77292" w:rsidRPr="00E50FA4" w:rsidRDefault="00BA4944" w:rsidP="006632B5">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bidi="ne-NP"/>
              </w:rPr>
              <w:t xml:space="preserve">Institutions </w:t>
            </w:r>
            <w:r w:rsidR="00AA68A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equity </w:t>
            </w:r>
            <w:r w:rsidR="0004113D" w:rsidRPr="00E50FA4">
              <w:rPr>
                <w:rFonts w:ascii="Times New Roman" w:eastAsia="Times New Roman" w:hAnsi="Times New Roman" w:cs="Times New Roman"/>
                <w:noProof/>
                <w:sz w:val="24"/>
                <w:lang w:val="en-GB" w:bidi="ne-NP"/>
              </w:rPr>
              <w:t xml:space="preserve">instruments as </w:t>
            </w:r>
            <w:r w:rsidR="00DD5EA1" w:rsidRPr="00E50FA4">
              <w:rPr>
                <w:rFonts w:ascii="Times New Roman" w:eastAsia="Times New Roman" w:hAnsi="Times New Roman" w:cs="Times New Roman"/>
                <w:noProof/>
                <w:sz w:val="24"/>
                <w:lang w:val="en-GB" w:bidi="ne-NP"/>
              </w:rPr>
              <w:t>referred</w:t>
            </w:r>
            <w:r w:rsidR="00E82934" w:rsidRPr="00E50FA4">
              <w:rPr>
                <w:rFonts w:ascii="Times New Roman" w:eastAsia="Times New Roman" w:hAnsi="Times New Roman" w:cs="Times New Roman"/>
                <w:noProof/>
                <w:sz w:val="24"/>
                <w:lang w:val="en-GB" w:bidi="ne-NP"/>
              </w:rPr>
              <w:t xml:space="preserve"> to</w:t>
            </w:r>
            <w:r w:rsidR="00DD5EA1" w:rsidRPr="00E50FA4">
              <w:rPr>
                <w:rFonts w:ascii="Times New Roman" w:eastAsia="Times New Roman" w:hAnsi="Times New Roman" w:cs="Times New Roman"/>
                <w:noProof/>
                <w:sz w:val="24"/>
                <w:lang w:val="en-GB" w:bidi="ne-NP"/>
              </w:rPr>
              <w:t xml:space="preserve"> </w:t>
            </w:r>
            <w:r w:rsidR="0004113D" w:rsidRPr="00E50FA4">
              <w:rPr>
                <w:rFonts w:ascii="Times New Roman" w:eastAsia="Times New Roman" w:hAnsi="Times New Roman" w:cs="Times New Roman"/>
                <w:noProof/>
                <w:sz w:val="24"/>
                <w:lang w:val="en-GB" w:bidi="ne-NP"/>
              </w:rPr>
              <w:t xml:space="preserve">in </w:t>
            </w:r>
            <w:r w:rsidR="00E77292" w:rsidRPr="00E50FA4">
              <w:rPr>
                <w:rFonts w:ascii="Times New Roman" w:eastAsia="Times New Roman" w:hAnsi="Times New Roman" w:cs="Times New Roman"/>
                <w:noProof/>
                <w:sz w:val="24"/>
                <w:lang w:val="en-GB" w:bidi="ne-NP"/>
              </w:rPr>
              <w:t xml:space="preserve">Annex V to Implementing Regulation (EU) </w:t>
            </w:r>
            <w:r w:rsidR="00C6176D" w:rsidRPr="00E50FA4">
              <w:rPr>
                <w:rFonts w:ascii="Times New Roman" w:eastAsia="Times New Roman" w:hAnsi="Times New Roman" w:cs="Times New Roman"/>
                <w:noProof/>
                <w:sz w:val="24"/>
                <w:lang w:val="en-GB"/>
              </w:rPr>
              <w:t>2021/451</w:t>
            </w:r>
            <w:r w:rsidR="00E03C13" w:rsidRPr="00E50FA4">
              <w:rPr>
                <w:rFonts w:ascii="Times New Roman" w:eastAsia="Times New Roman" w:hAnsi="Times New Roman" w:cs="Times New Roman"/>
                <w:noProof/>
                <w:sz w:val="24"/>
                <w:lang w:val="en-GB"/>
              </w:rPr>
              <w:t>. Equity instruments</w:t>
            </w:r>
            <w:r w:rsidR="006632B5" w:rsidRPr="00E50FA4">
              <w:rPr>
                <w:rFonts w:ascii="Times New Roman" w:eastAsia="Times New Roman" w:hAnsi="Times New Roman" w:cs="Times New Roman"/>
                <w:noProof/>
                <w:sz w:val="24"/>
                <w:lang w:val="en-GB"/>
              </w:rPr>
              <w:t xml:space="preserve"> in the banking book include</w:t>
            </w:r>
            <w:r w:rsidR="00E03C13" w:rsidRPr="00E50FA4">
              <w:rPr>
                <w:rFonts w:ascii="Times New Roman" w:eastAsia="Times New Roman" w:hAnsi="Times New Roman" w:cs="Times New Roman"/>
                <w:noProof/>
                <w:sz w:val="24"/>
                <w:lang w:val="en-GB"/>
              </w:rPr>
              <w:t xml:space="preserve"> investments in associates, joint ventures and subsidiaries which are not fully or proportionally consolidated.</w:t>
            </w:r>
          </w:p>
        </w:tc>
      </w:tr>
      <w:tr w:rsidR="00E77292" w:rsidRPr="00E50FA4" w14:paraId="3DDE2528" w14:textId="77777777" w:rsidTr="00BA313D">
        <w:tc>
          <w:tcPr>
            <w:tcW w:w="1188" w:type="dxa"/>
            <w:tcBorders>
              <w:top w:val="single" w:sz="4" w:space="0" w:color="auto"/>
              <w:left w:val="single" w:sz="4" w:space="0" w:color="auto"/>
              <w:bottom w:val="single" w:sz="4" w:space="0" w:color="auto"/>
              <w:right w:val="single" w:sz="4" w:space="0" w:color="auto"/>
            </w:tcBorders>
          </w:tcPr>
          <w:p w14:paraId="693789C4" w14:textId="77777777" w:rsidR="00E77292" w:rsidRPr="00E50FA4" w:rsidRDefault="00006CB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7</w:t>
            </w:r>
          </w:p>
        </w:tc>
        <w:tc>
          <w:tcPr>
            <w:tcW w:w="7879" w:type="dxa"/>
            <w:tcBorders>
              <w:top w:val="single" w:sz="4" w:space="0" w:color="auto"/>
              <w:left w:val="single" w:sz="4" w:space="0" w:color="auto"/>
              <w:bottom w:val="single" w:sz="4" w:space="0" w:color="auto"/>
              <w:right w:val="single" w:sz="4" w:space="0" w:color="auto"/>
            </w:tcBorders>
          </w:tcPr>
          <w:p w14:paraId="12AD2430"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Other financial corporations</w:t>
            </w:r>
          </w:p>
          <w:p w14:paraId="1751F2D9" w14:textId="6C24CDDA" w:rsidR="00E77292" w:rsidRPr="00E50FA4" w:rsidRDefault="00BA4944" w:rsidP="0025458E">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bidi="ne-NP"/>
              </w:rPr>
              <w:t xml:space="preserve">Institutions </w:t>
            </w:r>
            <w:r w:rsidR="00AA68A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exposures </w:t>
            </w:r>
            <w:r w:rsidR="008C364B" w:rsidRPr="00E50FA4">
              <w:rPr>
                <w:rFonts w:ascii="Times New Roman" w:eastAsia="Times New Roman" w:hAnsi="Times New Roman" w:cs="Times New Roman"/>
                <w:noProof/>
                <w:sz w:val="24"/>
                <w:lang w:val="en-GB" w:bidi="ne-NP"/>
              </w:rPr>
              <w:t xml:space="preserve">to other financial corporations as </w:t>
            </w:r>
            <w:r w:rsidR="00E82934" w:rsidRPr="00E50FA4">
              <w:rPr>
                <w:rFonts w:ascii="Times New Roman" w:eastAsia="Times New Roman" w:hAnsi="Times New Roman" w:cs="Times New Roman"/>
                <w:noProof/>
                <w:sz w:val="24"/>
                <w:lang w:val="en-GB" w:bidi="ne-NP"/>
              </w:rPr>
              <w:t xml:space="preserve">referred to </w:t>
            </w:r>
            <w:r w:rsidR="008C364B" w:rsidRPr="00E50FA4">
              <w:rPr>
                <w:rFonts w:ascii="Times New Roman" w:eastAsia="Times New Roman" w:hAnsi="Times New Roman" w:cs="Times New Roman"/>
                <w:noProof/>
                <w:sz w:val="24"/>
                <w:lang w:val="en-GB" w:bidi="ne-NP"/>
              </w:rPr>
              <w:t xml:space="preserve">in </w:t>
            </w:r>
            <w:r w:rsidR="00946A88" w:rsidRPr="00E50FA4">
              <w:rPr>
                <w:rFonts w:ascii="Times New Roman" w:eastAsia="Times New Roman" w:hAnsi="Times New Roman" w:cs="Times New Roman"/>
                <w:noProof/>
                <w:sz w:val="24"/>
                <w:lang w:val="en-GB" w:bidi="ne-NP"/>
              </w:rPr>
              <w:t xml:space="preserve">Part 1, </w:t>
            </w:r>
            <w:r w:rsidR="0025458E" w:rsidRPr="00E50FA4">
              <w:rPr>
                <w:rFonts w:ascii="Times New Roman" w:eastAsia="Times New Roman" w:hAnsi="Times New Roman" w:cs="Times New Roman"/>
                <w:noProof/>
                <w:sz w:val="24"/>
                <w:lang w:val="en-GB" w:bidi="ne-NP"/>
              </w:rPr>
              <w:t xml:space="preserve">point </w:t>
            </w:r>
            <w:r w:rsidR="00946A88" w:rsidRPr="00E50FA4">
              <w:rPr>
                <w:rFonts w:ascii="Times New Roman" w:eastAsia="Times New Roman" w:hAnsi="Times New Roman" w:cs="Times New Roman"/>
                <w:noProof/>
                <w:sz w:val="24"/>
                <w:lang w:val="en-GB" w:bidi="ne-NP"/>
              </w:rPr>
              <w:t xml:space="preserve">42, </w:t>
            </w:r>
            <w:r w:rsidR="0025458E" w:rsidRPr="00E50FA4">
              <w:rPr>
                <w:rFonts w:ascii="Times New Roman" w:eastAsia="Times New Roman" w:hAnsi="Times New Roman" w:cs="Times New Roman"/>
                <w:noProof/>
                <w:sz w:val="24"/>
                <w:lang w:val="en-GB" w:bidi="ne-NP"/>
              </w:rPr>
              <w:t>letter</w:t>
            </w:r>
            <w:r w:rsidR="00E77292" w:rsidRPr="00E50FA4">
              <w:rPr>
                <w:rFonts w:ascii="Times New Roman" w:eastAsia="Times New Roman" w:hAnsi="Times New Roman" w:cs="Times New Roman"/>
                <w:noProof/>
                <w:sz w:val="24"/>
                <w:lang w:val="en-GB" w:bidi="ne-NP"/>
              </w:rPr>
              <w:t xml:space="preserve"> (d)</w:t>
            </w:r>
            <w:r w:rsidR="00946A88" w:rsidRPr="00E50FA4">
              <w:rPr>
                <w:rFonts w:ascii="Times New Roman" w:eastAsia="Times New Roman" w:hAnsi="Times New Roman" w:cs="Times New Roman"/>
                <w:noProof/>
                <w:sz w:val="24"/>
                <w:lang w:val="en-GB" w:bidi="ne-NP"/>
              </w:rPr>
              <w:t>,</w:t>
            </w:r>
            <w:r w:rsidR="00E77292" w:rsidRPr="00E50FA4">
              <w:rPr>
                <w:rFonts w:ascii="Times New Roman" w:eastAsia="Times New Roman" w:hAnsi="Times New Roman" w:cs="Times New Roman"/>
                <w:noProof/>
                <w:sz w:val="24"/>
                <w:lang w:val="en-GB" w:bidi="ne-NP"/>
              </w:rPr>
              <w:t xml:space="preserve"> of Annex V to Implementing Regulation (EU) </w:t>
            </w:r>
            <w:r w:rsidR="00C6176D" w:rsidRPr="00E50FA4">
              <w:rPr>
                <w:rFonts w:ascii="Times New Roman" w:eastAsia="Times New Roman" w:hAnsi="Times New Roman" w:cs="Times New Roman"/>
                <w:noProof/>
                <w:sz w:val="24"/>
                <w:lang w:val="en-GB"/>
              </w:rPr>
              <w:t>2021/451</w:t>
            </w:r>
            <w:r w:rsidR="00E77292" w:rsidRPr="00E50FA4">
              <w:rPr>
                <w:rFonts w:ascii="Times New Roman" w:eastAsia="Times New Roman" w:hAnsi="Times New Roman" w:cs="Times New Roman"/>
                <w:noProof/>
                <w:sz w:val="24"/>
                <w:lang w:val="en-GB"/>
              </w:rPr>
              <w:t>.</w:t>
            </w:r>
          </w:p>
        </w:tc>
      </w:tr>
      <w:tr w:rsidR="00E77292" w:rsidRPr="00E50FA4" w14:paraId="57BC125D" w14:textId="77777777" w:rsidTr="00BA313D">
        <w:tc>
          <w:tcPr>
            <w:tcW w:w="1188" w:type="dxa"/>
            <w:tcBorders>
              <w:top w:val="single" w:sz="4" w:space="0" w:color="auto"/>
              <w:left w:val="single" w:sz="4" w:space="0" w:color="auto"/>
              <w:bottom w:val="single" w:sz="4" w:space="0" w:color="auto"/>
              <w:right w:val="single" w:sz="4" w:space="0" w:color="auto"/>
            </w:tcBorders>
          </w:tcPr>
          <w:p w14:paraId="0E443D76" w14:textId="77777777" w:rsidR="00E77292" w:rsidRPr="00E50FA4" w:rsidRDefault="00006CB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8</w:t>
            </w:r>
          </w:p>
        </w:tc>
        <w:tc>
          <w:tcPr>
            <w:tcW w:w="7879" w:type="dxa"/>
            <w:tcBorders>
              <w:top w:val="single" w:sz="4" w:space="0" w:color="auto"/>
              <w:left w:val="single" w:sz="4" w:space="0" w:color="auto"/>
              <w:bottom w:val="single" w:sz="4" w:space="0" w:color="auto"/>
              <w:right w:val="single" w:sz="4" w:space="0" w:color="auto"/>
            </w:tcBorders>
          </w:tcPr>
          <w:p w14:paraId="6AF687BE"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investment firms</w:t>
            </w:r>
          </w:p>
          <w:p w14:paraId="0EC286DA" w14:textId="4A9C4A33" w:rsidR="00E77292" w:rsidRPr="00E50FA4" w:rsidRDefault="00BA4944" w:rsidP="00AA68AB">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 xml:space="preserve">Institutions </w:t>
            </w:r>
            <w:r w:rsidR="00AA68A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exposures </w:t>
            </w:r>
            <w:r w:rsidR="008C364B" w:rsidRPr="00E50FA4">
              <w:rPr>
                <w:rFonts w:ascii="Times New Roman" w:eastAsia="Times New Roman" w:hAnsi="Times New Roman" w:cs="Times New Roman"/>
                <w:noProof/>
                <w:sz w:val="24"/>
                <w:lang w:val="en-GB" w:bidi="ne-NP"/>
              </w:rPr>
              <w:t xml:space="preserve">to investment firms as defined in </w:t>
            </w:r>
            <w:r w:rsidR="00E77292" w:rsidRPr="00E50FA4">
              <w:rPr>
                <w:rFonts w:ascii="Times New Roman" w:eastAsia="Times New Roman" w:hAnsi="Times New Roman" w:cs="Times New Roman"/>
                <w:noProof/>
                <w:sz w:val="24"/>
                <w:lang w:val="en-GB" w:bidi="ne-NP"/>
              </w:rPr>
              <w:t>Article 4</w:t>
            </w:r>
            <w:r w:rsidR="002E0121" w:rsidRPr="00E50FA4">
              <w:rPr>
                <w:rFonts w:ascii="Times New Roman" w:eastAsia="Times New Roman" w:hAnsi="Times New Roman" w:cs="Times New Roman"/>
                <w:noProof/>
                <w:sz w:val="24"/>
                <w:lang w:val="en-GB" w:bidi="ne-NP"/>
              </w:rPr>
              <w:t xml:space="preserve">, </w:t>
            </w:r>
            <w:r w:rsidR="0025458E" w:rsidRPr="00E50FA4">
              <w:rPr>
                <w:rFonts w:ascii="Times New Roman" w:eastAsia="Times New Roman" w:hAnsi="Times New Roman" w:cs="Times New Roman"/>
                <w:noProof/>
                <w:sz w:val="24"/>
                <w:lang w:val="en-GB" w:bidi="ne-NP"/>
              </w:rPr>
              <w:t xml:space="preserve">paragraph (1), </w:t>
            </w:r>
            <w:r w:rsidR="002E0121" w:rsidRPr="00E50FA4">
              <w:rPr>
                <w:rFonts w:ascii="Times New Roman" w:eastAsia="Times New Roman" w:hAnsi="Times New Roman" w:cs="Times New Roman"/>
                <w:noProof/>
                <w:sz w:val="24"/>
                <w:lang w:val="en-GB" w:bidi="ne-NP"/>
              </w:rPr>
              <w:t xml:space="preserve">point </w:t>
            </w:r>
            <w:r w:rsidR="00E77292" w:rsidRPr="00E50FA4">
              <w:rPr>
                <w:rFonts w:ascii="Times New Roman" w:eastAsia="Times New Roman" w:hAnsi="Times New Roman" w:cs="Times New Roman"/>
                <w:noProof/>
                <w:sz w:val="24"/>
                <w:lang w:val="en-GB" w:bidi="ne-NP"/>
              </w:rPr>
              <w:t>(2)</w:t>
            </w:r>
            <w:r w:rsidR="002E0121" w:rsidRPr="00E50FA4">
              <w:rPr>
                <w:rFonts w:ascii="Times New Roman" w:eastAsia="Times New Roman" w:hAnsi="Times New Roman" w:cs="Times New Roman"/>
                <w:noProof/>
                <w:sz w:val="24"/>
                <w:lang w:val="en-GB" w:bidi="ne-NP"/>
              </w:rPr>
              <w:t>,</w:t>
            </w:r>
            <w:r w:rsidR="00E77292" w:rsidRPr="00E50FA4">
              <w:rPr>
                <w:rFonts w:ascii="Times New Roman" w:eastAsia="Times New Roman" w:hAnsi="Times New Roman" w:cs="Times New Roman"/>
                <w:noProof/>
                <w:sz w:val="24"/>
                <w:lang w:val="en-GB" w:bidi="ne-NP"/>
              </w:rPr>
              <w:t xml:space="preserve"> of </w:t>
            </w:r>
            <w:r w:rsidR="007F40F6" w:rsidRPr="00E50FA4">
              <w:rPr>
                <w:rFonts w:ascii="Times New Roman" w:eastAsia="Times New Roman" w:hAnsi="Times New Roman" w:cs="Times New Roman"/>
                <w:noProof/>
                <w:sz w:val="24"/>
                <w:lang w:val="en-GB" w:bidi="ne-NP"/>
              </w:rPr>
              <w:t>Regulation (EU) No 575/2013</w:t>
            </w:r>
            <w:r w:rsidR="00E77292" w:rsidRPr="00E50FA4">
              <w:rPr>
                <w:rFonts w:ascii="Times New Roman" w:eastAsia="Times New Roman" w:hAnsi="Times New Roman" w:cs="Times New Roman"/>
                <w:noProof/>
                <w:sz w:val="24"/>
                <w:lang w:val="en-GB" w:bidi="ne-NP"/>
              </w:rPr>
              <w:t>.</w:t>
            </w:r>
          </w:p>
        </w:tc>
      </w:tr>
      <w:tr w:rsidR="00E77292" w:rsidRPr="00E50FA4" w14:paraId="6D33CB29" w14:textId="77777777" w:rsidTr="00BA313D">
        <w:tc>
          <w:tcPr>
            <w:tcW w:w="1188" w:type="dxa"/>
            <w:tcBorders>
              <w:top w:val="single" w:sz="4" w:space="0" w:color="auto"/>
              <w:left w:val="single" w:sz="4" w:space="0" w:color="auto"/>
              <w:bottom w:val="single" w:sz="4" w:space="0" w:color="auto"/>
              <w:right w:val="single" w:sz="4" w:space="0" w:color="auto"/>
            </w:tcBorders>
          </w:tcPr>
          <w:p w14:paraId="65196A53"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1</w:t>
            </w:r>
            <w:r w:rsidR="00006CBB" w:rsidRPr="00E50FA4">
              <w:rPr>
                <w:rFonts w:ascii="Times New Roman" w:eastAsia="Times New Roman" w:hAnsi="Times New Roman" w:cs="Times New Roman"/>
                <w:noProof/>
                <w:sz w:val="24"/>
                <w:lang w:val="en-GB"/>
              </w:rPr>
              <w:t>2</w:t>
            </w:r>
          </w:p>
        </w:tc>
        <w:tc>
          <w:tcPr>
            <w:tcW w:w="7879" w:type="dxa"/>
            <w:tcBorders>
              <w:top w:val="single" w:sz="4" w:space="0" w:color="auto"/>
              <w:left w:val="single" w:sz="4" w:space="0" w:color="auto"/>
              <w:bottom w:val="single" w:sz="4" w:space="0" w:color="auto"/>
              <w:right w:val="single" w:sz="4" w:space="0" w:color="auto"/>
            </w:tcBorders>
          </w:tcPr>
          <w:p w14:paraId="1B10EB9D"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manage</w:t>
            </w:r>
            <w:r w:rsidR="001B102C" w:rsidRPr="00E50FA4">
              <w:rPr>
                <w:rFonts w:ascii="Times New Roman" w:eastAsia="Times New Roman" w:hAnsi="Times New Roman" w:cs="Times New Roman"/>
                <w:b/>
                <w:noProof/>
                <w:sz w:val="24"/>
                <w:u w:val="single"/>
                <w:lang w:val="en-GB"/>
              </w:rPr>
              <w:t>ment companies</w:t>
            </w:r>
          </w:p>
          <w:p w14:paraId="732BAA5E" w14:textId="3DADCAF7" w:rsidR="00E77292" w:rsidRPr="00B76863" w:rsidRDefault="00BA4944" w:rsidP="00E03C13">
            <w:pPr>
              <w:spacing w:before="120" w:after="120"/>
              <w:jc w:val="both"/>
              <w:rPr>
                <w:rFonts w:ascii="Times New Roman" w:hAnsi="Times New Roman"/>
                <w:noProof/>
                <w:sz w:val="24"/>
              </w:rPr>
            </w:pPr>
            <w:r w:rsidRPr="00E50FA4">
              <w:rPr>
                <w:rFonts w:ascii="Times New Roman" w:eastAsia="Times New Roman" w:hAnsi="Times New Roman" w:cs="Times New Roman"/>
                <w:noProof/>
                <w:sz w:val="24"/>
                <w:lang w:val="en-GB" w:bidi="ne-NP"/>
              </w:rPr>
              <w:t xml:space="preserve">Institutions </w:t>
            </w:r>
            <w:r w:rsidR="00AA68A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w:t>
            </w:r>
            <w:r w:rsidRPr="00E50FA4">
              <w:rPr>
                <w:rFonts w:ascii="Times New Roman" w:eastAsia="Times New Roman" w:hAnsi="Times New Roman" w:cs="Times New Roman"/>
                <w:noProof/>
                <w:sz w:val="24"/>
                <w:lang w:val="en-GB"/>
              </w:rPr>
              <w:t xml:space="preserve">exposures </w:t>
            </w:r>
            <w:r w:rsidR="001B102C" w:rsidRPr="00E50FA4">
              <w:rPr>
                <w:rFonts w:ascii="Times New Roman" w:eastAsia="Times New Roman" w:hAnsi="Times New Roman" w:cs="Times New Roman"/>
                <w:noProof/>
                <w:sz w:val="24"/>
                <w:lang w:val="en-GB"/>
              </w:rPr>
              <w:t xml:space="preserve">to management companies as defined in </w:t>
            </w:r>
            <w:r w:rsidR="00E03C13" w:rsidRPr="00E50FA4">
              <w:rPr>
                <w:rFonts w:ascii="Times New Roman" w:eastAsia="Times New Roman" w:hAnsi="Times New Roman" w:cs="Times New Roman"/>
                <w:noProof/>
                <w:sz w:val="24"/>
                <w:lang w:val="en-GB"/>
              </w:rPr>
              <w:t>Article 4</w:t>
            </w:r>
            <w:r w:rsidR="00ED04E7">
              <w:rPr>
                <w:rFonts w:ascii="Times New Roman" w:eastAsia="Times New Roman" w:hAnsi="Times New Roman" w:cs="Times New Roman"/>
                <w:noProof/>
                <w:sz w:val="24"/>
                <w:lang w:val="en-GB"/>
              </w:rPr>
              <w:t>(1)</w:t>
            </w:r>
            <w:r w:rsidR="00E03C13" w:rsidRPr="00E50FA4">
              <w:rPr>
                <w:rFonts w:ascii="Times New Roman" w:eastAsia="Times New Roman" w:hAnsi="Times New Roman" w:cs="Times New Roman"/>
                <w:noProof/>
                <w:sz w:val="24"/>
                <w:lang w:val="en-GB"/>
              </w:rPr>
              <w:t xml:space="preserve">, point (19), </w:t>
            </w:r>
            <w:r w:rsidR="00E03C13" w:rsidRPr="00E50FA4">
              <w:rPr>
                <w:rFonts w:ascii="Times New Roman" w:eastAsia="Times New Roman" w:hAnsi="Times New Roman" w:cs="Times New Roman"/>
                <w:noProof/>
                <w:sz w:val="24"/>
                <w:lang w:val="en-GB" w:bidi="ne-NP"/>
              </w:rPr>
              <w:t>of Regulation (EU) No 575/2013.</w:t>
            </w:r>
          </w:p>
        </w:tc>
      </w:tr>
      <w:tr w:rsidR="00E77292" w:rsidRPr="00E50FA4" w14:paraId="2EF5AF32" w14:textId="77777777" w:rsidTr="00BA313D">
        <w:tc>
          <w:tcPr>
            <w:tcW w:w="1188" w:type="dxa"/>
            <w:tcBorders>
              <w:top w:val="single" w:sz="4" w:space="0" w:color="auto"/>
              <w:left w:val="single" w:sz="4" w:space="0" w:color="auto"/>
              <w:bottom w:val="single" w:sz="4" w:space="0" w:color="auto"/>
              <w:right w:val="single" w:sz="4" w:space="0" w:color="auto"/>
            </w:tcBorders>
          </w:tcPr>
          <w:p w14:paraId="7705DD33"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1</w:t>
            </w:r>
            <w:r w:rsidR="00006CBB" w:rsidRPr="00E50FA4">
              <w:rPr>
                <w:rFonts w:ascii="Times New Roman" w:eastAsia="Times New Roman" w:hAnsi="Times New Roman" w:cs="Times New Roman"/>
                <w:noProof/>
                <w:sz w:val="24"/>
                <w:lang w:val="en-GB"/>
              </w:rPr>
              <w:t>6</w:t>
            </w:r>
          </w:p>
        </w:tc>
        <w:tc>
          <w:tcPr>
            <w:tcW w:w="7879" w:type="dxa"/>
            <w:tcBorders>
              <w:top w:val="single" w:sz="4" w:space="0" w:color="auto"/>
              <w:left w:val="single" w:sz="4" w:space="0" w:color="auto"/>
              <w:bottom w:val="single" w:sz="4" w:space="0" w:color="auto"/>
              <w:right w:val="single" w:sz="4" w:space="0" w:color="auto"/>
            </w:tcBorders>
          </w:tcPr>
          <w:p w14:paraId="3703F0BA"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insurance </w:t>
            </w:r>
            <w:r w:rsidR="008F0332" w:rsidRPr="00E50FA4">
              <w:rPr>
                <w:rFonts w:ascii="Times New Roman" w:eastAsia="Times New Roman" w:hAnsi="Times New Roman" w:cs="Times New Roman"/>
                <w:b/>
                <w:noProof/>
                <w:sz w:val="24"/>
                <w:u w:val="single"/>
                <w:lang w:val="en-GB"/>
              </w:rPr>
              <w:t>undertakings</w:t>
            </w:r>
          </w:p>
          <w:p w14:paraId="2D36EB82" w14:textId="742B981A" w:rsidR="00E77292" w:rsidRPr="00E50FA4" w:rsidRDefault="00BA4944" w:rsidP="00AA68AB">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 xml:space="preserve">Institutions </w:t>
            </w:r>
            <w:r w:rsidR="00AA68AB" w:rsidRPr="00E50FA4">
              <w:rPr>
                <w:rFonts w:ascii="Times New Roman" w:eastAsia="Times New Roman" w:hAnsi="Times New Roman" w:cs="Times New Roman"/>
                <w:noProof/>
                <w:sz w:val="24"/>
                <w:lang w:val="en-GB" w:bidi="ne-NP"/>
              </w:rPr>
              <w:t xml:space="preserve">shall </w:t>
            </w:r>
            <w:r w:rsidRPr="00E50FA4">
              <w:rPr>
                <w:rFonts w:ascii="Times New Roman" w:eastAsia="Times New Roman" w:hAnsi="Times New Roman" w:cs="Times New Roman"/>
                <w:noProof/>
                <w:sz w:val="24"/>
                <w:lang w:val="en-GB" w:bidi="ne-NP"/>
              </w:rPr>
              <w:t xml:space="preserve">disclose the </w:t>
            </w:r>
            <w:r w:rsidRPr="00E50FA4">
              <w:rPr>
                <w:rFonts w:ascii="Times New Roman" w:eastAsia="Times New Roman" w:hAnsi="Times New Roman" w:cs="Times New Roman"/>
                <w:noProof/>
                <w:sz w:val="24"/>
                <w:lang w:val="en-GB"/>
              </w:rPr>
              <w:t xml:space="preserve">exposures </w:t>
            </w:r>
            <w:r w:rsidR="008F0332" w:rsidRPr="00E50FA4">
              <w:rPr>
                <w:rFonts w:ascii="Times New Roman" w:eastAsia="Times New Roman" w:hAnsi="Times New Roman" w:cs="Times New Roman"/>
                <w:noProof/>
                <w:sz w:val="24"/>
                <w:lang w:val="en-GB"/>
              </w:rPr>
              <w:t>to insurance undertakings as defined in Article 4</w:t>
            </w:r>
            <w:r w:rsidR="002E0121" w:rsidRPr="00E50FA4">
              <w:rPr>
                <w:rFonts w:ascii="Times New Roman" w:eastAsia="Times New Roman" w:hAnsi="Times New Roman" w:cs="Times New Roman"/>
                <w:noProof/>
                <w:sz w:val="24"/>
                <w:lang w:val="en-GB"/>
              </w:rPr>
              <w:t xml:space="preserve">, </w:t>
            </w:r>
            <w:r w:rsidR="0025458E" w:rsidRPr="00E50FA4">
              <w:rPr>
                <w:rFonts w:ascii="Times New Roman" w:eastAsia="Times New Roman" w:hAnsi="Times New Roman" w:cs="Times New Roman"/>
                <w:noProof/>
                <w:sz w:val="24"/>
                <w:lang w:val="en-GB"/>
              </w:rPr>
              <w:t xml:space="preserve">paragraph (1), </w:t>
            </w:r>
            <w:r w:rsidR="002E0121" w:rsidRPr="00E50FA4">
              <w:rPr>
                <w:rFonts w:ascii="Times New Roman" w:eastAsia="Times New Roman" w:hAnsi="Times New Roman" w:cs="Times New Roman"/>
                <w:noProof/>
                <w:sz w:val="24"/>
                <w:lang w:val="en-GB"/>
              </w:rPr>
              <w:t xml:space="preserve">point </w:t>
            </w:r>
            <w:r w:rsidR="008F0332" w:rsidRPr="00E50FA4">
              <w:rPr>
                <w:rFonts w:ascii="Times New Roman" w:eastAsia="Times New Roman" w:hAnsi="Times New Roman" w:cs="Times New Roman"/>
                <w:noProof/>
                <w:sz w:val="24"/>
                <w:lang w:val="en-GB"/>
              </w:rPr>
              <w:t>(5)</w:t>
            </w:r>
            <w:r w:rsidR="002E0121" w:rsidRPr="00E50FA4">
              <w:rPr>
                <w:rFonts w:ascii="Times New Roman" w:eastAsia="Times New Roman" w:hAnsi="Times New Roman" w:cs="Times New Roman"/>
                <w:noProof/>
                <w:sz w:val="24"/>
                <w:lang w:val="en-GB"/>
              </w:rPr>
              <w:t>,</w:t>
            </w:r>
            <w:r w:rsidR="008F0332" w:rsidRPr="00E50FA4">
              <w:rPr>
                <w:rFonts w:ascii="Times New Roman" w:eastAsia="Times New Roman" w:hAnsi="Times New Roman" w:cs="Times New Roman"/>
                <w:noProof/>
                <w:sz w:val="24"/>
                <w:lang w:val="en-GB"/>
              </w:rPr>
              <w:t xml:space="preserve"> of </w:t>
            </w:r>
            <w:r w:rsidR="007F40F6" w:rsidRPr="00E50FA4">
              <w:rPr>
                <w:rFonts w:ascii="Times New Roman" w:eastAsia="Times New Roman" w:hAnsi="Times New Roman" w:cs="Times New Roman"/>
                <w:noProof/>
                <w:sz w:val="24"/>
                <w:lang w:val="en-GB"/>
              </w:rPr>
              <w:t>Regulation (EU) No 575/2013</w:t>
            </w:r>
          </w:p>
        </w:tc>
      </w:tr>
      <w:tr w:rsidR="00E77292" w:rsidRPr="00E50FA4" w14:paraId="46287898" w14:textId="77777777" w:rsidTr="00BA313D">
        <w:trPr>
          <w:trHeight w:val="1060"/>
        </w:trPr>
        <w:tc>
          <w:tcPr>
            <w:tcW w:w="1188" w:type="dxa"/>
            <w:tcBorders>
              <w:top w:val="single" w:sz="4" w:space="0" w:color="auto"/>
              <w:left w:val="single" w:sz="4" w:space="0" w:color="auto"/>
              <w:bottom w:val="single" w:sz="4" w:space="0" w:color="auto"/>
              <w:right w:val="single" w:sz="4" w:space="0" w:color="auto"/>
            </w:tcBorders>
          </w:tcPr>
          <w:p w14:paraId="224EEA42"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2</w:t>
            </w:r>
            <w:r w:rsidR="00006CBB" w:rsidRPr="00E50FA4">
              <w:rPr>
                <w:rFonts w:ascii="Times New Roman" w:eastAsia="Times New Roman" w:hAnsi="Times New Roman" w:cs="Times New Roman"/>
                <w:noProof/>
                <w:sz w:val="24"/>
                <w:lang w:val="en-GB"/>
              </w:rPr>
              <w:t>0</w:t>
            </w:r>
          </w:p>
        </w:tc>
        <w:tc>
          <w:tcPr>
            <w:tcW w:w="7879" w:type="dxa"/>
            <w:tcBorders>
              <w:top w:val="single" w:sz="4" w:space="0" w:color="auto"/>
              <w:left w:val="single" w:sz="4" w:space="0" w:color="auto"/>
              <w:bottom w:val="single" w:sz="4" w:space="0" w:color="auto"/>
              <w:right w:val="single" w:sz="4" w:space="0" w:color="auto"/>
            </w:tcBorders>
          </w:tcPr>
          <w:p w14:paraId="487D9854"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Non-financial corporations subject to NFRD disclosure obligations </w:t>
            </w:r>
          </w:p>
          <w:p w14:paraId="1549AAC1" w14:textId="17946909" w:rsidR="00E77292" w:rsidRPr="00E50FA4" w:rsidRDefault="00BA4944" w:rsidP="0025458E">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bidi="ne-NP"/>
              </w:rPr>
              <w:t xml:space="preserve">Institutions </w:t>
            </w:r>
            <w:r w:rsidR="00AA68A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exposures </w:t>
            </w:r>
            <w:r w:rsidR="00DF634E" w:rsidRPr="00E50FA4">
              <w:rPr>
                <w:rFonts w:ascii="Times New Roman" w:eastAsia="Times New Roman" w:hAnsi="Times New Roman" w:cs="Times New Roman"/>
                <w:noProof/>
                <w:sz w:val="24"/>
                <w:lang w:val="en-GB" w:bidi="ne-NP"/>
              </w:rPr>
              <w:t xml:space="preserve">to non-financial corporation as </w:t>
            </w:r>
            <w:r w:rsidR="001D4928" w:rsidRPr="00E50FA4">
              <w:rPr>
                <w:rFonts w:ascii="Times New Roman" w:eastAsia="Times New Roman" w:hAnsi="Times New Roman" w:cs="Times New Roman"/>
                <w:noProof/>
                <w:sz w:val="24"/>
                <w:lang w:val="en-GB" w:bidi="ne-NP"/>
              </w:rPr>
              <w:t>referred to in</w:t>
            </w:r>
            <w:r w:rsidR="00DD5EA1" w:rsidRPr="00E50FA4">
              <w:rPr>
                <w:rFonts w:ascii="Times New Roman" w:eastAsia="Times New Roman" w:hAnsi="Times New Roman" w:cs="Times New Roman"/>
                <w:noProof/>
                <w:sz w:val="24"/>
                <w:lang w:val="en-GB" w:bidi="ne-NP"/>
              </w:rPr>
              <w:t xml:space="preserve"> </w:t>
            </w:r>
            <w:r w:rsidR="002E0121" w:rsidRPr="00E50FA4">
              <w:rPr>
                <w:rFonts w:ascii="Times New Roman" w:eastAsia="Times New Roman" w:hAnsi="Times New Roman" w:cs="Times New Roman"/>
                <w:noProof/>
                <w:sz w:val="24"/>
                <w:lang w:val="en-GB" w:bidi="ne-NP"/>
              </w:rPr>
              <w:t xml:space="preserve">Part 1, </w:t>
            </w:r>
            <w:r w:rsidR="0025458E" w:rsidRPr="00E50FA4">
              <w:rPr>
                <w:rFonts w:ascii="Times New Roman" w:eastAsia="Times New Roman" w:hAnsi="Times New Roman" w:cs="Times New Roman"/>
                <w:noProof/>
                <w:sz w:val="24"/>
                <w:lang w:val="en-GB" w:bidi="ne-NP"/>
              </w:rPr>
              <w:t xml:space="preserve">point </w:t>
            </w:r>
            <w:r w:rsidR="002E0121" w:rsidRPr="00E50FA4">
              <w:rPr>
                <w:rFonts w:ascii="Times New Roman" w:eastAsia="Times New Roman" w:hAnsi="Times New Roman" w:cs="Times New Roman"/>
                <w:noProof/>
                <w:sz w:val="24"/>
                <w:lang w:val="en-GB" w:bidi="ne-NP"/>
              </w:rPr>
              <w:t xml:space="preserve">42, </w:t>
            </w:r>
            <w:r w:rsidR="0025458E" w:rsidRPr="00E50FA4">
              <w:rPr>
                <w:rFonts w:ascii="Times New Roman" w:eastAsia="Times New Roman" w:hAnsi="Times New Roman" w:cs="Times New Roman"/>
                <w:noProof/>
                <w:sz w:val="24"/>
                <w:lang w:val="en-GB" w:bidi="ne-NP"/>
              </w:rPr>
              <w:t>letter</w:t>
            </w:r>
            <w:r w:rsidR="00E77292" w:rsidRPr="00E50FA4">
              <w:rPr>
                <w:rFonts w:ascii="Times New Roman" w:eastAsia="Times New Roman" w:hAnsi="Times New Roman" w:cs="Times New Roman"/>
                <w:noProof/>
                <w:sz w:val="24"/>
                <w:lang w:val="en-GB" w:bidi="ne-NP"/>
              </w:rPr>
              <w:t xml:space="preserve"> (e)</w:t>
            </w:r>
            <w:r w:rsidR="002E0121" w:rsidRPr="00E50FA4">
              <w:rPr>
                <w:rFonts w:ascii="Times New Roman" w:eastAsia="Times New Roman" w:hAnsi="Times New Roman" w:cs="Times New Roman"/>
                <w:noProof/>
                <w:sz w:val="24"/>
                <w:lang w:val="en-GB" w:bidi="ne-NP"/>
              </w:rPr>
              <w:t>,</w:t>
            </w:r>
            <w:r w:rsidR="00E77292" w:rsidRPr="00E50FA4">
              <w:rPr>
                <w:rFonts w:ascii="Times New Roman" w:eastAsia="Times New Roman" w:hAnsi="Times New Roman" w:cs="Times New Roman"/>
                <w:noProof/>
                <w:sz w:val="24"/>
                <w:lang w:val="en-GB" w:bidi="ne-NP"/>
              </w:rPr>
              <w:t xml:space="preserve"> of Annex V to Implementing Regulation (EU) </w:t>
            </w:r>
            <w:r w:rsidR="00C6176D" w:rsidRPr="00E50FA4">
              <w:rPr>
                <w:rFonts w:ascii="Times New Roman" w:eastAsia="Times New Roman" w:hAnsi="Times New Roman" w:cs="Times New Roman"/>
                <w:noProof/>
                <w:sz w:val="24"/>
                <w:lang w:val="en-GB"/>
              </w:rPr>
              <w:t>2021/451</w:t>
            </w:r>
            <w:r w:rsidR="00DF634E" w:rsidRPr="00E50FA4">
              <w:rPr>
                <w:rFonts w:ascii="Times New Roman" w:eastAsia="Times New Roman" w:hAnsi="Times New Roman" w:cs="Times New Roman"/>
                <w:noProof/>
                <w:sz w:val="24"/>
                <w:lang w:val="en-GB"/>
              </w:rPr>
              <w:t>, which are subject to disclosure obligations under Directive 2014/95/EU</w:t>
            </w:r>
            <w:r w:rsidR="00E77292" w:rsidRPr="00E50FA4">
              <w:rPr>
                <w:rFonts w:ascii="Times New Roman" w:eastAsia="Times New Roman" w:hAnsi="Times New Roman" w:cs="Times New Roman"/>
                <w:noProof/>
                <w:sz w:val="24"/>
                <w:lang w:val="en-GB"/>
              </w:rPr>
              <w:t>.</w:t>
            </w:r>
          </w:p>
        </w:tc>
      </w:tr>
      <w:tr w:rsidR="00E77292" w:rsidRPr="00E50FA4" w14:paraId="3FD20242" w14:textId="77777777" w:rsidTr="00BA313D">
        <w:tc>
          <w:tcPr>
            <w:tcW w:w="1188" w:type="dxa"/>
            <w:tcBorders>
              <w:top w:val="single" w:sz="4" w:space="0" w:color="auto"/>
              <w:left w:val="single" w:sz="4" w:space="0" w:color="auto"/>
              <w:bottom w:val="single" w:sz="4" w:space="0" w:color="auto"/>
              <w:right w:val="single" w:sz="4" w:space="0" w:color="auto"/>
            </w:tcBorders>
          </w:tcPr>
          <w:p w14:paraId="19A727D4"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28</w:t>
            </w:r>
          </w:p>
        </w:tc>
        <w:tc>
          <w:tcPr>
            <w:tcW w:w="7879" w:type="dxa"/>
            <w:tcBorders>
              <w:top w:val="single" w:sz="4" w:space="0" w:color="auto"/>
              <w:left w:val="single" w:sz="4" w:space="0" w:color="auto"/>
              <w:bottom w:val="single" w:sz="4" w:space="0" w:color="auto"/>
              <w:right w:val="single" w:sz="4" w:space="0" w:color="auto"/>
            </w:tcBorders>
          </w:tcPr>
          <w:p w14:paraId="3CAFA3DE"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commercial real estate loans</w:t>
            </w:r>
          </w:p>
          <w:p w14:paraId="392E49CD" w14:textId="334AC537" w:rsidR="00E77292" w:rsidRPr="00E50FA4" w:rsidRDefault="00BA4944" w:rsidP="0025458E">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 xml:space="preserve">Institutions </w:t>
            </w:r>
            <w:r w:rsidR="00AA68A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w:t>
            </w:r>
            <w:r w:rsidRPr="00E50FA4">
              <w:rPr>
                <w:rFonts w:ascii="Times New Roman" w:eastAsia="Times New Roman" w:hAnsi="Times New Roman" w:cs="Times New Roman"/>
                <w:noProof/>
                <w:sz w:val="24"/>
                <w:lang w:val="en-GB"/>
              </w:rPr>
              <w:t xml:space="preserve">exposures </w:t>
            </w:r>
            <w:r w:rsidR="006F45C0" w:rsidRPr="00E50FA4">
              <w:rPr>
                <w:rFonts w:ascii="Times New Roman" w:eastAsia="Times New Roman" w:hAnsi="Times New Roman" w:cs="Times New Roman"/>
                <w:noProof/>
                <w:sz w:val="24"/>
                <w:lang w:val="en-GB"/>
              </w:rPr>
              <w:t xml:space="preserve">referred to in </w:t>
            </w:r>
            <w:r w:rsidR="002E0121" w:rsidRPr="00E50FA4">
              <w:rPr>
                <w:rFonts w:ascii="Times New Roman" w:eastAsia="Times New Roman" w:hAnsi="Times New Roman" w:cs="Times New Roman"/>
                <w:noProof/>
                <w:sz w:val="24"/>
                <w:lang w:val="en-GB"/>
              </w:rPr>
              <w:t xml:space="preserve">Part 2, </w:t>
            </w:r>
            <w:r w:rsidR="0025458E" w:rsidRPr="00E50FA4">
              <w:rPr>
                <w:rFonts w:ascii="Times New Roman" w:eastAsia="Times New Roman" w:hAnsi="Times New Roman" w:cs="Times New Roman"/>
                <w:noProof/>
                <w:sz w:val="24"/>
                <w:lang w:val="en-GB"/>
              </w:rPr>
              <w:t xml:space="preserve">point </w:t>
            </w:r>
            <w:r w:rsidR="002E0121" w:rsidRPr="00E50FA4">
              <w:rPr>
                <w:rFonts w:ascii="Times New Roman" w:eastAsia="Times New Roman" w:hAnsi="Times New Roman" w:cs="Times New Roman"/>
                <w:noProof/>
                <w:sz w:val="24"/>
                <w:lang w:val="en-GB"/>
              </w:rPr>
              <w:t xml:space="preserve">173, </w:t>
            </w:r>
            <w:r w:rsidR="0025458E" w:rsidRPr="00E50FA4">
              <w:rPr>
                <w:rFonts w:ascii="Times New Roman" w:eastAsia="Times New Roman" w:hAnsi="Times New Roman" w:cs="Times New Roman"/>
                <w:noProof/>
                <w:sz w:val="24"/>
                <w:lang w:val="en-GB"/>
              </w:rPr>
              <w:t>letter</w:t>
            </w:r>
            <w:r w:rsidR="00E77292" w:rsidRPr="00E50FA4">
              <w:rPr>
                <w:rFonts w:ascii="Times New Roman" w:eastAsia="Times New Roman" w:hAnsi="Times New Roman" w:cs="Times New Roman"/>
                <w:noProof/>
                <w:sz w:val="24"/>
                <w:lang w:val="en-GB"/>
              </w:rPr>
              <w:t xml:space="preserve"> (a)</w:t>
            </w:r>
            <w:r w:rsidR="002E0121" w:rsidRPr="00E50FA4">
              <w:rPr>
                <w:rFonts w:ascii="Times New Roman" w:eastAsia="Times New Roman" w:hAnsi="Times New Roman" w:cs="Times New Roman"/>
                <w:noProof/>
                <w:sz w:val="24"/>
                <w:lang w:val="en-GB"/>
              </w:rPr>
              <w:t>,</w:t>
            </w:r>
            <w:r w:rsidR="00E77292" w:rsidRPr="00E50FA4">
              <w:rPr>
                <w:rFonts w:ascii="Times New Roman" w:eastAsia="Times New Roman" w:hAnsi="Times New Roman" w:cs="Times New Roman"/>
                <w:noProof/>
                <w:sz w:val="24"/>
                <w:lang w:val="en-GB"/>
              </w:rPr>
              <w:t xml:space="preserve"> and </w:t>
            </w:r>
            <w:r w:rsidR="0025458E" w:rsidRPr="00E50FA4">
              <w:rPr>
                <w:rFonts w:ascii="Times New Roman" w:eastAsia="Times New Roman" w:hAnsi="Times New Roman" w:cs="Times New Roman"/>
                <w:noProof/>
                <w:sz w:val="24"/>
                <w:lang w:val="en-GB"/>
              </w:rPr>
              <w:t xml:space="preserve">point </w:t>
            </w:r>
            <w:r w:rsidR="00E77292" w:rsidRPr="00E50FA4">
              <w:rPr>
                <w:rFonts w:ascii="Times New Roman" w:eastAsia="Times New Roman" w:hAnsi="Times New Roman" w:cs="Times New Roman"/>
                <w:noProof/>
                <w:sz w:val="24"/>
                <w:lang w:val="en-GB"/>
              </w:rPr>
              <w:t xml:space="preserve">239ix of Annex V to Implementing Regulation (EU) </w:t>
            </w:r>
            <w:r w:rsidR="00C6176D" w:rsidRPr="00E50FA4">
              <w:rPr>
                <w:rFonts w:ascii="Times New Roman" w:eastAsia="Times New Roman" w:hAnsi="Times New Roman" w:cs="Times New Roman"/>
                <w:noProof/>
                <w:sz w:val="24"/>
                <w:lang w:val="en-GB"/>
              </w:rPr>
              <w:t>2021/451</w:t>
            </w:r>
            <w:r w:rsidR="00E77292" w:rsidRPr="00E50FA4">
              <w:rPr>
                <w:rFonts w:ascii="Times New Roman" w:eastAsia="Times New Roman" w:hAnsi="Times New Roman" w:cs="Times New Roman"/>
                <w:noProof/>
                <w:sz w:val="24"/>
                <w:lang w:val="en-GB"/>
              </w:rPr>
              <w:t>.</w:t>
            </w:r>
          </w:p>
        </w:tc>
      </w:tr>
      <w:tr w:rsidR="00E77292" w:rsidRPr="00E50FA4" w14:paraId="6C1DB93A" w14:textId="77777777" w:rsidTr="00BA313D">
        <w:tc>
          <w:tcPr>
            <w:tcW w:w="1188" w:type="dxa"/>
            <w:tcBorders>
              <w:top w:val="single" w:sz="4" w:space="0" w:color="auto"/>
              <w:left w:val="single" w:sz="4" w:space="0" w:color="auto"/>
              <w:bottom w:val="single" w:sz="4" w:space="0" w:color="auto"/>
              <w:right w:val="single" w:sz="4" w:space="0" w:color="auto"/>
            </w:tcBorders>
          </w:tcPr>
          <w:p w14:paraId="76AD6E12" w14:textId="77777777" w:rsidR="00E77292" w:rsidRPr="00E50FA4" w:rsidRDefault="008A7C0A"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24</w:t>
            </w:r>
          </w:p>
        </w:tc>
        <w:tc>
          <w:tcPr>
            <w:tcW w:w="7879" w:type="dxa"/>
            <w:tcBorders>
              <w:top w:val="single" w:sz="4" w:space="0" w:color="auto"/>
              <w:left w:val="single" w:sz="4" w:space="0" w:color="auto"/>
              <w:bottom w:val="single" w:sz="4" w:space="0" w:color="auto"/>
              <w:right w:val="single" w:sz="4" w:space="0" w:color="auto"/>
            </w:tcBorders>
          </w:tcPr>
          <w:p w14:paraId="7664AF68"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Households</w:t>
            </w:r>
          </w:p>
          <w:p w14:paraId="0FAA2730" w14:textId="64391FE0" w:rsidR="00E77292" w:rsidRPr="00E50FA4" w:rsidRDefault="00BA494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 xml:space="preserve">Institutions </w:t>
            </w:r>
            <w:r w:rsidR="00AA68A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w:t>
            </w:r>
            <w:r w:rsidRPr="00E50FA4">
              <w:rPr>
                <w:rFonts w:ascii="Times New Roman" w:eastAsia="Times New Roman" w:hAnsi="Times New Roman" w:cs="Times New Roman"/>
                <w:noProof/>
                <w:sz w:val="24"/>
                <w:lang w:val="en-GB"/>
              </w:rPr>
              <w:t xml:space="preserve">loans </w:t>
            </w:r>
            <w:r w:rsidR="006F45C0" w:rsidRPr="00E50FA4">
              <w:rPr>
                <w:rFonts w:ascii="Times New Roman" w:eastAsia="Times New Roman" w:hAnsi="Times New Roman" w:cs="Times New Roman"/>
                <w:noProof/>
                <w:sz w:val="24"/>
                <w:lang w:val="en-GB"/>
              </w:rPr>
              <w:t xml:space="preserve">and advances as </w:t>
            </w:r>
            <w:r w:rsidR="001D4928" w:rsidRPr="00E50FA4">
              <w:rPr>
                <w:rFonts w:ascii="Times New Roman" w:eastAsia="Times New Roman" w:hAnsi="Times New Roman" w:cs="Times New Roman"/>
                <w:noProof/>
                <w:sz w:val="24"/>
                <w:lang w:val="en-GB"/>
              </w:rPr>
              <w:t>referred to in</w:t>
            </w:r>
            <w:r w:rsidR="00DD5EA1" w:rsidRPr="00E50FA4">
              <w:rPr>
                <w:rFonts w:ascii="Times New Roman" w:eastAsia="Times New Roman" w:hAnsi="Times New Roman" w:cs="Times New Roman"/>
                <w:noProof/>
                <w:sz w:val="24"/>
                <w:lang w:val="en-GB"/>
              </w:rPr>
              <w:t xml:space="preserve"> </w:t>
            </w:r>
            <w:r w:rsidR="00721891" w:rsidRPr="00E50FA4">
              <w:rPr>
                <w:rFonts w:ascii="Times New Roman" w:eastAsia="Times New Roman" w:hAnsi="Times New Roman" w:cs="Times New Roman"/>
                <w:noProof/>
                <w:sz w:val="24"/>
                <w:lang w:val="en-GB" w:bidi="ne-NP"/>
              </w:rPr>
              <w:t xml:space="preserve">Part 1, </w:t>
            </w:r>
            <w:r w:rsidR="0025458E" w:rsidRPr="00E50FA4">
              <w:rPr>
                <w:rFonts w:ascii="Times New Roman" w:eastAsia="Times New Roman" w:hAnsi="Times New Roman" w:cs="Times New Roman"/>
                <w:noProof/>
                <w:sz w:val="24"/>
                <w:lang w:val="en-GB" w:bidi="ne-NP"/>
              </w:rPr>
              <w:t xml:space="preserve">point </w:t>
            </w:r>
            <w:r w:rsidR="00721891" w:rsidRPr="00E50FA4">
              <w:rPr>
                <w:rFonts w:ascii="Times New Roman" w:eastAsia="Times New Roman" w:hAnsi="Times New Roman" w:cs="Times New Roman"/>
                <w:noProof/>
                <w:sz w:val="24"/>
                <w:lang w:val="en-GB" w:bidi="ne-NP"/>
              </w:rPr>
              <w:t xml:space="preserve">42, </w:t>
            </w:r>
            <w:r w:rsidR="0025458E" w:rsidRPr="00E50FA4">
              <w:rPr>
                <w:rFonts w:ascii="Times New Roman" w:eastAsia="Times New Roman" w:hAnsi="Times New Roman" w:cs="Times New Roman"/>
                <w:noProof/>
                <w:sz w:val="24"/>
                <w:lang w:val="en-GB" w:bidi="ne-NP"/>
              </w:rPr>
              <w:t>letter</w:t>
            </w:r>
            <w:r w:rsidR="00E77292" w:rsidRPr="00E50FA4">
              <w:rPr>
                <w:rFonts w:ascii="Times New Roman" w:eastAsia="Times New Roman" w:hAnsi="Times New Roman" w:cs="Times New Roman"/>
                <w:noProof/>
                <w:sz w:val="24"/>
                <w:lang w:val="en-GB"/>
              </w:rPr>
              <w:t xml:space="preserve"> (f)</w:t>
            </w:r>
            <w:r w:rsidR="00721891" w:rsidRPr="00E50FA4">
              <w:rPr>
                <w:rFonts w:ascii="Times New Roman" w:eastAsia="Times New Roman" w:hAnsi="Times New Roman" w:cs="Times New Roman"/>
                <w:noProof/>
                <w:sz w:val="24"/>
                <w:lang w:val="en-GB"/>
              </w:rPr>
              <w:t>,</w:t>
            </w:r>
            <w:r w:rsidR="00E77292" w:rsidRPr="00E50FA4">
              <w:rPr>
                <w:rFonts w:ascii="Times New Roman" w:eastAsia="Times New Roman" w:hAnsi="Times New Roman" w:cs="Times New Roman"/>
                <w:noProof/>
                <w:sz w:val="24"/>
                <w:lang w:val="en-GB"/>
              </w:rPr>
              <w:t xml:space="preserve"> </w:t>
            </w:r>
            <w:r w:rsidR="00E77292" w:rsidRPr="00E50FA4">
              <w:rPr>
                <w:rFonts w:ascii="Times New Roman" w:eastAsia="Times New Roman" w:hAnsi="Times New Roman" w:cs="Times New Roman"/>
                <w:noProof/>
                <w:sz w:val="24"/>
                <w:lang w:val="en-GB" w:bidi="ne-NP"/>
              </w:rPr>
              <w:t xml:space="preserve">of Annex V to Implementing Regulation (EU) </w:t>
            </w:r>
            <w:r w:rsidR="00C6176D" w:rsidRPr="00E50FA4">
              <w:rPr>
                <w:rFonts w:ascii="Times New Roman" w:eastAsia="Times New Roman" w:hAnsi="Times New Roman" w:cs="Times New Roman"/>
                <w:noProof/>
                <w:sz w:val="24"/>
                <w:lang w:val="en-GB"/>
              </w:rPr>
              <w:t>2021/451</w:t>
            </w:r>
            <w:r w:rsidR="00E77292" w:rsidRPr="00E50FA4">
              <w:rPr>
                <w:rFonts w:ascii="Times New Roman" w:eastAsia="Times New Roman" w:hAnsi="Times New Roman" w:cs="Times New Roman"/>
                <w:noProof/>
                <w:sz w:val="24"/>
                <w:lang w:val="en-GB"/>
              </w:rPr>
              <w:t>.</w:t>
            </w:r>
          </w:p>
          <w:p w14:paraId="0DAE2067" w14:textId="7E88B481" w:rsidR="00A13CAF" w:rsidRPr="00E50FA4" w:rsidRDefault="00BA4944" w:rsidP="00BA4944">
            <w:pPr>
              <w:spacing w:before="120" w:after="120"/>
              <w:jc w:val="both"/>
              <w:rPr>
                <w:rFonts w:ascii="Times New Roman" w:eastAsia="Times New Roman" w:hAnsi="Times New Roman" w:cs="Times New Roman"/>
                <w:noProof/>
                <w:sz w:val="24"/>
                <w:lang w:val="en-GB"/>
              </w:rPr>
            </w:pPr>
            <w:r w:rsidRPr="00E50FA4">
              <w:rPr>
                <w:rFonts w:ascii="Times New Roman" w:hAnsi="Times New Roman"/>
                <w:noProof/>
                <w:sz w:val="24"/>
                <w:lang w:val="en-GB"/>
              </w:rPr>
              <w:t>I</w:t>
            </w:r>
            <w:r w:rsidR="00A13CAF" w:rsidRPr="00E50FA4">
              <w:rPr>
                <w:rFonts w:ascii="Times New Roman" w:hAnsi="Times New Roman"/>
                <w:noProof/>
                <w:sz w:val="24"/>
                <w:lang w:val="en-GB"/>
              </w:rPr>
              <w:t xml:space="preserve">nstitutions </w:t>
            </w:r>
            <w:r w:rsidRPr="00E50FA4">
              <w:rPr>
                <w:rFonts w:ascii="Times New Roman" w:hAnsi="Times New Roman"/>
                <w:noProof/>
                <w:sz w:val="24"/>
                <w:lang w:val="en-GB"/>
              </w:rPr>
              <w:t xml:space="preserve">are to </w:t>
            </w:r>
            <w:r w:rsidR="00A13CAF" w:rsidRPr="00E50FA4">
              <w:rPr>
                <w:rFonts w:ascii="Times New Roman" w:hAnsi="Times New Roman"/>
                <w:noProof/>
                <w:sz w:val="24"/>
                <w:lang w:val="en-GB"/>
              </w:rPr>
              <w:t xml:space="preserve">collect information from their counterparties bilaterally through the </w:t>
            </w:r>
            <w:r w:rsidR="00C6176D" w:rsidRPr="00E50FA4">
              <w:rPr>
                <w:rFonts w:ascii="Times New Roman" w:hAnsi="Times New Roman"/>
                <w:noProof/>
                <w:sz w:val="24"/>
                <w:lang w:val="en-GB"/>
              </w:rPr>
              <w:t xml:space="preserve">loan </w:t>
            </w:r>
            <w:r w:rsidR="00A13CAF" w:rsidRPr="00E50FA4">
              <w:rPr>
                <w:rFonts w:ascii="Times New Roman" w:hAnsi="Times New Roman"/>
                <w:noProof/>
                <w:sz w:val="24"/>
                <w:lang w:val="en-GB"/>
              </w:rPr>
              <w:t>origination</w:t>
            </w:r>
            <w:r w:rsidR="00C6176D" w:rsidRPr="00E50FA4">
              <w:rPr>
                <w:rFonts w:ascii="Times New Roman" w:hAnsi="Times New Roman"/>
                <w:noProof/>
                <w:sz w:val="24"/>
                <w:lang w:val="en-GB"/>
              </w:rPr>
              <w:t xml:space="preserve"> process</w:t>
            </w:r>
            <w:r w:rsidR="00A13CAF" w:rsidRPr="00E50FA4">
              <w:rPr>
                <w:rFonts w:ascii="Times New Roman" w:hAnsi="Times New Roman"/>
                <w:noProof/>
                <w:sz w:val="24"/>
                <w:lang w:val="en-GB"/>
              </w:rPr>
              <w:t xml:space="preserve">, and </w:t>
            </w:r>
            <w:r w:rsidR="00C6176D" w:rsidRPr="00E50FA4">
              <w:rPr>
                <w:rFonts w:ascii="Times New Roman" w:hAnsi="Times New Roman"/>
                <w:noProof/>
                <w:sz w:val="24"/>
                <w:lang w:val="en-GB"/>
              </w:rPr>
              <w:t xml:space="preserve">the </w:t>
            </w:r>
            <w:r w:rsidR="00A13CAF" w:rsidRPr="00E50FA4">
              <w:rPr>
                <w:rFonts w:ascii="Times New Roman" w:hAnsi="Times New Roman"/>
                <w:noProof/>
                <w:sz w:val="24"/>
                <w:lang w:val="en-GB"/>
              </w:rPr>
              <w:t xml:space="preserve">regular credit review and monitoring process. </w:t>
            </w:r>
          </w:p>
        </w:tc>
      </w:tr>
      <w:tr w:rsidR="00E77292" w:rsidRPr="00E50FA4" w14:paraId="74743F48" w14:textId="77777777" w:rsidTr="00BA313D">
        <w:tc>
          <w:tcPr>
            <w:tcW w:w="1188" w:type="dxa"/>
            <w:tcBorders>
              <w:top w:val="single" w:sz="4" w:space="0" w:color="auto"/>
              <w:left w:val="single" w:sz="4" w:space="0" w:color="auto"/>
              <w:bottom w:val="single" w:sz="4" w:space="0" w:color="auto"/>
              <w:right w:val="single" w:sz="4" w:space="0" w:color="auto"/>
            </w:tcBorders>
          </w:tcPr>
          <w:p w14:paraId="4B57CD8C" w14:textId="77777777" w:rsidR="00E77292" w:rsidRPr="00E50FA4" w:rsidRDefault="008A7C0A"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25</w:t>
            </w:r>
          </w:p>
        </w:tc>
        <w:tc>
          <w:tcPr>
            <w:tcW w:w="7879" w:type="dxa"/>
            <w:tcBorders>
              <w:top w:val="single" w:sz="4" w:space="0" w:color="auto"/>
              <w:left w:val="single" w:sz="4" w:space="0" w:color="auto"/>
              <w:bottom w:val="single" w:sz="4" w:space="0" w:color="auto"/>
              <w:right w:val="single" w:sz="4" w:space="0" w:color="auto"/>
            </w:tcBorders>
          </w:tcPr>
          <w:p w14:paraId="027547DC"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loans collateralised by residential immovable property</w:t>
            </w:r>
          </w:p>
          <w:p w14:paraId="685267C9" w14:textId="5B5C7754" w:rsidR="00E77292" w:rsidRPr="00E50FA4" w:rsidRDefault="00BA494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 xml:space="preserve">Institutions </w:t>
            </w:r>
            <w:r w:rsidR="00AA68A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w:t>
            </w:r>
            <w:r w:rsidRPr="00E50FA4">
              <w:rPr>
                <w:rFonts w:ascii="Times New Roman" w:eastAsia="Times New Roman" w:hAnsi="Times New Roman" w:cs="Times New Roman"/>
                <w:noProof/>
                <w:sz w:val="24"/>
                <w:lang w:val="en-GB"/>
              </w:rPr>
              <w:t>loans</w:t>
            </w:r>
            <w:r w:rsidR="00E03C13" w:rsidRPr="00E50FA4">
              <w:rPr>
                <w:rFonts w:ascii="Times New Roman" w:eastAsia="Times New Roman" w:hAnsi="Times New Roman" w:cs="Times New Roman"/>
                <w:noProof/>
                <w:sz w:val="24"/>
                <w:lang w:val="en-GB"/>
              </w:rPr>
              <w:t xml:space="preserve"> and advances</w:t>
            </w:r>
            <w:r w:rsidRPr="00E50FA4">
              <w:rPr>
                <w:rFonts w:ascii="Times New Roman" w:eastAsia="Times New Roman" w:hAnsi="Times New Roman" w:cs="Times New Roman"/>
                <w:noProof/>
                <w:sz w:val="24"/>
                <w:lang w:val="en-GB"/>
              </w:rPr>
              <w:t xml:space="preserve"> </w:t>
            </w:r>
            <w:r w:rsidR="006F45C0" w:rsidRPr="00E50FA4">
              <w:rPr>
                <w:rFonts w:ascii="Times New Roman" w:eastAsia="Times New Roman" w:hAnsi="Times New Roman" w:cs="Times New Roman"/>
                <w:noProof/>
                <w:sz w:val="24"/>
                <w:lang w:val="en-GB"/>
              </w:rPr>
              <w:t xml:space="preserve">collateralised by residential immovable property as </w:t>
            </w:r>
            <w:r w:rsidR="001D4928" w:rsidRPr="00E50FA4">
              <w:rPr>
                <w:rFonts w:ascii="Times New Roman" w:eastAsia="Times New Roman" w:hAnsi="Times New Roman" w:cs="Times New Roman"/>
                <w:noProof/>
                <w:sz w:val="24"/>
                <w:lang w:val="en-GB"/>
              </w:rPr>
              <w:t>referred to in</w:t>
            </w:r>
            <w:r w:rsidR="006F45C0" w:rsidRPr="00E50FA4">
              <w:rPr>
                <w:rFonts w:ascii="Times New Roman" w:eastAsia="Times New Roman" w:hAnsi="Times New Roman" w:cs="Times New Roman"/>
                <w:noProof/>
                <w:sz w:val="24"/>
                <w:lang w:val="en-GB"/>
              </w:rPr>
              <w:t xml:space="preserve"> </w:t>
            </w:r>
            <w:r w:rsidR="00721891" w:rsidRPr="00E50FA4">
              <w:rPr>
                <w:rFonts w:ascii="Times New Roman" w:eastAsia="Times New Roman" w:hAnsi="Times New Roman" w:cs="Times New Roman"/>
                <w:noProof/>
                <w:sz w:val="24"/>
                <w:lang w:val="en-GB"/>
              </w:rPr>
              <w:t xml:space="preserve">Part 2, </w:t>
            </w:r>
            <w:r w:rsidR="0025458E" w:rsidRPr="00E50FA4">
              <w:rPr>
                <w:rFonts w:ascii="Times New Roman" w:eastAsia="Times New Roman" w:hAnsi="Times New Roman" w:cs="Times New Roman"/>
                <w:noProof/>
                <w:sz w:val="24"/>
                <w:lang w:val="en-GB"/>
              </w:rPr>
              <w:t xml:space="preserve">point </w:t>
            </w:r>
            <w:r w:rsidR="00721891" w:rsidRPr="00E50FA4">
              <w:rPr>
                <w:rFonts w:ascii="Times New Roman" w:eastAsia="Times New Roman" w:hAnsi="Times New Roman" w:cs="Times New Roman"/>
                <w:noProof/>
                <w:sz w:val="24"/>
                <w:lang w:val="en-GB"/>
              </w:rPr>
              <w:t xml:space="preserve">173, </w:t>
            </w:r>
            <w:r w:rsidR="0025458E" w:rsidRPr="00E50FA4">
              <w:rPr>
                <w:rFonts w:ascii="Times New Roman" w:eastAsia="Times New Roman" w:hAnsi="Times New Roman" w:cs="Times New Roman"/>
                <w:noProof/>
                <w:sz w:val="24"/>
                <w:lang w:val="en-GB"/>
              </w:rPr>
              <w:t>letter</w:t>
            </w:r>
            <w:r w:rsidR="00E77292" w:rsidRPr="00E50FA4">
              <w:rPr>
                <w:rFonts w:ascii="Times New Roman" w:eastAsia="Times New Roman" w:hAnsi="Times New Roman" w:cs="Times New Roman"/>
                <w:noProof/>
                <w:sz w:val="24"/>
                <w:lang w:val="en-GB"/>
              </w:rPr>
              <w:t xml:space="preserve"> (a)</w:t>
            </w:r>
            <w:r w:rsidR="00721891" w:rsidRPr="00E50FA4">
              <w:rPr>
                <w:rFonts w:ascii="Times New Roman" w:eastAsia="Times New Roman" w:hAnsi="Times New Roman" w:cs="Times New Roman"/>
                <w:noProof/>
                <w:sz w:val="24"/>
                <w:lang w:val="en-GB"/>
              </w:rPr>
              <w:t>,</w:t>
            </w:r>
            <w:r w:rsidR="00E77292" w:rsidRPr="00E50FA4">
              <w:rPr>
                <w:rFonts w:ascii="Times New Roman" w:eastAsia="Times New Roman" w:hAnsi="Times New Roman" w:cs="Times New Roman"/>
                <w:noProof/>
                <w:sz w:val="24"/>
                <w:lang w:val="en-GB"/>
              </w:rPr>
              <w:t xml:space="preserve"> of Annex V to Implementing Regulation (EU) </w:t>
            </w:r>
            <w:r w:rsidR="00C6176D" w:rsidRPr="00E50FA4">
              <w:rPr>
                <w:rFonts w:ascii="Times New Roman" w:eastAsia="Times New Roman" w:hAnsi="Times New Roman" w:cs="Times New Roman"/>
                <w:noProof/>
                <w:sz w:val="24"/>
                <w:lang w:val="en-GB"/>
              </w:rPr>
              <w:t>2021/451</w:t>
            </w:r>
            <w:r w:rsidR="00E77292" w:rsidRPr="00E50FA4">
              <w:rPr>
                <w:rFonts w:ascii="Times New Roman" w:eastAsia="Times New Roman" w:hAnsi="Times New Roman" w:cs="Times New Roman"/>
                <w:noProof/>
                <w:sz w:val="24"/>
                <w:lang w:val="en-GB"/>
              </w:rPr>
              <w:t>.</w:t>
            </w:r>
          </w:p>
          <w:p w14:paraId="3C6471F3" w14:textId="2FEFEDE7" w:rsidR="004C2F9A" w:rsidRPr="00E50FA4" w:rsidRDefault="004C2F9A" w:rsidP="00DD5EA1">
            <w:pPr>
              <w:spacing w:before="120" w:after="120"/>
              <w:jc w:val="both"/>
              <w:rPr>
                <w:rFonts w:ascii="Times New Roman" w:eastAsia="Times New Roman" w:hAnsi="Times New Roman" w:cs="Times New Roman"/>
                <w:bCs/>
                <w:noProof/>
                <w:sz w:val="24"/>
                <w:lang w:val="en-GB"/>
              </w:rPr>
            </w:pPr>
            <w:r w:rsidRPr="00E50FA4">
              <w:rPr>
                <w:rFonts w:ascii="Times New Roman" w:eastAsia="Times New Roman" w:hAnsi="Times New Roman" w:cs="Times New Roman"/>
                <w:bCs/>
                <w:noProof/>
                <w:sz w:val="24"/>
                <w:lang w:val="en-GB"/>
              </w:rPr>
              <w:t>The alignment of th</w:t>
            </w:r>
            <w:r w:rsidR="00721891" w:rsidRPr="00E50FA4">
              <w:rPr>
                <w:rFonts w:ascii="Times New Roman" w:eastAsia="Times New Roman" w:hAnsi="Times New Roman" w:cs="Times New Roman"/>
                <w:bCs/>
                <w:noProof/>
                <w:sz w:val="24"/>
                <w:lang w:val="en-GB"/>
              </w:rPr>
              <w:t>o</w:t>
            </w:r>
            <w:r w:rsidRPr="00E50FA4">
              <w:rPr>
                <w:rFonts w:ascii="Times New Roman" w:eastAsia="Times New Roman" w:hAnsi="Times New Roman" w:cs="Times New Roman"/>
                <w:bCs/>
                <w:noProof/>
                <w:sz w:val="24"/>
                <w:lang w:val="en-GB"/>
              </w:rPr>
              <w:t xml:space="preserve">se exposures </w:t>
            </w:r>
            <w:r w:rsidR="00DD5EA1" w:rsidRPr="00E50FA4">
              <w:rPr>
                <w:rFonts w:ascii="Times New Roman" w:eastAsia="Times New Roman" w:hAnsi="Times New Roman" w:cs="Times New Roman"/>
                <w:bCs/>
                <w:noProof/>
                <w:sz w:val="24"/>
                <w:lang w:val="en-GB"/>
              </w:rPr>
              <w:t xml:space="preserve">to Regulation (EU) 2020/852 </w:t>
            </w:r>
            <w:r w:rsidRPr="00E50FA4">
              <w:rPr>
                <w:rFonts w:ascii="Times New Roman" w:eastAsia="Times New Roman" w:hAnsi="Times New Roman" w:cs="Times New Roman"/>
                <w:bCs/>
                <w:noProof/>
                <w:sz w:val="24"/>
                <w:lang w:val="en-GB"/>
              </w:rPr>
              <w:t>shall only be assessed</w:t>
            </w:r>
            <w:r w:rsidR="003A0211" w:rsidRPr="00E50FA4">
              <w:rPr>
                <w:rFonts w:ascii="Times New Roman" w:eastAsia="Times New Roman" w:hAnsi="Times New Roman" w:cs="Times New Roman"/>
                <w:bCs/>
                <w:noProof/>
                <w:sz w:val="24"/>
                <w:lang w:val="en-GB"/>
              </w:rPr>
              <w:t xml:space="preserve"> following a simplified approach</w:t>
            </w:r>
            <w:r w:rsidRPr="00E50FA4">
              <w:rPr>
                <w:rFonts w:ascii="Times New Roman" w:eastAsia="Times New Roman" w:hAnsi="Times New Roman" w:cs="Times New Roman"/>
                <w:bCs/>
                <w:noProof/>
                <w:sz w:val="24"/>
                <w:lang w:val="en-GB"/>
              </w:rPr>
              <w:t xml:space="preserve"> for the objective of climate change mitigation in accordance with the technical screening criteria for buildings, namely renovation and acquisition and ownership in accordance with points 7.2., 7.3., 7.4., 7.5, 7.6., and 7.7. respectively, of Annex I to </w:t>
            </w:r>
            <w:r w:rsidR="00721891" w:rsidRPr="00E50FA4">
              <w:rPr>
                <w:rFonts w:ascii="Times New Roman" w:eastAsia="Times New Roman" w:hAnsi="Times New Roman" w:cs="Times New Roman"/>
                <w:bCs/>
                <w:noProof/>
                <w:sz w:val="24"/>
                <w:lang w:val="en-GB"/>
              </w:rPr>
              <w:t>Delegated Regulation (EU) 2021/2139</w:t>
            </w:r>
            <w:r w:rsidR="003A0211" w:rsidRPr="00E50FA4">
              <w:rPr>
                <w:rFonts w:ascii="Times New Roman" w:eastAsia="Times New Roman" w:hAnsi="Times New Roman" w:cs="Times New Roman"/>
                <w:bCs/>
                <w:noProof/>
                <w:sz w:val="24"/>
                <w:lang w:val="en-GB"/>
              </w:rPr>
              <w:t>, based on the energy efficiency of the underlying collateral</w:t>
            </w:r>
            <w:r w:rsidRPr="00E50FA4">
              <w:rPr>
                <w:rFonts w:ascii="Times New Roman" w:eastAsia="Times New Roman" w:hAnsi="Times New Roman" w:cs="Times New Roman"/>
                <w:bCs/>
                <w:noProof/>
                <w:sz w:val="24"/>
                <w:lang w:val="en-GB"/>
              </w:rPr>
              <w:t>.</w:t>
            </w:r>
          </w:p>
        </w:tc>
      </w:tr>
      <w:tr w:rsidR="008A7C0A" w:rsidRPr="00E50FA4" w14:paraId="09EEE20C" w14:textId="77777777" w:rsidTr="00BA313D">
        <w:tc>
          <w:tcPr>
            <w:tcW w:w="1188" w:type="dxa"/>
            <w:tcBorders>
              <w:top w:val="single" w:sz="4" w:space="0" w:color="auto"/>
              <w:left w:val="single" w:sz="4" w:space="0" w:color="auto"/>
              <w:bottom w:val="single" w:sz="4" w:space="0" w:color="auto"/>
              <w:right w:val="single" w:sz="4" w:space="0" w:color="auto"/>
            </w:tcBorders>
          </w:tcPr>
          <w:p w14:paraId="2AAC9C5A" w14:textId="77777777" w:rsidR="008A7C0A" w:rsidRPr="00E50FA4" w:rsidRDefault="008A7C0A" w:rsidP="008A7C0A">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26</w:t>
            </w:r>
          </w:p>
        </w:tc>
        <w:tc>
          <w:tcPr>
            <w:tcW w:w="7879" w:type="dxa"/>
            <w:tcBorders>
              <w:top w:val="single" w:sz="4" w:space="0" w:color="auto"/>
              <w:left w:val="single" w:sz="4" w:space="0" w:color="auto"/>
              <w:bottom w:val="single" w:sz="4" w:space="0" w:color="auto"/>
              <w:right w:val="single" w:sz="4" w:space="0" w:color="auto"/>
            </w:tcBorders>
          </w:tcPr>
          <w:p w14:paraId="3AF6F174" w14:textId="77777777" w:rsidR="008A7C0A" w:rsidRPr="00E50FA4" w:rsidRDefault="008A7C0A" w:rsidP="008A7C0A">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building renovation loans</w:t>
            </w:r>
          </w:p>
          <w:p w14:paraId="2E99B0EE" w14:textId="2286861F" w:rsidR="004C2F9A" w:rsidRPr="00E50FA4" w:rsidRDefault="00BA4944" w:rsidP="008A7C0A">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 xml:space="preserve">Institutions </w:t>
            </w:r>
            <w:r w:rsidR="00DF1EF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w:t>
            </w:r>
            <w:r w:rsidRPr="00E50FA4">
              <w:rPr>
                <w:rFonts w:ascii="Times New Roman" w:eastAsia="Times New Roman" w:hAnsi="Times New Roman" w:cs="Times New Roman"/>
                <w:noProof/>
                <w:sz w:val="24"/>
                <w:lang w:val="en-GB"/>
              </w:rPr>
              <w:t xml:space="preserve">loans </w:t>
            </w:r>
            <w:r w:rsidR="008A7C0A" w:rsidRPr="00E50FA4">
              <w:rPr>
                <w:rFonts w:ascii="Times New Roman" w:eastAsia="Times New Roman" w:hAnsi="Times New Roman" w:cs="Times New Roman"/>
                <w:noProof/>
                <w:sz w:val="24"/>
                <w:lang w:val="en-GB"/>
              </w:rPr>
              <w:t xml:space="preserve">that are granted to </w:t>
            </w:r>
            <w:r w:rsidR="00007009" w:rsidRPr="00E50FA4">
              <w:rPr>
                <w:rFonts w:ascii="Times New Roman" w:eastAsia="Times New Roman" w:hAnsi="Times New Roman" w:cs="Times New Roman"/>
                <w:noProof/>
                <w:sz w:val="24"/>
                <w:lang w:val="en-GB"/>
              </w:rPr>
              <w:t>households</w:t>
            </w:r>
            <w:r w:rsidR="008A7C0A" w:rsidRPr="00E50FA4">
              <w:rPr>
                <w:rFonts w:ascii="Times New Roman" w:eastAsia="Times New Roman" w:hAnsi="Times New Roman" w:cs="Times New Roman"/>
                <w:noProof/>
                <w:sz w:val="24"/>
                <w:lang w:val="en-GB"/>
              </w:rPr>
              <w:t xml:space="preserve"> with the purpose of renovating their house.</w:t>
            </w:r>
          </w:p>
          <w:p w14:paraId="5925605E" w14:textId="236153E5" w:rsidR="008A7C0A" w:rsidRPr="00E50FA4" w:rsidRDefault="004C2F9A" w:rsidP="00DF1EFB">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Cs/>
                <w:noProof/>
                <w:sz w:val="24"/>
                <w:lang w:val="en-GB"/>
              </w:rPr>
              <w:t xml:space="preserve">The alignment of these exposures </w:t>
            </w:r>
            <w:r w:rsidR="00DD5EA1" w:rsidRPr="00E50FA4">
              <w:rPr>
                <w:rFonts w:ascii="Times New Roman" w:eastAsia="Times New Roman" w:hAnsi="Times New Roman" w:cs="Times New Roman"/>
                <w:bCs/>
                <w:noProof/>
                <w:sz w:val="24"/>
                <w:lang w:val="en-GB"/>
              </w:rPr>
              <w:t xml:space="preserve">to Regulation (EU) 2020/852 </w:t>
            </w:r>
            <w:r w:rsidRPr="00E50FA4">
              <w:rPr>
                <w:rFonts w:ascii="Times New Roman" w:eastAsia="Times New Roman" w:hAnsi="Times New Roman" w:cs="Times New Roman"/>
                <w:bCs/>
                <w:noProof/>
                <w:sz w:val="24"/>
                <w:lang w:val="en-GB"/>
              </w:rPr>
              <w:t xml:space="preserve">shall only be assessed </w:t>
            </w:r>
            <w:r w:rsidR="003A0211" w:rsidRPr="00E50FA4">
              <w:rPr>
                <w:rFonts w:ascii="Times New Roman" w:eastAsia="Times New Roman" w:hAnsi="Times New Roman" w:cs="Times New Roman"/>
                <w:bCs/>
                <w:noProof/>
                <w:sz w:val="24"/>
                <w:lang w:val="en-GB"/>
              </w:rPr>
              <w:t xml:space="preserve">following a simplified approach </w:t>
            </w:r>
            <w:r w:rsidRPr="00E50FA4">
              <w:rPr>
                <w:rFonts w:ascii="Times New Roman" w:eastAsia="Times New Roman" w:hAnsi="Times New Roman" w:cs="Times New Roman"/>
                <w:bCs/>
                <w:noProof/>
                <w:sz w:val="24"/>
                <w:lang w:val="en-GB"/>
              </w:rPr>
              <w:t>for the objective of climate change mitigation in accordance with the technical screening criteria for buildings, namely renovation and acquisition and ownership in accordance with points 7.2., 7.3., 7.4., 7.5, 7.6., and 7.7.</w:t>
            </w:r>
            <w:r w:rsidR="00292EF5" w:rsidRPr="00E50FA4">
              <w:rPr>
                <w:rFonts w:ascii="Times New Roman" w:eastAsia="Times New Roman" w:hAnsi="Times New Roman" w:cs="Times New Roman"/>
                <w:bCs/>
                <w:noProof/>
                <w:sz w:val="24"/>
                <w:lang w:val="en-GB"/>
              </w:rPr>
              <w:t>,</w:t>
            </w:r>
            <w:r w:rsidRPr="00E50FA4">
              <w:rPr>
                <w:rFonts w:ascii="Times New Roman" w:eastAsia="Times New Roman" w:hAnsi="Times New Roman" w:cs="Times New Roman"/>
                <w:bCs/>
                <w:noProof/>
                <w:sz w:val="24"/>
                <w:lang w:val="en-GB"/>
              </w:rPr>
              <w:t xml:space="preserve"> respectively, of Annex I to </w:t>
            </w:r>
            <w:r w:rsidR="00DE3F3D" w:rsidRPr="00E50FA4">
              <w:rPr>
                <w:rFonts w:ascii="Times New Roman" w:eastAsia="Times New Roman" w:hAnsi="Times New Roman" w:cs="Times New Roman"/>
                <w:bCs/>
                <w:noProof/>
                <w:sz w:val="24"/>
                <w:lang w:val="en-GB"/>
              </w:rPr>
              <w:t>Delegated Regulation (EU) 2021/2139</w:t>
            </w:r>
            <w:r w:rsidR="003A0211" w:rsidRPr="00E50FA4">
              <w:rPr>
                <w:rFonts w:ascii="Times New Roman" w:eastAsia="Times New Roman" w:hAnsi="Times New Roman" w:cs="Times New Roman"/>
                <w:bCs/>
                <w:noProof/>
                <w:sz w:val="24"/>
                <w:lang w:val="en-GB"/>
              </w:rPr>
              <w:t>, based on the energy efficiency of the underlying collateral</w:t>
            </w:r>
            <w:r w:rsidRPr="00E50FA4">
              <w:rPr>
                <w:rFonts w:ascii="Times New Roman" w:eastAsia="Times New Roman" w:hAnsi="Times New Roman" w:cs="Times New Roman"/>
                <w:bCs/>
                <w:noProof/>
                <w:sz w:val="24"/>
                <w:lang w:val="en-GB"/>
              </w:rPr>
              <w:t>.</w:t>
            </w:r>
            <w:r w:rsidR="008A7C0A" w:rsidRPr="00E50FA4">
              <w:rPr>
                <w:rFonts w:ascii="Times New Roman" w:eastAsia="Times New Roman" w:hAnsi="Times New Roman" w:cs="Times New Roman"/>
                <w:noProof/>
                <w:sz w:val="24"/>
                <w:lang w:val="en-GB" w:bidi="ne-NP"/>
              </w:rPr>
              <w:t xml:space="preserve"> </w:t>
            </w:r>
          </w:p>
        </w:tc>
      </w:tr>
      <w:tr w:rsidR="00E77292" w:rsidRPr="00E50FA4" w14:paraId="4585A72D" w14:textId="77777777" w:rsidTr="00BA313D">
        <w:tc>
          <w:tcPr>
            <w:tcW w:w="1188" w:type="dxa"/>
            <w:tcBorders>
              <w:top w:val="single" w:sz="4" w:space="0" w:color="auto"/>
              <w:left w:val="single" w:sz="4" w:space="0" w:color="auto"/>
              <w:bottom w:val="single" w:sz="4" w:space="0" w:color="auto"/>
              <w:right w:val="single" w:sz="4" w:space="0" w:color="auto"/>
            </w:tcBorders>
          </w:tcPr>
          <w:p w14:paraId="2C62AF6A" w14:textId="77777777" w:rsidR="00E77292" w:rsidRPr="00E50FA4" w:rsidRDefault="00A23F56"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27</w:t>
            </w:r>
          </w:p>
        </w:tc>
        <w:tc>
          <w:tcPr>
            <w:tcW w:w="7879" w:type="dxa"/>
            <w:tcBorders>
              <w:top w:val="single" w:sz="4" w:space="0" w:color="auto"/>
              <w:left w:val="single" w:sz="4" w:space="0" w:color="auto"/>
              <w:bottom w:val="single" w:sz="4" w:space="0" w:color="auto"/>
              <w:right w:val="single" w:sz="4" w:space="0" w:color="auto"/>
            </w:tcBorders>
          </w:tcPr>
          <w:p w14:paraId="60F0532B" w14:textId="77777777" w:rsidR="00E77292" w:rsidRPr="00E50FA4" w:rsidRDefault="00FA43A9"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w:t>
            </w:r>
            <w:r w:rsidR="00E77292" w:rsidRPr="00E50FA4">
              <w:rPr>
                <w:rFonts w:ascii="Times New Roman" w:eastAsia="Times New Roman" w:hAnsi="Times New Roman" w:cs="Times New Roman"/>
                <w:b/>
                <w:noProof/>
                <w:sz w:val="24"/>
                <w:u w:val="single"/>
                <w:lang w:val="en-GB"/>
              </w:rPr>
              <w:t>f which motor vehicle loans</w:t>
            </w:r>
          </w:p>
          <w:p w14:paraId="7EB37468" w14:textId="10CFFD98" w:rsidR="004C2F9A" w:rsidRPr="00E50FA4" w:rsidRDefault="00BA4944" w:rsidP="0025458E">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 xml:space="preserve">Institutions </w:t>
            </w:r>
            <w:r w:rsidR="00DF1EF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w:t>
            </w:r>
            <w:r w:rsidRPr="00E50FA4">
              <w:rPr>
                <w:rFonts w:ascii="Times New Roman" w:eastAsia="Times New Roman" w:hAnsi="Times New Roman" w:cs="Times New Roman"/>
                <w:noProof/>
                <w:sz w:val="24"/>
                <w:lang w:val="en-GB"/>
              </w:rPr>
              <w:t xml:space="preserve">motor </w:t>
            </w:r>
            <w:r w:rsidR="006F45C0" w:rsidRPr="00E50FA4">
              <w:rPr>
                <w:rFonts w:ascii="Times New Roman" w:eastAsia="Times New Roman" w:hAnsi="Times New Roman" w:cs="Times New Roman"/>
                <w:noProof/>
                <w:sz w:val="24"/>
                <w:lang w:val="en-GB"/>
              </w:rPr>
              <w:t xml:space="preserve">vehicle loans as </w:t>
            </w:r>
            <w:r w:rsidR="001D4928" w:rsidRPr="00E50FA4">
              <w:rPr>
                <w:rFonts w:ascii="Times New Roman" w:eastAsia="Times New Roman" w:hAnsi="Times New Roman" w:cs="Times New Roman"/>
                <w:noProof/>
                <w:sz w:val="24"/>
                <w:lang w:val="en-GB"/>
              </w:rPr>
              <w:t>referred to in</w:t>
            </w:r>
            <w:r w:rsidR="00DD5EA1" w:rsidRPr="00E50FA4">
              <w:rPr>
                <w:rFonts w:ascii="Times New Roman" w:eastAsia="Times New Roman" w:hAnsi="Times New Roman" w:cs="Times New Roman"/>
                <w:noProof/>
                <w:sz w:val="24"/>
                <w:lang w:val="en-GB"/>
              </w:rPr>
              <w:t xml:space="preserve"> </w:t>
            </w:r>
            <w:r w:rsidR="00DE3F3D" w:rsidRPr="00E50FA4">
              <w:rPr>
                <w:rFonts w:ascii="Times New Roman" w:eastAsia="Times New Roman" w:hAnsi="Times New Roman" w:cs="Times New Roman"/>
                <w:noProof/>
                <w:sz w:val="24"/>
                <w:lang w:val="en-GB"/>
              </w:rPr>
              <w:t xml:space="preserve">Part 2, </w:t>
            </w:r>
            <w:r w:rsidR="0025458E" w:rsidRPr="00E50FA4">
              <w:rPr>
                <w:rFonts w:ascii="Times New Roman" w:eastAsia="Times New Roman" w:hAnsi="Times New Roman" w:cs="Times New Roman"/>
                <w:noProof/>
                <w:sz w:val="24"/>
                <w:lang w:val="en-GB"/>
              </w:rPr>
              <w:t xml:space="preserve">point </w:t>
            </w:r>
            <w:r w:rsidR="00DE3F3D" w:rsidRPr="00E50FA4">
              <w:rPr>
                <w:rFonts w:ascii="Times New Roman" w:eastAsia="Times New Roman" w:hAnsi="Times New Roman" w:cs="Times New Roman"/>
                <w:noProof/>
                <w:sz w:val="24"/>
                <w:lang w:val="en-GB"/>
              </w:rPr>
              <w:t xml:space="preserve">173, </w:t>
            </w:r>
            <w:r w:rsidR="0025458E" w:rsidRPr="00E50FA4">
              <w:rPr>
                <w:rFonts w:ascii="Times New Roman" w:eastAsia="Times New Roman" w:hAnsi="Times New Roman" w:cs="Times New Roman"/>
                <w:noProof/>
                <w:sz w:val="24"/>
                <w:lang w:val="en-GB"/>
              </w:rPr>
              <w:t xml:space="preserve">letter </w:t>
            </w:r>
            <w:r w:rsidR="00E77292" w:rsidRPr="00E50FA4">
              <w:rPr>
                <w:rFonts w:ascii="Times New Roman" w:eastAsia="Times New Roman" w:hAnsi="Times New Roman" w:cs="Times New Roman"/>
                <w:noProof/>
                <w:sz w:val="24"/>
                <w:lang w:val="en-GB"/>
              </w:rPr>
              <w:t>(b)(ii)</w:t>
            </w:r>
            <w:r w:rsidR="00DE3F3D" w:rsidRPr="00E50FA4">
              <w:rPr>
                <w:rFonts w:ascii="Times New Roman" w:eastAsia="Times New Roman" w:hAnsi="Times New Roman" w:cs="Times New Roman"/>
                <w:noProof/>
                <w:sz w:val="24"/>
                <w:lang w:val="en-GB"/>
              </w:rPr>
              <w:t>,</w:t>
            </w:r>
            <w:r w:rsidR="00E77292" w:rsidRPr="00E50FA4">
              <w:rPr>
                <w:rFonts w:ascii="Times New Roman" w:eastAsia="Times New Roman" w:hAnsi="Times New Roman" w:cs="Times New Roman"/>
                <w:noProof/>
                <w:sz w:val="24"/>
                <w:lang w:val="en-GB"/>
              </w:rPr>
              <w:t xml:space="preserve"> of Annex V to Implementing Regulation (EU) </w:t>
            </w:r>
            <w:r w:rsidR="004C2F9A" w:rsidRPr="00E50FA4">
              <w:rPr>
                <w:rFonts w:ascii="Times New Roman" w:eastAsia="Times New Roman" w:hAnsi="Times New Roman" w:cs="Times New Roman"/>
                <w:noProof/>
                <w:sz w:val="24"/>
                <w:lang w:val="en-GB"/>
              </w:rPr>
              <w:t xml:space="preserve">2021/451 </w:t>
            </w:r>
            <w:r w:rsidR="00303A1A" w:rsidRPr="00E50FA4">
              <w:rPr>
                <w:rFonts w:ascii="Times New Roman" w:eastAsia="Times New Roman" w:hAnsi="Times New Roman" w:cs="Times New Roman"/>
                <w:noProof/>
                <w:sz w:val="24"/>
                <w:lang w:val="en-GB"/>
              </w:rPr>
              <w:t>and other loans granted for the acquisition of a motor vehicle</w:t>
            </w:r>
            <w:r w:rsidR="003A0211" w:rsidRPr="00E50FA4">
              <w:rPr>
                <w:rFonts w:ascii="Times New Roman" w:eastAsia="Times New Roman" w:hAnsi="Times New Roman" w:cs="Times New Roman"/>
                <w:noProof/>
                <w:sz w:val="24"/>
                <w:lang w:val="en-GB"/>
              </w:rPr>
              <w:t xml:space="preserve"> </w:t>
            </w:r>
            <w:r w:rsidR="003A0211" w:rsidRPr="00E50FA4">
              <w:rPr>
                <w:rFonts w:ascii="Times New Roman" w:eastAsia="Times New Roman" w:hAnsi="Times New Roman" w:cs="Times New Roman"/>
                <w:bCs/>
                <w:noProof/>
                <w:sz w:val="24"/>
                <w:lang w:val="en-GB"/>
              </w:rPr>
              <w:t>assessed following a simplified approach for the objective of climate change mitigation</w:t>
            </w:r>
            <w:r w:rsidR="00FA43A9" w:rsidRPr="00E50FA4">
              <w:rPr>
                <w:rFonts w:ascii="Times New Roman" w:eastAsia="Times New Roman" w:hAnsi="Times New Roman" w:cs="Times New Roman"/>
                <w:noProof/>
                <w:sz w:val="24"/>
                <w:lang w:val="en-GB"/>
              </w:rPr>
              <w:t xml:space="preserve"> </w:t>
            </w:r>
            <w:r w:rsidR="004C2F9A" w:rsidRPr="00E50FA4">
              <w:rPr>
                <w:rFonts w:ascii="Times New Roman" w:eastAsia="Times New Roman" w:hAnsi="Times New Roman" w:cs="Times New Roman"/>
                <w:noProof/>
                <w:sz w:val="24"/>
                <w:lang w:val="en-GB"/>
              </w:rPr>
              <w:t xml:space="preserve">in accordance with the technical screening criteria for </w:t>
            </w:r>
            <w:r w:rsidR="006968DE" w:rsidRPr="00E50FA4">
              <w:rPr>
                <w:rFonts w:ascii="Times New Roman" w:eastAsia="Times New Roman" w:hAnsi="Times New Roman" w:cs="Times New Roman"/>
                <w:noProof/>
                <w:sz w:val="24"/>
                <w:lang w:val="en-GB"/>
              </w:rPr>
              <w:t>financing</w:t>
            </w:r>
            <w:r w:rsidR="008F00BC" w:rsidRPr="00E50FA4">
              <w:rPr>
                <w:rFonts w:ascii="Times New Roman" w:eastAsia="Times New Roman" w:hAnsi="Times New Roman" w:cs="Times New Roman"/>
                <w:noProof/>
                <w:sz w:val="24"/>
                <w:lang w:val="en-GB"/>
              </w:rPr>
              <w:t xml:space="preserve">, renting, leasing of vehicles </w:t>
            </w:r>
            <w:r w:rsidR="004C2F9A" w:rsidRPr="00E50FA4">
              <w:rPr>
                <w:rFonts w:ascii="Times New Roman" w:eastAsia="Times New Roman" w:hAnsi="Times New Roman" w:cs="Times New Roman"/>
                <w:noProof/>
                <w:sz w:val="24"/>
                <w:lang w:val="en-GB"/>
              </w:rPr>
              <w:t xml:space="preserve">in accordance with Section 6.5 of Annex I to </w:t>
            </w:r>
            <w:r w:rsidR="00987FAE" w:rsidRPr="00E50FA4">
              <w:rPr>
                <w:rFonts w:ascii="Times New Roman" w:eastAsia="Times New Roman" w:hAnsi="Times New Roman" w:cs="Times New Roman"/>
                <w:bCs/>
                <w:noProof/>
                <w:sz w:val="24"/>
                <w:lang w:val="en-GB"/>
              </w:rPr>
              <w:t>Delegated Regulation (EU) 2021/2139</w:t>
            </w:r>
            <w:r w:rsidR="003A0211" w:rsidRPr="00E50FA4">
              <w:rPr>
                <w:rFonts w:ascii="Times New Roman" w:eastAsia="Times New Roman" w:hAnsi="Times New Roman" w:cs="Times New Roman"/>
                <w:noProof/>
                <w:sz w:val="24"/>
                <w:lang w:val="en-GB"/>
              </w:rPr>
              <w:t>,</w:t>
            </w:r>
            <w:r w:rsidR="003A0211" w:rsidRPr="00E50FA4">
              <w:rPr>
                <w:rFonts w:ascii="Times New Roman" w:eastAsia="Times New Roman" w:hAnsi="Times New Roman" w:cs="Times New Roman"/>
                <w:bCs/>
                <w:noProof/>
                <w:sz w:val="24"/>
                <w:lang w:val="en-GB"/>
              </w:rPr>
              <w:t xml:space="preserve"> based on the energy efficiency of the underlying vehicle</w:t>
            </w:r>
            <w:r w:rsidR="004C2F9A" w:rsidRPr="00E50FA4">
              <w:rPr>
                <w:rFonts w:ascii="Times New Roman" w:eastAsia="Times New Roman" w:hAnsi="Times New Roman" w:cs="Times New Roman"/>
                <w:noProof/>
                <w:sz w:val="24"/>
                <w:lang w:val="en-GB"/>
              </w:rPr>
              <w:t>.</w:t>
            </w:r>
          </w:p>
        </w:tc>
      </w:tr>
      <w:tr w:rsidR="00A23F56" w:rsidRPr="00E50FA4" w14:paraId="57C299C9" w14:textId="77777777" w:rsidTr="00BA313D">
        <w:tc>
          <w:tcPr>
            <w:tcW w:w="1188" w:type="dxa"/>
            <w:tcBorders>
              <w:top w:val="single" w:sz="4" w:space="0" w:color="auto"/>
              <w:left w:val="single" w:sz="4" w:space="0" w:color="auto"/>
              <w:bottom w:val="single" w:sz="4" w:space="0" w:color="auto"/>
              <w:right w:val="single" w:sz="4" w:space="0" w:color="auto"/>
            </w:tcBorders>
          </w:tcPr>
          <w:p w14:paraId="336B4AAE" w14:textId="77777777" w:rsidR="00A23F56" w:rsidRPr="00E50FA4" w:rsidRDefault="00A23F56"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28</w:t>
            </w:r>
          </w:p>
        </w:tc>
        <w:tc>
          <w:tcPr>
            <w:tcW w:w="7879" w:type="dxa"/>
            <w:tcBorders>
              <w:top w:val="single" w:sz="4" w:space="0" w:color="auto"/>
              <w:left w:val="single" w:sz="4" w:space="0" w:color="auto"/>
              <w:bottom w:val="single" w:sz="4" w:space="0" w:color="auto"/>
              <w:right w:val="single" w:sz="4" w:space="0" w:color="auto"/>
            </w:tcBorders>
          </w:tcPr>
          <w:p w14:paraId="361CCD2D" w14:textId="77777777" w:rsidR="00A23F56" w:rsidRPr="00E50FA4" w:rsidRDefault="00A23F56"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Local governments financing</w:t>
            </w:r>
          </w:p>
          <w:p w14:paraId="09F81AA2" w14:textId="77777777" w:rsidR="00303A1A" w:rsidRPr="00E50FA4" w:rsidRDefault="00303A1A"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The addition of rows 29 and 30</w:t>
            </w:r>
            <w:r w:rsidR="00075EC1" w:rsidRPr="00E50FA4">
              <w:rPr>
                <w:rFonts w:ascii="Times New Roman" w:eastAsia="Times New Roman" w:hAnsi="Times New Roman" w:cs="Times New Roman"/>
                <w:noProof/>
                <w:sz w:val="24"/>
                <w:lang w:val="en-GB"/>
              </w:rPr>
              <w:t>.</w:t>
            </w:r>
          </w:p>
          <w:p w14:paraId="0E225FD1" w14:textId="77777777" w:rsidR="00A23F56" w:rsidRPr="00E50FA4" w:rsidRDefault="00A23F56" w:rsidP="00DA390D">
            <w:pPr>
              <w:spacing w:before="120" w:after="120"/>
              <w:jc w:val="both"/>
              <w:rPr>
                <w:rFonts w:ascii="Times New Roman" w:eastAsia="Times New Roman" w:hAnsi="Times New Roman" w:cs="Times New Roman"/>
                <w:b/>
                <w:noProof/>
                <w:sz w:val="24"/>
                <w:u w:val="single"/>
                <w:lang w:val="en-GB"/>
              </w:rPr>
            </w:pPr>
          </w:p>
        </w:tc>
      </w:tr>
      <w:tr w:rsidR="00E77292" w:rsidRPr="00E50FA4" w14:paraId="752A4964" w14:textId="77777777" w:rsidTr="00BA313D">
        <w:tc>
          <w:tcPr>
            <w:tcW w:w="1188" w:type="dxa"/>
            <w:tcBorders>
              <w:top w:val="single" w:sz="4" w:space="0" w:color="auto"/>
              <w:left w:val="single" w:sz="4" w:space="0" w:color="auto"/>
              <w:bottom w:val="single" w:sz="4" w:space="0" w:color="auto"/>
              <w:right w:val="single" w:sz="4" w:space="0" w:color="auto"/>
            </w:tcBorders>
          </w:tcPr>
          <w:p w14:paraId="5F928B16" w14:textId="77777777" w:rsidR="00E77292" w:rsidRPr="00E50FA4" w:rsidRDefault="009148AF"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29</w:t>
            </w:r>
          </w:p>
        </w:tc>
        <w:tc>
          <w:tcPr>
            <w:tcW w:w="7879" w:type="dxa"/>
            <w:tcBorders>
              <w:top w:val="single" w:sz="4" w:space="0" w:color="auto"/>
              <w:left w:val="single" w:sz="4" w:space="0" w:color="auto"/>
              <w:bottom w:val="single" w:sz="4" w:space="0" w:color="auto"/>
              <w:right w:val="single" w:sz="4" w:space="0" w:color="auto"/>
            </w:tcBorders>
          </w:tcPr>
          <w:p w14:paraId="13EEA762"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Housing </w:t>
            </w:r>
            <w:r w:rsidR="009148AF" w:rsidRPr="00E50FA4">
              <w:rPr>
                <w:rFonts w:ascii="Times New Roman" w:eastAsia="Times New Roman" w:hAnsi="Times New Roman" w:cs="Times New Roman"/>
                <w:b/>
                <w:noProof/>
                <w:sz w:val="24"/>
                <w:u w:val="single"/>
                <w:lang w:val="en-GB"/>
              </w:rPr>
              <w:t>financing</w:t>
            </w:r>
          </w:p>
          <w:p w14:paraId="45980CA7" w14:textId="3EC0E3D7" w:rsidR="00E77292" w:rsidRPr="00E50FA4" w:rsidRDefault="00BA4944">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 xml:space="preserve">Institutions </w:t>
            </w:r>
            <w:r w:rsidR="00DF1EF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w:t>
            </w:r>
            <w:r w:rsidRPr="00E50FA4">
              <w:rPr>
                <w:rFonts w:ascii="Times New Roman" w:eastAsia="Times New Roman" w:hAnsi="Times New Roman" w:cs="Times New Roman"/>
                <w:noProof/>
                <w:sz w:val="24"/>
                <w:lang w:val="en-GB"/>
              </w:rPr>
              <w:t xml:space="preserve">loans </w:t>
            </w:r>
            <w:r w:rsidR="00034BAB" w:rsidRPr="00E50FA4">
              <w:rPr>
                <w:rFonts w:ascii="Times New Roman" w:eastAsia="Times New Roman" w:hAnsi="Times New Roman" w:cs="Times New Roman"/>
                <w:noProof/>
                <w:sz w:val="24"/>
                <w:lang w:val="en-GB"/>
              </w:rPr>
              <w:t>granted by institutions to loc</w:t>
            </w:r>
            <w:r w:rsidR="0087068A" w:rsidRPr="00E50FA4">
              <w:rPr>
                <w:rFonts w:ascii="Times New Roman" w:eastAsia="Times New Roman" w:hAnsi="Times New Roman" w:cs="Times New Roman"/>
                <w:noProof/>
                <w:sz w:val="24"/>
                <w:lang w:val="en-GB"/>
              </w:rPr>
              <w:t>al government with the aim of fu</w:t>
            </w:r>
            <w:r w:rsidR="00034BAB" w:rsidRPr="00E50FA4">
              <w:rPr>
                <w:rFonts w:ascii="Times New Roman" w:eastAsia="Times New Roman" w:hAnsi="Times New Roman" w:cs="Times New Roman"/>
                <w:noProof/>
                <w:sz w:val="24"/>
                <w:lang w:val="en-GB"/>
              </w:rPr>
              <w:t xml:space="preserve">nding </w:t>
            </w:r>
            <w:r w:rsidR="00CD661F" w:rsidRPr="00E50FA4">
              <w:rPr>
                <w:rFonts w:ascii="Times New Roman" w:eastAsia="Times New Roman" w:hAnsi="Times New Roman" w:cs="Times New Roman"/>
                <w:noProof/>
                <w:sz w:val="24"/>
                <w:lang w:val="en-GB"/>
              </w:rPr>
              <w:t xml:space="preserve">the acquisition of </w:t>
            </w:r>
            <w:r w:rsidR="00266831" w:rsidRPr="00E50FA4">
              <w:rPr>
                <w:rFonts w:ascii="Times New Roman" w:eastAsia="Times New Roman" w:hAnsi="Times New Roman" w:cs="Times New Roman"/>
                <w:noProof/>
                <w:sz w:val="24"/>
                <w:lang w:val="en-GB"/>
              </w:rPr>
              <w:t>public housing</w:t>
            </w:r>
            <w:r w:rsidR="00034BAB" w:rsidRPr="00E50FA4">
              <w:rPr>
                <w:rFonts w:ascii="Times New Roman" w:eastAsia="Times New Roman" w:hAnsi="Times New Roman" w:cs="Times New Roman"/>
                <w:noProof/>
                <w:sz w:val="24"/>
                <w:lang w:val="en-GB"/>
              </w:rPr>
              <w:t>.</w:t>
            </w:r>
          </w:p>
        </w:tc>
      </w:tr>
      <w:tr w:rsidR="009148AF" w:rsidRPr="00E50FA4" w14:paraId="180869F4" w14:textId="77777777" w:rsidTr="00BA313D">
        <w:tc>
          <w:tcPr>
            <w:tcW w:w="1188" w:type="dxa"/>
            <w:tcBorders>
              <w:top w:val="single" w:sz="4" w:space="0" w:color="auto"/>
              <w:left w:val="single" w:sz="4" w:space="0" w:color="auto"/>
              <w:bottom w:val="single" w:sz="4" w:space="0" w:color="auto"/>
              <w:right w:val="single" w:sz="4" w:space="0" w:color="auto"/>
            </w:tcBorders>
          </w:tcPr>
          <w:p w14:paraId="724E82A7" w14:textId="77777777" w:rsidR="009148AF" w:rsidRPr="00E50FA4" w:rsidRDefault="009148AF"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30</w:t>
            </w:r>
          </w:p>
        </w:tc>
        <w:tc>
          <w:tcPr>
            <w:tcW w:w="7879" w:type="dxa"/>
            <w:tcBorders>
              <w:top w:val="single" w:sz="4" w:space="0" w:color="auto"/>
              <w:left w:val="single" w:sz="4" w:space="0" w:color="auto"/>
              <w:bottom w:val="single" w:sz="4" w:space="0" w:color="auto"/>
              <w:right w:val="single" w:sz="4" w:space="0" w:color="auto"/>
            </w:tcBorders>
          </w:tcPr>
          <w:p w14:paraId="48F72E4A" w14:textId="77777777" w:rsidR="009148AF" w:rsidRPr="00E50FA4" w:rsidRDefault="009148AF"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Other local government financing</w:t>
            </w:r>
          </w:p>
          <w:p w14:paraId="4DB79CD5" w14:textId="489B86DA" w:rsidR="009148AF" w:rsidRPr="00E50FA4" w:rsidDel="009148AF" w:rsidRDefault="00BA4944" w:rsidP="00AC69F0">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bidi="ne-NP"/>
              </w:rPr>
              <w:t xml:space="preserve">Institutions </w:t>
            </w:r>
            <w:r w:rsidR="00DF1EF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w:t>
            </w:r>
            <w:r w:rsidRPr="00E50FA4">
              <w:rPr>
                <w:rFonts w:ascii="Times New Roman" w:eastAsia="Times New Roman" w:hAnsi="Times New Roman" w:cs="Times New Roman"/>
                <w:noProof/>
                <w:sz w:val="24"/>
                <w:lang w:val="en-GB"/>
              </w:rPr>
              <w:t xml:space="preserve">loans </w:t>
            </w:r>
            <w:r w:rsidR="009148AF" w:rsidRPr="00E50FA4">
              <w:rPr>
                <w:rFonts w:ascii="Times New Roman" w:eastAsia="Times New Roman" w:hAnsi="Times New Roman" w:cs="Times New Roman"/>
                <w:noProof/>
                <w:sz w:val="24"/>
                <w:lang w:val="en-GB"/>
              </w:rPr>
              <w:t>granted by institutions to local government with the aim of funding</w:t>
            </w:r>
            <w:r w:rsidR="00CD661F" w:rsidRPr="00E50FA4">
              <w:rPr>
                <w:rFonts w:ascii="Times New Roman" w:eastAsia="Times New Roman" w:hAnsi="Times New Roman" w:cs="Times New Roman"/>
                <w:noProof/>
                <w:sz w:val="24"/>
                <w:lang w:val="en-GB"/>
              </w:rPr>
              <w:t xml:space="preserve"> specialised lending</w:t>
            </w:r>
            <w:r w:rsidR="009148AF" w:rsidRPr="00E50FA4">
              <w:rPr>
                <w:rFonts w:ascii="Times New Roman" w:eastAsia="Times New Roman" w:hAnsi="Times New Roman" w:cs="Times New Roman"/>
                <w:noProof/>
                <w:sz w:val="24"/>
                <w:lang w:val="en-GB"/>
              </w:rPr>
              <w:t xml:space="preserve"> </w:t>
            </w:r>
            <w:r w:rsidR="00E03C13" w:rsidRPr="00E50FA4">
              <w:rPr>
                <w:rFonts w:ascii="Times New Roman" w:eastAsia="Times New Roman" w:hAnsi="Times New Roman" w:cs="Times New Roman"/>
                <w:noProof/>
                <w:sz w:val="24"/>
                <w:lang w:val="en-GB"/>
              </w:rPr>
              <w:t xml:space="preserve">exposures </w:t>
            </w:r>
            <w:r w:rsidR="001530A1" w:rsidRPr="00E50FA4">
              <w:rPr>
                <w:rFonts w:ascii="Times New Roman" w:eastAsia="Times New Roman" w:hAnsi="Times New Roman" w:cs="Times New Roman"/>
                <w:noProof/>
                <w:sz w:val="24"/>
                <w:lang w:val="en-GB"/>
              </w:rPr>
              <w:t xml:space="preserve">other than </w:t>
            </w:r>
            <w:r w:rsidR="009148AF" w:rsidRPr="00E50FA4">
              <w:rPr>
                <w:rFonts w:ascii="Times New Roman" w:eastAsia="Times New Roman" w:hAnsi="Times New Roman" w:cs="Times New Roman"/>
                <w:noProof/>
                <w:sz w:val="24"/>
                <w:lang w:val="en-GB"/>
              </w:rPr>
              <w:t>th</w:t>
            </w:r>
            <w:r w:rsidR="0035622A" w:rsidRPr="00E50FA4">
              <w:rPr>
                <w:rFonts w:ascii="Times New Roman" w:eastAsia="Times New Roman" w:hAnsi="Times New Roman" w:cs="Times New Roman"/>
                <w:noProof/>
                <w:sz w:val="24"/>
                <w:lang w:val="en-GB"/>
              </w:rPr>
              <w:t>ose</w:t>
            </w:r>
            <w:r w:rsidR="009148AF" w:rsidRPr="00E50FA4">
              <w:rPr>
                <w:rFonts w:ascii="Times New Roman" w:eastAsia="Times New Roman" w:hAnsi="Times New Roman" w:cs="Times New Roman"/>
                <w:noProof/>
                <w:sz w:val="24"/>
                <w:lang w:val="en-GB"/>
              </w:rPr>
              <w:t xml:space="preserve"> </w:t>
            </w:r>
            <w:r w:rsidR="0035622A" w:rsidRPr="00E50FA4">
              <w:rPr>
                <w:rFonts w:ascii="Times New Roman" w:eastAsia="Times New Roman" w:hAnsi="Times New Roman" w:cs="Times New Roman"/>
                <w:noProof/>
                <w:sz w:val="24"/>
                <w:lang w:val="en-GB"/>
              </w:rPr>
              <w:t xml:space="preserve">resulting from </w:t>
            </w:r>
            <w:r w:rsidR="00CD661F" w:rsidRPr="00E50FA4">
              <w:rPr>
                <w:rFonts w:ascii="Times New Roman" w:eastAsia="Times New Roman" w:hAnsi="Times New Roman" w:cs="Times New Roman"/>
                <w:noProof/>
                <w:sz w:val="24"/>
                <w:lang w:val="en-GB"/>
              </w:rPr>
              <w:t>the acquisition</w:t>
            </w:r>
            <w:r w:rsidR="00266831" w:rsidRPr="00E50FA4">
              <w:rPr>
                <w:rFonts w:ascii="Times New Roman" w:eastAsia="Times New Roman" w:hAnsi="Times New Roman" w:cs="Times New Roman"/>
                <w:noProof/>
                <w:sz w:val="24"/>
                <w:lang w:val="en-GB"/>
              </w:rPr>
              <w:t xml:space="preserve"> </w:t>
            </w:r>
            <w:r w:rsidR="009148AF" w:rsidRPr="00D241F7">
              <w:rPr>
                <w:rFonts w:ascii="Times New Roman" w:eastAsia="Times New Roman" w:hAnsi="Times New Roman" w:cs="Times New Roman"/>
                <w:noProof/>
                <w:sz w:val="24"/>
                <w:lang w:val="en-GB"/>
              </w:rPr>
              <w:t xml:space="preserve">of </w:t>
            </w:r>
            <w:r w:rsidR="00266831" w:rsidRPr="00E50FA4">
              <w:rPr>
                <w:rFonts w:ascii="Times New Roman" w:eastAsia="Times New Roman" w:hAnsi="Times New Roman" w:cs="Times New Roman"/>
                <w:noProof/>
                <w:sz w:val="24"/>
                <w:lang w:val="en-GB"/>
              </w:rPr>
              <w:t>public housing</w:t>
            </w:r>
            <w:r w:rsidR="009148AF" w:rsidRPr="00E50FA4">
              <w:rPr>
                <w:rFonts w:ascii="Times New Roman" w:eastAsia="Times New Roman" w:hAnsi="Times New Roman" w:cs="Times New Roman"/>
                <w:noProof/>
                <w:sz w:val="24"/>
                <w:lang w:val="en-GB"/>
              </w:rPr>
              <w:t>.</w:t>
            </w:r>
          </w:p>
        </w:tc>
      </w:tr>
      <w:tr w:rsidR="00E77292" w:rsidRPr="00E50FA4" w14:paraId="24D4AAA0" w14:textId="77777777" w:rsidTr="00BA313D">
        <w:tc>
          <w:tcPr>
            <w:tcW w:w="1188" w:type="dxa"/>
            <w:tcBorders>
              <w:top w:val="single" w:sz="4" w:space="0" w:color="auto"/>
              <w:left w:val="single" w:sz="4" w:space="0" w:color="auto"/>
              <w:bottom w:val="single" w:sz="4" w:space="0" w:color="auto"/>
              <w:right w:val="single" w:sz="4" w:space="0" w:color="auto"/>
            </w:tcBorders>
          </w:tcPr>
          <w:p w14:paraId="15D56F90"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3</w:t>
            </w:r>
            <w:r w:rsidR="00F175F5" w:rsidRPr="00E50FA4">
              <w:rPr>
                <w:rFonts w:ascii="Times New Roman" w:eastAsia="Times New Roman" w:hAnsi="Times New Roman" w:cs="Times New Roman"/>
                <w:noProof/>
                <w:sz w:val="24"/>
                <w:lang w:val="en-GB"/>
              </w:rPr>
              <w:t>1</w:t>
            </w:r>
          </w:p>
        </w:tc>
        <w:tc>
          <w:tcPr>
            <w:tcW w:w="7879" w:type="dxa"/>
            <w:tcBorders>
              <w:top w:val="single" w:sz="4" w:space="0" w:color="auto"/>
              <w:left w:val="single" w:sz="4" w:space="0" w:color="auto"/>
              <w:bottom w:val="single" w:sz="4" w:space="0" w:color="auto"/>
              <w:right w:val="single" w:sz="4" w:space="0" w:color="auto"/>
            </w:tcBorders>
          </w:tcPr>
          <w:p w14:paraId="3825AA73"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Collateral obtained by taking possession: residential and commercial immovable properties</w:t>
            </w:r>
          </w:p>
          <w:p w14:paraId="1808CE07" w14:textId="41C4FED7" w:rsidR="00E77292" w:rsidRPr="00E50FA4" w:rsidRDefault="00BA4944" w:rsidP="0025458E">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 xml:space="preserve">Institutions </w:t>
            </w:r>
            <w:r w:rsidR="00DF1EFB" w:rsidRPr="00E50FA4">
              <w:rPr>
                <w:rFonts w:ascii="Times New Roman" w:eastAsia="Times New Roman" w:hAnsi="Times New Roman" w:cs="Times New Roman"/>
                <w:noProof/>
                <w:sz w:val="24"/>
                <w:lang w:val="en-GB" w:bidi="ne-NP"/>
              </w:rPr>
              <w:t>shall</w:t>
            </w:r>
            <w:r w:rsidRPr="00E50FA4">
              <w:rPr>
                <w:rFonts w:ascii="Times New Roman" w:eastAsia="Times New Roman" w:hAnsi="Times New Roman" w:cs="Times New Roman"/>
                <w:noProof/>
                <w:sz w:val="24"/>
                <w:lang w:val="en-GB" w:bidi="ne-NP"/>
              </w:rPr>
              <w:t xml:space="preserve"> disclose the </w:t>
            </w:r>
            <w:r w:rsidRPr="00E50FA4">
              <w:rPr>
                <w:rFonts w:ascii="Times New Roman" w:eastAsia="Times New Roman" w:hAnsi="Times New Roman" w:cs="Times New Roman"/>
                <w:noProof/>
                <w:sz w:val="24"/>
                <w:lang w:val="en-GB"/>
              </w:rPr>
              <w:t xml:space="preserve">collateral </w:t>
            </w:r>
            <w:r w:rsidR="000F4C0C" w:rsidRPr="00E50FA4">
              <w:rPr>
                <w:rFonts w:ascii="Times New Roman" w:eastAsia="Times New Roman" w:hAnsi="Times New Roman" w:cs="Times New Roman"/>
                <w:noProof/>
                <w:sz w:val="24"/>
                <w:lang w:val="en-GB"/>
              </w:rPr>
              <w:t xml:space="preserve">obtained by taking possession as </w:t>
            </w:r>
            <w:r w:rsidR="00A947C1" w:rsidRPr="00E50FA4">
              <w:rPr>
                <w:rFonts w:ascii="Times New Roman" w:eastAsia="Times New Roman" w:hAnsi="Times New Roman" w:cs="Times New Roman"/>
                <w:noProof/>
                <w:sz w:val="24"/>
                <w:lang w:val="en-GB"/>
              </w:rPr>
              <w:t xml:space="preserve">referred to </w:t>
            </w:r>
            <w:r w:rsidR="000F4C0C" w:rsidRPr="00E50FA4">
              <w:rPr>
                <w:rFonts w:ascii="Times New Roman" w:eastAsia="Times New Roman" w:hAnsi="Times New Roman" w:cs="Times New Roman"/>
                <w:noProof/>
                <w:sz w:val="24"/>
                <w:lang w:val="en-GB"/>
              </w:rPr>
              <w:t xml:space="preserve">in </w:t>
            </w:r>
            <w:r w:rsidR="00987FAE" w:rsidRPr="00E50FA4">
              <w:rPr>
                <w:rFonts w:ascii="Times New Roman" w:eastAsia="Times New Roman" w:hAnsi="Times New Roman" w:cs="Times New Roman"/>
                <w:noProof/>
                <w:sz w:val="24"/>
                <w:lang w:val="en-GB"/>
              </w:rPr>
              <w:t xml:space="preserve">Part 2, </w:t>
            </w:r>
            <w:r w:rsidR="0025458E" w:rsidRPr="00E50FA4">
              <w:rPr>
                <w:rFonts w:ascii="Times New Roman" w:eastAsia="Times New Roman" w:hAnsi="Times New Roman" w:cs="Times New Roman"/>
                <w:noProof/>
                <w:sz w:val="24"/>
                <w:lang w:val="en-GB"/>
              </w:rPr>
              <w:t xml:space="preserve">point </w:t>
            </w:r>
            <w:r w:rsidR="00E77292" w:rsidRPr="00E50FA4">
              <w:rPr>
                <w:rFonts w:ascii="Times New Roman" w:eastAsia="Times New Roman" w:hAnsi="Times New Roman" w:cs="Times New Roman"/>
                <w:noProof/>
                <w:sz w:val="24"/>
                <w:lang w:val="en-GB"/>
              </w:rPr>
              <w:t>341</w:t>
            </w:r>
            <w:r w:rsidR="00987FAE" w:rsidRPr="00E50FA4">
              <w:rPr>
                <w:rFonts w:ascii="Times New Roman" w:eastAsia="Times New Roman" w:hAnsi="Times New Roman" w:cs="Times New Roman"/>
                <w:noProof/>
                <w:sz w:val="24"/>
                <w:lang w:val="en-GB"/>
              </w:rPr>
              <w:t>,</w:t>
            </w:r>
            <w:r w:rsidR="00E77292" w:rsidRPr="00E50FA4">
              <w:rPr>
                <w:rFonts w:ascii="Times New Roman" w:eastAsia="Times New Roman" w:hAnsi="Times New Roman" w:cs="Times New Roman"/>
                <w:noProof/>
                <w:sz w:val="24"/>
                <w:lang w:val="en-GB"/>
              </w:rPr>
              <w:t xml:space="preserve"> of Annex V to Implementing Regulation (EU) </w:t>
            </w:r>
            <w:r w:rsidR="00303A1A" w:rsidRPr="00E50FA4">
              <w:rPr>
                <w:rFonts w:ascii="Times New Roman" w:eastAsia="Times New Roman" w:hAnsi="Times New Roman" w:cs="Times New Roman"/>
                <w:noProof/>
                <w:sz w:val="24"/>
                <w:lang w:val="en-GB"/>
              </w:rPr>
              <w:t>2021/451</w:t>
            </w:r>
            <w:r w:rsidR="00E77292" w:rsidRPr="00E50FA4">
              <w:rPr>
                <w:rFonts w:ascii="Times New Roman" w:eastAsia="Times New Roman" w:hAnsi="Times New Roman" w:cs="Times New Roman"/>
                <w:noProof/>
                <w:sz w:val="24"/>
                <w:lang w:val="en-GB"/>
              </w:rPr>
              <w:t>.</w:t>
            </w:r>
          </w:p>
        </w:tc>
      </w:tr>
      <w:tr w:rsidR="00E77292" w:rsidRPr="00E50FA4" w14:paraId="14262642" w14:textId="77777777" w:rsidTr="00BA313D">
        <w:tc>
          <w:tcPr>
            <w:tcW w:w="1188" w:type="dxa"/>
            <w:tcBorders>
              <w:top w:val="single" w:sz="4" w:space="0" w:color="auto"/>
              <w:left w:val="single" w:sz="4" w:space="0" w:color="auto"/>
              <w:bottom w:val="single" w:sz="4" w:space="0" w:color="auto"/>
              <w:right w:val="single" w:sz="4" w:space="0" w:color="auto"/>
            </w:tcBorders>
          </w:tcPr>
          <w:p w14:paraId="0DA28BED"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3</w:t>
            </w:r>
            <w:r w:rsidR="00F7497F" w:rsidRPr="00E50FA4">
              <w:rPr>
                <w:rFonts w:ascii="Times New Roman" w:eastAsia="Times New Roman" w:hAnsi="Times New Roman" w:cs="Times New Roman"/>
                <w:noProof/>
                <w:sz w:val="24"/>
                <w:lang w:val="en-GB"/>
              </w:rPr>
              <w:t>2</w:t>
            </w:r>
          </w:p>
        </w:tc>
        <w:tc>
          <w:tcPr>
            <w:tcW w:w="7879" w:type="dxa"/>
            <w:tcBorders>
              <w:top w:val="single" w:sz="4" w:space="0" w:color="auto"/>
              <w:left w:val="single" w:sz="4" w:space="0" w:color="auto"/>
              <w:bottom w:val="single" w:sz="4" w:space="0" w:color="auto"/>
              <w:right w:val="single" w:sz="4" w:space="0" w:color="auto"/>
            </w:tcBorders>
          </w:tcPr>
          <w:p w14:paraId="2FDEC7BC"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Total </w:t>
            </w:r>
            <w:r w:rsidR="00DE49EB" w:rsidRPr="00E50FA4">
              <w:rPr>
                <w:rFonts w:ascii="Times New Roman" w:eastAsia="Times New Roman" w:hAnsi="Times New Roman" w:cs="Times New Roman"/>
                <w:b/>
                <w:noProof/>
                <w:sz w:val="24"/>
                <w:u w:val="single"/>
                <w:lang w:val="en-GB"/>
              </w:rPr>
              <w:t xml:space="preserve">GAR </w:t>
            </w:r>
            <w:r w:rsidRPr="00E50FA4">
              <w:rPr>
                <w:rFonts w:ascii="Times New Roman" w:eastAsia="Times New Roman" w:hAnsi="Times New Roman" w:cs="Times New Roman"/>
                <w:b/>
                <w:noProof/>
                <w:sz w:val="24"/>
                <w:u w:val="single"/>
                <w:lang w:val="en-GB"/>
              </w:rPr>
              <w:t>assets</w:t>
            </w:r>
          </w:p>
          <w:p w14:paraId="10A13976" w14:textId="77777777" w:rsidR="00E77292" w:rsidRPr="00E50FA4" w:rsidRDefault="00E77292"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This row shall be </w:t>
            </w:r>
            <w:r w:rsidR="00DE49EB" w:rsidRPr="00E50FA4">
              <w:rPr>
                <w:rFonts w:ascii="Times New Roman" w:eastAsia="Times New Roman" w:hAnsi="Times New Roman" w:cs="Times New Roman"/>
                <w:noProof/>
                <w:sz w:val="24"/>
                <w:lang w:val="en-GB"/>
              </w:rPr>
              <w:t xml:space="preserve">equal to </w:t>
            </w:r>
            <w:r w:rsidRPr="00E50FA4">
              <w:rPr>
                <w:rFonts w:ascii="Times New Roman" w:eastAsia="Times New Roman" w:hAnsi="Times New Roman" w:cs="Times New Roman"/>
                <w:noProof/>
                <w:sz w:val="24"/>
                <w:lang w:val="en-GB"/>
              </w:rPr>
              <w:t>row</w:t>
            </w:r>
            <w:r w:rsidR="00DE49EB" w:rsidRPr="00E50FA4">
              <w:rPr>
                <w:rFonts w:ascii="Times New Roman" w:eastAsia="Times New Roman" w:hAnsi="Times New Roman" w:cs="Times New Roman"/>
                <w:noProof/>
                <w:sz w:val="24"/>
                <w:lang w:val="en-GB"/>
              </w:rPr>
              <w:t xml:space="preserve"> 1</w:t>
            </w:r>
            <w:r w:rsidR="00B267D3" w:rsidRPr="00E50FA4">
              <w:rPr>
                <w:rFonts w:ascii="Times New Roman" w:eastAsia="Times New Roman" w:hAnsi="Times New Roman" w:cs="Times New Roman"/>
                <w:noProof/>
                <w:sz w:val="24"/>
                <w:lang w:val="en-GB"/>
              </w:rPr>
              <w:t xml:space="preserve"> of this template.</w:t>
            </w:r>
          </w:p>
        </w:tc>
      </w:tr>
      <w:tr w:rsidR="00CD133B" w:rsidRPr="00E50FA4" w14:paraId="6B02C8AB" w14:textId="77777777" w:rsidTr="00BA313D">
        <w:tc>
          <w:tcPr>
            <w:tcW w:w="1188" w:type="dxa"/>
            <w:tcBorders>
              <w:top w:val="single" w:sz="4" w:space="0" w:color="auto"/>
              <w:left w:val="single" w:sz="4" w:space="0" w:color="auto"/>
              <w:bottom w:val="single" w:sz="4" w:space="0" w:color="auto"/>
              <w:right w:val="single" w:sz="4" w:space="0" w:color="auto"/>
            </w:tcBorders>
          </w:tcPr>
          <w:p w14:paraId="169662E8" w14:textId="77777777" w:rsidR="00CD133B" w:rsidRPr="00E50FA4" w:rsidRDefault="00CD133B" w:rsidP="00D35812">
            <w:pPr>
              <w:spacing w:before="120" w:after="120"/>
              <w:jc w:val="both"/>
              <w:rPr>
                <w:rFonts w:ascii="Times New Roman" w:eastAsia="Times New Roman" w:hAnsi="Times New Roman" w:cs="Times New Roman"/>
                <w:noProof/>
                <w:sz w:val="24"/>
                <w:lang w:val="en-GB"/>
              </w:rPr>
            </w:pPr>
          </w:p>
        </w:tc>
        <w:tc>
          <w:tcPr>
            <w:tcW w:w="7879" w:type="dxa"/>
            <w:tcBorders>
              <w:top w:val="single" w:sz="4" w:space="0" w:color="auto"/>
              <w:left w:val="single" w:sz="4" w:space="0" w:color="auto"/>
              <w:bottom w:val="single" w:sz="4" w:space="0" w:color="auto"/>
              <w:right w:val="single" w:sz="4" w:space="0" w:color="auto"/>
            </w:tcBorders>
          </w:tcPr>
          <w:p w14:paraId="225D2936" w14:textId="77777777" w:rsidR="001B151C" w:rsidRPr="00E50FA4" w:rsidRDefault="00CD133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Assets excluded from the numerator for GAR calculation (covered in the denominator) </w:t>
            </w:r>
          </w:p>
        </w:tc>
      </w:tr>
      <w:tr w:rsidR="00CD133B" w:rsidRPr="00E50FA4" w14:paraId="7A1EB4AE" w14:textId="77777777" w:rsidTr="00BA313D">
        <w:tc>
          <w:tcPr>
            <w:tcW w:w="1188" w:type="dxa"/>
            <w:tcBorders>
              <w:top w:val="single" w:sz="4" w:space="0" w:color="auto"/>
              <w:left w:val="single" w:sz="4" w:space="0" w:color="auto"/>
              <w:bottom w:val="single" w:sz="4" w:space="0" w:color="auto"/>
              <w:right w:val="single" w:sz="4" w:space="0" w:color="auto"/>
            </w:tcBorders>
          </w:tcPr>
          <w:p w14:paraId="64D92FF8" w14:textId="77777777" w:rsidR="00CD133B" w:rsidRPr="00E50FA4" w:rsidRDefault="00CD133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33</w:t>
            </w:r>
          </w:p>
        </w:tc>
        <w:tc>
          <w:tcPr>
            <w:tcW w:w="7879" w:type="dxa"/>
            <w:tcBorders>
              <w:top w:val="single" w:sz="4" w:space="0" w:color="auto"/>
              <w:left w:val="single" w:sz="4" w:space="0" w:color="auto"/>
              <w:bottom w:val="single" w:sz="4" w:space="0" w:color="auto"/>
              <w:right w:val="single" w:sz="4" w:space="0" w:color="auto"/>
            </w:tcBorders>
          </w:tcPr>
          <w:p w14:paraId="7B123400" w14:textId="77777777" w:rsidR="00CD133B" w:rsidRPr="00E50FA4" w:rsidRDefault="00CD133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EU Non-financial corporations (not subject to NFRD disclosure obligations)</w:t>
            </w:r>
          </w:p>
          <w:p w14:paraId="0461EE52" w14:textId="05CDE705" w:rsidR="00CD133B" w:rsidRPr="00E50FA4" w:rsidRDefault="00A947C1"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 xml:space="preserve">Institutions </w:t>
            </w:r>
            <w:r w:rsidR="00DF1EFB" w:rsidRPr="00E50FA4">
              <w:rPr>
                <w:rFonts w:ascii="Times New Roman" w:eastAsia="Times New Roman" w:hAnsi="Times New Roman" w:cs="Times New Roman"/>
                <w:noProof/>
                <w:sz w:val="24"/>
                <w:lang w:val="en-GB" w:bidi="ne-NP"/>
              </w:rPr>
              <w:t>shall</w:t>
            </w:r>
            <w:r w:rsidR="00BA4944" w:rsidRPr="00E50FA4">
              <w:rPr>
                <w:rFonts w:ascii="Times New Roman" w:eastAsia="Times New Roman" w:hAnsi="Times New Roman" w:cs="Times New Roman"/>
                <w:noProof/>
                <w:sz w:val="24"/>
                <w:lang w:val="en-GB" w:bidi="ne-NP"/>
              </w:rPr>
              <w:t xml:space="preserve"> </w:t>
            </w:r>
            <w:r w:rsidRPr="00E50FA4">
              <w:rPr>
                <w:rFonts w:ascii="Times New Roman" w:eastAsia="Times New Roman" w:hAnsi="Times New Roman" w:cs="Times New Roman"/>
                <w:noProof/>
                <w:sz w:val="24"/>
                <w:lang w:val="en-GB" w:bidi="ne-NP"/>
              </w:rPr>
              <w:t>disclose e</w:t>
            </w:r>
            <w:r w:rsidR="00CD133B" w:rsidRPr="00E50FA4">
              <w:rPr>
                <w:rFonts w:ascii="Times New Roman" w:eastAsia="Times New Roman" w:hAnsi="Times New Roman" w:cs="Times New Roman"/>
                <w:noProof/>
                <w:sz w:val="24"/>
                <w:lang w:val="en-GB" w:bidi="ne-NP"/>
              </w:rPr>
              <w:t xml:space="preserve">xposures to non-financial corporation as defined in </w:t>
            </w:r>
            <w:r w:rsidR="00987FAE" w:rsidRPr="00E50FA4">
              <w:rPr>
                <w:rFonts w:ascii="Times New Roman" w:eastAsia="Times New Roman" w:hAnsi="Times New Roman" w:cs="Times New Roman"/>
                <w:noProof/>
                <w:sz w:val="24"/>
                <w:lang w:val="en-GB" w:bidi="ne-NP"/>
              </w:rPr>
              <w:t xml:space="preserve">Part 1, </w:t>
            </w:r>
            <w:r w:rsidR="005D65F6" w:rsidRPr="00E50FA4">
              <w:rPr>
                <w:rFonts w:ascii="Times New Roman" w:eastAsia="Times New Roman" w:hAnsi="Times New Roman" w:cs="Times New Roman"/>
                <w:noProof/>
                <w:sz w:val="24"/>
                <w:lang w:val="en-GB" w:bidi="ne-NP"/>
              </w:rPr>
              <w:t>point </w:t>
            </w:r>
            <w:r w:rsidR="00987FAE" w:rsidRPr="00E50FA4">
              <w:rPr>
                <w:rFonts w:ascii="Times New Roman" w:eastAsia="Times New Roman" w:hAnsi="Times New Roman" w:cs="Times New Roman"/>
                <w:noProof/>
                <w:sz w:val="24"/>
                <w:lang w:val="en-GB" w:bidi="ne-NP"/>
              </w:rPr>
              <w:t>42</w:t>
            </w:r>
            <w:r w:rsidR="005D65F6" w:rsidRPr="00E50FA4">
              <w:rPr>
                <w:rFonts w:ascii="Times New Roman" w:eastAsia="Times New Roman" w:hAnsi="Times New Roman" w:cs="Times New Roman"/>
                <w:noProof/>
                <w:sz w:val="24"/>
                <w:lang w:val="en-GB" w:bidi="ne-NP"/>
              </w:rPr>
              <w:t>(e)</w:t>
            </w:r>
            <w:r w:rsidR="00B76863" w:rsidRPr="00E50FA4">
              <w:rPr>
                <w:rFonts w:ascii="Times New Roman" w:eastAsia="Times New Roman" w:hAnsi="Times New Roman" w:cs="Times New Roman"/>
                <w:noProof/>
                <w:sz w:val="24"/>
                <w:lang w:val="en-GB" w:bidi="ne-NP"/>
              </w:rPr>
              <w:t>, of</w:t>
            </w:r>
            <w:r w:rsidR="00CD133B" w:rsidRPr="00E50FA4">
              <w:rPr>
                <w:rFonts w:ascii="Times New Roman" w:eastAsia="Times New Roman" w:hAnsi="Times New Roman" w:cs="Times New Roman"/>
                <w:noProof/>
                <w:sz w:val="24"/>
                <w:lang w:val="en-GB" w:bidi="ne-NP"/>
              </w:rPr>
              <w:t xml:space="preserve"> Annex V to Implementing Regulation (EU) </w:t>
            </w:r>
            <w:r w:rsidR="00303A1A" w:rsidRPr="00E50FA4">
              <w:rPr>
                <w:rFonts w:ascii="Times New Roman" w:eastAsia="Times New Roman" w:hAnsi="Times New Roman" w:cs="Times New Roman"/>
                <w:noProof/>
                <w:sz w:val="24"/>
                <w:lang w:val="en-GB"/>
              </w:rPr>
              <w:t>2021/451</w:t>
            </w:r>
            <w:r w:rsidR="00CD133B" w:rsidRPr="00E50FA4">
              <w:rPr>
                <w:rFonts w:ascii="Times New Roman" w:eastAsia="Times New Roman" w:hAnsi="Times New Roman" w:cs="Times New Roman"/>
                <w:noProof/>
                <w:sz w:val="24"/>
                <w:lang w:val="en-GB"/>
              </w:rPr>
              <w:t>, which are located in the U</w:t>
            </w:r>
            <w:r w:rsidR="00987FAE" w:rsidRPr="00E50FA4">
              <w:rPr>
                <w:rFonts w:ascii="Times New Roman" w:eastAsia="Times New Roman" w:hAnsi="Times New Roman" w:cs="Times New Roman"/>
                <w:noProof/>
                <w:sz w:val="24"/>
                <w:lang w:val="en-GB"/>
              </w:rPr>
              <w:t>nion</w:t>
            </w:r>
            <w:r w:rsidR="00CD133B" w:rsidRPr="00E50FA4">
              <w:rPr>
                <w:rFonts w:ascii="Times New Roman" w:eastAsia="Times New Roman" w:hAnsi="Times New Roman" w:cs="Times New Roman"/>
                <w:noProof/>
                <w:sz w:val="24"/>
                <w:lang w:val="en-GB"/>
              </w:rPr>
              <w:t xml:space="preserve"> and not subject to disclosure obligations under Directive 2014/95/EU.</w:t>
            </w:r>
          </w:p>
          <w:p w14:paraId="3C007F41" w14:textId="77777777" w:rsidR="001B151C" w:rsidRPr="00E50FA4" w:rsidRDefault="001B151C" w:rsidP="002812BA">
            <w:pPr>
              <w:spacing w:before="120" w:after="120"/>
              <w:jc w:val="both"/>
              <w:rPr>
                <w:rFonts w:ascii="Times New Roman" w:eastAsia="Times New Roman" w:hAnsi="Times New Roman" w:cs="Times New Roman"/>
                <w:b/>
                <w:noProof/>
                <w:sz w:val="24"/>
                <w:lang w:val="en-GB"/>
              </w:rPr>
            </w:pPr>
          </w:p>
        </w:tc>
      </w:tr>
      <w:tr w:rsidR="00E132E7" w:rsidRPr="00E50FA4" w14:paraId="681DF2CD" w14:textId="77777777" w:rsidTr="00BA313D">
        <w:tc>
          <w:tcPr>
            <w:tcW w:w="1188" w:type="dxa"/>
            <w:tcBorders>
              <w:top w:val="single" w:sz="4" w:space="0" w:color="auto"/>
              <w:left w:val="single" w:sz="4" w:space="0" w:color="auto"/>
              <w:bottom w:val="single" w:sz="4" w:space="0" w:color="auto"/>
              <w:right w:val="single" w:sz="4" w:space="0" w:color="auto"/>
            </w:tcBorders>
          </w:tcPr>
          <w:p w14:paraId="07066FC6" w14:textId="77777777" w:rsidR="00E132E7" w:rsidRPr="00E50FA4" w:rsidRDefault="00E132E7"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3</w:t>
            </w:r>
            <w:r w:rsidR="003F07A6" w:rsidRPr="00E50FA4">
              <w:rPr>
                <w:rFonts w:ascii="Times New Roman" w:eastAsia="Times New Roman" w:hAnsi="Times New Roman" w:cs="Times New Roman"/>
                <w:noProof/>
                <w:sz w:val="24"/>
                <w:lang w:val="en-GB"/>
              </w:rPr>
              <w:t>7</w:t>
            </w:r>
          </w:p>
        </w:tc>
        <w:tc>
          <w:tcPr>
            <w:tcW w:w="7879" w:type="dxa"/>
            <w:tcBorders>
              <w:top w:val="single" w:sz="4" w:space="0" w:color="auto"/>
              <w:left w:val="single" w:sz="4" w:space="0" w:color="auto"/>
              <w:bottom w:val="single" w:sz="4" w:space="0" w:color="auto"/>
              <w:right w:val="single" w:sz="4" w:space="0" w:color="auto"/>
            </w:tcBorders>
          </w:tcPr>
          <w:p w14:paraId="1CFABC73" w14:textId="77777777" w:rsidR="00E132E7" w:rsidRPr="00E50FA4" w:rsidRDefault="00E132E7" w:rsidP="00E132E7">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Non-EU Non-financial corporations (not subject to NFRD disclosure obligations)</w:t>
            </w:r>
          </w:p>
          <w:p w14:paraId="5A1C401F" w14:textId="7BD3A9B5" w:rsidR="00E132E7" w:rsidRPr="00E50FA4" w:rsidRDefault="00A947C1" w:rsidP="00E132E7">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 xml:space="preserve">Institutions </w:t>
            </w:r>
            <w:r w:rsidR="00BF0EC4" w:rsidRPr="00E50FA4">
              <w:rPr>
                <w:rFonts w:ascii="Times New Roman" w:eastAsia="Times New Roman" w:hAnsi="Times New Roman" w:cs="Times New Roman"/>
                <w:noProof/>
                <w:sz w:val="24"/>
                <w:lang w:val="en-GB" w:bidi="ne-NP"/>
              </w:rPr>
              <w:t>shall</w:t>
            </w:r>
            <w:r w:rsidR="00BA4944" w:rsidRPr="00E50FA4">
              <w:rPr>
                <w:rFonts w:ascii="Times New Roman" w:eastAsia="Times New Roman" w:hAnsi="Times New Roman" w:cs="Times New Roman"/>
                <w:noProof/>
                <w:sz w:val="24"/>
                <w:lang w:val="en-GB" w:bidi="ne-NP"/>
              </w:rPr>
              <w:t xml:space="preserve"> </w:t>
            </w:r>
            <w:r w:rsidRPr="00E50FA4">
              <w:rPr>
                <w:rFonts w:ascii="Times New Roman" w:eastAsia="Times New Roman" w:hAnsi="Times New Roman" w:cs="Times New Roman"/>
                <w:noProof/>
                <w:sz w:val="24"/>
                <w:lang w:val="en-GB" w:bidi="ne-NP"/>
              </w:rPr>
              <w:t>disclose e</w:t>
            </w:r>
            <w:r w:rsidR="00E132E7" w:rsidRPr="00E50FA4">
              <w:rPr>
                <w:rFonts w:ascii="Times New Roman" w:eastAsia="Times New Roman" w:hAnsi="Times New Roman" w:cs="Times New Roman"/>
                <w:noProof/>
                <w:sz w:val="24"/>
                <w:lang w:val="en-GB" w:bidi="ne-NP"/>
              </w:rPr>
              <w:t xml:space="preserve">xposures to non-financial corporation as defined in </w:t>
            </w:r>
            <w:r w:rsidR="005D65F6" w:rsidRPr="00E50FA4">
              <w:rPr>
                <w:rFonts w:ascii="Times New Roman" w:eastAsia="Times New Roman" w:hAnsi="Times New Roman" w:cs="Times New Roman"/>
                <w:noProof/>
                <w:sz w:val="24"/>
                <w:lang w:val="en-GB" w:bidi="ne-NP"/>
              </w:rPr>
              <w:t xml:space="preserve">Part 1, </w:t>
            </w:r>
            <w:r w:rsidR="00E132E7" w:rsidRPr="00E50FA4">
              <w:rPr>
                <w:rFonts w:ascii="Times New Roman" w:eastAsia="Times New Roman" w:hAnsi="Times New Roman" w:cs="Times New Roman"/>
                <w:noProof/>
                <w:sz w:val="24"/>
                <w:lang w:val="en-GB" w:bidi="ne-NP"/>
              </w:rPr>
              <w:t xml:space="preserve">point </w:t>
            </w:r>
            <w:r w:rsidR="005D65F6" w:rsidRPr="00E50FA4">
              <w:rPr>
                <w:rFonts w:ascii="Times New Roman" w:eastAsia="Times New Roman" w:hAnsi="Times New Roman" w:cs="Times New Roman"/>
                <w:noProof/>
                <w:sz w:val="24"/>
                <w:lang w:val="en-GB" w:bidi="ne-NP"/>
              </w:rPr>
              <w:t>42</w:t>
            </w:r>
            <w:r w:rsidR="00E132E7" w:rsidRPr="00E50FA4">
              <w:rPr>
                <w:rFonts w:ascii="Times New Roman" w:eastAsia="Times New Roman" w:hAnsi="Times New Roman" w:cs="Times New Roman"/>
                <w:noProof/>
                <w:sz w:val="24"/>
                <w:lang w:val="en-GB" w:bidi="ne-NP"/>
              </w:rPr>
              <w:t>(e</w:t>
            </w:r>
            <w:r w:rsidR="00B76863" w:rsidRPr="00E50FA4">
              <w:rPr>
                <w:rFonts w:ascii="Times New Roman" w:eastAsia="Times New Roman" w:hAnsi="Times New Roman" w:cs="Times New Roman"/>
                <w:noProof/>
                <w:sz w:val="24"/>
                <w:lang w:val="en-GB" w:bidi="ne-NP"/>
              </w:rPr>
              <w:t>) of</w:t>
            </w:r>
            <w:r w:rsidR="00E132E7" w:rsidRPr="00E50FA4">
              <w:rPr>
                <w:rFonts w:ascii="Times New Roman" w:eastAsia="Times New Roman" w:hAnsi="Times New Roman" w:cs="Times New Roman"/>
                <w:noProof/>
                <w:sz w:val="24"/>
                <w:lang w:val="en-GB" w:bidi="ne-NP"/>
              </w:rPr>
              <w:t xml:space="preserve"> Annex V to Implementing Regulation (EU) </w:t>
            </w:r>
            <w:r w:rsidR="00303A1A" w:rsidRPr="00E50FA4">
              <w:rPr>
                <w:rFonts w:ascii="Times New Roman" w:eastAsia="Times New Roman" w:hAnsi="Times New Roman" w:cs="Times New Roman"/>
                <w:noProof/>
                <w:sz w:val="24"/>
                <w:lang w:val="en-GB"/>
              </w:rPr>
              <w:t>2021/451</w:t>
            </w:r>
            <w:r w:rsidR="00E132E7" w:rsidRPr="00E50FA4">
              <w:rPr>
                <w:rFonts w:ascii="Times New Roman" w:eastAsia="Times New Roman" w:hAnsi="Times New Roman" w:cs="Times New Roman"/>
                <w:noProof/>
                <w:sz w:val="24"/>
                <w:lang w:val="en-GB"/>
              </w:rPr>
              <w:t>, which are located outside the U</w:t>
            </w:r>
            <w:r w:rsidR="00F6495D" w:rsidRPr="00E50FA4">
              <w:rPr>
                <w:rFonts w:ascii="Times New Roman" w:eastAsia="Times New Roman" w:hAnsi="Times New Roman" w:cs="Times New Roman"/>
                <w:noProof/>
                <w:sz w:val="24"/>
                <w:lang w:val="en-GB"/>
              </w:rPr>
              <w:t>nion</w:t>
            </w:r>
            <w:r w:rsidR="00E132E7" w:rsidRPr="00E50FA4">
              <w:rPr>
                <w:rFonts w:ascii="Times New Roman" w:eastAsia="Times New Roman" w:hAnsi="Times New Roman" w:cs="Times New Roman"/>
                <w:noProof/>
                <w:sz w:val="24"/>
                <w:lang w:val="en-GB"/>
              </w:rPr>
              <w:t xml:space="preserve"> and not subject to disclosure obligations under Directive 2014/95/EU.</w:t>
            </w:r>
          </w:p>
          <w:p w14:paraId="08D4D5E2" w14:textId="77777777" w:rsidR="001B151C" w:rsidRPr="00E50FA4" w:rsidRDefault="001B151C" w:rsidP="003F07A6">
            <w:pPr>
              <w:spacing w:before="120" w:after="120"/>
              <w:jc w:val="both"/>
              <w:rPr>
                <w:rFonts w:ascii="Times New Roman" w:eastAsia="Times New Roman" w:hAnsi="Times New Roman" w:cs="Times New Roman"/>
                <w:b/>
                <w:noProof/>
                <w:sz w:val="24"/>
                <w:u w:val="single"/>
                <w:lang w:val="en-GB"/>
              </w:rPr>
            </w:pPr>
          </w:p>
        </w:tc>
      </w:tr>
      <w:tr w:rsidR="00E132E7" w:rsidRPr="00E50FA4" w14:paraId="2E27891A" w14:textId="77777777" w:rsidTr="00BA313D">
        <w:tc>
          <w:tcPr>
            <w:tcW w:w="1188" w:type="dxa"/>
            <w:tcBorders>
              <w:top w:val="single" w:sz="4" w:space="0" w:color="auto"/>
              <w:left w:val="single" w:sz="4" w:space="0" w:color="auto"/>
              <w:bottom w:val="single" w:sz="4" w:space="0" w:color="auto"/>
              <w:right w:val="single" w:sz="4" w:space="0" w:color="auto"/>
            </w:tcBorders>
          </w:tcPr>
          <w:p w14:paraId="5FF8890C" w14:textId="77777777" w:rsidR="00E132E7" w:rsidRPr="00E50FA4" w:rsidRDefault="00E132E7" w:rsidP="00D35812">
            <w:pPr>
              <w:spacing w:before="120" w:after="120"/>
              <w:jc w:val="both"/>
              <w:rPr>
                <w:rFonts w:ascii="Times New Roman" w:eastAsia="Times New Roman" w:hAnsi="Times New Roman" w:cs="Times New Roman"/>
                <w:noProof/>
                <w:sz w:val="24"/>
                <w:lang w:val="en-GB"/>
              </w:rPr>
            </w:pPr>
          </w:p>
        </w:tc>
        <w:tc>
          <w:tcPr>
            <w:tcW w:w="7879" w:type="dxa"/>
            <w:tcBorders>
              <w:top w:val="single" w:sz="4" w:space="0" w:color="auto"/>
              <w:left w:val="single" w:sz="4" w:space="0" w:color="auto"/>
              <w:bottom w:val="single" w:sz="4" w:space="0" w:color="auto"/>
              <w:right w:val="single" w:sz="4" w:space="0" w:color="auto"/>
            </w:tcBorders>
          </w:tcPr>
          <w:p w14:paraId="5CAE84BF" w14:textId="77777777" w:rsidR="00E132E7" w:rsidRPr="00E50FA4" w:rsidRDefault="00E132E7" w:rsidP="00007009">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Assets excluded from the numerator for GAR (covered in the denominator)</w:t>
            </w:r>
          </w:p>
        </w:tc>
      </w:tr>
      <w:tr w:rsidR="003F07A6" w:rsidRPr="00E50FA4" w14:paraId="016FC652"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3DC36BA2" w14:textId="77777777" w:rsidR="003F07A6" w:rsidRPr="00E50FA4" w:rsidRDefault="003F07A6" w:rsidP="003F07A6">
            <w:pPr>
              <w:spacing w:before="120" w:after="120"/>
              <w:jc w:val="both"/>
              <w:rPr>
                <w:rFonts w:ascii="Times New Roman" w:eastAsia="Times New Roman" w:hAnsi="Times New Roman" w:cs="Times New Roman"/>
                <w:noProof/>
                <w:sz w:val="24"/>
                <w:lang w:val="en-GB"/>
              </w:rPr>
            </w:pPr>
            <w:r w:rsidRPr="00E50FA4">
              <w:rPr>
                <w:rFonts w:ascii="Calibri" w:hAnsi="Calibri" w:cs="Calibri"/>
                <w:noProof/>
                <w:szCs w:val="22"/>
              </w:rPr>
              <w:t>41</w:t>
            </w:r>
          </w:p>
        </w:tc>
        <w:tc>
          <w:tcPr>
            <w:tcW w:w="7879" w:type="dxa"/>
            <w:tcBorders>
              <w:top w:val="single" w:sz="4" w:space="0" w:color="auto"/>
              <w:left w:val="single" w:sz="4" w:space="0" w:color="auto"/>
              <w:bottom w:val="single" w:sz="4" w:space="0" w:color="auto"/>
              <w:right w:val="single" w:sz="4" w:space="0" w:color="auto"/>
            </w:tcBorders>
          </w:tcPr>
          <w:p w14:paraId="0D0500BE" w14:textId="77777777" w:rsidR="003F07A6" w:rsidRPr="00E50FA4" w:rsidRDefault="003F07A6" w:rsidP="003F07A6">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Derivatives</w:t>
            </w:r>
          </w:p>
          <w:p w14:paraId="13FA392A" w14:textId="395D1B05" w:rsidR="003F07A6" w:rsidRPr="00E50FA4" w:rsidRDefault="00A947C1" w:rsidP="00BF0EC4">
            <w:pPr>
              <w:spacing w:before="120" w:after="120"/>
              <w:jc w:val="both"/>
              <w:rPr>
                <w:rFonts w:ascii="Times New Roman" w:eastAsia="Times New Roman" w:hAnsi="Times New Roman" w:cs="Times New Roman"/>
                <w:bCs/>
                <w:noProof/>
                <w:sz w:val="24"/>
                <w:lang w:val="en-GB"/>
              </w:rPr>
            </w:pPr>
            <w:r w:rsidRPr="00E50FA4">
              <w:rPr>
                <w:rFonts w:ascii="Times New Roman" w:eastAsia="Times New Roman" w:hAnsi="Times New Roman" w:cs="Times New Roman"/>
                <w:noProof/>
                <w:sz w:val="24"/>
                <w:lang w:val="en-GB" w:bidi="ne-NP"/>
              </w:rPr>
              <w:t xml:space="preserve">Institutions </w:t>
            </w:r>
            <w:r w:rsidR="00BF0EC4" w:rsidRPr="00E50FA4">
              <w:rPr>
                <w:rFonts w:ascii="Times New Roman" w:eastAsia="Times New Roman" w:hAnsi="Times New Roman" w:cs="Times New Roman"/>
                <w:noProof/>
                <w:sz w:val="24"/>
                <w:lang w:val="en-GB" w:bidi="ne-NP"/>
              </w:rPr>
              <w:t>shall</w:t>
            </w:r>
            <w:r w:rsidR="00BA4944" w:rsidRPr="00E50FA4">
              <w:rPr>
                <w:rFonts w:ascii="Times New Roman" w:eastAsia="Times New Roman" w:hAnsi="Times New Roman" w:cs="Times New Roman"/>
                <w:noProof/>
                <w:sz w:val="24"/>
                <w:lang w:val="en-GB" w:bidi="ne-NP"/>
              </w:rPr>
              <w:t xml:space="preserve"> </w:t>
            </w:r>
            <w:r w:rsidRPr="00E50FA4">
              <w:rPr>
                <w:rFonts w:ascii="Times New Roman" w:eastAsia="Times New Roman" w:hAnsi="Times New Roman" w:cs="Times New Roman"/>
                <w:noProof/>
                <w:sz w:val="24"/>
                <w:lang w:val="en-GB" w:bidi="ne-NP"/>
              </w:rPr>
              <w:t xml:space="preserve">disclose </w:t>
            </w:r>
            <w:r w:rsidRPr="00E50FA4">
              <w:rPr>
                <w:rFonts w:ascii="Times New Roman" w:eastAsia="Times New Roman" w:hAnsi="Times New Roman" w:cs="Times New Roman"/>
                <w:bCs/>
                <w:noProof/>
                <w:sz w:val="24"/>
                <w:lang w:val="en-GB"/>
              </w:rPr>
              <w:t>d</w:t>
            </w:r>
            <w:r w:rsidR="003F07A6" w:rsidRPr="00E50FA4">
              <w:rPr>
                <w:rFonts w:ascii="Times New Roman" w:eastAsia="Times New Roman" w:hAnsi="Times New Roman" w:cs="Times New Roman"/>
                <w:bCs/>
                <w:noProof/>
                <w:sz w:val="24"/>
                <w:lang w:val="en-GB"/>
              </w:rPr>
              <w:t xml:space="preserve">erivatives not held for trading as </w:t>
            </w:r>
            <w:r w:rsidR="001D4928" w:rsidRPr="00E50FA4">
              <w:rPr>
                <w:rFonts w:ascii="Times New Roman" w:eastAsia="Times New Roman" w:hAnsi="Times New Roman" w:cs="Times New Roman"/>
                <w:bCs/>
                <w:noProof/>
                <w:sz w:val="24"/>
                <w:lang w:val="en-GB"/>
              </w:rPr>
              <w:t>referred to in</w:t>
            </w:r>
            <w:r w:rsidR="00BB3021" w:rsidRPr="00E50FA4">
              <w:rPr>
                <w:rFonts w:ascii="Times New Roman" w:eastAsia="Times New Roman" w:hAnsi="Times New Roman" w:cs="Times New Roman"/>
                <w:bCs/>
                <w:noProof/>
                <w:sz w:val="24"/>
                <w:lang w:val="en-GB"/>
              </w:rPr>
              <w:t xml:space="preserve"> </w:t>
            </w:r>
            <w:r w:rsidR="003E4DB5" w:rsidRPr="00E50FA4">
              <w:rPr>
                <w:rFonts w:ascii="Times New Roman" w:eastAsia="Times New Roman" w:hAnsi="Times New Roman" w:cs="Times New Roman"/>
                <w:bCs/>
                <w:noProof/>
                <w:sz w:val="24"/>
                <w:lang w:val="en-GB"/>
              </w:rPr>
              <w:t>Part 1, S</w:t>
            </w:r>
            <w:r w:rsidR="003F07A6" w:rsidRPr="00E50FA4">
              <w:rPr>
                <w:rFonts w:ascii="Times New Roman" w:eastAsia="Times New Roman" w:hAnsi="Times New Roman" w:cs="Times New Roman"/>
                <w:bCs/>
                <w:noProof/>
                <w:sz w:val="24"/>
                <w:lang w:val="en-GB"/>
              </w:rPr>
              <w:t xml:space="preserve">ection </w:t>
            </w:r>
            <w:r w:rsidR="003E4DB5" w:rsidRPr="00E50FA4">
              <w:rPr>
                <w:rFonts w:ascii="Times New Roman" w:eastAsia="Times New Roman" w:hAnsi="Times New Roman" w:cs="Times New Roman"/>
                <w:bCs/>
                <w:noProof/>
                <w:sz w:val="24"/>
                <w:lang w:val="en-GB"/>
              </w:rPr>
              <w:t xml:space="preserve">10, </w:t>
            </w:r>
            <w:r w:rsidR="003F07A6" w:rsidRPr="00E50FA4">
              <w:rPr>
                <w:rFonts w:ascii="Times New Roman" w:eastAsia="Times New Roman" w:hAnsi="Times New Roman" w:cs="Times New Roman"/>
                <w:bCs/>
                <w:noProof/>
                <w:sz w:val="24"/>
                <w:lang w:val="en-GB"/>
              </w:rPr>
              <w:t xml:space="preserve">of Annex V </w:t>
            </w:r>
            <w:r w:rsidR="003F07A6" w:rsidRPr="00E50FA4">
              <w:rPr>
                <w:rFonts w:ascii="Times New Roman" w:eastAsia="Times New Roman" w:hAnsi="Times New Roman" w:cs="Times New Roman"/>
                <w:noProof/>
                <w:sz w:val="24"/>
                <w:lang w:val="en-GB" w:bidi="ne-NP"/>
              </w:rPr>
              <w:t xml:space="preserve">to Implementing Regulation (EU) </w:t>
            </w:r>
            <w:r w:rsidR="003F07A6" w:rsidRPr="00E50FA4">
              <w:rPr>
                <w:rFonts w:ascii="Times New Roman" w:eastAsia="Times New Roman" w:hAnsi="Times New Roman" w:cs="Times New Roman"/>
                <w:noProof/>
                <w:sz w:val="24"/>
                <w:lang w:val="en-GB"/>
              </w:rPr>
              <w:t>2021/451.</w:t>
            </w:r>
          </w:p>
        </w:tc>
      </w:tr>
      <w:tr w:rsidR="003F07A6" w:rsidRPr="00E50FA4" w14:paraId="20DF1EE9"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3817E4E6" w14:textId="77777777" w:rsidR="003F07A6" w:rsidRPr="00E50FA4" w:rsidRDefault="003F07A6" w:rsidP="003F07A6">
            <w:pPr>
              <w:spacing w:before="120" w:after="120"/>
              <w:jc w:val="both"/>
              <w:rPr>
                <w:rFonts w:ascii="Times New Roman" w:eastAsia="Times New Roman" w:hAnsi="Times New Roman" w:cs="Times New Roman"/>
                <w:noProof/>
                <w:sz w:val="24"/>
                <w:lang w:val="en-GB"/>
              </w:rPr>
            </w:pPr>
            <w:r w:rsidRPr="00E50FA4">
              <w:rPr>
                <w:rFonts w:ascii="Calibri" w:hAnsi="Calibri" w:cs="Calibri"/>
                <w:noProof/>
                <w:szCs w:val="22"/>
              </w:rPr>
              <w:t>42</w:t>
            </w:r>
          </w:p>
        </w:tc>
        <w:tc>
          <w:tcPr>
            <w:tcW w:w="7879" w:type="dxa"/>
            <w:tcBorders>
              <w:top w:val="single" w:sz="4" w:space="0" w:color="auto"/>
              <w:left w:val="single" w:sz="4" w:space="0" w:color="auto"/>
              <w:bottom w:val="single" w:sz="4" w:space="0" w:color="auto"/>
              <w:right w:val="single" w:sz="4" w:space="0" w:color="auto"/>
            </w:tcBorders>
          </w:tcPr>
          <w:p w14:paraId="07B50C5F" w14:textId="77777777" w:rsidR="003F07A6" w:rsidRPr="00E50FA4" w:rsidRDefault="003F07A6" w:rsidP="003F07A6">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On demand interbank loans</w:t>
            </w:r>
          </w:p>
          <w:p w14:paraId="47A85C06" w14:textId="04D51BF9" w:rsidR="003F07A6" w:rsidRPr="00E50FA4" w:rsidRDefault="00A947C1" w:rsidP="00BF0EC4">
            <w:pPr>
              <w:spacing w:before="120" w:after="120"/>
              <w:jc w:val="both"/>
              <w:rPr>
                <w:rFonts w:ascii="Times New Roman" w:eastAsia="Times New Roman" w:hAnsi="Times New Roman" w:cs="Times New Roman"/>
                <w:bCs/>
                <w:noProof/>
                <w:sz w:val="24"/>
                <w:lang w:val="en-GB"/>
              </w:rPr>
            </w:pPr>
            <w:r w:rsidRPr="00E50FA4">
              <w:rPr>
                <w:rFonts w:ascii="Times New Roman" w:eastAsia="Times New Roman" w:hAnsi="Times New Roman" w:cs="Times New Roman"/>
                <w:noProof/>
                <w:sz w:val="24"/>
                <w:lang w:val="en-GB" w:bidi="ne-NP"/>
              </w:rPr>
              <w:t xml:space="preserve">Institutions </w:t>
            </w:r>
            <w:r w:rsidR="00BF0EC4" w:rsidRPr="00E50FA4">
              <w:rPr>
                <w:rFonts w:ascii="Times New Roman" w:eastAsia="Times New Roman" w:hAnsi="Times New Roman" w:cs="Times New Roman"/>
                <w:noProof/>
                <w:sz w:val="24"/>
                <w:lang w:val="en-GB" w:bidi="ne-NP"/>
              </w:rPr>
              <w:t>shall</w:t>
            </w:r>
            <w:r w:rsidR="00BA4944" w:rsidRPr="00E50FA4">
              <w:rPr>
                <w:rFonts w:ascii="Times New Roman" w:eastAsia="Times New Roman" w:hAnsi="Times New Roman" w:cs="Times New Roman"/>
                <w:noProof/>
                <w:sz w:val="24"/>
                <w:lang w:val="en-GB" w:bidi="ne-NP"/>
              </w:rPr>
              <w:t xml:space="preserve"> </w:t>
            </w:r>
            <w:r w:rsidRPr="00E50FA4">
              <w:rPr>
                <w:rFonts w:ascii="Times New Roman" w:eastAsia="Times New Roman" w:hAnsi="Times New Roman" w:cs="Times New Roman"/>
                <w:noProof/>
                <w:sz w:val="24"/>
                <w:lang w:val="en-GB" w:bidi="ne-NP"/>
              </w:rPr>
              <w:t xml:space="preserve">disclose </w:t>
            </w:r>
            <w:r w:rsidR="003F07A6" w:rsidRPr="00E50FA4">
              <w:rPr>
                <w:rFonts w:ascii="Times New Roman" w:eastAsia="Times New Roman" w:hAnsi="Times New Roman" w:cs="Times New Roman"/>
                <w:bCs/>
                <w:noProof/>
                <w:sz w:val="24"/>
                <w:lang w:val="en-GB"/>
              </w:rPr>
              <w:t>‘</w:t>
            </w:r>
            <w:r w:rsidR="003F07A6" w:rsidRPr="00E50FA4">
              <w:rPr>
                <w:rFonts w:ascii="Times New Roman" w:eastAsia="Times New Roman" w:hAnsi="Times New Roman" w:cs="Times New Roman"/>
                <w:noProof/>
                <w:sz w:val="24"/>
                <w:lang w:val="en-GB"/>
              </w:rPr>
              <w:t xml:space="preserve">Other demand deposits’ as </w:t>
            </w:r>
            <w:r w:rsidR="00BB3021" w:rsidRPr="00E50FA4">
              <w:rPr>
                <w:rFonts w:ascii="Times New Roman" w:eastAsia="Times New Roman" w:hAnsi="Times New Roman" w:cs="Times New Roman"/>
                <w:noProof/>
                <w:sz w:val="24"/>
                <w:lang w:val="en-GB"/>
              </w:rPr>
              <w:t xml:space="preserve">referred </w:t>
            </w:r>
            <w:r w:rsidR="003F07A6" w:rsidRPr="00E50FA4">
              <w:rPr>
                <w:rFonts w:ascii="Times New Roman" w:eastAsia="Times New Roman" w:hAnsi="Times New Roman" w:cs="Times New Roman"/>
                <w:noProof/>
                <w:sz w:val="24"/>
                <w:lang w:val="en-GB"/>
              </w:rPr>
              <w:t xml:space="preserve">in </w:t>
            </w:r>
            <w:r w:rsidR="00BB3021" w:rsidRPr="00E50FA4">
              <w:rPr>
                <w:rFonts w:ascii="Times New Roman" w:eastAsia="Times New Roman" w:hAnsi="Times New Roman" w:cs="Times New Roman"/>
                <w:noProof/>
                <w:sz w:val="24"/>
                <w:lang w:val="en-GB"/>
              </w:rPr>
              <w:t xml:space="preserve">to </w:t>
            </w:r>
            <w:r w:rsidR="003E4DB5" w:rsidRPr="00E50FA4">
              <w:rPr>
                <w:rFonts w:ascii="Times New Roman" w:eastAsia="Times New Roman" w:hAnsi="Times New Roman" w:cs="Times New Roman"/>
                <w:noProof/>
                <w:sz w:val="24"/>
                <w:lang w:val="en-GB"/>
              </w:rPr>
              <w:t xml:space="preserve">Part 2, </w:t>
            </w:r>
            <w:r w:rsidR="005D65F6" w:rsidRPr="00E50FA4">
              <w:rPr>
                <w:rFonts w:ascii="Times New Roman" w:eastAsia="Times New Roman" w:hAnsi="Times New Roman" w:cs="Times New Roman"/>
                <w:noProof/>
                <w:sz w:val="24"/>
                <w:lang w:val="en-GB"/>
              </w:rPr>
              <w:t xml:space="preserve">point </w:t>
            </w:r>
            <w:r w:rsidR="003F07A6" w:rsidRPr="00E50FA4">
              <w:rPr>
                <w:rFonts w:ascii="Times New Roman" w:eastAsia="Times New Roman" w:hAnsi="Times New Roman" w:cs="Times New Roman"/>
                <w:noProof/>
                <w:sz w:val="24"/>
                <w:lang w:val="en-GB"/>
              </w:rPr>
              <w:t>3</w:t>
            </w:r>
            <w:r w:rsidR="003E4DB5" w:rsidRPr="00E50FA4">
              <w:rPr>
                <w:rFonts w:ascii="Times New Roman" w:eastAsia="Times New Roman" w:hAnsi="Times New Roman" w:cs="Times New Roman"/>
                <w:noProof/>
                <w:sz w:val="24"/>
                <w:lang w:val="en-GB"/>
              </w:rPr>
              <w:t>,</w:t>
            </w:r>
            <w:r w:rsidR="003F07A6" w:rsidRPr="00E50FA4">
              <w:rPr>
                <w:rFonts w:ascii="Times New Roman" w:eastAsia="Times New Roman" w:hAnsi="Times New Roman" w:cs="Times New Roman"/>
                <w:noProof/>
                <w:sz w:val="24"/>
                <w:lang w:val="en-GB"/>
              </w:rPr>
              <w:t xml:space="preserve"> of Annex V to Implementing Regulation (EU) 2021/451.</w:t>
            </w:r>
          </w:p>
        </w:tc>
      </w:tr>
      <w:tr w:rsidR="003F07A6" w:rsidRPr="00E50FA4" w14:paraId="346A0848"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2AB1841F" w14:textId="77777777" w:rsidR="003F07A6" w:rsidRPr="00E50FA4" w:rsidRDefault="003F07A6" w:rsidP="003F07A6">
            <w:pPr>
              <w:spacing w:before="120" w:after="120"/>
              <w:jc w:val="both"/>
              <w:rPr>
                <w:rFonts w:ascii="Times New Roman" w:eastAsia="Times New Roman" w:hAnsi="Times New Roman" w:cs="Times New Roman"/>
                <w:noProof/>
                <w:sz w:val="24"/>
                <w:lang w:val="en-GB"/>
              </w:rPr>
            </w:pPr>
            <w:r w:rsidRPr="00E50FA4">
              <w:rPr>
                <w:rFonts w:ascii="Calibri" w:hAnsi="Calibri" w:cs="Calibri"/>
                <w:noProof/>
                <w:szCs w:val="22"/>
              </w:rPr>
              <w:t>43</w:t>
            </w:r>
          </w:p>
        </w:tc>
        <w:tc>
          <w:tcPr>
            <w:tcW w:w="7879" w:type="dxa"/>
            <w:tcBorders>
              <w:top w:val="single" w:sz="4" w:space="0" w:color="auto"/>
              <w:left w:val="single" w:sz="4" w:space="0" w:color="auto"/>
              <w:bottom w:val="single" w:sz="4" w:space="0" w:color="auto"/>
              <w:right w:val="single" w:sz="4" w:space="0" w:color="auto"/>
            </w:tcBorders>
          </w:tcPr>
          <w:p w14:paraId="77266AEE" w14:textId="77777777" w:rsidR="003F07A6" w:rsidRPr="00E50FA4" w:rsidRDefault="003F07A6" w:rsidP="003F07A6">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Cash and cash-related assets</w:t>
            </w:r>
          </w:p>
          <w:p w14:paraId="17E12C37" w14:textId="04329AEF" w:rsidR="003F07A6" w:rsidRPr="00E50FA4" w:rsidRDefault="00A947C1" w:rsidP="00BF0EC4">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bidi="ne-NP"/>
              </w:rPr>
              <w:t xml:space="preserve">Institutions </w:t>
            </w:r>
            <w:r w:rsidR="00BF0EC4" w:rsidRPr="00E50FA4">
              <w:rPr>
                <w:rFonts w:ascii="Times New Roman" w:eastAsia="Times New Roman" w:hAnsi="Times New Roman" w:cs="Times New Roman"/>
                <w:noProof/>
                <w:sz w:val="24"/>
                <w:lang w:val="en-GB" w:bidi="ne-NP"/>
              </w:rPr>
              <w:t>shall</w:t>
            </w:r>
            <w:r w:rsidR="00BA4944" w:rsidRPr="00E50FA4">
              <w:rPr>
                <w:rFonts w:ascii="Times New Roman" w:eastAsia="Times New Roman" w:hAnsi="Times New Roman" w:cs="Times New Roman"/>
                <w:noProof/>
                <w:sz w:val="24"/>
                <w:lang w:val="en-GB" w:bidi="ne-NP"/>
              </w:rPr>
              <w:t xml:space="preserve"> </w:t>
            </w:r>
            <w:r w:rsidRPr="00E50FA4">
              <w:rPr>
                <w:rFonts w:ascii="Times New Roman" w:eastAsia="Times New Roman" w:hAnsi="Times New Roman" w:cs="Times New Roman"/>
                <w:noProof/>
                <w:sz w:val="24"/>
                <w:lang w:val="en-GB" w:bidi="ne-NP"/>
              </w:rPr>
              <w:t xml:space="preserve">disclose </w:t>
            </w:r>
            <w:r w:rsidR="003F07A6" w:rsidRPr="00E50FA4">
              <w:rPr>
                <w:rFonts w:ascii="Times New Roman" w:eastAsia="Times New Roman" w:hAnsi="Times New Roman" w:cs="Times New Roman"/>
                <w:bCs/>
                <w:noProof/>
                <w:sz w:val="24"/>
                <w:u w:val="single"/>
                <w:lang w:val="en-GB"/>
              </w:rPr>
              <w:t>‘</w:t>
            </w:r>
            <w:r w:rsidR="003F07A6" w:rsidRPr="00E50FA4">
              <w:rPr>
                <w:rFonts w:ascii="Times New Roman" w:eastAsia="Times New Roman" w:hAnsi="Times New Roman" w:cs="Times New Roman"/>
                <w:noProof/>
                <w:sz w:val="24"/>
                <w:lang w:val="en-GB"/>
              </w:rPr>
              <w:t xml:space="preserve">Cash on hand’ as </w:t>
            </w:r>
            <w:r w:rsidR="001D4928" w:rsidRPr="00E50FA4">
              <w:rPr>
                <w:rFonts w:ascii="Times New Roman" w:eastAsia="Times New Roman" w:hAnsi="Times New Roman" w:cs="Times New Roman"/>
                <w:noProof/>
                <w:sz w:val="24"/>
                <w:lang w:val="en-GB"/>
              </w:rPr>
              <w:t>referred to in</w:t>
            </w:r>
            <w:r w:rsidR="00BB3021" w:rsidRPr="00E50FA4">
              <w:rPr>
                <w:rFonts w:ascii="Times New Roman" w:eastAsia="Times New Roman" w:hAnsi="Times New Roman" w:cs="Times New Roman"/>
                <w:noProof/>
                <w:sz w:val="24"/>
                <w:lang w:val="en-GB"/>
              </w:rPr>
              <w:t xml:space="preserve"> </w:t>
            </w:r>
            <w:r w:rsidR="003E4DB5" w:rsidRPr="00E50FA4">
              <w:rPr>
                <w:rFonts w:ascii="Times New Roman" w:eastAsia="Times New Roman" w:hAnsi="Times New Roman" w:cs="Times New Roman"/>
                <w:noProof/>
                <w:sz w:val="24"/>
                <w:lang w:val="en-GB"/>
              </w:rPr>
              <w:t xml:space="preserve">Part 2, </w:t>
            </w:r>
            <w:r w:rsidR="005D65F6" w:rsidRPr="00E50FA4">
              <w:rPr>
                <w:rFonts w:ascii="Times New Roman" w:eastAsia="Times New Roman" w:hAnsi="Times New Roman" w:cs="Times New Roman"/>
                <w:noProof/>
                <w:sz w:val="24"/>
                <w:lang w:val="en-GB"/>
              </w:rPr>
              <w:t xml:space="preserve">point </w:t>
            </w:r>
            <w:r w:rsidR="003F07A6" w:rsidRPr="00E50FA4">
              <w:rPr>
                <w:rFonts w:ascii="Times New Roman" w:eastAsia="Times New Roman" w:hAnsi="Times New Roman" w:cs="Times New Roman"/>
                <w:noProof/>
                <w:sz w:val="24"/>
                <w:lang w:val="en-GB"/>
              </w:rPr>
              <w:t>1</w:t>
            </w:r>
            <w:r w:rsidR="003E4DB5" w:rsidRPr="00E50FA4">
              <w:rPr>
                <w:rFonts w:ascii="Times New Roman" w:eastAsia="Times New Roman" w:hAnsi="Times New Roman" w:cs="Times New Roman"/>
                <w:noProof/>
                <w:sz w:val="24"/>
                <w:lang w:val="en-GB"/>
              </w:rPr>
              <w:t>,</w:t>
            </w:r>
            <w:r w:rsidR="003F07A6" w:rsidRPr="00E50FA4">
              <w:rPr>
                <w:rFonts w:ascii="Times New Roman" w:eastAsia="Times New Roman" w:hAnsi="Times New Roman" w:cs="Times New Roman"/>
                <w:noProof/>
                <w:sz w:val="24"/>
                <w:lang w:val="en-GB"/>
              </w:rPr>
              <w:t xml:space="preserve"> of Annex V to Implementing Regulation (EU) 2021/451.</w:t>
            </w:r>
          </w:p>
        </w:tc>
      </w:tr>
      <w:tr w:rsidR="003F07A6" w:rsidRPr="00E50FA4" w14:paraId="2F666C52"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62CC84E0" w14:textId="77777777" w:rsidR="003F07A6" w:rsidRPr="00E50FA4" w:rsidRDefault="003F07A6" w:rsidP="003F07A6">
            <w:pPr>
              <w:spacing w:before="120" w:after="120"/>
              <w:jc w:val="both"/>
              <w:rPr>
                <w:rFonts w:ascii="Times New Roman" w:eastAsia="Times New Roman" w:hAnsi="Times New Roman" w:cs="Times New Roman"/>
                <w:noProof/>
                <w:sz w:val="24"/>
                <w:lang w:val="en-GB"/>
              </w:rPr>
            </w:pPr>
            <w:r w:rsidRPr="00E50FA4">
              <w:rPr>
                <w:rFonts w:ascii="Calibri" w:hAnsi="Calibri" w:cs="Calibri"/>
                <w:noProof/>
                <w:szCs w:val="22"/>
              </w:rPr>
              <w:t>44</w:t>
            </w:r>
          </w:p>
        </w:tc>
        <w:tc>
          <w:tcPr>
            <w:tcW w:w="7879" w:type="dxa"/>
            <w:tcBorders>
              <w:top w:val="single" w:sz="4" w:space="0" w:color="auto"/>
              <w:left w:val="single" w:sz="4" w:space="0" w:color="auto"/>
              <w:bottom w:val="single" w:sz="4" w:space="0" w:color="auto"/>
              <w:right w:val="single" w:sz="4" w:space="0" w:color="auto"/>
            </w:tcBorders>
          </w:tcPr>
          <w:p w14:paraId="5B127398" w14:textId="246E84D7" w:rsidR="003F07A6" w:rsidRPr="00E50FA4" w:rsidRDefault="003F07A6" w:rsidP="003F07A6">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Other assets (</w:t>
            </w:r>
            <w:r w:rsidR="00596E1A" w:rsidRPr="00E50FA4">
              <w:rPr>
                <w:rFonts w:ascii="Times New Roman" w:eastAsia="Times New Roman" w:hAnsi="Times New Roman" w:cs="Times New Roman"/>
                <w:b/>
                <w:noProof/>
                <w:sz w:val="24"/>
                <w:u w:val="single"/>
                <w:lang w:val="en-GB"/>
              </w:rPr>
              <w:t>including</w:t>
            </w:r>
            <w:r w:rsidRPr="00E50FA4">
              <w:rPr>
                <w:rFonts w:ascii="Times New Roman" w:eastAsia="Times New Roman" w:hAnsi="Times New Roman" w:cs="Times New Roman"/>
                <w:b/>
                <w:noProof/>
                <w:sz w:val="24"/>
                <w:u w:val="single"/>
                <w:lang w:val="en-GB"/>
              </w:rPr>
              <w:t xml:space="preserve"> </w:t>
            </w:r>
            <w:r w:rsidR="00596E1A" w:rsidRPr="00E50FA4">
              <w:rPr>
                <w:rFonts w:ascii="Times New Roman" w:eastAsia="Times New Roman" w:hAnsi="Times New Roman" w:cs="Times New Roman"/>
                <w:b/>
                <w:noProof/>
                <w:sz w:val="24"/>
                <w:u w:val="single"/>
                <w:lang w:val="en-GB"/>
              </w:rPr>
              <w:t>g</w:t>
            </w:r>
            <w:r w:rsidRPr="00E50FA4">
              <w:rPr>
                <w:rFonts w:ascii="Times New Roman" w:eastAsia="Times New Roman" w:hAnsi="Times New Roman" w:cs="Times New Roman"/>
                <w:b/>
                <w:noProof/>
                <w:sz w:val="24"/>
                <w:u w:val="single"/>
                <w:lang w:val="en-GB"/>
              </w:rPr>
              <w:t>oodwill, commodities etc.)</w:t>
            </w:r>
          </w:p>
          <w:p w14:paraId="6DE96F79" w14:textId="5727A371" w:rsidR="003F07A6" w:rsidRPr="00E50FA4" w:rsidRDefault="00A947C1" w:rsidP="00E03C13">
            <w:pPr>
              <w:spacing w:before="120" w:after="120"/>
              <w:jc w:val="both"/>
              <w:rPr>
                <w:rFonts w:ascii="Times New Roman" w:eastAsia="Times New Roman" w:hAnsi="Times New Roman" w:cs="Times New Roman"/>
                <w:bCs/>
                <w:noProof/>
                <w:sz w:val="24"/>
                <w:lang w:val="en-GB"/>
              </w:rPr>
            </w:pPr>
            <w:r w:rsidRPr="00E50FA4">
              <w:rPr>
                <w:rFonts w:ascii="Times New Roman" w:eastAsia="Times New Roman" w:hAnsi="Times New Roman" w:cs="Times New Roman"/>
                <w:noProof/>
                <w:sz w:val="24"/>
                <w:lang w:val="en-GB" w:bidi="ne-NP"/>
              </w:rPr>
              <w:t xml:space="preserve">Institutions </w:t>
            </w:r>
            <w:r w:rsidR="00BF0EC4" w:rsidRPr="00E50FA4">
              <w:rPr>
                <w:rFonts w:ascii="Times New Roman" w:eastAsia="Times New Roman" w:hAnsi="Times New Roman" w:cs="Times New Roman"/>
                <w:noProof/>
                <w:sz w:val="24"/>
                <w:lang w:val="en-GB" w:bidi="ne-NP"/>
              </w:rPr>
              <w:t>shall</w:t>
            </w:r>
            <w:r w:rsidR="00BA4944" w:rsidRPr="00E50FA4">
              <w:rPr>
                <w:rFonts w:ascii="Times New Roman" w:eastAsia="Times New Roman" w:hAnsi="Times New Roman" w:cs="Times New Roman"/>
                <w:noProof/>
                <w:sz w:val="24"/>
                <w:lang w:val="en-GB" w:bidi="ne-NP"/>
              </w:rPr>
              <w:t xml:space="preserve"> </w:t>
            </w:r>
            <w:r w:rsidRPr="00E50FA4">
              <w:rPr>
                <w:rFonts w:ascii="Times New Roman" w:eastAsia="Times New Roman" w:hAnsi="Times New Roman" w:cs="Times New Roman"/>
                <w:noProof/>
                <w:sz w:val="24"/>
                <w:lang w:val="en-GB" w:bidi="ne-NP"/>
              </w:rPr>
              <w:t xml:space="preserve">disclose </w:t>
            </w:r>
            <w:r w:rsidRPr="00E50FA4">
              <w:rPr>
                <w:rFonts w:ascii="Times New Roman" w:eastAsia="Times New Roman" w:hAnsi="Times New Roman" w:cs="Times New Roman"/>
                <w:bCs/>
                <w:noProof/>
                <w:sz w:val="24"/>
                <w:lang w:val="en-GB"/>
              </w:rPr>
              <w:t>o</w:t>
            </w:r>
            <w:r w:rsidR="003F07A6" w:rsidRPr="00E50FA4">
              <w:rPr>
                <w:rFonts w:ascii="Times New Roman" w:eastAsia="Times New Roman" w:hAnsi="Times New Roman" w:cs="Times New Roman"/>
                <w:bCs/>
                <w:noProof/>
                <w:sz w:val="24"/>
                <w:lang w:val="en-GB"/>
              </w:rPr>
              <w:t xml:space="preserve">ther assets in the balance-sheet of the institution not included in rows </w:t>
            </w:r>
            <w:r w:rsidR="00E03C13" w:rsidRPr="00E50FA4">
              <w:rPr>
                <w:rFonts w:ascii="Times New Roman" w:eastAsia="Times New Roman" w:hAnsi="Times New Roman" w:cs="Times New Roman"/>
                <w:bCs/>
                <w:noProof/>
                <w:sz w:val="24"/>
                <w:lang w:val="en-GB"/>
              </w:rPr>
              <w:t xml:space="preserve">41, 42 and 43 </w:t>
            </w:r>
            <w:r w:rsidR="003F07A6" w:rsidRPr="00E50FA4">
              <w:rPr>
                <w:rFonts w:ascii="Times New Roman" w:eastAsia="Times New Roman" w:hAnsi="Times New Roman" w:cs="Times New Roman"/>
                <w:bCs/>
                <w:noProof/>
                <w:sz w:val="24"/>
                <w:lang w:val="en-GB"/>
              </w:rPr>
              <w:t>of this template.</w:t>
            </w:r>
          </w:p>
        </w:tc>
      </w:tr>
      <w:tr w:rsidR="003F07A6" w:rsidRPr="00E50FA4" w14:paraId="12E67ED6"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075646E8" w14:textId="77777777" w:rsidR="003F07A6" w:rsidRPr="00E50FA4" w:rsidRDefault="003F07A6" w:rsidP="003F07A6">
            <w:pPr>
              <w:spacing w:before="120" w:after="120"/>
              <w:jc w:val="both"/>
              <w:rPr>
                <w:rFonts w:ascii="Times New Roman" w:eastAsia="Times New Roman" w:hAnsi="Times New Roman" w:cs="Times New Roman"/>
                <w:noProof/>
                <w:sz w:val="24"/>
                <w:lang w:val="en-GB"/>
              </w:rPr>
            </w:pPr>
            <w:r w:rsidRPr="00E50FA4">
              <w:rPr>
                <w:rFonts w:ascii="Calibri" w:hAnsi="Calibri" w:cs="Calibri"/>
                <w:noProof/>
                <w:szCs w:val="22"/>
              </w:rPr>
              <w:t>45</w:t>
            </w:r>
          </w:p>
        </w:tc>
        <w:tc>
          <w:tcPr>
            <w:tcW w:w="7879" w:type="dxa"/>
            <w:tcBorders>
              <w:top w:val="single" w:sz="4" w:space="0" w:color="auto"/>
              <w:left w:val="single" w:sz="4" w:space="0" w:color="auto"/>
              <w:bottom w:val="single" w:sz="4" w:space="0" w:color="auto"/>
              <w:right w:val="single" w:sz="4" w:space="0" w:color="auto"/>
            </w:tcBorders>
          </w:tcPr>
          <w:p w14:paraId="13EADFD7" w14:textId="77777777" w:rsidR="003F07A6" w:rsidRPr="00E50FA4" w:rsidRDefault="003F07A6" w:rsidP="003F07A6">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Total assets in the denominator (GAR)</w:t>
            </w:r>
          </w:p>
          <w:p w14:paraId="3499FF5E" w14:textId="22EFA479" w:rsidR="003F07A6" w:rsidRPr="00E50FA4" w:rsidRDefault="00E03C13" w:rsidP="003F07A6">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This row shall be the sum of rows 32, 33, 37 and 41 to 44 of this template.</w:t>
            </w:r>
          </w:p>
        </w:tc>
      </w:tr>
      <w:tr w:rsidR="003F07A6" w:rsidRPr="00E50FA4" w14:paraId="62DA7BFF" w14:textId="77777777" w:rsidTr="00BA313D">
        <w:tc>
          <w:tcPr>
            <w:tcW w:w="1188" w:type="dxa"/>
            <w:tcBorders>
              <w:top w:val="single" w:sz="4" w:space="0" w:color="auto"/>
              <w:left w:val="single" w:sz="4" w:space="0" w:color="auto"/>
              <w:bottom w:val="single" w:sz="4" w:space="0" w:color="auto"/>
              <w:right w:val="single" w:sz="4" w:space="0" w:color="auto"/>
            </w:tcBorders>
          </w:tcPr>
          <w:p w14:paraId="2F9C885F" w14:textId="77777777" w:rsidR="003F07A6" w:rsidRPr="00E50FA4" w:rsidRDefault="003F07A6" w:rsidP="003F07A6">
            <w:pPr>
              <w:spacing w:before="120" w:after="120"/>
              <w:jc w:val="both"/>
              <w:rPr>
                <w:rFonts w:ascii="Times New Roman" w:eastAsia="Times New Roman" w:hAnsi="Times New Roman" w:cs="Times New Roman"/>
                <w:noProof/>
                <w:sz w:val="24"/>
                <w:lang w:val="en-GB"/>
              </w:rPr>
            </w:pPr>
          </w:p>
        </w:tc>
        <w:tc>
          <w:tcPr>
            <w:tcW w:w="7879" w:type="dxa"/>
            <w:tcBorders>
              <w:top w:val="single" w:sz="4" w:space="0" w:color="auto"/>
              <w:left w:val="single" w:sz="4" w:space="0" w:color="auto"/>
              <w:bottom w:val="single" w:sz="4" w:space="0" w:color="auto"/>
              <w:right w:val="single" w:sz="4" w:space="0" w:color="auto"/>
            </w:tcBorders>
          </w:tcPr>
          <w:p w14:paraId="232879EF" w14:textId="77777777" w:rsidR="003F07A6" w:rsidRPr="00E50FA4" w:rsidRDefault="003F07A6" w:rsidP="003F07A6">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Other assets excluded from both the numerator and denominator for GAR calculation</w:t>
            </w:r>
          </w:p>
        </w:tc>
      </w:tr>
      <w:tr w:rsidR="003F07A6" w:rsidRPr="00E50FA4" w14:paraId="32407AB7"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72D3CBFC" w14:textId="77777777" w:rsidR="003F07A6" w:rsidRPr="00E50FA4" w:rsidRDefault="003F07A6" w:rsidP="003F07A6">
            <w:pPr>
              <w:spacing w:before="120" w:after="120"/>
              <w:jc w:val="both"/>
              <w:rPr>
                <w:rFonts w:ascii="Times New Roman" w:eastAsia="Times New Roman" w:hAnsi="Times New Roman" w:cs="Times New Roman"/>
                <w:noProof/>
                <w:sz w:val="24"/>
                <w:lang w:val="en-GB"/>
              </w:rPr>
            </w:pPr>
            <w:r w:rsidRPr="00E50FA4">
              <w:rPr>
                <w:rFonts w:ascii="Calibri" w:hAnsi="Calibri" w:cs="Calibri"/>
                <w:noProof/>
                <w:szCs w:val="22"/>
              </w:rPr>
              <w:t>46</w:t>
            </w:r>
          </w:p>
        </w:tc>
        <w:tc>
          <w:tcPr>
            <w:tcW w:w="7879" w:type="dxa"/>
            <w:tcBorders>
              <w:top w:val="single" w:sz="4" w:space="0" w:color="auto"/>
              <w:left w:val="single" w:sz="4" w:space="0" w:color="auto"/>
              <w:bottom w:val="single" w:sz="4" w:space="0" w:color="auto"/>
              <w:right w:val="single" w:sz="4" w:space="0" w:color="auto"/>
            </w:tcBorders>
          </w:tcPr>
          <w:p w14:paraId="42458765" w14:textId="77777777" w:rsidR="003F07A6" w:rsidRPr="00E50FA4" w:rsidRDefault="003F07A6" w:rsidP="003F07A6">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Sovereigns</w:t>
            </w:r>
          </w:p>
          <w:p w14:paraId="0068097C" w14:textId="3A8C8A57" w:rsidR="003F07A6" w:rsidRPr="00E50FA4" w:rsidRDefault="00A947C1" w:rsidP="00BF0EC4">
            <w:pPr>
              <w:spacing w:before="120" w:after="120"/>
              <w:jc w:val="both"/>
              <w:rPr>
                <w:rFonts w:ascii="Times New Roman" w:eastAsia="Times New Roman" w:hAnsi="Times New Roman" w:cs="Times New Roman"/>
                <w:bCs/>
                <w:noProof/>
                <w:sz w:val="24"/>
                <w:lang w:val="en-GB"/>
              </w:rPr>
            </w:pPr>
            <w:r w:rsidRPr="00E50FA4">
              <w:rPr>
                <w:rFonts w:ascii="Times New Roman" w:eastAsia="Times New Roman" w:hAnsi="Times New Roman" w:cs="Times New Roman"/>
                <w:noProof/>
                <w:sz w:val="24"/>
                <w:lang w:val="en-GB" w:bidi="ne-NP"/>
              </w:rPr>
              <w:t xml:space="preserve">Institutions </w:t>
            </w:r>
            <w:r w:rsidR="00BF0EC4" w:rsidRPr="00E50FA4">
              <w:rPr>
                <w:rFonts w:ascii="Times New Roman" w:eastAsia="Times New Roman" w:hAnsi="Times New Roman" w:cs="Times New Roman"/>
                <w:noProof/>
                <w:sz w:val="24"/>
                <w:lang w:val="en-GB" w:bidi="ne-NP"/>
              </w:rPr>
              <w:t>shall</w:t>
            </w:r>
            <w:r w:rsidR="00BA4944" w:rsidRPr="00E50FA4">
              <w:rPr>
                <w:rFonts w:ascii="Times New Roman" w:eastAsia="Times New Roman" w:hAnsi="Times New Roman" w:cs="Times New Roman"/>
                <w:noProof/>
                <w:sz w:val="24"/>
                <w:lang w:val="en-GB" w:bidi="ne-NP"/>
              </w:rPr>
              <w:t xml:space="preserve"> </w:t>
            </w:r>
            <w:r w:rsidRPr="00E50FA4">
              <w:rPr>
                <w:rFonts w:ascii="Times New Roman" w:eastAsia="Times New Roman" w:hAnsi="Times New Roman" w:cs="Times New Roman"/>
                <w:noProof/>
                <w:sz w:val="24"/>
                <w:lang w:val="en-GB" w:bidi="ne-NP"/>
              </w:rPr>
              <w:t xml:space="preserve">disclose </w:t>
            </w:r>
            <w:r w:rsidRPr="00E50FA4">
              <w:rPr>
                <w:rFonts w:ascii="Times New Roman" w:eastAsia="Times New Roman" w:hAnsi="Times New Roman" w:cs="Times New Roman"/>
                <w:bCs/>
                <w:noProof/>
                <w:sz w:val="24"/>
                <w:lang w:val="en-GB"/>
              </w:rPr>
              <w:t>g</w:t>
            </w:r>
            <w:r w:rsidR="003F07A6" w:rsidRPr="00E50FA4">
              <w:rPr>
                <w:rFonts w:ascii="Times New Roman" w:eastAsia="Times New Roman" w:hAnsi="Times New Roman" w:cs="Times New Roman"/>
                <w:bCs/>
                <w:noProof/>
                <w:sz w:val="24"/>
                <w:lang w:val="en-GB"/>
              </w:rPr>
              <w:t xml:space="preserve">eneral governments as </w:t>
            </w:r>
            <w:r w:rsidR="001D4928" w:rsidRPr="00E50FA4">
              <w:rPr>
                <w:rFonts w:ascii="Times New Roman" w:eastAsia="Times New Roman" w:hAnsi="Times New Roman" w:cs="Times New Roman"/>
                <w:bCs/>
                <w:noProof/>
                <w:sz w:val="24"/>
                <w:lang w:val="en-GB"/>
              </w:rPr>
              <w:t>referred to in</w:t>
            </w:r>
            <w:r w:rsidR="00BB3021" w:rsidRPr="00E50FA4">
              <w:rPr>
                <w:rFonts w:ascii="Times New Roman" w:eastAsia="Times New Roman" w:hAnsi="Times New Roman" w:cs="Times New Roman"/>
                <w:bCs/>
                <w:noProof/>
                <w:sz w:val="24"/>
                <w:lang w:val="en-GB"/>
              </w:rPr>
              <w:t xml:space="preserve"> </w:t>
            </w:r>
            <w:r w:rsidR="003E4DB5" w:rsidRPr="00E50FA4">
              <w:rPr>
                <w:rFonts w:ascii="Times New Roman" w:eastAsia="Times New Roman" w:hAnsi="Times New Roman" w:cs="Times New Roman"/>
                <w:bCs/>
                <w:noProof/>
                <w:sz w:val="24"/>
                <w:lang w:val="en-GB"/>
              </w:rPr>
              <w:t xml:space="preserve">Part 1, </w:t>
            </w:r>
            <w:r w:rsidR="005D65F6" w:rsidRPr="00E50FA4">
              <w:rPr>
                <w:rFonts w:ascii="Times New Roman" w:eastAsia="Times New Roman" w:hAnsi="Times New Roman" w:cs="Times New Roman"/>
                <w:bCs/>
                <w:noProof/>
                <w:sz w:val="24"/>
                <w:lang w:val="en-GB"/>
              </w:rPr>
              <w:t xml:space="preserve">point </w:t>
            </w:r>
            <w:r w:rsidR="003F07A6" w:rsidRPr="00E50FA4">
              <w:rPr>
                <w:rFonts w:ascii="Times New Roman" w:eastAsia="Times New Roman" w:hAnsi="Times New Roman" w:cs="Times New Roman"/>
                <w:bCs/>
                <w:noProof/>
                <w:sz w:val="24"/>
                <w:lang w:val="en-GB"/>
              </w:rPr>
              <w:t>42</w:t>
            </w:r>
            <w:r w:rsidR="003E4DB5" w:rsidRPr="00E50FA4">
              <w:rPr>
                <w:rFonts w:ascii="Times New Roman" w:eastAsia="Times New Roman" w:hAnsi="Times New Roman" w:cs="Times New Roman"/>
                <w:bCs/>
                <w:noProof/>
                <w:sz w:val="24"/>
                <w:lang w:val="en-GB"/>
              </w:rPr>
              <w:t>,</w:t>
            </w:r>
            <w:r w:rsidR="003F07A6" w:rsidRPr="00E50FA4">
              <w:rPr>
                <w:rFonts w:ascii="Times New Roman" w:eastAsia="Times New Roman" w:hAnsi="Times New Roman" w:cs="Times New Roman"/>
                <w:bCs/>
                <w:noProof/>
                <w:sz w:val="24"/>
                <w:lang w:val="en-GB"/>
              </w:rPr>
              <w:t xml:space="preserve"> of Annex V </w:t>
            </w:r>
            <w:r w:rsidR="003F07A6" w:rsidRPr="00E50FA4">
              <w:rPr>
                <w:rFonts w:ascii="Times New Roman" w:eastAsia="Times New Roman" w:hAnsi="Times New Roman" w:cs="Times New Roman"/>
                <w:noProof/>
                <w:sz w:val="24"/>
                <w:lang w:val="en-GB"/>
              </w:rPr>
              <w:t xml:space="preserve">to Implementing Regulation (EU) 2021/451, excluding exposures included in rows 29 and 30 of this template. </w:t>
            </w:r>
          </w:p>
        </w:tc>
      </w:tr>
      <w:tr w:rsidR="003F07A6" w:rsidRPr="00E50FA4" w14:paraId="58DAC43A"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6EB09FD0" w14:textId="77777777" w:rsidR="003F07A6" w:rsidRPr="00E50FA4" w:rsidRDefault="003F07A6" w:rsidP="003F07A6">
            <w:pPr>
              <w:spacing w:before="120" w:after="120"/>
              <w:jc w:val="both"/>
              <w:rPr>
                <w:rFonts w:ascii="Times New Roman" w:eastAsia="Times New Roman" w:hAnsi="Times New Roman" w:cs="Times New Roman"/>
                <w:noProof/>
                <w:sz w:val="24"/>
                <w:lang w:val="en-GB"/>
              </w:rPr>
            </w:pPr>
            <w:r w:rsidRPr="00E50FA4">
              <w:rPr>
                <w:rFonts w:ascii="Calibri" w:hAnsi="Calibri" w:cs="Calibri"/>
                <w:noProof/>
                <w:szCs w:val="22"/>
              </w:rPr>
              <w:t>47</w:t>
            </w:r>
          </w:p>
        </w:tc>
        <w:tc>
          <w:tcPr>
            <w:tcW w:w="7879" w:type="dxa"/>
            <w:tcBorders>
              <w:top w:val="single" w:sz="4" w:space="0" w:color="auto"/>
              <w:left w:val="single" w:sz="4" w:space="0" w:color="auto"/>
              <w:bottom w:val="single" w:sz="4" w:space="0" w:color="auto"/>
              <w:right w:val="single" w:sz="4" w:space="0" w:color="auto"/>
            </w:tcBorders>
          </w:tcPr>
          <w:p w14:paraId="08EFD4EB" w14:textId="77777777" w:rsidR="003F07A6" w:rsidRPr="00E50FA4" w:rsidRDefault="003F07A6" w:rsidP="003F07A6">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Central bank exposures</w:t>
            </w:r>
          </w:p>
          <w:p w14:paraId="73C7F3A4" w14:textId="3CA3F111" w:rsidR="003F07A6" w:rsidRPr="00E50FA4" w:rsidRDefault="00260C35" w:rsidP="00BF0EC4">
            <w:pPr>
              <w:spacing w:before="120" w:after="120"/>
              <w:jc w:val="both"/>
              <w:rPr>
                <w:rFonts w:ascii="Times New Roman" w:eastAsia="Times New Roman" w:hAnsi="Times New Roman" w:cs="Times New Roman"/>
                <w:bCs/>
                <w:noProof/>
                <w:sz w:val="24"/>
                <w:lang w:val="en-GB"/>
              </w:rPr>
            </w:pPr>
            <w:r w:rsidRPr="00E50FA4">
              <w:rPr>
                <w:rFonts w:ascii="Times New Roman" w:eastAsia="Times New Roman" w:hAnsi="Times New Roman" w:cs="Times New Roman"/>
                <w:noProof/>
                <w:sz w:val="24"/>
                <w:lang w:val="en-GB" w:bidi="ne-NP"/>
              </w:rPr>
              <w:t xml:space="preserve">Institutions </w:t>
            </w:r>
            <w:r w:rsidR="00BF0EC4" w:rsidRPr="00E50FA4">
              <w:rPr>
                <w:rFonts w:ascii="Times New Roman" w:eastAsia="Times New Roman" w:hAnsi="Times New Roman" w:cs="Times New Roman"/>
                <w:noProof/>
                <w:sz w:val="24"/>
                <w:lang w:val="en-GB" w:bidi="ne-NP"/>
              </w:rPr>
              <w:t>shall</w:t>
            </w:r>
            <w:r w:rsidR="00BA4944" w:rsidRPr="00E50FA4">
              <w:rPr>
                <w:rFonts w:ascii="Times New Roman" w:eastAsia="Times New Roman" w:hAnsi="Times New Roman" w:cs="Times New Roman"/>
                <w:noProof/>
                <w:sz w:val="24"/>
                <w:lang w:val="en-GB" w:bidi="ne-NP"/>
              </w:rPr>
              <w:t xml:space="preserve"> </w:t>
            </w:r>
            <w:r w:rsidRPr="00E50FA4">
              <w:rPr>
                <w:rFonts w:ascii="Times New Roman" w:eastAsia="Times New Roman" w:hAnsi="Times New Roman" w:cs="Times New Roman"/>
                <w:noProof/>
                <w:sz w:val="24"/>
                <w:lang w:val="en-GB" w:bidi="ne-NP"/>
              </w:rPr>
              <w:t xml:space="preserve">disclose </w:t>
            </w:r>
            <w:r w:rsidRPr="00E50FA4">
              <w:rPr>
                <w:rFonts w:ascii="Times New Roman" w:eastAsia="Times New Roman" w:hAnsi="Times New Roman" w:cs="Times New Roman"/>
                <w:bCs/>
                <w:noProof/>
                <w:sz w:val="24"/>
                <w:lang w:val="en-GB"/>
              </w:rPr>
              <w:t xml:space="preserve">exposures </w:t>
            </w:r>
            <w:r w:rsidR="003F07A6" w:rsidRPr="00E50FA4">
              <w:rPr>
                <w:rFonts w:ascii="Times New Roman" w:eastAsia="Times New Roman" w:hAnsi="Times New Roman" w:cs="Times New Roman"/>
                <w:bCs/>
                <w:noProof/>
                <w:sz w:val="24"/>
                <w:lang w:val="en-GB"/>
              </w:rPr>
              <w:t>towards central banks.</w:t>
            </w:r>
          </w:p>
        </w:tc>
      </w:tr>
      <w:tr w:rsidR="003F07A6" w:rsidRPr="00E50FA4" w14:paraId="7182CA50"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5BA6C367" w14:textId="77777777" w:rsidR="003F07A6" w:rsidRPr="00E50FA4" w:rsidRDefault="003F07A6" w:rsidP="003F07A6">
            <w:pPr>
              <w:spacing w:before="120" w:after="120"/>
              <w:jc w:val="both"/>
              <w:rPr>
                <w:rFonts w:ascii="Times New Roman" w:eastAsia="Times New Roman" w:hAnsi="Times New Roman" w:cs="Times New Roman"/>
                <w:noProof/>
                <w:sz w:val="24"/>
                <w:lang w:val="en-GB"/>
              </w:rPr>
            </w:pPr>
            <w:r w:rsidRPr="00E50FA4">
              <w:rPr>
                <w:rFonts w:ascii="Calibri" w:hAnsi="Calibri" w:cs="Calibri"/>
                <w:noProof/>
                <w:szCs w:val="22"/>
              </w:rPr>
              <w:t>48</w:t>
            </w:r>
          </w:p>
        </w:tc>
        <w:tc>
          <w:tcPr>
            <w:tcW w:w="7879" w:type="dxa"/>
            <w:tcBorders>
              <w:top w:val="single" w:sz="4" w:space="0" w:color="auto"/>
              <w:left w:val="single" w:sz="4" w:space="0" w:color="auto"/>
              <w:bottom w:val="single" w:sz="4" w:space="0" w:color="auto"/>
              <w:right w:val="single" w:sz="4" w:space="0" w:color="auto"/>
            </w:tcBorders>
          </w:tcPr>
          <w:p w14:paraId="27A33A8F" w14:textId="77777777" w:rsidR="003F07A6" w:rsidRPr="00E50FA4" w:rsidRDefault="003F07A6" w:rsidP="003F07A6">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Trading book</w:t>
            </w:r>
          </w:p>
          <w:p w14:paraId="3C0A4841" w14:textId="7863DB42" w:rsidR="003F07A6" w:rsidRPr="00E50FA4" w:rsidRDefault="00260C35" w:rsidP="00BF0EC4">
            <w:pPr>
              <w:spacing w:before="120" w:after="120"/>
              <w:jc w:val="both"/>
              <w:rPr>
                <w:rFonts w:ascii="Times New Roman" w:eastAsia="Times New Roman" w:hAnsi="Times New Roman" w:cs="Times New Roman"/>
                <w:bCs/>
                <w:noProof/>
                <w:sz w:val="24"/>
                <w:lang w:val="en-GB"/>
              </w:rPr>
            </w:pPr>
            <w:r w:rsidRPr="00E50FA4">
              <w:rPr>
                <w:rFonts w:ascii="Times New Roman" w:eastAsia="Times New Roman" w:hAnsi="Times New Roman" w:cs="Times New Roman"/>
                <w:noProof/>
                <w:sz w:val="24"/>
                <w:lang w:val="en-GB" w:bidi="ne-NP"/>
              </w:rPr>
              <w:t xml:space="preserve">Institutions </w:t>
            </w:r>
            <w:r w:rsidR="00BF0EC4" w:rsidRPr="00E50FA4">
              <w:rPr>
                <w:rFonts w:ascii="Times New Roman" w:eastAsia="Times New Roman" w:hAnsi="Times New Roman" w:cs="Times New Roman"/>
                <w:noProof/>
                <w:sz w:val="24"/>
                <w:lang w:val="en-GB" w:bidi="ne-NP"/>
              </w:rPr>
              <w:t>shall</w:t>
            </w:r>
            <w:r w:rsidR="00BA4944" w:rsidRPr="00E50FA4">
              <w:rPr>
                <w:rFonts w:ascii="Times New Roman" w:eastAsia="Times New Roman" w:hAnsi="Times New Roman" w:cs="Times New Roman"/>
                <w:noProof/>
                <w:sz w:val="24"/>
                <w:lang w:val="en-GB" w:bidi="ne-NP"/>
              </w:rPr>
              <w:t xml:space="preserve"> </w:t>
            </w:r>
            <w:r w:rsidRPr="00E50FA4">
              <w:rPr>
                <w:rFonts w:ascii="Times New Roman" w:eastAsia="Times New Roman" w:hAnsi="Times New Roman" w:cs="Times New Roman"/>
                <w:noProof/>
                <w:sz w:val="24"/>
                <w:lang w:val="en-GB" w:bidi="ne-NP"/>
              </w:rPr>
              <w:t xml:space="preserve">disclose </w:t>
            </w:r>
            <w:r w:rsidRPr="00E50FA4">
              <w:rPr>
                <w:rFonts w:ascii="Times New Roman" w:eastAsia="Times New Roman" w:hAnsi="Times New Roman" w:cs="Times New Roman"/>
                <w:bCs/>
                <w:noProof/>
                <w:sz w:val="24"/>
                <w:lang w:val="en-GB"/>
              </w:rPr>
              <w:t>f</w:t>
            </w:r>
            <w:r w:rsidR="003F07A6" w:rsidRPr="00E50FA4">
              <w:rPr>
                <w:rFonts w:ascii="Times New Roman" w:eastAsia="Times New Roman" w:hAnsi="Times New Roman" w:cs="Times New Roman"/>
                <w:bCs/>
                <w:noProof/>
                <w:sz w:val="24"/>
                <w:lang w:val="en-GB"/>
              </w:rPr>
              <w:t>inancial assets held for trading or trading financial assets as defined in the applicable accounting principles.</w:t>
            </w:r>
          </w:p>
        </w:tc>
      </w:tr>
      <w:tr w:rsidR="003F07A6" w:rsidRPr="00E50FA4" w14:paraId="1EFAAECC"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4198640F" w14:textId="77777777" w:rsidR="003F07A6" w:rsidRPr="00E50FA4" w:rsidRDefault="003F07A6" w:rsidP="003F07A6">
            <w:pPr>
              <w:spacing w:before="120" w:after="120"/>
              <w:jc w:val="both"/>
              <w:rPr>
                <w:rFonts w:ascii="Times New Roman" w:eastAsia="Times New Roman" w:hAnsi="Times New Roman" w:cs="Times New Roman"/>
                <w:noProof/>
                <w:sz w:val="24"/>
                <w:lang w:val="en-GB"/>
              </w:rPr>
            </w:pPr>
            <w:r w:rsidRPr="00E50FA4">
              <w:rPr>
                <w:rFonts w:ascii="Calibri" w:hAnsi="Calibri" w:cs="Calibri"/>
                <w:noProof/>
                <w:szCs w:val="22"/>
              </w:rPr>
              <w:t>49</w:t>
            </w:r>
          </w:p>
        </w:tc>
        <w:tc>
          <w:tcPr>
            <w:tcW w:w="7879" w:type="dxa"/>
            <w:tcBorders>
              <w:top w:val="single" w:sz="4" w:space="0" w:color="auto"/>
              <w:left w:val="single" w:sz="4" w:space="0" w:color="auto"/>
              <w:bottom w:val="single" w:sz="4" w:space="0" w:color="auto"/>
              <w:right w:val="single" w:sz="4" w:space="0" w:color="auto"/>
            </w:tcBorders>
          </w:tcPr>
          <w:p w14:paraId="0E437D2D" w14:textId="77777777" w:rsidR="003F07A6" w:rsidRPr="00E50FA4" w:rsidRDefault="003F07A6" w:rsidP="003F07A6">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Total assets excluded from numerator and denominator</w:t>
            </w:r>
          </w:p>
          <w:p w14:paraId="4E25E623" w14:textId="29DF7B1F" w:rsidR="003F07A6" w:rsidRPr="00E50FA4" w:rsidRDefault="003F07A6" w:rsidP="001B0E70">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This row shall be the sum of rows</w:t>
            </w:r>
            <w:r w:rsidR="001B0E70" w:rsidRPr="00E50FA4">
              <w:rPr>
                <w:rFonts w:ascii="Times New Roman" w:eastAsia="Times New Roman" w:hAnsi="Times New Roman" w:cs="Times New Roman"/>
                <w:noProof/>
                <w:sz w:val="24"/>
                <w:lang w:val="en-GB"/>
              </w:rPr>
              <w:t xml:space="preserve"> 46, 47 and 48</w:t>
            </w:r>
            <w:r w:rsidRPr="00E50FA4">
              <w:rPr>
                <w:rFonts w:ascii="Times New Roman" w:eastAsia="Times New Roman" w:hAnsi="Times New Roman" w:cs="Times New Roman"/>
                <w:noProof/>
                <w:sz w:val="24"/>
                <w:lang w:val="en-GB"/>
              </w:rPr>
              <w:t xml:space="preserve"> of this template.</w:t>
            </w:r>
          </w:p>
        </w:tc>
      </w:tr>
      <w:tr w:rsidR="003F07A6" w:rsidRPr="00E50FA4" w14:paraId="05D5F539"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12109909" w14:textId="77777777" w:rsidR="003F07A6" w:rsidRPr="00E50FA4" w:rsidRDefault="003F07A6" w:rsidP="003F07A6">
            <w:pPr>
              <w:spacing w:before="120" w:after="120"/>
              <w:jc w:val="both"/>
              <w:rPr>
                <w:rFonts w:ascii="Times New Roman" w:eastAsia="Times New Roman" w:hAnsi="Times New Roman" w:cs="Times New Roman"/>
                <w:noProof/>
                <w:sz w:val="24"/>
                <w:lang w:val="en-GB"/>
              </w:rPr>
            </w:pPr>
            <w:r w:rsidRPr="00E50FA4">
              <w:rPr>
                <w:rFonts w:ascii="Calibri" w:hAnsi="Calibri" w:cs="Calibri"/>
                <w:noProof/>
                <w:szCs w:val="22"/>
              </w:rPr>
              <w:t>50</w:t>
            </w:r>
          </w:p>
        </w:tc>
        <w:tc>
          <w:tcPr>
            <w:tcW w:w="7879" w:type="dxa"/>
            <w:tcBorders>
              <w:top w:val="single" w:sz="4" w:space="0" w:color="auto"/>
              <w:left w:val="single" w:sz="4" w:space="0" w:color="auto"/>
              <w:bottom w:val="single" w:sz="4" w:space="0" w:color="auto"/>
              <w:right w:val="single" w:sz="4" w:space="0" w:color="auto"/>
            </w:tcBorders>
          </w:tcPr>
          <w:p w14:paraId="21CBA857" w14:textId="77777777" w:rsidR="003F07A6" w:rsidRPr="00E50FA4" w:rsidRDefault="003F07A6" w:rsidP="003F07A6">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Total assets</w:t>
            </w:r>
          </w:p>
          <w:p w14:paraId="1D05E2AE" w14:textId="2CCBAA46" w:rsidR="003F07A6" w:rsidRPr="00E50FA4" w:rsidRDefault="003F07A6" w:rsidP="001B0E70">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This row shall be the sum of rows 4</w:t>
            </w:r>
            <w:r w:rsidR="001B0E70" w:rsidRPr="00E50FA4">
              <w:rPr>
                <w:rFonts w:ascii="Times New Roman" w:eastAsia="Times New Roman" w:hAnsi="Times New Roman" w:cs="Times New Roman"/>
                <w:noProof/>
                <w:sz w:val="24"/>
                <w:lang w:val="en-GB"/>
              </w:rPr>
              <w:t>5</w:t>
            </w:r>
            <w:r w:rsidRPr="00E50FA4">
              <w:rPr>
                <w:rFonts w:ascii="Times New Roman" w:eastAsia="Times New Roman" w:hAnsi="Times New Roman" w:cs="Times New Roman"/>
                <w:noProof/>
                <w:sz w:val="24"/>
                <w:lang w:val="en-GB"/>
              </w:rPr>
              <w:t xml:space="preserve"> and </w:t>
            </w:r>
            <w:r w:rsidR="001B0E70" w:rsidRPr="00E50FA4">
              <w:rPr>
                <w:rFonts w:ascii="Times New Roman" w:eastAsia="Times New Roman" w:hAnsi="Times New Roman" w:cs="Times New Roman"/>
                <w:noProof/>
                <w:sz w:val="24"/>
                <w:lang w:val="en-GB"/>
              </w:rPr>
              <w:t xml:space="preserve">49 </w:t>
            </w:r>
            <w:r w:rsidRPr="00E50FA4">
              <w:rPr>
                <w:rFonts w:ascii="Times New Roman" w:eastAsia="Times New Roman" w:hAnsi="Times New Roman" w:cs="Times New Roman"/>
                <w:noProof/>
                <w:sz w:val="24"/>
                <w:lang w:val="en-GB"/>
              </w:rPr>
              <w:t>of this template.</w:t>
            </w:r>
          </w:p>
        </w:tc>
      </w:tr>
    </w:tbl>
    <w:p w14:paraId="7C2D2E2C" w14:textId="77777777" w:rsidR="00C404E2" w:rsidRPr="00E50FA4" w:rsidRDefault="00C404E2" w:rsidP="00D35812">
      <w:pPr>
        <w:jc w:val="both"/>
        <w:rPr>
          <w:rFonts w:ascii="Times New Roman" w:hAnsi="Times New Roman" w:cs="Times New Roman"/>
          <w:b/>
          <w:noProof/>
          <w:sz w:val="24"/>
          <w:lang w:val="en-GB"/>
        </w:rPr>
      </w:pPr>
    </w:p>
    <w:p w14:paraId="6C513D1A" w14:textId="77777777" w:rsidR="00E77292" w:rsidRPr="00E50FA4" w:rsidRDefault="00E77292" w:rsidP="001A08A2">
      <w:pPr>
        <w:jc w:val="both"/>
        <w:rPr>
          <w:rFonts w:ascii="Times New Roman" w:hAnsi="Times New Roman"/>
          <w:noProof/>
          <w:sz w:val="24"/>
          <w:lang w:val="en-GB"/>
        </w:rPr>
      </w:pPr>
    </w:p>
    <w:p w14:paraId="03A1F6AD" w14:textId="77777777" w:rsidR="00E77292" w:rsidRPr="00E50FA4" w:rsidRDefault="00E77292" w:rsidP="00D35812">
      <w:pPr>
        <w:jc w:val="both"/>
        <w:rPr>
          <w:rFonts w:ascii="Times New Roman" w:hAnsi="Times New Roman" w:cs="Times New Roman"/>
          <w:b/>
          <w:noProof/>
          <w:sz w:val="24"/>
          <w:lang w:val="en-GB"/>
        </w:rPr>
      </w:pPr>
      <w:r w:rsidRPr="00E50FA4">
        <w:rPr>
          <w:rFonts w:ascii="Times New Roman" w:hAnsi="Times New Roman" w:cs="Times New Roman"/>
          <w:b/>
          <w:noProof/>
          <w:sz w:val="24"/>
          <w:lang w:val="en-GB"/>
        </w:rPr>
        <w:t xml:space="preserve">Template </w:t>
      </w:r>
      <w:r w:rsidR="00303A1A" w:rsidRPr="00E50FA4">
        <w:rPr>
          <w:rFonts w:ascii="Times New Roman" w:hAnsi="Times New Roman" w:cs="Times New Roman"/>
          <w:b/>
          <w:noProof/>
          <w:sz w:val="24"/>
          <w:lang w:val="en-GB"/>
        </w:rPr>
        <w:t>8</w:t>
      </w:r>
      <w:r w:rsidRPr="00E50FA4">
        <w:rPr>
          <w:rFonts w:ascii="Times New Roman" w:hAnsi="Times New Roman" w:cs="Times New Roman"/>
          <w:b/>
          <w:noProof/>
          <w:sz w:val="24"/>
          <w:lang w:val="en-GB"/>
        </w:rPr>
        <w:t xml:space="preserve"> – </w:t>
      </w:r>
      <w:bookmarkStart w:id="14" w:name="_Hlk86261561"/>
      <w:r w:rsidRPr="00E50FA4">
        <w:rPr>
          <w:rFonts w:ascii="Times New Roman" w:hAnsi="Times New Roman" w:cs="Times New Roman"/>
          <w:b/>
          <w:noProof/>
          <w:sz w:val="24"/>
          <w:lang w:val="en-GB"/>
        </w:rPr>
        <w:t xml:space="preserve">GAR </w:t>
      </w:r>
      <w:r w:rsidR="005A0FF8" w:rsidRPr="00E50FA4">
        <w:rPr>
          <w:rFonts w:ascii="Times New Roman" w:hAnsi="Times New Roman" w:cs="Times New Roman"/>
          <w:b/>
          <w:noProof/>
          <w:sz w:val="24"/>
          <w:lang w:val="en-GB"/>
        </w:rPr>
        <w:t>(%)</w:t>
      </w:r>
      <w:bookmarkEnd w:id="14"/>
    </w:p>
    <w:p w14:paraId="7780F16F" w14:textId="77777777" w:rsidR="00E77292" w:rsidRPr="00E50FA4" w:rsidRDefault="00E77292" w:rsidP="00DA390D">
      <w:pPr>
        <w:jc w:val="both"/>
        <w:rPr>
          <w:rFonts w:ascii="Times New Roman" w:hAnsi="Times New Roman" w:cs="Times New Roman"/>
          <w:b/>
          <w:noProof/>
          <w:sz w:val="24"/>
          <w:lang w:val="en-GB"/>
        </w:rPr>
      </w:pPr>
    </w:p>
    <w:p w14:paraId="28BB1E12" w14:textId="5ECE68CE" w:rsidR="001040D3" w:rsidRPr="00E50FA4" w:rsidRDefault="001040D3" w:rsidP="00B76863">
      <w:pPr>
        <w:pStyle w:val="ListParagraph"/>
        <w:numPr>
          <w:ilvl w:val="0"/>
          <w:numId w:val="65"/>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Institutions shall </w:t>
      </w:r>
      <w:r w:rsidR="00BA4944" w:rsidRPr="00E50FA4">
        <w:rPr>
          <w:rFonts w:ascii="Times New Roman" w:hAnsi="Times New Roman"/>
          <w:noProof/>
          <w:sz w:val="24"/>
        </w:rPr>
        <w:t xml:space="preserve">use </w:t>
      </w:r>
      <w:r w:rsidRPr="00E50FA4">
        <w:rPr>
          <w:rFonts w:ascii="Times New Roman" w:hAnsi="Times New Roman"/>
          <w:noProof/>
          <w:sz w:val="24"/>
        </w:rPr>
        <w:t xml:space="preserve">the </w:t>
      </w:r>
      <w:r w:rsidR="00BA4944" w:rsidRPr="00E50FA4">
        <w:rPr>
          <w:rFonts w:ascii="Times New Roman" w:hAnsi="Times New Roman"/>
          <w:noProof/>
          <w:sz w:val="24"/>
        </w:rPr>
        <w:t xml:space="preserve">following </w:t>
      </w:r>
      <w:r w:rsidRPr="00E50FA4">
        <w:rPr>
          <w:rFonts w:ascii="Times New Roman" w:hAnsi="Times New Roman"/>
          <w:noProof/>
          <w:sz w:val="24"/>
        </w:rPr>
        <w:t xml:space="preserve">instructions to disclose the information required in ‘Template 8 - GAR (%)’, as </w:t>
      </w:r>
      <w:r w:rsidR="009906F2" w:rsidRPr="00E50FA4">
        <w:rPr>
          <w:rFonts w:ascii="Times New Roman" w:hAnsi="Times New Roman"/>
          <w:noProof/>
          <w:sz w:val="24"/>
        </w:rPr>
        <w:t>set out</w:t>
      </w:r>
      <w:r w:rsidRPr="00E50FA4">
        <w:rPr>
          <w:rFonts w:ascii="Times New Roman" w:hAnsi="Times New Roman"/>
          <w:noProof/>
          <w:sz w:val="24"/>
        </w:rPr>
        <w:t xml:space="preserve"> in Annex XXXIX to </w:t>
      </w:r>
      <w:r w:rsidR="00B76863" w:rsidRPr="00E50FA4">
        <w:rPr>
          <w:rFonts w:ascii="Times New Roman" w:hAnsi="Times New Roman"/>
          <w:noProof/>
          <w:sz w:val="24"/>
        </w:rPr>
        <w:t>this Regulation</w:t>
      </w:r>
      <w:r w:rsidRPr="00E50FA4">
        <w:rPr>
          <w:rFonts w:ascii="Times New Roman" w:hAnsi="Times New Roman"/>
          <w:noProof/>
          <w:sz w:val="24"/>
        </w:rPr>
        <w:t xml:space="preserve">. </w:t>
      </w:r>
    </w:p>
    <w:p w14:paraId="2D7D5E00" w14:textId="12194817" w:rsidR="00FA7820" w:rsidRPr="00E50FA4" w:rsidRDefault="00E37C15" w:rsidP="00B76863">
      <w:pPr>
        <w:pStyle w:val="ListParagraph"/>
        <w:numPr>
          <w:ilvl w:val="0"/>
          <w:numId w:val="65"/>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Based on the information included in template 7, </w:t>
      </w:r>
      <w:r w:rsidR="003E4DB5" w:rsidRPr="00E50FA4">
        <w:rPr>
          <w:rFonts w:ascii="Times New Roman" w:hAnsi="Times New Roman"/>
          <w:noProof/>
          <w:sz w:val="24"/>
        </w:rPr>
        <w:t>i</w:t>
      </w:r>
      <w:r w:rsidR="00303A1A" w:rsidRPr="00E50FA4">
        <w:rPr>
          <w:rFonts w:ascii="Times New Roman" w:hAnsi="Times New Roman"/>
          <w:noProof/>
          <w:sz w:val="24"/>
        </w:rPr>
        <w:t>nstitutions shall disclose in t</w:t>
      </w:r>
      <w:r w:rsidR="00E77292" w:rsidRPr="00E50FA4">
        <w:rPr>
          <w:rFonts w:ascii="Times New Roman" w:hAnsi="Times New Roman"/>
          <w:noProof/>
          <w:sz w:val="24"/>
        </w:rPr>
        <w:t>his template the GAR</w:t>
      </w:r>
      <w:r w:rsidR="00303A1A" w:rsidRPr="00E50FA4">
        <w:rPr>
          <w:rFonts w:ascii="Times New Roman" w:hAnsi="Times New Roman"/>
          <w:noProof/>
          <w:sz w:val="24"/>
        </w:rPr>
        <w:t xml:space="preserve"> as </w:t>
      </w:r>
      <w:r w:rsidR="00BA4944" w:rsidRPr="00E50FA4">
        <w:rPr>
          <w:rFonts w:ascii="Times New Roman" w:hAnsi="Times New Roman"/>
          <w:noProof/>
          <w:sz w:val="24"/>
        </w:rPr>
        <w:t xml:space="preserve">referred to </w:t>
      </w:r>
      <w:r w:rsidR="00303A1A" w:rsidRPr="00E50FA4">
        <w:rPr>
          <w:rFonts w:ascii="Times New Roman" w:hAnsi="Times New Roman"/>
          <w:noProof/>
          <w:sz w:val="24"/>
        </w:rPr>
        <w:t xml:space="preserve">in Delegated Regulation (EU) </w:t>
      </w:r>
      <w:r w:rsidR="003E4DB5" w:rsidRPr="00E50FA4">
        <w:rPr>
          <w:rFonts w:ascii="Times New Roman" w:hAnsi="Times New Roman"/>
          <w:noProof/>
          <w:sz w:val="24"/>
          <w:lang w:val="en-US"/>
        </w:rPr>
        <w:t>2021/2178</w:t>
      </w:r>
      <w:r w:rsidR="003C4AB2" w:rsidRPr="00E50FA4">
        <w:rPr>
          <w:rFonts w:ascii="Times New Roman" w:hAnsi="Times New Roman"/>
          <w:noProof/>
          <w:sz w:val="24"/>
        </w:rPr>
        <w:t xml:space="preserve">. </w:t>
      </w:r>
    </w:p>
    <w:p w14:paraId="3D8BE816" w14:textId="71274C68" w:rsidR="00D4595F" w:rsidRPr="00E50FA4" w:rsidRDefault="003C4AB2" w:rsidP="00B76863">
      <w:pPr>
        <w:pStyle w:val="ListParagraph"/>
        <w:numPr>
          <w:ilvl w:val="0"/>
          <w:numId w:val="65"/>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The purpose of this template is</w:t>
      </w:r>
      <w:r w:rsidR="00303A1A" w:rsidRPr="00E50FA4">
        <w:rPr>
          <w:rFonts w:ascii="Times New Roman" w:hAnsi="Times New Roman"/>
          <w:noProof/>
          <w:sz w:val="24"/>
        </w:rPr>
        <w:t xml:space="preserve"> to show to what exten</w:t>
      </w:r>
      <w:r w:rsidR="00260C35" w:rsidRPr="00E50FA4">
        <w:rPr>
          <w:rFonts w:ascii="Times New Roman" w:hAnsi="Times New Roman"/>
          <w:noProof/>
          <w:sz w:val="24"/>
        </w:rPr>
        <w:t>t</w:t>
      </w:r>
      <w:r w:rsidR="00303A1A" w:rsidRPr="00E50FA4">
        <w:rPr>
          <w:rFonts w:ascii="Times New Roman" w:hAnsi="Times New Roman"/>
          <w:noProof/>
          <w:sz w:val="24"/>
        </w:rPr>
        <w:t xml:space="preserve"> </w:t>
      </w:r>
      <w:r w:rsidR="007D441E" w:rsidRPr="00E50FA4">
        <w:rPr>
          <w:rFonts w:ascii="Times New Roman" w:hAnsi="Times New Roman"/>
          <w:noProof/>
          <w:sz w:val="24"/>
        </w:rPr>
        <w:t>institutions</w:t>
      </w:r>
      <w:r w:rsidR="00E77292" w:rsidRPr="00E50FA4">
        <w:rPr>
          <w:rFonts w:ascii="Times New Roman" w:hAnsi="Times New Roman"/>
          <w:noProof/>
          <w:sz w:val="24"/>
        </w:rPr>
        <w:t xml:space="preserve">’ </w:t>
      </w:r>
      <w:r w:rsidR="007D441E" w:rsidRPr="00E50FA4">
        <w:rPr>
          <w:rFonts w:ascii="Times New Roman" w:hAnsi="Times New Roman"/>
          <w:noProof/>
          <w:sz w:val="24"/>
        </w:rPr>
        <w:t>activities</w:t>
      </w:r>
      <w:r w:rsidR="00E77292" w:rsidRPr="00E50FA4">
        <w:rPr>
          <w:rFonts w:ascii="Times New Roman" w:hAnsi="Times New Roman"/>
          <w:noProof/>
          <w:sz w:val="24"/>
        </w:rPr>
        <w:t xml:space="preserve"> qualify as environmentally sustainable in accordance with Articles 3 and 9 of Regulation (EU) 2020/852</w:t>
      </w:r>
      <w:r w:rsidR="00D25680" w:rsidRPr="00E50FA4">
        <w:rPr>
          <w:rFonts w:ascii="Times New Roman" w:hAnsi="Times New Roman"/>
          <w:noProof/>
          <w:sz w:val="24"/>
        </w:rPr>
        <w:t xml:space="preserve"> </w:t>
      </w:r>
      <w:r w:rsidR="00303A1A" w:rsidRPr="00E50FA4">
        <w:rPr>
          <w:rFonts w:ascii="Times New Roman" w:hAnsi="Times New Roman"/>
          <w:noProof/>
          <w:sz w:val="24"/>
        </w:rPr>
        <w:t>so that stakeholders can</w:t>
      </w:r>
      <w:r w:rsidR="00D25680" w:rsidRPr="00E50FA4">
        <w:rPr>
          <w:rFonts w:ascii="Times New Roman" w:hAnsi="Times New Roman"/>
          <w:noProof/>
          <w:sz w:val="24"/>
        </w:rPr>
        <w:t xml:space="preserve"> understand the actions put in place by the institutions to mitigate climate change transition and physical risks</w:t>
      </w:r>
      <w:r w:rsidR="00E77292" w:rsidRPr="00E50FA4">
        <w:rPr>
          <w:rFonts w:ascii="Times New Roman" w:hAnsi="Times New Roman"/>
          <w:noProof/>
          <w:sz w:val="24"/>
        </w:rPr>
        <w:t>.</w:t>
      </w:r>
      <w:r w:rsidR="00125C05" w:rsidRPr="00E50FA4">
        <w:rPr>
          <w:rFonts w:ascii="Times New Roman" w:hAnsi="Times New Roman"/>
          <w:noProof/>
          <w:sz w:val="24"/>
        </w:rPr>
        <w:t xml:space="preserve"> </w:t>
      </w:r>
    </w:p>
    <w:p w14:paraId="3B5375C6" w14:textId="2394BF63" w:rsidR="00E37C15" w:rsidRPr="00E50FA4" w:rsidRDefault="00E37C15" w:rsidP="00B76863">
      <w:pPr>
        <w:pStyle w:val="ListParagraph"/>
        <w:numPr>
          <w:ilvl w:val="0"/>
          <w:numId w:val="65"/>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Delegated Regulation (EU) </w:t>
      </w:r>
      <w:r w:rsidR="003E4DB5" w:rsidRPr="00E50FA4">
        <w:rPr>
          <w:rFonts w:ascii="Times New Roman" w:hAnsi="Times New Roman"/>
          <w:noProof/>
          <w:sz w:val="24"/>
          <w:lang w:val="en-US"/>
        </w:rPr>
        <w:t>2021/2178</w:t>
      </w:r>
      <w:r w:rsidR="009620B8" w:rsidRPr="00E50FA4">
        <w:rPr>
          <w:rFonts w:ascii="Times New Roman" w:hAnsi="Times New Roman"/>
          <w:noProof/>
          <w:sz w:val="24"/>
          <w:lang w:val="en-US"/>
        </w:rPr>
        <w:t xml:space="preserve"> </w:t>
      </w:r>
      <w:r w:rsidRPr="00E50FA4">
        <w:rPr>
          <w:rFonts w:ascii="Times New Roman" w:hAnsi="Times New Roman"/>
          <w:noProof/>
          <w:sz w:val="24"/>
        </w:rPr>
        <w:t>requires institutions to estimate and disclose the GAR twice</w:t>
      </w:r>
      <w:r w:rsidR="00292EF5" w:rsidRPr="00E50FA4">
        <w:rPr>
          <w:rFonts w:ascii="Times New Roman" w:hAnsi="Times New Roman"/>
          <w:noProof/>
          <w:sz w:val="24"/>
        </w:rPr>
        <w:t>. O</w:t>
      </w:r>
      <w:r w:rsidRPr="00E50FA4">
        <w:rPr>
          <w:rFonts w:ascii="Times New Roman" w:hAnsi="Times New Roman"/>
          <w:noProof/>
          <w:sz w:val="24"/>
        </w:rPr>
        <w:t>nce</w:t>
      </w:r>
      <w:r w:rsidR="00292EF5" w:rsidRPr="00E50FA4">
        <w:rPr>
          <w:rFonts w:ascii="Times New Roman" w:hAnsi="Times New Roman"/>
          <w:noProof/>
          <w:sz w:val="24"/>
        </w:rPr>
        <w:t>, the disclosure is</w:t>
      </w:r>
      <w:r w:rsidRPr="00E50FA4">
        <w:rPr>
          <w:rFonts w:ascii="Times New Roman" w:hAnsi="Times New Roman"/>
          <w:noProof/>
          <w:sz w:val="24"/>
        </w:rPr>
        <w:t xml:space="preserve"> based on the turnover taxonomy alignment of the counterparty (for non-financial corporates) for those exposures </w:t>
      </w:r>
      <w:r w:rsidR="00014788" w:rsidRPr="00E50FA4">
        <w:rPr>
          <w:rFonts w:ascii="Times New Roman" w:hAnsi="Times New Roman"/>
          <w:noProof/>
          <w:sz w:val="24"/>
        </w:rPr>
        <w:t>the purpose of which</w:t>
      </w:r>
      <w:r w:rsidRPr="00E50FA4">
        <w:rPr>
          <w:rFonts w:ascii="Times New Roman" w:hAnsi="Times New Roman"/>
          <w:noProof/>
          <w:sz w:val="24"/>
        </w:rPr>
        <w:t xml:space="preserve"> is not to finance specific identified activities (general purpose lending)</w:t>
      </w:r>
      <w:r w:rsidR="00AA61CB" w:rsidRPr="00E50FA4">
        <w:rPr>
          <w:rFonts w:ascii="Times New Roman" w:hAnsi="Times New Roman"/>
          <w:noProof/>
          <w:sz w:val="24"/>
        </w:rPr>
        <w:t>.</w:t>
      </w:r>
      <w:r w:rsidR="00292EF5" w:rsidRPr="00E50FA4">
        <w:rPr>
          <w:rFonts w:ascii="Times New Roman" w:hAnsi="Times New Roman"/>
          <w:noProof/>
          <w:sz w:val="24"/>
        </w:rPr>
        <w:t xml:space="preserve"> A second disclosure is</w:t>
      </w:r>
      <w:r w:rsidR="00BA4944" w:rsidRPr="00E50FA4">
        <w:rPr>
          <w:rFonts w:ascii="Times New Roman" w:hAnsi="Times New Roman"/>
          <w:noProof/>
          <w:sz w:val="24"/>
        </w:rPr>
        <w:t xml:space="preserve"> </w:t>
      </w:r>
      <w:r w:rsidRPr="00E50FA4">
        <w:rPr>
          <w:rFonts w:ascii="Times New Roman" w:hAnsi="Times New Roman"/>
          <w:noProof/>
          <w:sz w:val="24"/>
        </w:rPr>
        <w:t>based on the C</w:t>
      </w:r>
      <w:r w:rsidR="003E4DB5" w:rsidRPr="00E50FA4">
        <w:rPr>
          <w:rFonts w:ascii="Times New Roman" w:hAnsi="Times New Roman"/>
          <w:noProof/>
          <w:sz w:val="24"/>
        </w:rPr>
        <w:t>ap</w:t>
      </w:r>
      <w:r w:rsidRPr="00E50FA4">
        <w:rPr>
          <w:rFonts w:ascii="Times New Roman" w:hAnsi="Times New Roman"/>
          <w:noProof/>
          <w:sz w:val="24"/>
        </w:rPr>
        <w:t>E</w:t>
      </w:r>
      <w:r w:rsidR="003E4DB5" w:rsidRPr="00E50FA4">
        <w:rPr>
          <w:rFonts w:ascii="Times New Roman" w:hAnsi="Times New Roman"/>
          <w:noProof/>
          <w:sz w:val="24"/>
        </w:rPr>
        <w:t>x</w:t>
      </w:r>
      <w:r w:rsidRPr="00E50FA4">
        <w:rPr>
          <w:rFonts w:ascii="Times New Roman" w:hAnsi="Times New Roman"/>
          <w:noProof/>
          <w:sz w:val="24"/>
        </w:rPr>
        <w:t xml:space="preserve"> alignment </w:t>
      </w:r>
      <w:r w:rsidR="00BB3021" w:rsidRPr="00E50FA4">
        <w:rPr>
          <w:rFonts w:ascii="Times New Roman" w:hAnsi="Times New Roman"/>
          <w:noProof/>
          <w:sz w:val="24"/>
        </w:rPr>
        <w:t xml:space="preserve">to Regulation (EU) 2020/852 </w:t>
      </w:r>
      <w:r w:rsidRPr="00E50FA4">
        <w:rPr>
          <w:rFonts w:ascii="Times New Roman" w:hAnsi="Times New Roman"/>
          <w:noProof/>
          <w:sz w:val="24"/>
        </w:rPr>
        <w:t>of the counterparty for the same general purpose lending exposures</w:t>
      </w:r>
      <w:r w:rsidR="00292EF5" w:rsidRPr="00E50FA4">
        <w:rPr>
          <w:rFonts w:ascii="Times New Roman" w:hAnsi="Times New Roman"/>
          <w:noProof/>
          <w:sz w:val="24"/>
        </w:rPr>
        <w:t>. In this template</w:t>
      </w:r>
      <w:r w:rsidR="00B76863" w:rsidRPr="00E50FA4">
        <w:rPr>
          <w:rFonts w:ascii="Times New Roman" w:hAnsi="Times New Roman"/>
          <w:noProof/>
          <w:sz w:val="24"/>
        </w:rPr>
        <w:t>, institutions</w:t>
      </w:r>
      <w:r w:rsidRPr="00E50FA4">
        <w:rPr>
          <w:rFonts w:ascii="Times New Roman" w:hAnsi="Times New Roman"/>
          <w:noProof/>
          <w:sz w:val="24"/>
        </w:rPr>
        <w:t xml:space="preserve"> shall only disclose the GAR once, based on the turnover alignment of the counterparty for the general purpose lending part</w:t>
      </w:r>
      <w:r w:rsidR="00014788" w:rsidRPr="00E50FA4">
        <w:rPr>
          <w:rFonts w:ascii="Times New Roman" w:hAnsi="Times New Roman"/>
          <w:noProof/>
          <w:sz w:val="24"/>
        </w:rPr>
        <w:t xml:space="preserve"> only.</w:t>
      </w:r>
    </w:p>
    <w:p w14:paraId="0BDA0859" w14:textId="34293F89" w:rsidR="00E37C15" w:rsidRPr="00E50FA4" w:rsidRDefault="002A2C5B" w:rsidP="00B76863">
      <w:pPr>
        <w:pStyle w:val="ListParagraph"/>
        <w:numPr>
          <w:ilvl w:val="0"/>
          <w:numId w:val="65"/>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Institutions shall start disclosing this information with first reference date </w:t>
      </w:r>
      <w:r w:rsidR="001B0E70" w:rsidRPr="00E50FA4">
        <w:rPr>
          <w:rFonts w:ascii="Times New Roman" w:hAnsi="Times New Roman"/>
          <w:noProof/>
          <w:sz w:val="24"/>
        </w:rPr>
        <w:t xml:space="preserve">as of 31 December 2023, </w:t>
      </w:r>
      <w:r w:rsidRPr="00E50FA4">
        <w:rPr>
          <w:rFonts w:ascii="Times New Roman" w:hAnsi="Times New Roman"/>
          <w:noProof/>
          <w:sz w:val="24"/>
        </w:rPr>
        <w:t>which</w:t>
      </w:r>
      <w:r w:rsidR="000827DE">
        <w:rPr>
          <w:rFonts w:ascii="Times New Roman" w:hAnsi="Times New Roman"/>
          <w:noProof/>
          <w:sz w:val="24"/>
        </w:rPr>
        <w:t xml:space="preserve"> is</w:t>
      </w:r>
      <w:r w:rsidRPr="00E50FA4">
        <w:rPr>
          <w:rFonts w:ascii="Times New Roman" w:hAnsi="Times New Roman"/>
          <w:noProof/>
          <w:sz w:val="24"/>
        </w:rPr>
        <w:t xml:space="preserve"> </w:t>
      </w:r>
      <w:r w:rsidR="001B0E70" w:rsidRPr="00E50FA4">
        <w:rPr>
          <w:rFonts w:ascii="Times New Roman" w:hAnsi="Times New Roman"/>
          <w:noProof/>
          <w:sz w:val="24"/>
        </w:rPr>
        <w:t xml:space="preserve">in line with the first reference date for the disclosure of the information on the GAR referred to in Delegated Regulation (EU) </w:t>
      </w:r>
      <w:r w:rsidR="001B0E70" w:rsidRPr="00E50FA4">
        <w:rPr>
          <w:rFonts w:ascii="Times New Roman" w:hAnsi="Times New Roman"/>
          <w:noProof/>
          <w:sz w:val="24"/>
          <w:lang w:val="en-US"/>
        </w:rPr>
        <w:t>2021/2178.</w:t>
      </w:r>
    </w:p>
    <w:p w14:paraId="467EE286" w14:textId="77777777" w:rsidR="00E37C15" w:rsidRPr="00E50FA4" w:rsidRDefault="00E37C15" w:rsidP="004A75EF">
      <w:pPr>
        <w:spacing w:before="120" w:after="120"/>
        <w:jc w:val="both"/>
        <w:rPr>
          <w:rFonts w:ascii="Times New Roman" w:hAnsi="Times New Roman"/>
          <w:noProof/>
          <w:sz w:val="24"/>
        </w:rPr>
      </w:pPr>
    </w:p>
    <w:p w14:paraId="0CC4FE42" w14:textId="77777777" w:rsidR="00E77292" w:rsidRPr="00E50FA4" w:rsidRDefault="00E77292" w:rsidP="00720CB4">
      <w:pPr>
        <w:pStyle w:val="ListParagraph"/>
        <w:spacing w:before="120" w:after="120"/>
        <w:jc w:val="both"/>
        <w:rPr>
          <w:rFonts w:ascii="Times New Roman" w:hAnsi="Times New Roman"/>
          <w:noProof/>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879"/>
      </w:tblGrid>
      <w:tr w:rsidR="00E77292" w:rsidRPr="00E50FA4" w14:paraId="0276626C" w14:textId="77777777" w:rsidTr="00BA313D">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7C5AD9B4" w14:textId="77777777" w:rsidR="00E77292" w:rsidRPr="00E50FA4" w:rsidRDefault="00E77292" w:rsidP="001B102C">
            <w:pPr>
              <w:spacing w:before="120" w:after="120"/>
              <w:jc w:val="both"/>
              <w:rPr>
                <w:rFonts w:ascii="Times New Roman" w:eastAsia="Times New Roman" w:hAnsi="Times New Roman" w:cs="Times New Roman"/>
                <w:noProof/>
                <w:sz w:val="24"/>
                <w:lang w:val="en-GB" w:bidi="ne-NP"/>
              </w:rPr>
            </w:pPr>
            <w:r w:rsidRPr="00E50FA4">
              <w:rPr>
                <w:rFonts w:ascii="Times New Roman" w:eastAsia="Times New Roman" w:hAnsi="Times New Roman" w:cs="Times New Roman"/>
                <w:noProof/>
                <w:sz w:val="24"/>
                <w:lang w:val="en-GB" w:bidi="ne-NP"/>
              </w:rPr>
              <w:t>Columns</w:t>
            </w:r>
          </w:p>
        </w:tc>
        <w:tc>
          <w:tcPr>
            <w:tcW w:w="7879" w:type="dxa"/>
            <w:tcBorders>
              <w:top w:val="single" w:sz="4" w:space="0" w:color="auto"/>
              <w:left w:val="single" w:sz="4" w:space="0" w:color="auto"/>
              <w:bottom w:val="single" w:sz="4" w:space="0" w:color="auto"/>
              <w:right w:val="single" w:sz="4" w:space="0" w:color="auto"/>
            </w:tcBorders>
            <w:shd w:val="clear" w:color="auto" w:fill="CCCCCC"/>
            <w:hideMark/>
          </w:tcPr>
          <w:p w14:paraId="445EC347" w14:textId="77777777" w:rsidR="00E77292" w:rsidRPr="00E50FA4" w:rsidRDefault="00E77292" w:rsidP="001B102C">
            <w:pPr>
              <w:spacing w:before="120" w:after="120"/>
              <w:jc w:val="both"/>
              <w:rPr>
                <w:rFonts w:ascii="Times New Roman" w:eastAsia="Times New Roman" w:hAnsi="Times New Roman" w:cs="Times New Roman"/>
                <w:noProof/>
                <w:sz w:val="24"/>
                <w:lang w:val="en-GB" w:bidi="ne-NP"/>
              </w:rPr>
            </w:pPr>
            <w:r w:rsidRPr="00E50FA4">
              <w:rPr>
                <w:rFonts w:ascii="Times New Roman" w:eastAsia="Times New Roman" w:hAnsi="Times New Roman" w:cs="Times New Roman"/>
                <w:noProof/>
                <w:sz w:val="24"/>
                <w:lang w:val="en-GB" w:bidi="ne-NP"/>
              </w:rPr>
              <w:t>Instructions</w:t>
            </w:r>
          </w:p>
        </w:tc>
      </w:tr>
      <w:tr w:rsidR="00E77292" w:rsidRPr="00E50FA4" w14:paraId="09BD36BD" w14:textId="77777777" w:rsidTr="00BA313D">
        <w:tc>
          <w:tcPr>
            <w:tcW w:w="1188" w:type="dxa"/>
            <w:tcBorders>
              <w:top w:val="single" w:sz="4" w:space="0" w:color="auto"/>
              <w:left w:val="single" w:sz="4" w:space="0" w:color="auto"/>
              <w:bottom w:val="single" w:sz="4" w:space="0" w:color="auto"/>
              <w:right w:val="single" w:sz="4" w:space="0" w:color="auto"/>
            </w:tcBorders>
          </w:tcPr>
          <w:p w14:paraId="12AA84BB"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a</w:t>
            </w:r>
          </w:p>
        </w:tc>
        <w:tc>
          <w:tcPr>
            <w:tcW w:w="7879" w:type="dxa"/>
            <w:tcBorders>
              <w:top w:val="single" w:sz="4" w:space="0" w:color="auto"/>
              <w:left w:val="single" w:sz="4" w:space="0" w:color="auto"/>
              <w:bottom w:val="single" w:sz="4" w:space="0" w:color="auto"/>
              <w:right w:val="single" w:sz="4" w:space="0" w:color="auto"/>
            </w:tcBorders>
          </w:tcPr>
          <w:p w14:paraId="32B2B5F4"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Proportion of assets funding taxonomy relevant sectors</w:t>
            </w:r>
          </w:p>
          <w:p w14:paraId="0CFB2F14" w14:textId="72BE58F2"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he proportion of the stock of assets funding</w:t>
            </w:r>
            <w:r w:rsidR="00E91C82" w:rsidRPr="00E50FA4">
              <w:rPr>
                <w:rFonts w:ascii="Times New Roman" w:eastAsia="Times New Roman" w:hAnsi="Times New Roman" w:cs="Times New Roman"/>
                <w:noProof/>
                <w:sz w:val="24"/>
                <w:lang w:val="en-GB"/>
              </w:rPr>
              <w:t xml:space="preserve"> </w:t>
            </w:r>
            <w:r w:rsidR="00E77292" w:rsidRPr="00E50FA4">
              <w:rPr>
                <w:rFonts w:ascii="Times New Roman" w:eastAsia="Times New Roman" w:hAnsi="Times New Roman" w:cs="Times New Roman"/>
                <w:noProof/>
                <w:sz w:val="24"/>
                <w:lang w:val="en-GB"/>
              </w:rPr>
              <w:t>activities</w:t>
            </w:r>
            <w:r w:rsidR="002A56D2" w:rsidRPr="00E50FA4">
              <w:rPr>
                <w:rFonts w:ascii="Times New Roman" w:eastAsia="Times New Roman" w:hAnsi="Times New Roman" w:cs="Times New Roman"/>
                <w:noProof/>
                <w:sz w:val="24"/>
                <w:lang w:val="en-GB"/>
              </w:rPr>
              <w:t xml:space="preserve"> </w:t>
            </w:r>
            <w:r w:rsidR="00BA4944" w:rsidRPr="00E50FA4">
              <w:rPr>
                <w:rFonts w:ascii="Times New Roman" w:eastAsia="Times New Roman" w:hAnsi="Times New Roman" w:cs="Times New Roman"/>
                <w:noProof/>
                <w:sz w:val="24"/>
                <w:lang w:val="en-GB"/>
              </w:rPr>
              <w:t xml:space="preserve">referred to </w:t>
            </w:r>
            <w:r w:rsidR="002A56D2" w:rsidRPr="00E50FA4">
              <w:rPr>
                <w:rFonts w:ascii="Times New Roman" w:eastAsia="Times New Roman" w:hAnsi="Times New Roman" w:cs="Times New Roman"/>
                <w:noProof/>
                <w:sz w:val="24"/>
                <w:lang w:val="en-GB"/>
              </w:rPr>
              <w:t>in Regulation (EU) 2020/852</w:t>
            </w:r>
            <w:r w:rsidR="002A56D2" w:rsidRPr="00E50FA4">
              <w:rPr>
                <w:rFonts w:ascii="Helvetica" w:hAnsi="Helvetica"/>
                <w:noProof/>
                <w:color w:val="666666"/>
                <w:sz w:val="21"/>
                <w:szCs w:val="21"/>
                <w:shd w:val="clear" w:color="auto" w:fill="FFFFFF"/>
              </w:rPr>
              <w:t> </w:t>
            </w:r>
            <w:r w:rsidR="00E91C82" w:rsidRPr="00E50FA4">
              <w:rPr>
                <w:rFonts w:ascii="Times New Roman" w:eastAsia="Times New Roman" w:hAnsi="Times New Roman" w:cs="Times New Roman"/>
                <w:noProof/>
                <w:sz w:val="24"/>
                <w:lang w:val="en-GB"/>
              </w:rPr>
              <w:t>(i.e.</w:t>
            </w:r>
            <w:r w:rsidR="00292EF5" w:rsidRPr="00E50FA4">
              <w:rPr>
                <w:rFonts w:ascii="Times New Roman" w:eastAsia="Times New Roman" w:hAnsi="Times New Roman" w:cs="Times New Roman"/>
                <w:noProof/>
                <w:sz w:val="24"/>
                <w:lang w:val="en-GB"/>
              </w:rPr>
              <w:t xml:space="preserve"> </w:t>
            </w:r>
            <w:r w:rsidR="00E91C82" w:rsidRPr="00E50FA4">
              <w:rPr>
                <w:rFonts w:ascii="Times New Roman" w:eastAsia="Times New Roman" w:hAnsi="Times New Roman" w:cs="Times New Roman"/>
                <w:noProof/>
                <w:sz w:val="24"/>
                <w:lang w:val="en-GB"/>
              </w:rPr>
              <w:t xml:space="preserve">eligible assets) </w:t>
            </w:r>
            <w:r w:rsidR="00E77292" w:rsidRPr="00E50FA4">
              <w:rPr>
                <w:rFonts w:ascii="Times New Roman" w:eastAsia="Times New Roman" w:hAnsi="Times New Roman" w:cs="Times New Roman"/>
                <w:noProof/>
                <w:sz w:val="24"/>
                <w:lang w:val="en-GB"/>
              </w:rPr>
              <w:t xml:space="preserve">in total stock of </w:t>
            </w:r>
            <w:r w:rsidR="00E91C82" w:rsidRPr="00E50FA4">
              <w:rPr>
                <w:rFonts w:ascii="Times New Roman" w:eastAsia="Times New Roman" w:hAnsi="Times New Roman" w:cs="Times New Roman"/>
                <w:noProof/>
                <w:sz w:val="24"/>
                <w:lang w:val="en-GB"/>
              </w:rPr>
              <w:t>covered</w:t>
            </w:r>
            <w:r w:rsidR="00E77292" w:rsidRPr="00E50FA4">
              <w:rPr>
                <w:rFonts w:ascii="Times New Roman" w:eastAsia="Times New Roman" w:hAnsi="Times New Roman" w:cs="Times New Roman"/>
                <w:noProof/>
                <w:sz w:val="24"/>
                <w:lang w:val="en-GB"/>
              </w:rPr>
              <w:t xml:space="preserve"> assets. Th</w:t>
            </w:r>
            <w:r w:rsidR="00BA4944" w:rsidRPr="00E50FA4">
              <w:rPr>
                <w:rFonts w:ascii="Times New Roman" w:eastAsia="Times New Roman" w:hAnsi="Times New Roman" w:cs="Times New Roman"/>
                <w:noProof/>
                <w:sz w:val="24"/>
                <w:lang w:val="en-GB"/>
              </w:rPr>
              <w:t>is</w:t>
            </w:r>
            <w:r w:rsidR="00E77292" w:rsidRPr="00E50FA4">
              <w:rPr>
                <w:rFonts w:ascii="Times New Roman" w:eastAsia="Times New Roman" w:hAnsi="Times New Roman" w:cs="Times New Roman"/>
                <w:noProof/>
                <w:sz w:val="24"/>
                <w:lang w:val="en-GB"/>
              </w:rPr>
              <w:t xml:space="preserve"> item shall be expressed as a percentage.</w:t>
            </w:r>
          </w:p>
          <w:p w14:paraId="1B49D926" w14:textId="2BBE1969"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The numerator of the KPI shall be the gross carrying amount of eligible assets funding taxonomy</w:t>
            </w:r>
            <w:r w:rsidR="00292EF5"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relevant sectors </w:t>
            </w:r>
            <w:r w:rsidR="00BA4944" w:rsidRPr="00E50FA4">
              <w:rPr>
                <w:rFonts w:ascii="Times New Roman" w:eastAsia="Times New Roman" w:hAnsi="Times New Roman" w:cs="Times New Roman"/>
                <w:noProof/>
                <w:sz w:val="24"/>
                <w:lang w:val="en-GB"/>
              </w:rPr>
              <w:t xml:space="preserve">referred to </w:t>
            </w:r>
            <w:r w:rsidR="005A4494" w:rsidRPr="00E50FA4">
              <w:rPr>
                <w:rFonts w:ascii="Times New Roman" w:eastAsia="Times New Roman" w:hAnsi="Times New Roman" w:cs="Times New Roman"/>
                <w:noProof/>
                <w:sz w:val="24"/>
                <w:lang w:val="en-GB"/>
              </w:rPr>
              <w:t>in Regulation (EU) 2020/852</w:t>
            </w:r>
            <w:r w:rsidR="005A4494" w:rsidRPr="00E50FA4">
              <w:rPr>
                <w:rFonts w:ascii="Helvetica" w:hAnsi="Helvetica"/>
                <w:noProof/>
                <w:color w:val="666666"/>
                <w:sz w:val="21"/>
                <w:szCs w:val="21"/>
                <w:shd w:val="clear" w:color="auto" w:fill="FFFFFF"/>
              </w:rPr>
              <w:t> </w:t>
            </w:r>
            <w:r w:rsidR="00D25680" w:rsidRPr="00E50FA4">
              <w:rPr>
                <w:rFonts w:ascii="Times New Roman" w:eastAsia="Times New Roman" w:hAnsi="Times New Roman" w:cs="Times New Roman"/>
                <w:noProof/>
                <w:sz w:val="24"/>
                <w:lang w:val="en-GB"/>
              </w:rPr>
              <w:t xml:space="preserve">for the objective of climate change mitigation </w:t>
            </w:r>
            <w:r w:rsidRPr="00E50FA4">
              <w:rPr>
                <w:rFonts w:ascii="Times New Roman" w:eastAsia="Times New Roman" w:hAnsi="Times New Roman" w:cs="Times New Roman"/>
                <w:noProof/>
                <w:sz w:val="24"/>
                <w:lang w:val="en-GB"/>
              </w:rPr>
              <w:t xml:space="preserve">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b</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0F734D"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7B1C5A32" w14:textId="787727DB" w:rsidR="00E77292" w:rsidRPr="00E50FA4" w:rsidRDefault="00E77292" w:rsidP="008572A9">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EB273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as defined 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303A1A"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3D52EEA1" w14:textId="77777777" w:rsidTr="00BA313D">
        <w:tc>
          <w:tcPr>
            <w:tcW w:w="1188" w:type="dxa"/>
            <w:tcBorders>
              <w:top w:val="single" w:sz="4" w:space="0" w:color="auto"/>
              <w:left w:val="single" w:sz="4" w:space="0" w:color="auto"/>
              <w:bottom w:val="single" w:sz="4" w:space="0" w:color="auto"/>
              <w:right w:val="single" w:sz="4" w:space="0" w:color="auto"/>
            </w:tcBorders>
            <w:hideMark/>
          </w:tcPr>
          <w:p w14:paraId="3AE9ACD4"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b</w:t>
            </w:r>
          </w:p>
        </w:tc>
        <w:tc>
          <w:tcPr>
            <w:tcW w:w="7879" w:type="dxa"/>
            <w:tcBorders>
              <w:top w:val="single" w:sz="4" w:space="0" w:color="auto"/>
              <w:left w:val="single" w:sz="4" w:space="0" w:color="auto"/>
              <w:bottom w:val="single" w:sz="4" w:space="0" w:color="auto"/>
              <w:right w:val="single" w:sz="4" w:space="0" w:color="auto"/>
            </w:tcBorders>
          </w:tcPr>
          <w:p w14:paraId="31981563"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environmentally sustainable </w:t>
            </w:r>
          </w:p>
          <w:p w14:paraId="32793EAC" w14:textId="5C52678D"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he proportion of the stock of assets funding environmentally sustainable activities</w:t>
            </w:r>
            <w:r w:rsidR="00E91C82" w:rsidRPr="00E50FA4">
              <w:rPr>
                <w:rFonts w:ascii="Times New Roman" w:eastAsia="Times New Roman" w:hAnsi="Times New Roman" w:cs="Times New Roman"/>
                <w:noProof/>
                <w:sz w:val="24"/>
                <w:lang w:val="en-GB"/>
              </w:rPr>
              <w:t xml:space="preserve"> (i.e., aligned assets)</w:t>
            </w:r>
            <w:r w:rsidR="00E77292" w:rsidRPr="00E50FA4">
              <w:rPr>
                <w:rFonts w:ascii="Times New Roman" w:eastAsia="Times New Roman" w:hAnsi="Times New Roman" w:cs="Times New Roman"/>
                <w:noProof/>
                <w:sz w:val="24"/>
                <w:lang w:val="en-GB"/>
              </w:rPr>
              <w:t xml:space="preserve"> in the stock of eligible assets. The item shall be expressed </w:t>
            </w:r>
            <w:r w:rsidR="00292EF5" w:rsidRPr="00E50FA4">
              <w:rPr>
                <w:rFonts w:ascii="Times New Roman" w:eastAsia="Times New Roman" w:hAnsi="Times New Roman" w:cs="Times New Roman"/>
                <w:noProof/>
                <w:sz w:val="24"/>
                <w:lang w:val="en-GB"/>
              </w:rPr>
              <w:t xml:space="preserve">in </w:t>
            </w:r>
            <w:r w:rsidR="00E77292" w:rsidRPr="00E50FA4">
              <w:rPr>
                <w:rFonts w:ascii="Times New Roman" w:eastAsia="Times New Roman" w:hAnsi="Times New Roman" w:cs="Times New Roman"/>
                <w:noProof/>
                <w:sz w:val="24"/>
                <w:lang w:val="en-GB"/>
              </w:rPr>
              <w:t>percentage</w:t>
            </w:r>
            <w:r w:rsidR="00292EF5" w:rsidRPr="00E50FA4">
              <w:rPr>
                <w:rFonts w:ascii="Times New Roman" w:eastAsia="Times New Roman" w:hAnsi="Times New Roman" w:cs="Times New Roman"/>
                <w:noProof/>
                <w:sz w:val="24"/>
                <w:lang w:val="en-GB"/>
              </w:rPr>
              <w:t xml:space="preserve"> terms</w:t>
            </w:r>
            <w:r w:rsidR="00E77292" w:rsidRPr="00E50FA4">
              <w:rPr>
                <w:rFonts w:ascii="Times New Roman" w:eastAsia="Times New Roman" w:hAnsi="Times New Roman" w:cs="Times New Roman"/>
                <w:noProof/>
                <w:sz w:val="24"/>
                <w:lang w:val="en-GB"/>
              </w:rPr>
              <w:t>.</w:t>
            </w:r>
          </w:p>
          <w:p w14:paraId="70661FCD" w14:textId="04FC16FD"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The numerator of the KPI shall be the gross carrying amount of eligible assets funding environmentally sustainable activities</w:t>
            </w:r>
            <w:r w:rsidR="00D25680" w:rsidRPr="00E50FA4">
              <w:rPr>
                <w:rFonts w:ascii="Times New Roman" w:eastAsia="Times New Roman" w:hAnsi="Times New Roman" w:cs="Times New Roman"/>
                <w:noProof/>
                <w:sz w:val="24"/>
                <w:lang w:val="en-GB"/>
              </w:rPr>
              <w:t xml:space="preserve"> for the objective of climate</w:t>
            </w:r>
            <w:r w:rsidR="00292EF5" w:rsidRPr="00E50FA4">
              <w:rPr>
                <w:rFonts w:ascii="Times New Roman" w:eastAsia="Times New Roman" w:hAnsi="Times New Roman" w:cs="Times New Roman"/>
                <w:noProof/>
                <w:sz w:val="24"/>
                <w:lang w:val="en-GB"/>
              </w:rPr>
              <w:t>-</w:t>
            </w:r>
            <w:r w:rsidR="00D25680" w:rsidRPr="00E50FA4">
              <w:rPr>
                <w:rFonts w:ascii="Times New Roman" w:eastAsia="Times New Roman" w:hAnsi="Times New Roman" w:cs="Times New Roman"/>
                <w:noProof/>
                <w:sz w:val="24"/>
                <w:lang w:val="en-GB"/>
              </w:rPr>
              <w:t>change mitigation</w:t>
            </w:r>
            <w:r w:rsidRPr="00E50FA4">
              <w:rPr>
                <w:rFonts w:ascii="Times New Roman" w:eastAsia="Times New Roman" w:hAnsi="Times New Roman" w:cs="Times New Roman"/>
                <w:noProof/>
                <w:sz w:val="24"/>
                <w:lang w:val="en-GB"/>
              </w:rPr>
              <w:t xml:space="preserve">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c</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303A1A"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18DEFB14" w14:textId="3C9D28A5" w:rsidR="00E77292" w:rsidRPr="00E50FA4" w:rsidRDefault="00E77292" w:rsidP="00014788">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EB273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exposures as </w:t>
            </w:r>
            <w:r w:rsidR="00014788"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303A1A"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61FF6E3C" w14:textId="77777777" w:rsidTr="00BA313D">
        <w:tc>
          <w:tcPr>
            <w:tcW w:w="1188" w:type="dxa"/>
            <w:tcBorders>
              <w:top w:val="single" w:sz="4" w:space="0" w:color="auto"/>
              <w:left w:val="single" w:sz="4" w:space="0" w:color="auto"/>
              <w:bottom w:val="single" w:sz="4" w:space="0" w:color="auto"/>
              <w:right w:val="single" w:sz="4" w:space="0" w:color="auto"/>
            </w:tcBorders>
          </w:tcPr>
          <w:p w14:paraId="31997174"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c</w:t>
            </w:r>
          </w:p>
        </w:tc>
        <w:tc>
          <w:tcPr>
            <w:tcW w:w="7879" w:type="dxa"/>
            <w:tcBorders>
              <w:top w:val="single" w:sz="4" w:space="0" w:color="auto"/>
              <w:left w:val="single" w:sz="4" w:space="0" w:color="auto"/>
              <w:bottom w:val="single" w:sz="4" w:space="0" w:color="auto"/>
              <w:right w:val="single" w:sz="4" w:space="0" w:color="auto"/>
            </w:tcBorders>
          </w:tcPr>
          <w:p w14:paraId="66A2363F"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specialised lending</w:t>
            </w:r>
          </w:p>
          <w:p w14:paraId="7807F72F" w14:textId="00E04139"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 xml:space="preserve">he proportion of the stock of assets categorised as specialised lending funding environmentally sustainable activities </w:t>
            </w:r>
            <w:r w:rsidR="006A79AF" w:rsidRPr="00E50FA4">
              <w:rPr>
                <w:rFonts w:ascii="Times New Roman" w:eastAsia="Times New Roman" w:hAnsi="Times New Roman" w:cs="Times New Roman"/>
                <w:noProof/>
                <w:sz w:val="24"/>
                <w:lang w:val="en-GB"/>
              </w:rPr>
              <w:t xml:space="preserve">for the objective of climate change mitigation </w:t>
            </w:r>
            <w:r w:rsidR="00E77292" w:rsidRPr="00E50FA4">
              <w:rPr>
                <w:rFonts w:ascii="Times New Roman" w:eastAsia="Times New Roman" w:hAnsi="Times New Roman" w:cs="Times New Roman"/>
                <w:noProof/>
                <w:sz w:val="24"/>
                <w:lang w:val="en-GB"/>
              </w:rPr>
              <w:t>in the stock of assets funding environmentally sustainable activities. The item shall be expressed as a percentage.</w:t>
            </w:r>
          </w:p>
          <w:p w14:paraId="64A2C048" w14:textId="7A1BB848"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d</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303A1A"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52B76DE3" w14:textId="219669B9" w:rsidR="00E77292" w:rsidRPr="00E50FA4" w:rsidRDefault="00E77292" w:rsidP="002A56D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EB273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303A1A"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F87201" w:rsidRPr="00E50FA4" w14:paraId="644D4D1B" w14:textId="77777777" w:rsidTr="00BA313D">
        <w:tc>
          <w:tcPr>
            <w:tcW w:w="1188" w:type="dxa"/>
            <w:tcBorders>
              <w:top w:val="single" w:sz="4" w:space="0" w:color="auto"/>
              <w:left w:val="single" w:sz="4" w:space="0" w:color="auto"/>
              <w:bottom w:val="single" w:sz="4" w:space="0" w:color="auto"/>
              <w:right w:val="single" w:sz="4" w:space="0" w:color="auto"/>
            </w:tcBorders>
          </w:tcPr>
          <w:p w14:paraId="1F34ECA9" w14:textId="77777777" w:rsidR="00F87201" w:rsidRPr="00E50FA4" w:rsidRDefault="00F87201"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d</w:t>
            </w:r>
          </w:p>
        </w:tc>
        <w:tc>
          <w:tcPr>
            <w:tcW w:w="7879" w:type="dxa"/>
            <w:tcBorders>
              <w:top w:val="single" w:sz="4" w:space="0" w:color="auto"/>
              <w:left w:val="single" w:sz="4" w:space="0" w:color="auto"/>
              <w:bottom w:val="single" w:sz="4" w:space="0" w:color="auto"/>
              <w:right w:val="single" w:sz="4" w:space="0" w:color="auto"/>
            </w:tcBorders>
          </w:tcPr>
          <w:p w14:paraId="4C67C258" w14:textId="77777777" w:rsidR="00F87201" w:rsidRPr="00E50FA4" w:rsidRDefault="00F87201"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transitional</w:t>
            </w:r>
          </w:p>
          <w:p w14:paraId="43979797" w14:textId="77777777" w:rsidR="00F87201" w:rsidRPr="00E50FA4" w:rsidRDefault="0077330E"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Article 10</w:t>
            </w:r>
            <w:r w:rsidR="00F87201" w:rsidRPr="00E50FA4">
              <w:rPr>
                <w:rFonts w:ascii="Times New Roman" w:eastAsia="Times New Roman" w:hAnsi="Times New Roman" w:cs="Times New Roman"/>
                <w:noProof/>
                <w:sz w:val="24"/>
                <w:lang w:val="en-GB"/>
              </w:rPr>
              <w:t xml:space="preserve"> of </w:t>
            </w:r>
            <w:r w:rsidR="00F87201" w:rsidRPr="00E50FA4">
              <w:rPr>
                <w:rFonts w:ascii="Times New Roman" w:hAnsi="Times New Roman"/>
                <w:noProof/>
                <w:sz w:val="24"/>
                <w:lang w:val="en-GB"/>
              </w:rPr>
              <w:t>Regulation (EU) 2020/852.</w:t>
            </w:r>
          </w:p>
          <w:p w14:paraId="299F4BBB" w14:textId="3F13635A" w:rsidR="00B075BA" w:rsidRPr="00E50FA4" w:rsidRDefault="005A4494"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B075BA" w:rsidRPr="00E50FA4">
              <w:rPr>
                <w:rFonts w:ascii="Times New Roman" w:eastAsia="Times New Roman" w:hAnsi="Times New Roman" w:cs="Times New Roman"/>
                <w:noProof/>
                <w:sz w:val="24"/>
                <w:lang w:val="en-GB"/>
              </w:rPr>
              <w:t>he proportion of the stock of assets related to transitional activities for the objective of climate change mitigation in the stock of assets funding environmentally sustainable activities. The item shall be expressed as a percentage.</w:t>
            </w:r>
          </w:p>
          <w:p w14:paraId="5F291089" w14:textId="1013EEF4" w:rsidR="00B075BA" w:rsidRPr="00E50FA4" w:rsidRDefault="00B075BA"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e</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8.</w:t>
            </w:r>
          </w:p>
          <w:p w14:paraId="456C3C2C" w14:textId="34EC3CC0" w:rsidR="00B075BA" w:rsidRPr="00E50FA4" w:rsidRDefault="00B075BA" w:rsidP="002A56D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EB273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303A1A"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F87201" w:rsidRPr="00E50FA4" w14:paraId="6F582906" w14:textId="77777777" w:rsidTr="00BA313D">
        <w:tc>
          <w:tcPr>
            <w:tcW w:w="1188" w:type="dxa"/>
            <w:tcBorders>
              <w:top w:val="single" w:sz="4" w:space="0" w:color="auto"/>
              <w:left w:val="single" w:sz="4" w:space="0" w:color="auto"/>
              <w:bottom w:val="single" w:sz="4" w:space="0" w:color="auto"/>
              <w:right w:val="single" w:sz="4" w:space="0" w:color="auto"/>
            </w:tcBorders>
          </w:tcPr>
          <w:p w14:paraId="0493FEF2" w14:textId="77777777" w:rsidR="00F87201" w:rsidRPr="00E50FA4" w:rsidRDefault="00F87201"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e</w:t>
            </w:r>
          </w:p>
        </w:tc>
        <w:tc>
          <w:tcPr>
            <w:tcW w:w="7879" w:type="dxa"/>
            <w:tcBorders>
              <w:top w:val="single" w:sz="4" w:space="0" w:color="auto"/>
              <w:left w:val="single" w:sz="4" w:space="0" w:color="auto"/>
              <w:bottom w:val="single" w:sz="4" w:space="0" w:color="auto"/>
              <w:right w:val="single" w:sz="4" w:space="0" w:color="auto"/>
            </w:tcBorders>
          </w:tcPr>
          <w:p w14:paraId="3CA8403D" w14:textId="77777777" w:rsidR="00F87201" w:rsidRPr="00E50FA4" w:rsidRDefault="00F87201"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enabling</w:t>
            </w:r>
          </w:p>
          <w:p w14:paraId="1DB53217" w14:textId="77777777" w:rsidR="00F87201" w:rsidRPr="00E50FA4" w:rsidRDefault="00F87201"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Article 16 of </w:t>
            </w:r>
            <w:r w:rsidRPr="00E50FA4">
              <w:rPr>
                <w:rFonts w:ascii="Times New Roman" w:hAnsi="Times New Roman"/>
                <w:noProof/>
                <w:sz w:val="24"/>
                <w:lang w:val="en-GB"/>
              </w:rPr>
              <w:t>Regulation (EU) 2020/852.</w:t>
            </w:r>
          </w:p>
          <w:p w14:paraId="4B4F4C3C" w14:textId="6186674F" w:rsidR="00B075BA" w:rsidRPr="00E50FA4" w:rsidRDefault="005A4494"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B075BA" w:rsidRPr="00E50FA4">
              <w:rPr>
                <w:rFonts w:ascii="Times New Roman" w:eastAsia="Times New Roman" w:hAnsi="Times New Roman" w:cs="Times New Roman"/>
                <w:noProof/>
                <w:sz w:val="24"/>
                <w:lang w:val="en-GB"/>
              </w:rPr>
              <w:t>he proportion of the stock of assets related to enabling activities for the objective of climate change mitigation in the stock of assets funding environmentally sustainable activities. The item shall be expressed as a percentage.</w:t>
            </w:r>
          </w:p>
          <w:p w14:paraId="3C2C7642" w14:textId="45AE0D91" w:rsidR="00B075BA" w:rsidRPr="00E50FA4" w:rsidRDefault="00B075BA"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f</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303A1A"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10C1A15D" w14:textId="031CF948" w:rsidR="00B075BA" w:rsidRPr="00E50FA4" w:rsidRDefault="00B075BA" w:rsidP="002A56D2">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EB273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303A1A"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1390483B" w14:textId="77777777" w:rsidTr="00BA313D">
        <w:tc>
          <w:tcPr>
            <w:tcW w:w="1188" w:type="dxa"/>
            <w:tcBorders>
              <w:top w:val="single" w:sz="4" w:space="0" w:color="auto"/>
              <w:left w:val="single" w:sz="4" w:space="0" w:color="auto"/>
              <w:bottom w:val="single" w:sz="4" w:space="0" w:color="auto"/>
              <w:right w:val="single" w:sz="4" w:space="0" w:color="auto"/>
            </w:tcBorders>
          </w:tcPr>
          <w:p w14:paraId="242ACCE2" w14:textId="77777777" w:rsidR="00E77292" w:rsidRPr="00E50FA4" w:rsidRDefault="00C23C8F"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f</w:t>
            </w:r>
          </w:p>
        </w:tc>
        <w:tc>
          <w:tcPr>
            <w:tcW w:w="7879" w:type="dxa"/>
            <w:tcBorders>
              <w:top w:val="single" w:sz="4" w:space="0" w:color="auto"/>
              <w:left w:val="single" w:sz="4" w:space="0" w:color="auto"/>
              <w:bottom w:val="single" w:sz="4" w:space="0" w:color="auto"/>
              <w:right w:val="single" w:sz="4" w:space="0" w:color="auto"/>
            </w:tcBorders>
          </w:tcPr>
          <w:p w14:paraId="1902BDC4"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Proportion of assets funding taxonomy relevant sectors</w:t>
            </w:r>
          </w:p>
          <w:p w14:paraId="1936BC81" w14:textId="20A3AEC8"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 xml:space="preserve">he proportion of the stock of assets funding </w:t>
            </w:r>
            <w:r w:rsidR="00F72F06" w:rsidRPr="00E50FA4">
              <w:rPr>
                <w:rFonts w:ascii="Times New Roman" w:eastAsia="Times New Roman" w:hAnsi="Times New Roman" w:cs="Times New Roman"/>
                <w:noProof/>
                <w:sz w:val="24"/>
                <w:lang w:val="en-GB"/>
              </w:rPr>
              <w:t xml:space="preserve">taxonomy-relevant </w:t>
            </w:r>
            <w:r w:rsidR="00E77292" w:rsidRPr="00E50FA4">
              <w:rPr>
                <w:rFonts w:ascii="Times New Roman" w:eastAsia="Times New Roman" w:hAnsi="Times New Roman" w:cs="Times New Roman"/>
                <w:noProof/>
                <w:sz w:val="24"/>
                <w:lang w:val="en-GB"/>
              </w:rPr>
              <w:t>activities</w:t>
            </w:r>
            <w:r w:rsidR="00F72F06" w:rsidRPr="00E50FA4">
              <w:rPr>
                <w:rFonts w:ascii="Times New Roman" w:eastAsia="Times New Roman" w:hAnsi="Times New Roman" w:cs="Times New Roman"/>
                <w:noProof/>
                <w:sz w:val="24"/>
                <w:lang w:val="en-GB"/>
              </w:rPr>
              <w:t xml:space="preserve"> (i.e.</w:t>
            </w:r>
            <w:r w:rsidR="00292EF5" w:rsidRPr="00E50FA4">
              <w:rPr>
                <w:rFonts w:ascii="Times New Roman" w:eastAsia="Times New Roman" w:hAnsi="Times New Roman" w:cs="Times New Roman"/>
                <w:noProof/>
                <w:sz w:val="24"/>
                <w:lang w:val="en-GB"/>
              </w:rPr>
              <w:t xml:space="preserve"> </w:t>
            </w:r>
            <w:r w:rsidR="00F72F06" w:rsidRPr="00E50FA4">
              <w:rPr>
                <w:rFonts w:ascii="Times New Roman" w:eastAsia="Times New Roman" w:hAnsi="Times New Roman" w:cs="Times New Roman"/>
                <w:noProof/>
                <w:sz w:val="24"/>
                <w:lang w:val="en-GB"/>
              </w:rPr>
              <w:t>eligible assets)</w:t>
            </w:r>
            <w:r w:rsidR="00E77292" w:rsidRPr="00E50FA4">
              <w:rPr>
                <w:rFonts w:ascii="Times New Roman" w:eastAsia="Times New Roman" w:hAnsi="Times New Roman" w:cs="Times New Roman"/>
                <w:noProof/>
                <w:sz w:val="24"/>
                <w:lang w:val="en-GB"/>
              </w:rPr>
              <w:t xml:space="preserve"> in total stock of </w:t>
            </w:r>
            <w:r w:rsidR="00F72F06" w:rsidRPr="00E50FA4">
              <w:rPr>
                <w:rFonts w:ascii="Times New Roman" w:eastAsia="Times New Roman" w:hAnsi="Times New Roman" w:cs="Times New Roman"/>
                <w:noProof/>
                <w:sz w:val="24"/>
                <w:lang w:val="en-GB"/>
              </w:rPr>
              <w:t>covered</w:t>
            </w:r>
            <w:r w:rsidR="00E77292" w:rsidRPr="00E50FA4">
              <w:rPr>
                <w:rFonts w:ascii="Times New Roman" w:eastAsia="Times New Roman" w:hAnsi="Times New Roman" w:cs="Times New Roman"/>
                <w:noProof/>
                <w:sz w:val="24"/>
                <w:lang w:val="en-GB"/>
              </w:rPr>
              <w:t xml:space="preserve"> assets. The item shall be expressed as a percentage.</w:t>
            </w:r>
          </w:p>
          <w:p w14:paraId="63EA7275" w14:textId="0FDD1954"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The numerator of the KPI shall be the gross carrying amount of eligible assets funding taxonomy</w:t>
            </w:r>
            <w:r w:rsidR="00292EF5"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relevant sectors</w:t>
            </w:r>
            <w:r w:rsidR="00D25680" w:rsidRPr="00E50FA4">
              <w:rPr>
                <w:rFonts w:ascii="Times New Roman" w:eastAsia="Times New Roman" w:hAnsi="Times New Roman" w:cs="Times New Roman"/>
                <w:noProof/>
                <w:sz w:val="24"/>
                <w:lang w:val="en-GB"/>
              </w:rPr>
              <w:t xml:space="preserve"> for the objective of climate change adaptation</w:t>
            </w:r>
            <w:r w:rsidRPr="00E50FA4">
              <w:rPr>
                <w:rFonts w:ascii="Times New Roman" w:eastAsia="Times New Roman" w:hAnsi="Times New Roman" w:cs="Times New Roman"/>
                <w:noProof/>
                <w:sz w:val="24"/>
                <w:lang w:val="en-GB"/>
              </w:rPr>
              <w:t xml:space="preserve">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00F72F06" w:rsidRPr="00E50FA4">
              <w:rPr>
                <w:rFonts w:ascii="Times New Roman" w:eastAsia="Times New Roman" w:hAnsi="Times New Roman" w:cs="Times New Roman"/>
                <w:noProof/>
                <w:sz w:val="24"/>
                <w:lang w:val="en-GB"/>
              </w:rPr>
              <w:t>g</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303A1A"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3435EB4A" w14:textId="1509075B" w:rsidR="00E77292" w:rsidRPr="00E50FA4" w:rsidRDefault="00E77292" w:rsidP="002A56D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EB273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303A1A"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18B311DE" w14:textId="77777777" w:rsidTr="00BA313D">
        <w:tc>
          <w:tcPr>
            <w:tcW w:w="1188" w:type="dxa"/>
            <w:tcBorders>
              <w:top w:val="single" w:sz="4" w:space="0" w:color="auto"/>
              <w:left w:val="single" w:sz="4" w:space="0" w:color="auto"/>
              <w:bottom w:val="single" w:sz="4" w:space="0" w:color="auto"/>
              <w:right w:val="single" w:sz="4" w:space="0" w:color="auto"/>
            </w:tcBorders>
          </w:tcPr>
          <w:p w14:paraId="212FCAD0" w14:textId="77777777" w:rsidR="00E77292" w:rsidRPr="00E50FA4" w:rsidRDefault="00C23C8F"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g</w:t>
            </w:r>
          </w:p>
        </w:tc>
        <w:tc>
          <w:tcPr>
            <w:tcW w:w="7879" w:type="dxa"/>
            <w:tcBorders>
              <w:top w:val="single" w:sz="4" w:space="0" w:color="auto"/>
              <w:left w:val="single" w:sz="4" w:space="0" w:color="auto"/>
              <w:bottom w:val="single" w:sz="4" w:space="0" w:color="auto"/>
              <w:right w:val="single" w:sz="4" w:space="0" w:color="auto"/>
            </w:tcBorders>
          </w:tcPr>
          <w:p w14:paraId="41845D10"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environmentally sustainable </w:t>
            </w:r>
          </w:p>
          <w:p w14:paraId="0DF2FDF1" w14:textId="2F256378"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 xml:space="preserve">he proportion of the stock of assets funding environmentally sustainable activities </w:t>
            </w:r>
            <w:r w:rsidR="00F72F06" w:rsidRPr="00E50FA4">
              <w:rPr>
                <w:rFonts w:ascii="Times New Roman" w:eastAsia="Times New Roman" w:hAnsi="Times New Roman" w:cs="Times New Roman"/>
                <w:noProof/>
                <w:sz w:val="24"/>
                <w:lang w:val="en-GB"/>
              </w:rPr>
              <w:t xml:space="preserve">(i.e. aligned assets) </w:t>
            </w:r>
            <w:r w:rsidR="00E77292" w:rsidRPr="00E50FA4">
              <w:rPr>
                <w:rFonts w:ascii="Times New Roman" w:eastAsia="Times New Roman" w:hAnsi="Times New Roman" w:cs="Times New Roman"/>
                <w:noProof/>
                <w:sz w:val="24"/>
                <w:lang w:val="en-GB"/>
              </w:rPr>
              <w:t>in the stock of eligible assets. The item shall be expressed as a percentage.</w:t>
            </w:r>
          </w:p>
          <w:p w14:paraId="3E04B2D5" w14:textId="4443478F"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assets funding environmentally sustainable activities </w:t>
            </w:r>
            <w:r w:rsidR="00D25680" w:rsidRPr="00E50FA4">
              <w:rPr>
                <w:rFonts w:ascii="Times New Roman" w:eastAsia="Times New Roman" w:hAnsi="Times New Roman" w:cs="Times New Roman"/>
                <w:noProof/>
                <w:sz w:val="24"/>
                <w:lang w:val="en-GB"/>
              </w:rPr>
              <w:t xml:space="preserve">for the objective of climate change adaptation </w:t>
            </w:r>
            <w:r w:rsidRPr="00E50FA4">
              <w:rPr>
                <w:rFonts w:ascii="Times New Roman" w:eastAsia="Times New Roman" w:hAnsi="Times New Roman" w:cs="Times New Roman"/>
                <w:noProof/>
                <w:sz w:val="24"/>
                <w:lang w:val="en-GB"/>
              </w:rPr>
              <w:t xml:space="preserve">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00F72F06" w:rsidRPr="00E50FA4">
              <w:rPr>
                <w:rFonts w:ascii="Times New Roman" w:eastAsia="Times New Roman" w:hAnsi="Times New Roman" w:cs="Times New Roman"/>
                <w:noProof/>
                <w:sz w:val="24"/>
                <w:lang w:val="en-GB"/>
              </w:rPr>
              <w:t>h</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303A1A"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554D7CA1" w14:textId="5BB32096" w:rsidR="00E77292" w:rsidRPr="00E50FA4" w:rsidRDefault="00E77292" w:rsidP="002A56D2">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EB273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exposures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303A1A"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4E927E3C" w14:textId="77777777" w:rsidTr="00BA313D">
        <w:tc>
          <w:tcPr>
            <w:tcW w:w="1188" w:type="dxa"/>
            <w:tcBorders>
              <w:top w:val="single" w:sz="4" w:space="0" w:color="auto"/>
              <w:left w:val="single" w:sz="4" w:space="0" w:color="auto"/>
              <w:bottom w:val="single" w:sz="4" w:space="0" w:color="auto"/>
              <w:right w:val="single" w:sz="4" w:space="0" w:color="auto"/>
            </w:tcBorders>
          </w:tcPr>
          <w:p w14:paraId="28C14246" w14:textId="77777777" w:rsidR="00E77292" w:rsidRPr="00E50FA4" w:rsidRDefault="00C23C8F"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h</w:t>
            </w:r>
          </w:p>
        </w:tc>
        <w:tc>
          <w:tcPr>
            <w:tcW w:w="7879" w:type="dxa"/>
            <w:tcBorders>
              <w:top w:val="single" w:sz="4" w:space="0" w:color="auto"/>
              <w:left w:val="single" w:sz="4" w:space="0" w:color="auto"/>
              <w:bottom w:val="single" w:sz="4" w:space="0" w:color="auto"/>
              <w:right w:val="single" w:sz="4" w:space="0" w:color="auto"/>
            </w:tcBorders>
          </w:tcPr>
          <w:p w14:paraId="19183BFE"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specialised lending</w:t>
            </w:r>
          </w:p>
          <w:p w14:paraId="51C23A77" w14:textId="54ADE6E9"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 xml:space="preserve">he proportion of the stock of assets categorised as specialised lending funding environmentally sustainable activities </w:t>
            </w:r>
            <w:r w:rsidR="006A79AF" w:rsidRPr="00E50FA4">
              <w:rPr>
                <w:rFonts w:ascii="Times New Roman" w:eastAsia="Times New Roman" w:hAnsi="Times New Roman" w:cs="Times New Roman"/>
                <w:noProof/>
                <w:sz w:val="24"/>
                <w:lang w:val="en-GB"/>
              </w:rPr>
              <w:t xml:space="preserve">for the objective of climate change adaptation </w:t>
            </w:r>
            <w:r w:rsidR="00E77292" w:rsidRPr="00E50FA4">
              <w:rPr>
                <w:rFonts w:ascii="Times New Roman" w:eastAsia="Times New Roman" w:hAnsi="Times New Roman" w:cs="Times New Roman"/>
                <w:noProof/>
                <w:sz w:val="24"/>
                <w:lang w:val="en-GB"/>
              </w:rPr>
              <w:t>in the stock of assets funding environmentally sustainable activities. The item shall be expressed as a percentage.</w:t>
            </w:r>
          </w:p>
          <w:p w14:paraId="2349D41A" w14:textId="26A815B6"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00F72F06" w:rsidRPr="00E50FA4">
              <w:rPr>
                <w:rFonts w:ascii="Times New Roman" w:eastAsia="Times New Roman" w:hAnsi="Times New Roman" w:cs="Times New Roman"/>
                <w:noProof/>
                <w:sz w:val="24"/>
                <w:lang w:val="en-GB"/>
              </w:rPr>
              <w:t>i</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303A1A"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625AC05C" w14:textId="0DD86C63" w:rsidR="00E77292" w:rsidRPr="00E50FA4" w:rsidRDefault="00E77292" w:rsidP="002A56D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EB273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303A1A"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C23C8F" w:rsidRPr="00E50FA4" w14:paraId="631F2B38" w14:textId="77777777" w:rsidTr="00BA313D">
        <w:tc>
          <w:tcPr>
            <w:tcW w:w="1188" w:type="dxa"/>
            <w:tcBorders>
              <w:top w:val="single" w:sz="4" w:space="0" w:color="auto"/>
              <w:left w:val="single" w:sz="4" w:space="0" w:color="auto"/>
              <w:bottom w:val="single" w:sz="4" w:space="0" w:color="auto"/>
              <w:right w:val="single" w:sz="4" w:space="0" w:color="auto"/>
            </w:tcBorders>
          </w:tcPr>
          <w:p w14:paraId="6501A474" w14:textId="77777777" w:rsidR="00C23C8F"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w:t>
            </w:r>
          </w:p>
        </w:tc>
        <w:tc>
          <w:tcPr>
            <w:tcW w:w="7879" w:type="dxa"/>
            <w:tcBorders>
              <w:top w:val="single" w:sz="4" w:space="0" w:color="auto"/>
              <w:left w:val="single" w:sz="4" w:space="0" w:color="auto"/>
              <w:bottom w:val="single" w:sz="4" w:space="0" w:color="auto"/>
              <w:right w:val="single" w:sz="4" w:space="0" w:color="auto"/>
            </w:tcBorders>
          </w:tcPr>
          <w:p w14:paraId="0B0EDC1F" w14:textId="77777777" w:rsidR="00C23C8F" w:rsidRPr="00E50FA4" w:rsidRDefault="00C23C8F"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w:t>
            </w:r>
            <w:r w:rsidR="00AC2569" w:rsidRPr="00E50FA4">
              <w:rPr>
                <w:rFonts w:ascii="Times New Roman" w:eastAsia="Times New Roman" w:hAnsi="Times New Roman" w:cs="Times New Roman"/>
                <w:b/>
                <w:noProof/>
                <w:sz w:val="24"/>
                <w:u w:val="single"/>
                <w:lang w:val="en-GB"/>
              </w:rPr>
              <w:t>adaptation</w:t>
            </w:r>
          </w:p>
          <w:p w14:paraId="541F4CE7" w14:textId="77777777" w:rsidR="00B075BA" w:rsidRPr="00E50FA4" w:rsidRDefault="00B075BA"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Article 11 of </w:t>
            </w:r>
            <w:r w:rsidRPr="00E50FA4">
              <w:rPr>
                <w:rFonts w:ascii="Times New Roman" w:hAnsi="Times New Roman"/>
                <w:noProof/>
                <w:sz w:val="24"/>
                <w:lang w:val="en-GB"/>
              </w:rPr>
              <w:t>Regulation (EU) 2020/852.</w:t>
            </w:r>
          </w:p>
          <w:p w14:paraId="4FD62A3C" w14:textId="484ACD20" w:rsidR="00B075BA" w:rsidRPr="00E50FA4" w:rsidRDefault="005A4494"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B075BA" w:rsidRPr="00E50FA4">
              <w:rPr>
                <w:rFonts w:ascii="Times New Roman" w:eastAsia="Times New Roman" w:hAnsi="Times New Roman" w:cs="Times New Roman"/>
                <w:noProof/>
                <w:sz w:val="24"/>
                <w:lang w:val="en-GB"/>
              </w:rPr>
              <w:t xml:space="preserve">he proportion of the stock of assets related to </w:t>
            </w:r>
            <w:r w:rsidR="00AC2569" w:rsidRPr="00E50FA4">
              <w:rPr>
                <w:rFonts w:ascii="Times New Roman" w:eastAsia="Times New Roman" w:hAnsi="Times New Roman" w:cs="Times New Roman"/>
                <w:noProof/>
                <w:sz w:val="24"/>
                <w:lang w:val="en-GB"/>
              </w:rPr>
              <w:t>adaptation</w:t>
            </w:r>
            <w:r w:rsidR="00B075BA" w:rsidRPr="00E50FA4">
              <w:rPr>
                <w:rFonts w:ascii="Times New Roman" w:eastAsia="Times New Roman" w:hAnsi="Times New Roman" w:cs="Times New Roman"/>
                <w:noProof/>
                <w:sz w:val="24"/>
                <w:lang w:val="en-GB"/>
              </w:rPr>
              <w:t xml:space="preserve"> activities for the objective of climate change adaptation in the stock of assets funding environmentally sustainable activities. The item shall be expressed as a percentage.</w:t>
            </w:r>
          </w:p>
          <w:p w14:paraId="661F2459" w14:textId="7BBB0830" w:rsidR="00B075BA" w:rsidRPr="00E50FA4" w:rsidRDefault="00B075BA"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j</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53C26164" w14:textId="21889117" w:rsidR="00C23C8F" w:rsidRPr="00E50FA4" w:rsidRDefault="00B075BA" w:rsidP="002A56D2">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EB273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C23C8F" w:rsidRPr="00E50FA4" w14:paraId="298ED940" w14:textId="77777777" w:rsidTr="00BA313D">
        <w:tc>
          <w:tcPr>
            <w:tcW w:w="1188" w:type="dxa"/>
            <w:tcBorders>
              <w:top w:val="single" w:sz="4" w:space="0" w:color="auto"/>
              <w:left w:val="single" w:sz="4" w:space="0" w:color="auto"/>
              <w:bottom w:val="single" w:sz="4" w:space="0" w:color="auto"/>
              <w:right w:val="single" w:sz="4" w:space="0" w:color="auto"/>
            </w:tcBorders>
          </w:tcPr>
          <w:p w14:paraId="3DC9E0C8" w14:textId="77777777" w:rsidR="00C23C8F"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j</w:t>
            </w:r>
          </w:p>
        </w:tc>
        <w:tc>
          <w:tcPr>
            <w:tcW w:w="7879" w:type="dxa"/>
            <w:tcBorders>
              <w:top w:val="single" w:sz="4" w:space="0" w:color="auto"/>
              <w:left w:val="single" w:sz="4" w:space="0" w:color="auto"/>
              <w:bottom w:val="single" w:sz="4" w:space="0" w:color="auto"/>
              <w:right w:val="single" w:sz="4" w:space="0" w:color="auto"/>
            </w:tcBorders>
          </w:tcPr>
          <w:p w14:paraId="04C11F8B" w14:textId="77777777" w:rsidR="00C23C8F" w:rsidRPr="00E50FA4" w:rsidRDefault="00C23C8F"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enabling</w:t>
            </w:r>
          </w:p>
          <w:p w14:paraId="7FE3C486" w14:textId="77777777" w:rsidR="00B075BA" w:rsidRPr="00E50FA4" w:rsidRDefault="00B075BA"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Article 16 of </w:t>
            </w:r>
            <w:r w:rsidRPr="00E50FA4">
              <w:rPr>
                <w:rFonts w:ascii="Times New Roman" w:hAnsi="Times New Roman"/>
                <w:noProof/>
                <w:sz w:val="24"/>
                <w:lang w:val="en-GB"/>
              </w:rPr>
              <w:t>Regulation (EU) 2020/852.</w:t>
            </w:r>
          </w:p>
          <w:p w14:paraId="5FF74F40" w14:textId="0D0878DA" w:rsidR="00B075BA" w:rsidRPr="00E50FA4" w:rsidRDefault="005A4494"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B075BA" w:rsidRPr="00E50FA4">
              <w:rPr>
                <w:rFonts w:ascii="Times New Roman" w:eastAsia="Times New Roman" w:hAnsi="Times New Roman" w:cs="Times New Roman"/>
                <w:noProof/>
                <w:sz w:val="24"/>
                <w:lang w:val="en-GB"/>
              </w:rPr>
              <w:t xml:space="preserve">he proportion of the stock of assets related to enabling activities for the objective of climate change adaptation in the stock of assets funding environmentally sustainable activities. The item shall be expressed </w:t>
            </w:r>
            <w:r w:rsidR="00292EF5" w:rsidRPr="00E50FA4">
              <w:rPr>
                <w:rFonts w:ascii="Times New Roman" w:eastAsia="Times New Roman" w:hAnsi="Times New Roman" w:cs="Times New Roman"/>
                <w:noProof/>
                <w:sz w:val="24"/>
                <w:lang w:val="en-GB"/>
              </w:rPr>
              <w:t xml:space="preserve">in </w:t>
            </w:r>
            <w:r w:rsidR="00B075BA" w:rsidRPr="00E50FA4">
              <w:rPr>
                <w:rFonts w:ascii="Times New Roman" w:eastAsia="Times New Roman" w:hAnsi="Times New Roman" w:cs="Times New Roman"/>
                <w:noProof/>
                <w:sz w:val="24"/>
                <w:lang w:val="en-GB"/>
              </w:rPr>
              <w:t>percentage</w:t>
            </w:r>
            <w:r w:rsidR="00292EF5" w:rsidRPr="00E50FA4">
              <w:rPr>
                <w:rFonts w:ascii="Times New Roman" w:eastAsia="Times New Roman" w:hAnsi="Times New Roman" w:cs="Times New Roman"/>
                <w:noProof/>
                <w:sz w:val="24"/>
                <w:lang w:val="en-GB"/>
              </w:rPr>
              <w:t xml:space="preserve"> terms</w:t>
            </w:r>
            <w:r w:rsidR="00B075BA" w:rsidRPr="00E50FA4">
              <w:rPr>
                <w:rFonts w:ascii="Times New Roman" w:eastAsia="Times New Roman" w:hAnsi="Times New Roman" w:cs="Times New Roman"/>
                <w:noProof/>
                <w:sz w:val="24"/>
                <w:lang w:val="en-GB"/>
              </w:rPr>
              <w:t>.</w:t>
            </w:r>
          </w:p>
          <w:p w14:paraId="2DA82CC8" w14:textId="3B46F0FC" w:rsidR="00B075BA" w:rsidRPr="00E50FA4" w:rsidRDefault="00B075BA"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k</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27CAC907" w14:textId="77E8F511" w:rsidR="00C23C8F" w:rsidRPr="00E50FA4" w:rsidRDefault="00B075BA" w:rsidP="002A56D2">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EB273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6253FF6F" w14:textId="77777777" w:rsidTr="00BA313D">
        <w:tc>
          <w:tcPr>
            <w:tcW w:w="1188" w:type="dxa"/>
            <w:tcBorders>
              <w:top w:val="single" w:sz="4" w:space="0" w:color="auto"/>
              <w:left w:val="single" w:sz="4" w:space="0" w:color="auto"/>
              <w:bottom w:val="single" w:sz="4" w:space="0" w:color="auto"/>
              <w:right w:val="single" w:sz="4" w:space="0" w:color="auto"/>
            </w:tcBorders>
          </w:tcPr>
          <w:p w14:paraId="68313F91" w14:textId="77777777" w:rsidR="00E77292"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k</w:t>
            </w:r>
          </w:p>
        </w:tc>
        <w:tc>
          <w:tcPr>
            <w:tcW w:w="7879" w:type="dxa"/>
            <w:tcBorders>
              <w:top w:val="single" w:sz="4" w:space="0" w:color="auto"/>
              <w:left w:val="single" w:sz="4" w:space="0" w:color="auto"/>
              <w:bottom w:val="single" w:sz="4" w:space="0" w:color="auto"/>
              <w:right w:val="single" w:sz="4" w:space="0" w:color="auto"/>
            </w:tcBorders>
          </w:tcPr>
          <w:p w14:paraId="44609D47"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Proportion of assets funding taxonomy relevant sectors</w:t>
            </w:r>
          </w:p>
          <w:p w14:paraId="497E9372" w14:textId="5983C517"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 xml:space="preserve">he proportion of the stock of assets funding </w:t>
            </w:r>
            <w:r w:rsidR="00F72F06" w:rsidRPr="00E50FA4">
              <w:rPr>
                <w:rFonts w:ascii="Times New Roman" w:eastAsia="Times New Roman" w:hAnsi="Times New Roman" w:cs="Times New Roman"/>
                <w:noProof/>
                <w:sz w:val="24"/>
                <w:lang w:val="en-GB"/>
              </w:rPr>
              <w:t xml:space="preserve">taxonomy-relevant </w:t>
            </w:r>
            <w:r w:rsidR="00E77292" w:rsidRPr="00E50FA4">
              <w:rPr>
                <w:rFonts w:ascii="Times New Roman" w:eastAsia="Times New Roman" w:hAnsi="Times New Roman" w:cs="Times New Roman"/>
                <w:noProof/>
                <w:sz w:val="24"/>
                <w:lang w:val="en-GB"/>
              </w:rPr>
              <w:t>activities</w:t>
            </w:r>
            <w:r w:rsidR="00F72F06" w:rsidRPr="00E50FA4">
              <w:rPr>
                <w:rFonts w:ascii="Times New Roman" w:eastAsia="Times New Roman" w:hAnsi="Times New Roman" w:cs="Times New Roman"/>
                <w:noProof/>
                <w:sz w:val="24"/>
                <w:lang w:val="en-GB"/>
              </w:rPr>
              <w:t xml:space="preserve"> (i.e. eligible assets)</w:t>
            </w:r>
            <w:r w:rsidR="00E77292" w:rsidRPr="00E50FA4">
              <w:rPr>
                <w:rFonts w:ascii="Times New Roman" w:eastAsia="Times New Roman" w:hAnsi="Times New Roman" w:cs="Times New Roman"/>
                <w:noProof/>
                <w:sz w:val="24"/>
                <w:lang w:val="en-GB"/>
              </w:rPr>
              <w:t xml:space="preserve"> </w:t>
            </w:r>
            <w:r w:rsidR="006A79AF" w:rsidRPr="00E50FA4">
              <w:rPr>
                <w:rFonts w:ascii="Times New Roman" w:eastAsia="Times New Roman" w:hAnsi="Times New Roman" w:cs="Times New Roman"/>
                <w:noProof/>
                <w:sz w:val="24"/>
                <w:lang w:val="en-GB"/>
              </w:rPr>
              <w:t xml:space="preserve">for the objectives of climate change mitigation and </w:t>
            </w:r>
            <w:r w:rsidR="00F72F06" w:rsidRPr="00E50FA4">
              <w:rPr>
                <w:rFonts w:ascii="Times New Roman" w:eastAsia="Times New Roman" w:hAnsi="Times New Roman" w:cs="Times New Roman"/>
                <w:noProof/>
                <w:sz w:val="24"/>
                <w:lang w:val="en-GB"/>
              </w:rPr>
              <w:t xml:space="preserve">climate change </w:t>
            </w:r>
            <w:r w:rsidR="006A79AF" w:rsidRPr="00E50FA4">
              <w:rPr>
                <w:rFonts w:ascii="Times New Roman" w:eastAsia="Times New Roman" w:hAnsi="Times New Roman" w:cs="Times New Roman"/>
                <w:noProof/>
                <w:sz w:val="24"/>
                <w:lang w:val="en-GB"/>
              </w:rPr>
              <w:t>adaptation,</w:t>
            </w:r>
            <w:r w:rsidR="00E77292" w:rsidRPr="00E50FA4">
              <w:rPr>
                <w:rFonts w:ascii="Times New Roman" w:eastAsia="Times New Roman" w:hAnsi="Times New Roman" w:cs="Times New Roman"/>
                <w:noProof/>
                <w:sz w:val="24"/>
                <w:lang w:val="en-GB"/>
              </w:rPr>
              <w:t xml:space="preserve"> </w:t>
            </w:r>
            <w:r w:rsidR="006A79AF" w:rsidRPr="00E50FA4">
              <w:rPr>
                <w:rFonts w:ascii="Times New Roman" w:eastAsia="Times New Roman" w:hAnsi="Times New Roman" w:cs="Times New Roman"/>
                <w:noProof/>
                <w:sz w:val="24"/>
                <w:lang w:val="en-GB"/>
              </w:rPr>
              <w:t xml:space="preserve">compared to the </w:t>
            </w:r>
            <w:r w:rsidR="00E77292" w:rsidRPr="00E50FA4">
              <w:rPr>
                <w:rFonts w:ascii="Times New Roman" w:eastAsia="Times New Roman" w:hAnsi="Times New Roman" w:cs="Times New Roman"/>
                <w:noProof/>
                <w:sz w:val="24"/>
                <w:lang w:val="en-GB"/>
              </w:rPr>
              <w:t xml:space="preserve">total stock of </w:t>
            </w:r>
            <w:r w:rsidR="00F72F06" w:rsidRPr="00E50FA4">
              <w:rPr>
                <w:rFonts w:ascii="Times New Roman" w:eastAsia="Times New Roman" w:hAnsi="Times New Roman" w:cs="Times New Roman"/>
                <w:noProof/>
                <w:sz w:val="24"/>
                <w:lang w:val="en-GB"/>
              </w:rPr>
              <w:t>covered</w:t>
            </w:r>
            <w:r w:rsidR="00E77292" w:rsidRPr="00E50FA4">
              <w:rPr>
                <w:rFonts w:ascii="Times New Roman" w:eastAsia="Times New Roman" w:hAnsi="Times New Roman" w:cs="Times New Roman"/>
                <w:noProof/>
                <w:sz w:val="24"/>
                <w:lang w:val="en-GB"/>
              </w:rPr>
              <w:t xml:space="preserve"> assets. The item shall be expressed as a percentage.</w:t>
            </w:r>
          </w:p>
          <w:p w14:paraId="17EB5069" w14:textId="1149E68A"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assets funding taxonomy relevant sectors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00F11493" w:rsidRPr="00E50FA4">
              <w:rPr>
                <w:rFonts w:ascii="Times New Roman" w:eastAsia="Times New Roman" w:hAnsi="Times New Roman" w:cs="Times New Roman"/>
                <w:noProof/>
                <w:sz w:val="24"/>
                <w:lang w:val="en-GB"/>
              </w:rPr>
              <w:t>l</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39789760" w14:textId="663F32F9" w:rsidR="00E77292" w:rsidRPr="00E50FA4" w:rsidRDefault="00E77292" w:rsidP="002A56D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EB273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791DD712" w14:textId="77777777" w:rsidTr="00BA313D">
        <w:tc>
          <w:tcPr>
            <w:tcW w:w="1188" w:type="dxa"/>
            <w:tcBorders>
              <w:top w:val="single" w:sz="4" w:space="0" w:color="auto"/>
              <w:left w:val="single" w:sz="4" w:space="0" w:color="auto"/>
              <w:bottom w:val="single" w:sz="4" w:space="0" w:color="auto"/>
              <w:right w:val="single" w:sz="4" w:space="0" w:color="auto"/>
            </w:tcBorders>
          </w:tcPr>
          <w:p w14:paraId="4B7B430E" w14:textId="77777777" w:rsidR="00E77292"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l</w:t>
            </w:r>
          </w:p>
        </w:tc>
        <w:tc>
          <w:tcPr>
            <w:tcW w:w="7879" w:type="dxa"/>
            <w:tcBorders>
              <w:top w:val="single" w:sz="4" w:space="0" w:color="auto"/>
              <w:left w:val="single" w:sz="4" w:space="0" w:color="auto"/>
              <w:bottom w:val="single" w:sz="4" w:space="0" w:color="auto"/>
              <w:right w:val="single" w:sz="4" w:space="0" w:color="auto"/>
            </w:tcBorders>
          </w:tcPr>
          <w:p w14:paraId="52C841FB"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environmentally sustainable </w:t>
            </w:r>
          </w:p>
          <w:p w14:paraId="6798287A" w14:textId="2E715E20"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 xml:space="preserve">he proportion of the stock of assets funding environmentally sustainable activities </w:t>
            </w:r>
            <w:r w:rsidR="006A79AF" w:rsidRPr="00E50FA4">
              <w:rPr>
                <w:rFonts w:ascii="Times New Roman" w:eastAsia="Times New Roman" w:hAnsi="Times New Roman" w:cs="Times New Roman"/>
                <w:noProof/>
                <w:sz w:val="24"/>
                <w:lang w:val="en-GB"/>
              </w:rPr>
              <w:t xml:space="preserve">for the objectives of climate change mitigation and adaptation </w:t>
            </w:r>
            <w:r w:rsidR="00E77292" w:rsidRPr="00E50FA4">
              <w:rPr>
                <w:rFonts w:ascii="Times New Roman" w:eastAsia="Times New Roman" w:hAnsi="Times New Roman" w:cs="Times New Roman"/>
                <w:noProof/>
                <w:sz w:val="24"/>
                <w:lang w:val="en-GB"/>
              </w:rPr>
              <w:t>in the stock of eligible assets. The item shall be expressed as a percentage.</w:t>
            </w:r>
          </w:p>
          <w:p w14:paraId="5355B88B" w14:textId="57270BAA"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assets funding environmentally sustainable activities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8572A9" w:rsidRPr="00E50FA4">
              <w:rPr>
                <w:rFonts w:ascii="Times New Roman" w:eastAsia="Times New Roman" w:hAnsi="Times New Roman" w:cs="Times New Roman"/>
                <w:noProof/>
                <w:sz w:val="24"/>
                <w:lang w:val="en-GB"/>
              </w:rPr>
              <w:t>(</w:t>
            </w:r>
            <w:r w:rsidR="007437F2" w:rsidRPr="00E50FA4">
              <w:rPr>
                <w:rFonts w:ascii="Times New Roman" w:eastAsia="Times New Roman" w:hAnsi="Times New Roman" w:cs="Times New Roman"/>
                <w:noProof/>
                <w:sz w:val="24"/>
                <w:lang w:val="en-GB"/>
              </w:rPr>
              <w:t>m</w:t>
            </w:r>
            <w:r w:rsidR="008572A9"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1A959FBD" w14:textId="76E5657D" w:rsidR="00E77292" w:rsidRPr="00E50FA4" w:rsidRDefault="00E77292" w:rsidP="002A56D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EB273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exposures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6C1C7B"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6C1C7B"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036AB966" w14:textId="77777777" w:rsidTr="00BA313D">
        <w:tc>
          <w:tcPr>
            <w:tcW w:w="1188" w:type="dxa"/>
            <w:tcBorders>
              <w:top w:val="single" w:sz="4" w:space="0" w:color="auto"/>
              <w:left w:val="single" w:sz="4" w:space="0" w:color="auto"/>
              <w:bottom w:val="single" w:sz="4" w:space="0" w:color="auto"/>
              <w:right w:val="single" w:sz="4" w:space="0" w:color="auto"/>
            </w:tcBorders>
          </w:tcPr>
          <w:p w14:paraId="08D0BD56" w14:textId="77777777" w:rsidR="00E77292"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m</w:t>
            </w:r>
          </w:p>
        </w:tc>
        <w:tc>
          <w:tcPr>
            <w:tcW w:w="7879" w:type="dxa"/>
            <w:tcBorders>
              <w:top w:val="single" w:sz="4" w:space="0" w:color="auto"/>
              <w:left w:val="single" w:sz="4" w:space="0" w:color="auto"/>
              <w:bottom w:val="single" w:sz="4" w:space="0" w:color="auto"/>
              <w:right w:val="single" w:sz="4" w:space="0" w:color="auto"/>
            </w:tcBorders>
          </w:tcPr>
          <w:p w14:paraId="4AFC4004"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specialised lending</w:t>
            </w:r>
          </w:p>
          <w:p w14:paraId="4A30C6FF" w14:textId="60E3B8F3"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he proportion of the stock of assets categorised as specialised lending funding environmentally</w:t>
            </w:r>
            <w:r w:rsidR="00292EF5" w:rsidRPr="00E50FA4">
              <w:rPr>
                <w:rFonts w:ascii="Times New Roman" w:eastAsia="Times New Roman" w:hAnsi="Times New Roman" w:cs="Times New Roman"/>
                <w:noProof/>
                <w:sz w:val="24"/>
                <w:lang w:val="en-GB"/>
              </w:rPr>
              <w:t>-</w:t>
            </w:r>
            <w:r w:rsidR="00E77292" w:rsidRPr="00E50FA4">
              <w:rPr>
                <w:rFonts w:ascii="Times New Roman" w:eastAsia="Times New Roman" w:hAnsi="Times New Roman" w:cs="Times New Roman"/>
                <w:noProof/>
                <w:sz w:val="24"/>
                <w:lang w:val="en-GB"/>
              </w:rPr>
              <w:t xml:space="preserve">sustainable activities </w:t>
            </w:r>
            <w:r w:rsidR="00370E69" w:rsidRPr="00E50FA4">
              <w:rPr>
                <w:rFonts w:ascii="Times New Roman" w:eastAsia="Times New Roman" w:hAnsi="Times New Roman" w:cs="Times New Roman"/>
                <w:noProof/>
                <w:sz w:val="24"/>
                <w:lang w:val="en-GB"/>
              </w:rPr>
              <w:t xml:space="preserve">for the objectives of climate change mitigation and adaptation </w:t>
            </w:r>
            <w:r w:rsidR="00E77292" w:rsidRPr="00E50FA4">
              <w:rPr>
                <w:rFonts w:ascii="Times New Roman" w:eastAsia="Times New Roman" w:hAnsi="Times New Roman" w:cs="Times New Roman"/>
                <w:noProof/>
                <w:sz w:val="24"/>
                <w:lang w:val="en-GB"/>
              </w:rPr>
              <w:t>in the stock of assets funding environmentally sustainable activities. The item shall be expressed as a percentage.</w:t>
            </w:r>
          </w:p>
          <w:p w14:paraId="4C4F13E8" w14:textId="336470ED"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6C1C7B" w:rsidRPr="00E50FA4">
              <w:rPr>
                <w:rFonts w:ascii="Times New Roman" w:eastAsia="Times New Roman" w:hAnsi="Times New Roman" w:cs="Times New Roman"/>
                <w:noProof/>
                <w:sz w:val="24"/>
                <w:lang w:val="en-GB"/>
              </w:rPr>
              <w:t>(</w:t>
            </w:r>
            <w:r w:rsidR="007437F2" w:rsidRPr="00E50FA4">
              <w:rPr>
                <w:rFonts w:ascii="Times New Roman" w:eastAsia="Times New Roman" w:hAnsi="Times New Roman" w:cs="Times New Roman"/>
                <w:noProof/>
                <w:sz w:val="24"/>
                <w:lang w:val="en-GB"/>
              </w:rPr>
              <w:t>n</w:t>
            </w:r>
            <w:r w:rsidR="006C1C7B"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10BB7B02" w14:textId="7C87C6E3" w:rsidR="00E77292" w:rsidRPr="00E50FA4" w:rsidRDefault="00E77292" w:rsidP="002A56D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EB273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6C1C7B"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6C1C7B"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77330E" w:rsidRPr="00E50FA4" w14:paraId="1F75E36C" w14:textId="77777777" w:rsidTr="00BA313D">
        <w:tc>
          <w:tcPr>
            <w:tcW w:w="1188" w:type="dxa"/>
            <w:tcBorders>
              <w:top w:val="single" w:sz="4" w:space="0" w:color="auto"/>
              <w:left w:val="single" w:sz="4" w:space="0" w:color="auto"/>
              <w:bottom w:val="single" w:sz="4" w:space="0" w:color="auto"/>
              <w:right w:val="single" w:sz="4" w:space="0" w:color="auto"/>
            </w:tcBorders>
          </w:tcPr>
          <w:p w14:paraId="30571DFA" w14:textId="77777777" w:rsidR="0077330E"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n</w:t>
            </w:r>
          </w:p>
        </w:tc>
        <w:tc>
          <w:tcPr>
            <w:tcW w:w="7879" w:type="dxa"/>
            <w:tcBorders>
              <w:top w:val="single" w:sz="4" w:space="0" w:color="auto"/>
              <w:left w:val="single" w:sz="4" w:space="0" w:color="auto"/>
              <w:bottom w:val="single" w:sz="4" w:space="0" w:color="auto"/>
              <w:right w:val="single" w:sz="4" w:space="0" w:color="auto"/>
            </w:tcBorders>
          </w:tcPr>
          <w:p w14:paraId="1925C1D6" w14:textId="77777777" w:rsidR="0077330E" w:rsidRPr="00E50FA4" w:rsidRDefault="0077330E"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transitional</w:t>
            </w:r>
            <w:r w:rsidR="00BA002B" w:rsidRPr="00E50FA4">
              <w:rPr>
                <w:rFonts w:ascii="Times New Roman" w:eastAsia="Times New Roman" w:hAnsi="Times New Roman" w:cs="Times New Roman"/>
                <w:b/>
                <w:noProof/>
                <w:sz w:val="24"/>
                <w:u w:val="single"/>
                <w:lang w:val="en-GB"/>
              </w:rPr>
              <w:t>/adaptation</w:t>
            </w:r>
          </w:p>
          <w:p w14:paraId="5889E331" w14:textId="3402D737" w:rsidR="0077330E" w:rsidRPr="00E50FA4" w:rsidRDefault="0077330E"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Article</w:t>
            </w:r>
            <w:r w:rsidR="006C1C7B" w:rsidRPr="00E50FA4">
              <w:rPr>
                <w:rFonts w:ascii="Times New Roman" w:eastAsia="Times New Roman" w:hAnsi="Times New Roman" w:cs="Times New Roman"/>
                <w:noProof/>
                <w:sz w:val="24"/>
                <w:lang w:val="en-GB"/>
              </w:rPr>
              <w:t>s</w:t>
            </w:r>
            <w:r w:rsidRPr="00E50FA4">
              <w:rPr>
                <w:rFonts w:ascii="Times New Roman" w:eastAsia="Times New Roman" w:hAnsi="Times New Roman" w:cs="Times New Roman"/>
                <w:noProof/>
                <w:sz w:val="24"/>
                <w:lang w:val="en-GB"/>
              </w:rPr>
              <w:t xml:space="preserve"> 10 and 11 of </w:t>
            </w:r>
            <w:r w:rsidRPr="00E50FA4">
              <w:rPr>
                <w:rFonts w:ascii="Times New Roman" w:hAnsi="Times New Roman"/>
                <w:noProof/>
                <w:sz w:val="24"/>
                <w:lang w:val="en-GB"/>
              </w:rPr>
              <w:t>Regulation (EU) 2020/852.</w:t>
            </w:r>
          </w:p>
          <w:p w14:paraId="3CDDAE56" w14:textId="0288EA38" w:rsidR="0077330E" w:rsidRPr="00E50FA4" w:rsidRDefault="00292EF5" w:rsidP="005A4494">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T</w:t>
            </w:r>
            <w:r w:rsidR="00994B42" w:rsidRPr="00E50FA4">
              <w:rPr>
                <w:rFonts w:ascii="Times New Roman" w:eastAsia="Times New Roman" w:hAnsi="Times New Roman" w:cs="Times New Roman"/>
                <w:noProof/>
                <w:sz w:val="24"/>
                <w:lang w:val="en-GB"/>
              </w:rPr>
              <w:t xml:space="preserve">he percentage shall correspond to </w:t>
            </w:r>
            <w:r w:rsidR="0077330E" w:rsidRPr="00E50FA4">
              <w:rPr>
                <w:rFonts w:ascii="Times New Roman" w:eastAsia="Times New Roman" w:hAnsi="Times New Roman" w:cs="Times New Roman"/>
                <w:noProof/>
                <w:sz w:val="24"/>
                <w:lang w:val="en-GB"/>
              </w:rPr>
              <w:t>column (d) and column (i).</w:t>
            </w:r>
          </w:p>
        </w:tc>
      </w:tr>
      <w:tr w:rsidR="0077330E" w:rsidRPr="00E50FA4" w14:paraId="0DDACC01" w14:textId="77777777" w:rsidTr="00BA313D">
        <w:tc>
          <w:tcPr>
            <w:tcW w:w="1188" w:type="dxa"/>
            <w:tcBorders>
              <w:top w:val="single" w:sz="4" w:space="0" w:color="auto"/>
              <w:left w:val="single" w:sz="4" w:space="0" w:color="auto"/>
              <w:bottom w:val="single" w:sz="4" w:space="0" w:color="auto"/>
              <w:right w:val="single" w:sz="4" w:space="0" w:color="auto"/>
            </w:tcBorders>
          </w:tcPr>
          <w:p w14:paraId="08A27955" w14:textId="77777777" w:rsidR="0077330E"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o</w:t>
            </w:r>
          </w:p>
        </w:tc>
        <w:tc>
          <w:tcPr>
            <w:tcW w:w="7879" w:type="dxa"/>
            <w:tcBorders>
              <w:top w:val="single" w:sz="4" w:space="0" w:color="auto"/>
              <w:left w:val="single" w:sz="4" w:space="0" w:color="auto"/>
              <w:bottom w:val="single" w:sz="4" w:space="0" w:color="auto"/>
              <w:right w:val="single" w:sz="4" w:space="0" w:color="auto"/>
            </w:tcBorders>
          </w:tcPr>
          <w:p w14:paraId="5C157636" w14:textId="77777777" w:rsidR="0077330E" w:rsidRPr="00E50FA4" w:rsidRDefault="0077330E"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enabling</w:t>
            </w:r>
          </w:p>
          <w:p w14:paraId="3E64E8A2" w14:textId="77777777" w:rsidR="0077330E" w:rsidRPr="00E50FA4" w:rsidRDefault="0077330E"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Article 16 of </w:t>
            </w:r>
            <w:r w:rsidRPr="00E50FA4">
              <w:rPr>
                <w:rFonts w:ascii="Times New Roman" w:hAnsi="Times New Roman"/>
                <w:noProof/>
                <w:sz w:val="24"/>
                <w:lang w:val="en-GB"/>
              </w:rPr>
              <w:t>Regulation (EU) 2020/852.</w:t>
            </w:r>
          </w:p>
          <w:p w14:paraId="403D61B9" w14:textId="39119B07" w:rsidR="0077330E" w:rsidRPr="00E50FA4" w:rsidRDefault="00292EF5" w:rsidP="005A4494">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T</w:t>
            </w:r>
            <w:r w:rsidR="00994B42" w:rsidRPr="00E50FA4">
              <w:rPr>
                <w:rFonts w:ascii="Times New Roman" w:eastAsia="Times New Roman" w:hAnsi="Times New Roman" w:cs="Times New Roman"/>
                <w:noProof/>
                <w:sz w:val="24"/>
                <w:lang w:val="en-GB"/>
              </w:rPr>
              <w:t xml:space="preserve">he percentage shall correspond to </w:t>
            </w:r>
            <w:r w:rsidR="0077330E" w:rsidRPr="00E50FA4">
              <w:rPr>
                <w:rFonts w:ascii="Times New Roman" w:eastAsia="Times New Roman" w:hAnsi="Times New Roman" w:cs="Times New Roman"/>
                <w:noProof/>
                <w:sz w:val="24"/>
                <w:lang w:val="en-GB"/>
              </w:rPr>
              <w:t>column (e) and column (j).</w:t>
            </w:r>
          </w:p>
        </w:tc>
      </w:tr>
      <w:tr w:rsidR="00E77292" w:rsidRPr="00E50FA4" w14:paraId="5BA364DB" w14:textId="77777777" w:rsidTr="00BA313D">
        <w:tc>
          <w:tcPr>
            <w:tcW w:w="1188" w:type="dxa"/>
            <w:tcBorders>
              <w:top w:val="single" w:sz="4" w:space="0" w:color="auto"/>
              <w:left w:val="single" w:sz="4" w:space="0" w:color="auto"/>
              <w:bottom w:val="single" w:sz="4" w:space="0" w:color="auto"/>
              <w:right w:val="single" w:sz="4" w:space="0" w:color="auto"/>
            </w:tcBorders>
            <w:shd w:val="clear" w:color="auto" w:fill="auto"/>
          </w:tcPr>
          <w:p w14:paraId="1DD0F504" w14:textId="77777777" w:rsidR="00E77292"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p</w:t>
            </w:r>
          </w:p>
        </w:tc>
        <w:tc>
          <w:tcPr>
            <w:tcW w:w="7879" w:type="dxa"/>
            <w:tcBorders>
              <w:top w:val="single" w:sz="4" w:space="0" w:color="auto"/>
              <w:left w:val="single" w:sz="4" w:space="0" w:color="auto"/>
              <w:bottom w:val="single" w:sz="4" w:space="0" w:color="auto"/>
              <w:right w:val="single" w:sz="4" w:space="0" w:color="auto"/>
            </w:tcBorders>
          </w:tcPr>
          <w:p w14:paraId="74546C32"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Proportion of </w:t>
            </w:r>
            <w:r w:rsidR="00370E69" w:rsidRPr="00E50FA4">
              <w:rPr>
                <w:rFonts w:ascii="Times New Roman" w:eastAsia="Times New Roman" w:hAnsi="Times New Roman" w:cs="Times New Roman"/>
                <w:b/>
                <w:noProof/>
                <w:sz w:val="24"/>
                <w:u w:val="single"/>
                <w:lang w:val="en-GB"/>
              </w:rPr>
              <w:t xml:space="preserve">total </w:t>
            </w:r>
            <w:r w:rsidRPr="00E50FA4">
              <w:rPr>
                <w:rFonts w:ascii="Times New Roman" w:eastAsia="Times New Roman" w:hAnsi="Times New Roman" w:cs="Times New Roman"/>
                <w:b/>
                <w:noProof/>
                <w:sz w:val="24"/>
                <w:u w:val="single"/>
                <w:lang w:val="en-GB"/>
              </w:rPr>
              <w:t>assets covered</w:t>
            </w:r>
          </w:p>
          <w:p w14:paraId="65C7C0E2" w14:textId="22C33CD5"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 xml:space="preserve">he proportion of </w:t>
            </w:r>
            <w:r w:rsidR="00370E69" w:rsidRPr="00E50FA4">
              <w:rPr>
                <w:rFonts w:ascii="Times New Roman" w:eastAsia="Times New Roman" w:hAnsi="Times New Roman" w:cs="Times New Roman"/>
                <w:noProof/>
                <w:sz w:val="24"/>
                <w:lang w:val="en-GB"/>
              </w:rPr>
              <w:t>total</w:t>
            </w:r>
            <w:r w:rsidR="00E77292" w:rsidRPr="00E50FA4">
              <w:rPr>
                <w:rFonts w:ascii="Times New Roman" w:eastAsia="Times New Roman" w:hAnsi="Times New Roman" w:cs="Times New Roman"/>
                <w:noProof/>
                <w:sz w:val="24"/>
                <w:lang w:val="en-GB"/>
              </w:rPr>
              <w:t xml:space="preserve"> assets covered</w:t>
            </w:r>
            <w:r w:rsidR="002F5976" w:rsidRPr="00E50FA4">
              <w:rPr>
                <w:rFonts w:ascii="Times New Roman" w:eastAsia="Times New Roman" w:hAnsi="Times New Roman" w:cs="Times New Roman"/>
                <w:noProof/>
                <w:sz w:val="24"/>
                <w:lang w:val="en-GB"/>
              </w:rPr>
              <w:t xml:space="preserve"> by the GAR</w:t>
            </w:r>
            <w:r w:rsidR="00E77292" w:rsidRPr="00E50FA4">
              <w:rPr>
                <w:rFonts w:ascii="Times New Roman" w:eastAsia="Times New Roman" w:hAnsi="Times New Roman" w:cs="Times New Roman"/>
                <w:noProof/>
                <w:sz w:val="24"/>
                <w:lang w:val="en-GB"/>
              </w:rPr>
              <w:t xml:space="preserve">. The item shall be expressed </w:t>
            </w:r>
            <w:r w:rsidR="00292EF5" w:rsidRPr="00E50FA4">
              <w:rPr>
                <w:rFonts w:ascii="Times New Roman" w:eastAsia="Times New Roman" w:hAnsi="Times New Roman" w:cs="Times New Roman"/>
                <w:noProof/>
                <w:sz w:val="24"/>
                <w:lang w:val="en-GB"/>
              </w:rPr>
              <w:t xml:space="preserve">in </w:t>
            </w:r>
            <w:r w:rsidR="00E77292" w:rsidRPr="00E50FA4">
              <w:rPr>
                <w:rFonts w:ascii="Times New Roman" w:eastAsia="Times New Roman" w:hAnsi="Times New Roman" w:cs="Times New Roman"/>
                <w:noProof/>
                <w:sz w:val="24"/>
                <w:lang w:val="en-GB"/>
              </w:rPr>
              <w:t>percentage</w:t>
            </w:r>
            <w:r w:rsidR="00292EF5" w:rsidRPr="00E50FA4">
              <w:rPr>
                <w:rFonts w:ascii="Times New Roman" w:eastAsia="Times New Roman" w:hAnsi="Times New Roman" w:cs="Times New Roman"/>
                <w:noProof/>
                <w:sz w:val="24"/>
                <w:lang w:val="en-GB"/>
              </w:rPr>
              <w:t xml:space="preserve"> terms</w:t>
            </w:r>
            <w:r w:rsidR="00E77292" w:rsidRPr="00E50FA4">
              <w:rPr>
                <w:rFonts w:ascii="Times New Roman" w:eastAsia="Times New Roman" w:hAnsi="Times New Roman" w:cs="Times New Roman"/>
                <w:noProof/>
                <w:sz w:val="24"/>
                <w:lang w:val="en-GB"/>
              </w:rPr>
              <w:t>.</w:t>
            </w:r>
          </w:p>
          <w:p w14:paraId="3B3F8EB8" w14:textId="37018142"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the stock of </w:t>
            </w:r>
            <w:r w:rsidR="003216E1"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w:t>
            </w:r>
            <w:r w:rsidR="006C1C7B" w:rsidRPr="00E50FA4">
              <w:rPr>
                <w:rFonts w:ascii="Times New Roman" w:eastAsia="Times New Roman" w:hAnsi="Times New Roman" w:cs="Times New Roman"/>
                <w:noProof/>
                <w:sz w:val="24"/>
                <w:lang w:val="en-GB"/>
              </w:rPr>
              <w:t>column (</w:t>
            </w:r>
            <w:r w:rsidRPr="00E50FA4">
              <w:rPr>
                <w:rFonts w:ascii="Times New Roman" w:eastAsia="Times New Roman" w:hAnsi="Times New Roman" w:cs="Times New Roman"/>
                <w:noProof/>
                <w:sz w:val="24"/>
                <w:lang w:val="en-GB"/>
              </w:rPr>
              <w:t>1</w:t>
            </w:r>
            <w:r w:rsidR="006C1C7B"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105302E9" w14:textId="5E77CF21" w:rsidR="00E77292" w:rsidRPr="00E50FA4" w:rsidRDefault="00E77292" w:rsidP="002A56D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gross carrying amount of total assets </w:t>
            </w:r>
            <w:r w:rsidR="003216E1" w:rsidRPr="00E50FA4">
              <w:rPr>
                <w:rFonts w:ascii="Times New Roman" w:eastAsia="Times New Roman" w:hAnsi="Times New Roman" w:cs="Times New Roman"/>
                <w:noProof/>
                <w:sz w:val="24"/>
                <w:lang w:val="en-GB"/>
              </w:rPr>
              <w:t xml:space="preserve">on institutions’ balance sheet </w:t>
            </w:r>
            <w:r w:rsidRPr="00E50FA4">
              <w:rPr>
                <w:rFonts w:ascii="Times New Roman" w:eastAsia="Times New Roman" w:hAnsi="Times New Roman" w:cs="Times New Roman"/>
                <w:noProof/>
                <w:sz w:val="24"/>
                <w:lang w:val="en-GB"/>
              </w:rPr>
              <w:t xml:space="preserve">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w:t>
            </w:r>
            <w:r w:rsidR="002A56D2" w:rsidRPr="00E50FA4">
              <w:rPr>
                <w:rFonts w:ascii="Times New Roman" w:eastAsia="Times New Roman" w:hAnsi="Times New Roman" w:cs="Times New Roman"/>
                <w:noProof/>
                <w:sz w:val="24"/>
                <w:lang w:val="en-GB"/>
              </w:rPr>
              <w:t xml:space="preserve">the </w:t>
            </w:r>
            <w:r w:rsidRPr="00E50FA4">
              <w:rPr>
                <w:rFonts w:ascii="Times New Roman" w:eastAsia="Times New Roman" w:hAnsi="Times New Roman" w:cs="Times New Roman"/>
                <w:noProof/>
                <w:sz w:val="24"/>
                <w:lang w:val="en-GB"/>
              </w:rPr>
              <w:t xml:space="preserve">instructions corresponding to row </w:t>
            </w:r>
            <w:r w:rsidR="0070481D" w:rsidRPr="00E50FA4">
              <w:rPr>
                <w:rFonts w:ascii="Times New Roman" w:eastAsia="Times New Roman" w:hAnsi="Times New Roman" w:cs="Times New Roman"/>
                <w:noProof/>
                <w:sz w:val="24"/>
                <w:lang w:val="en-GB"/>
              </w:rPr>
              <w:t>5</w:t>
            </w:r>
            <w:r w:rsidR="001B0E70" w:rsidRPr="00E50FA4">
              <w:rPr>
                <w:rFonts w:ascii="Times New Roman" w:eastAsia="Times New Roman" w:hAnsi="Times New Roman" w:cs="Times New Roman"/>
                <w:noProof/>
                <w:sz w:val="24"/>
                <w:lang w:val="en-GB"/>
              </w:rPr>
              <w:t>0</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 xml:space="preserve">. </w:t>
            </w:r>
          </w:p>
        </w:tc>
      </w:tr>
      <w:tr w:rsidR="00E77292" w:rsidRPr="00E50FA4" w14:paraId="2C096E49" w14:textId="77777777" w:rsidTr="00BA313D">
        <w:tc>
          <w:tcPr>
            <w:tcW w:w="1188" w:type="dxa"/>
            <w:tcBorders>
              <w:top w:val="single" w:sz="4" w:space="0" w:color="auto"/>
              <w:left w:val="single" w:sz="4" w:space="0" w:color="auto"/>
              <w:bottom w:val="single" w:sz="4" w:space="0" w:color="auto"/>
              <w:right w:val="single" w:sz="4" w:space="0" w:color="auto"/>
            </w:tcBorders>
          </w:tcPr>
          <w:p w14:paraId="266118F3" w14:textId="77777777" w:rsidR="00E77292"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q</w:t>
            </w:r>
          </w:p>
        </w:tc>
        <w:tc>
          <w:tcPr>
            <w:tcW w:w="7879" w:type="dxa"/>
            <w:tcBorders>
              <w:top w:val="single" w:sz="4" w:space="0" w:color="auto"/>
              <w:left w:val="single" w:sz="4" w:space="0" w:color="auto"/>
              <w:bottom w:val="single" w:sz="4" w:space="0" w:color="auto"/>
              <w:right w:val="single" w:sz="4" w:space="0" w:color="auto"/>
            </w:tcBorders>
          </w:tcPr>
          <w:p w14:paraId="7606F1A0"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Proportion of new assets funding taxonomy relevant sectors</w:t>
            </w:r>
          </w:p>
          <w:p w14:paraId="03706EAE" w14:textId="78D67E60" w:rsidR="00E77292" w:rsidRPr="00E50FA4" w:rsidRDefault="00BA494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shall disclose the </w:t>
            </w:r>
            <w:r w:rsidR="00E77292" w:rsidRPr="00E50FA4">
              <w:rPr>
                <w:rFonts w:ascii="Times New Roman" w:eastAsia="Times New Roman" w:hAnsi="Times New Roman" w:cs="Times New Roman"/>
                <w:noProof/>
                <w:sz w:val="24"/>
                <w:lang w:val="en-GB"/>
              </w:rPr>
              <w:t xml:space="preserve">proportion of new assets (i.e. assets originated within the current disclosure period) funding </w:t>
            </w:r>
            <w:r w:rsidR="007431C9" w:rsidRPr="00E50FA4">
              <w:rPr>
                <w:rFonts w:ascii="Times New Roman" w:eastAsia="Times New Roman" w:hAnsi="Times New Roman" w:cs="Times New Roman"/>
                <w:noProof/>
                <w:sz w:val="24"/>
                <w:lang w:val="en-GB"/>
              </w:rPr>
              <w:t xml:space="preserve">taxonomy-relevant </w:t>
            </w:r>
            <w:r w:rsidR="00E77292" w:rsidRPr="00E50FA4">
              <w:rPr>
                <w:rFonts w:ascii="Times New Roman" w:eastAsia="Times New Roman" w:hAnsi="Times New Roman" w:cs="Times New Roman"/>
                <w:noProof/>
                <w:sz w:val="24"/>
                <w:lang w:val="en-GB"/>
              </w:rPr>
              <w:t xml:space="preserve">activities </w:t>
            </w:r>
            <w:r w:rsidR="007431C9" w:rsidRPr="00E50FA4">
              <w:rPr>
                <w:rFonts w:ascii="Times New Roman" w:eastAsia="Times New Roman" w:hAnsi="Times New Roman" w:cs="Times New Roman"/>
                <w:noProof/>
                <w:sz w:val="24"/>
                <w:lang w:val="en-GB"/>
              </w:rPr>
              <w:t xml:space="preserve">(i.e. eligible assets) for </w:t>
            </w:r>
            <w:r w:rsidR="00883438" w:rsidRPr="00E50FA4">
              <w:rPr>
                <w:rFonts w:ascii="Times New Roman" w:eastAsia="Times New Roman" w:hAnsi="Times New Roman" w:cs="Times New Roman"/>
                <w:noProof/>
                <w:sz w:val="24"/>
                <w:lang w:val="en-GB"/>
              </w:rPr>
              <w:t>the objective of climate change mitigation</w:t>
            </w:r>
            <w:r w:rsidR="00E77292" w:rsidRPr="00E50FA4">
              <w:rPr>
                <w:rFonts w:ascii="Times New Roman" w:eastAsia="Times New Roman" w:hAnsi="Times New Roman" w:cs="Times New Roman"/>
                <w:noProof/>
                <w:sz w:val="24"/>
                <w:lang w:val="en-GB"/>
              </w:rPr>
              <w:t xml:space="preserve"> in total new eligible assets (i.e. eligible assets originated within the current disclosure period). New assets shall be calculated net of repayments and other reductions.</w:t>
            </w:r>
          </w:p>
          <w:p w14:paraId="0B52BDE4" w14:textId="41A53BB4"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w:t>
            </w:r>
            <w:r w:rsidR="00BA4944" w:rsidRPr="00E50FA4">
              <w:rPr>
                <w:rFonts w:ascii="Times New Roman" w:eastAsia="Times New Roman" w:hAnsi="Times New Roman" w:cs="Times New Roman"/>
                <w:noProof/>
                <w:sz w:val="24"/>
                <w:lang w:val="en-GB"/>
              </w:rPr>
              <w:t>is</w:t>
            </w:r>
            <w:r w:rsidRPr="00E50FA4">
              <w:rPr>
                <w:rFonts w:ascii="Times New Roman" w:eastAsia="Times New Roman" w:hAnsi="Times New Roman" w:cs="Times New Roman"/>
                <w:noProof/>
                <w:sz w:val="24"/>
                <w:lang w:val="en-GB"/>
              </w:rPr>
              <w:t xml:space="preserve"> item shall be expressed as </w:t>
            </w:r>
            <w:r w:rsidR="004D6FC8" w:rsidRPr="00E50FA4">
              <w:rPr>
                <w:rFonts w:ascii="Times New Roman" w:eastAsia="Times New Roman" w:hAnsi="Times New Roman" w:cs="Times New Roman"/>
                <w:noProof/>
                <w:sz w:val="24"/>
                <w:lang w:val="en-GB"/>
              </w:rPr>
              <w:t xml:space="preserve">in </w:t>
            </w:r>
            <w:r w:rsidRPr="00E50FA4">
              <w:rPr>
                <w:rFonts w:ascii="Times New Roman" w:eastAsia="Times New Roman" w:hAnsi="Times New Roman" w:cs="Times New Roman"/>
                <w:noProof/>
                <w:sz w:val="24"/>
                <w:lang w:val="en-GB"/>
              </w:rPr>
              <w:t>percentage</w:t>
            </w:r>
            <w:r w:rsidR="004D6FC8" w:rsidRPr="00E50FA4">
              <w:rPr>
                <w:rFonts w:ascii="Times New Roman" w:eastAsia="Times New Roman" w:hAnsi="Times New Roman" w:cs="Times New Roman"/>
                <w:noProof/>
                <w:sz w:val="24"/>
                <w:lang w:val="en-GB"/>
              </w:rPr>
              <w:t xml:space="preserve"> terms</w:t>
            </w:r>
            <w:r w:rsidRPr="00E50FA4">
              <w:rPr>
                <w:rFonts w:ascii="Times New Roman" w:eastAsia="Times New Roman" w:hAnsi="Times New Roman" w:cs="Times New Roman"/>
                <w:noProof/>
                <w:sz w:val="24"/>
                <w:lang w:val="en-GB"/>
              </w:rPr>
              <w:t>.</w:t>
            </w:r>
          </w:p>
          <w:p w14:paraId="004B7B8B" w14:textId="1C73E3F4" w:rsidR="00E77292" w:rsidRPr="00E50FA4" w:rsidRDefault="00E77292"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new assets funding taxonomy relevant sectors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6C1C7B"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b</w:t>
            </w:r>
            <w:r w:rsidR="006C1C7B"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6ACF414F" w14:textId="6CAA6ECC" w:rsidR="00E77292" w:rsidRPr="00E50FA4" w:rsidRDefault="00E77292" w:rsidP="002A56D2">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5054F2" w:rsidRPr="00E50FA4">
              <w:rPr>
                <w:rFonts w:ascii="Times New Roman" w:eastAsia="Times New Roman" w:hAnsi="Times New Roman" w:cs="Times New Roman"/>
                <w:noProof/>
                <w:sz w:val="24"/>
                <w:lang w:val="en-GB"/>
              </w:rPr>
              <w:t xml:space="preserve">new </w:t>
            </w:r>
            <w:r w:rsidR="00EB273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w:t>
            </w:r>
            <w:r w:rsidR="00491A29" w:rsidRPr="00E50FA4">
              <w:rPr>
                <w:rFonts w:ascii="Times New Roman" w:eastAsia="Times New Roman" w:hAnsi="Times New Roman" w:cs="Times New Roman"/>
                <w:noProof/>
                <w:sz w:val="24"/>
                <w:lang w:val="en-GB"/>
              </w:rPr>
              <w:t>from those assets</w:t>
            </w:r>
            <w:r w:rsidR="003E1996" w:rsidRPr="00E50FA4">
              <w:rPr>
                <w:rFonts w:ascii="Times New Roman" w:eastAsia="Times New Roman" w:hAnsi="Times New Roman" w:cs="Times New Roman"/>
                <w:noProof/>
                <w:sz w:val="24"/>
                <w:lang w:val="en-GB"/>
              </w:rPr>
              <w:t>,</w:t>
            </w:r>
            <w:r w:rsidR="00491A29"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6C1C7B"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6C1C7B"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60359ADE" w14:textId="77777777" w:rsidTr="00BA313D">
        <w:tc>
          <w:tcPr>
            <w:tcW w:w="1188" w:type="dxa"/>
            <w:tcBorders>
              <w:top w:val="single" w:sz="4" w:space="0" w:color="auto"/>
              <w:left w:val="single" w:sz="4" w:space="0" w:color="auto"/>
              <w:bottom w:val="single" w:sz="4" w:space="0" w:color="auto"/>
              <w:right w:val="single" w:sz="4" w:space="0" w:color="auto"/>
            </w:tcBorders>
          </w:tcPr>
          <w:p w14:paraId="00D8AEAE" w14:textId="77777777" w:rsidR="00E77292"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r</w:t>
            </w:r>
          </w:p>
        </w:tc>
        <w:tc>
          <w:tcPr>
            <w:tcW w:w="7879" w:type="dxa"/>
            <w:tcBorders>
              <w:top w:val="single" w:sz="4" w:space="0" w:color="auto"/>
              <w:left w:val="single" w:sz="4" w:space="0" w:color="auto"/>
              <w:bottom w:val="single" w:sz="4" w:space="0" w:color="auto"/>
              <w:right w:val="single" w:sz="4" w:space="0" w:color="auto"/>
            </w:tcBorders>
          </w:tcPr>
          <w:p w14:paraId="13B1F99E"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environmentally sustainable </w:t>
            </w:r>
          </w:p>
          <w:p w14:paraId="2DC1E2EA" w14:textId="77777777" w:rsidR="00E77292" w:rsidRPr="00E50FA4" w:rsidRDefault="00E77292"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shall disclose the proportion of new assets (i.e. assets originated within the current disclosure period) funding environmentally sustainable activities </w:t>
            </w:r>
            <w:r w:rsidR="002F5976" w:rsidRPr="00E50FA4">
              <w:rPr>
                <w:rFonts w:ascii="Times New Roman" w:eastAsia="Times New Roman" w:hAnsi="Times New Roman" w:cs="Times New Roman"/>
                <w:noProof/>
                <w:sz w:val="24"/>
                <w:lang w:val="en-GB"/>
              </w:rPr>
              <w:t xml:space="preserve">for the objective of climate change mitigation </w:t>
            </w:r>
            <w:r w:rsidRPr="00E50FA4">
              <w:rPr>
                <w:rFonts w:ascii="Times New Roman" w:eastAsia="Times New Roman" w:hAnsi="Times New Roman" w:cs="Times New Roman"/>
                <w:noProof/>
                <w:sz w:val="24"/>
                <w:lang w:val="en-GB"/>
              </w:rPr>
              <w:t>in total new eligible assets (i.e. eligible assets originated within the current disclosure period). New assets shall be calculated net of repayments and other reductions.</w:t>
            </w:r>
          </w:p>
          <w:p w14:paraId="022AF90D" w14:textId="77777777"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The item shall be expressed as a percentage.</w:t>
            </w:r>
          </w:p>
          <w:p w14:paraId="45A10EDF" w14:textId="5FB0CA26" w:rsidR="00E77292" w:rsidRPr="00E50FA4" w:rsidRDefault="00E77292"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new assets as </w:t>
            </w:r>
            <w:r w:rsidR="002A56D2"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c</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4EC46A7A" w14:textId="7E98DC1D" w:rsidR="00E77292" w:rsidRPr="00E50FA4" w:rsidRDefault="00E77292" w:rsidP="00D35AD5">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F62731" w:rsidRPr="00E50FA4">
              <w:rPr>
                <w:rFonts w:ascii="Times New Roman" w:eastAsia="Times New Roman" w:hAnsi="Times New Roman" w:cs="Times New Roman"/>
                <w:noProof/>
                <w:sz w:val="24"/>
                <w:lang w:val="en-GB"/>
              </w:rPr>
              <w:t xml:space="preserve">new </w:t>
            </w:r>
            <w:r w:rsidR="00EB2734" w:rsidRPr="00E50FA4">
              <w:rPr>
                <w:rFonts w:ascii="Times New Roman" w:eastAsia="Times New Roman" w:hAnsi="Times New Roman" w:cs="Times New Roman"/>
                <w:noProof/>
                <w:sz w:val="24"/>
                <w:lang w:val="en-GB"/>
              </w:rPr>
              <w:t xml:space="preserve">covered </w:t>
            </w:r>
            <w:r w:rsidRPr="00E50FA4">
              <w:rPr>
                <w:rFonts w:ascii="Times New Roman" w:eastAsia="Times New Roman" w:hAnsi="Times New Roman" w:cs="Times New Roman"/>
                <w:noProof/>
                <w:sz w:val="24"/>
                <w:lang w:val="en-GB"/>
              </w:rPr>
              <w:t xml:space="preserve">assets </w:t>
            </w:r>
            <w:r w:rsidR="00F62731" w:rsidRPr="00E50FA4">
              <w:rPr>
                <w:rFonts w:ascii="Times New Roman" w:eastAsia="Times New Roman" w:hAnsi="Times New Roman" w:cs="Times New Roman"/>
                <w:noProof/>
                <w:sz w:val="24"/>
                <w:lang w:val="en-GB"/>
              </w:rPr>
              <w:t>from those assets</w:t>
            </w:r>
            <w:r w:rsidR="003E1996" w:rsidRPr="00E50FA4">
              <w:rPr>
                <w:rFonts w:ascii="Times New Roman" w:eastAsia="Times New Roman" w:hAnsi="Times New Roman" w:cs="Times New Roman"/>
                <w:noProof/>
                <w:sz w:val="24"/>
                <w:lang w:val="en-GB"/>
              </w:rPr>
              <w:t>,</w:t>
            </w:r>
            <w:r w:rsidR="00F62731"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15ED490C" w14:textId="77777777" w:rsidTr="00BA313D">
        <w:tc>
          <w:tcPr>
            <w:tcW w:w="1188" w:type="dxa"/>
            <w:tcBorders>
              <w:top w:val="single" w:sz="4" w:space="0" w:color="auto"/>
              <w:left w:val="single" w:sz="4" w:space="0" w:color="auto"/>
              <w:bottom w:val="single" w:sz="4" w:space="0" w:color="auto"/>
              <w:right w:val="single" w:sz="4" w:space="0" w:color="auto"/>
            </w:tcBorders>
          </w:tcPr>
          <w:p w14:paraId="03831A9B" w14:textId="77777777" w:rsidR="00E77292"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s</w:t>
            </w:r>
          </w:p>
        </w:tc>
        <w:tc>
          <w:tcPr>
            <w:tcW w:w="7879" w:type="dxa"/>
            <w:tcBorders>
              <w:top w:val="single" w:sz="4" w:space="0" w:color="auto"/>
              <w:left w:val="single" w:sz="4" w:space="0" w:color="auto"/>
              <w:bottom w:val="single" w:sz="4" w:space="0" w:color="auto"/>
              <w:right w:val="single" w:sz="4" w:space="0" w:color="auto"/>
            </w:tcBorders>
          </w:tcPr>
          <w:p w14:paraId="57A06B9F"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specialised lending</w:t>
            </w:r>
          </w:p>
          <w:p w14:paraId="404D9F42" w14:textId="691EEB29"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he proportion of new assets (i.e. assets originated within the current disclosure period) categorised as specialised lending funding environmentally sustainable activities</w:t>
            </w:r>
            <w:r w:rsidR="002F5976" w:rsidRPr="00E50FA4">
              <w:rPr>
                <w:rFonts w:ascii="Times New Roman" w:eastAsia="Times New Roman" w:hAnsi="Times New Roman" w:cs="Times New Roman"/>
                <w:noProof/>
                <w:sz w:val="24"/>
                <w:lang w:val="en-GB"/>
              </w:rPr>
              <w:t xml:space="preserve"> for the objective of climate change mitigation </w:t>
            </w:r>
            <w:r w:rsidR="00E77292" w:rsidRPr="00E50FA4">
              <w:rPr>
                <w:rFonts w:ascii="Times New Roman" w:eastAsia="Times New Roman" w:hAnsi="Times New Roman" w:cs="Times New Roman"/>
                <w:noProof/>
                <w:sz w:val="24"/>
                <w:lang w:val="en-GB"/>
              </w:rPr>
              <w:t>in total new</w:t>
            </w:r>
            <w:r w:rsidR="002F5976" w:rsidRPr="00E50FA4">
              <w:rPr>
                <w:rFonts w:ascii="Times New Roman" w:eastAsia="Times New Roman" w:hAnsi="Times New Roman" w:cs="Times New Roman"/>
                <w:noProof/>
                <w:sz w:val="24"/>
                <w:lang w:val="en-GB"/>
              </w:rPr>
              <w:t xml:space="preserve"> eligible</w:t>
            </w:r>
            <w:r w:rsidR="00E77292" w:rsidRPr="00E50FA4">
              <w:rPr>
                <w:rFonts w:ascii="Times New Roman" w:eastAsia="Times New Roman" w:hAnsi="Times New Roman" w:cs="Times New Roman"/>
                <w:noProof/>
                <w:sz w:val="24"/>
                <w:lang w:val="en-GB"/>
              </w:rPr>
              <w:t xml:space="preserve"> assets (i.e. assets originated within the current disclosure period) funding environmentally sustainable activities. New </w:t>
            </w:r>
            <w:r w:rsidR="002F5976" w:rsidRPr="00E50FA4">
              <w:rPr>
                <w:rFonts w:ascii="Times New Roman" w:eastAsia="Times New Roman" w:hAnsi="Times New Roman" w:cs="Times New Roman"/>
                <w:noProof/>
                <w:sz w:val="24"/>
                <w:lang w:val="en-GB"/>
              </w:rPr>
              <w:t xml:space="preserve">eligible </w:t>
            </w:r>
            <w:r w:rsidR="00E77292" w:rsidRPr="00E50FA4">
              <w:rPr>
                <w:rFonts w:ascii="Times New Roman" w:eastAsia="Times New Roman" w:hAnsi="Times New Roman" w:cs="Times New Roman"/>
                <w:noProof/>
                <w:sz w:val="24"/>
                <w:lang w:val="en-GB"/>
              </w:rPr>
              <w:t>assets shall be calculated net of repayments and other reductions.</w:t>
            </w:r>
          </w:p>
          <w:p w14:paraId="7CE38169" w14:textId="77777777"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The item shall be expressed as a percentage.</w:t>
            </w:r>
          </w:p>
          <w:p w14:paraId="3EE8A290" w14:textId="011FFE15" w:rsidR="00E77292" w:rsidRPr="00E50FA4" w:rsidRDefault="00E77292"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new assets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d</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8.</w:t>
            </w:r>
          </w:p>
          <w:p w14:paraId="7DB14D3E" w14:textId="6A8CF9BC" w:rsidR="00E77292" w:rsidRPr="00E50FA4" w:rsidRDefault="00E77292" w:rsidP="000F056B">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F62731" w:rsidRPr="00E50FA4">
              <w:rPr>
                <w:rFonts w:ascii="Times New Roman" w:eastAsia="Times New Roman" w:hAnsi="Times New Roman" w:cs="Times New Roman"/>
                <w:noProof/>
                <w:sz w:val="24"/>
                <w:lang w:val="en-GB"/>
              </w:rPr>
              <w:t xml:space="preserve">new </w:t>
            </w:r>
            <w:r w:rsidR="001F62A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w:t>
            </w:r>
            <w:r w:rsidR="00F62731" w:rsidRPr="00E50FA4">
              <w:rPr>
                <w:rFonts w:ascii="Times New Roman" w:eastAsia="Times New Roman" w:hAnsi="Times New Roman" w:cs="Times New Roman"/>
                <w:noProof/>
                <w:sz w:val="24"/>
                <w:lang w:val="en-GB"/>
              </w:rPr>
              <w:t xml:space="preserve"> from those assets</w:t>
            </w:r>
            <w:r w:rsidR="003E1996"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as </w:t>
            </w:r>
            <w:r w:rsidR="000F056B"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001F62A4" w:rsidRPr="00E50FA4">
              <w:rPr>
                <w:rFonts w:ascii="Times New Roman" w:eastAsia="Times New Roman" w:hAnsi="Times New Roman" w:cs="Times New Roman"/>
                <w:noProof/>
                <w:sz w:val="24"/>
                <w:lang w:val="en-GB"/>
              </w:rPr>
              <w:t>a</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71196B" w:rsidRPr="00E50FA4" w14:paraId="5CE18977" w14:textId="77777777" w:rsidTr="00BA313D">
        <w:tc>
          <w:tcPr>
            <w:tcW w:w="1188" w:type="dxa"/>
            <w:tcBorders>
              <w:top w:val="single" w:sz="4" w:space="0" w:color="auto"/>
              <w:left w:val="single" w:sz="4" w:space="0" w:color="auto"/>
              <w:bottom w:val="single" w:sz="4" w:space="0" w:color="auto"/>
              <w:right w:val="single" w:sz="4" w:space="0" w:color="auto"/>
            </w:tcBorders>
          </w:tcPr>
          <w:p w14:paraId="4B181F36" w14:textId="77777777" w:rsidR="0071196B" w:rsidRPr="00E50FA4" w:rsidRDefault="0071196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w:t>
            </w:r>
          </w:p>
        </w:tc>
        <w:tc>
          <w:tcPr>
            <w:tcW w:w="7879" w:type="dxa"/>
            <w:tcBorders>
              <w:top w:val="single" w:sz="4" w:space="0" w:color="auto"/>
              <w:left w:val="single" w:sz="4" w:space="0" w:color="auto"/>
              <w:bottom w:val="single" w:sz="4" w:space="0" w:color="auto"/>
              <w:right w:val="single" w:sz="4" w:space="0" w:color="auto"/>
            </w:tcBorders>
          </w:tcPr>
          <w:p w14:paraId="777229E3" w14:textId="77777777" w:rsidR="0071196B" w:rsidRPr="00E50FA4" w:rsidRDefault="007119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transitional</w:t>
            </w:r>
          </w:p>
          <w:p w14:paraId="71BDF068" w14:textId="77777777" w:rsidR="0071196B" w:rsidRPr="00E50FA4" w:rsidRDefault="0071196B"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Article 10 of </w:t>
            </w:r>
            <w:r w:rsidRPr="00E50FA4">
              <w:rPr>
                <w:rFonts w:ascii="Times New Roman" w:hAnsi="Times New Roman"/>
                <w:noProof/>
                <w:sz w:val="24"/>
                <w:lang w:val="en-GB"/>
              </w:rPr>
              <w:t>Regulation (EU) 2020/852.</w:t>
            </w:r>
          </w:p>
          <w:p w14:paraId="1EBCCB3B" w14:textId="174A1262" w:rsidR="0071196B" w:rsidRPr="00E50FA4" w:rsidRDefault="005A4494"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71196B" w:rsidRPr="00E50FA4">
              <w:rPr>
                <w:rFonts w:ascii="Times New Roman" w:eastAsia="Times New Roman" w:hAnsi="Times New Roman" w:cs="Times New Roman"/>
                <w:noProof/>
                <w:sz w:val="24"/>
                <w:lang w:val="en-GB"/>
              </w:rPr>
              <w:t>he proportion of the new assets (i.e. assets originated within the current disclosure period) related to transitional activities for the objective of climate change mitigation in total new eligible assets (i.e. assets originated within the current disclosure period) funding environmentally sustainable activities. New eligible assets shall be calculated net of repayments and other reductions.</w:t>
            </w:r>
          </w:p>
          <w:p w14:paraId="4BCD5D3E" w14:textId="77777777" w:rsidR="0071196B" w:rsidRPr="00E50FA4" w:rsidRDefault="0071196B"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The item shall be expressed as a percentage.</w:t>
            </w:r>
          </w:p>
          <w:p w14:paraId="207EDFF4" w14:textId="6EA201D8" w:rsidR="0071196B" w:rsidRPr="00E50FA4" w:rsidRDefault="0071196B"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new assets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e</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8.</w:t>
            </w:r>
          </w:p>
          <w:p w14:paraId="3E62519B" w14:textId="6BB99BEC" w:rsidR="0071196B" w:rsidRPr="00E50FA4" w:rsidRDefault="0071196B" w:rsidP="00D35AD5">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1F62A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w:t>
            </w:r>
            <w:r w:rsidR="00F62731" w:rsidRPr="00E50FA4">
              <w:rPr>
                <w:rFonts w:ascii="Times New Roman" w:eastAsia="Times New Roman" w:hAnsi="Times New Roman" w:cs="Times New Roman"/>
                <w:noProof/>
                <w:sz w:val="24"/>
                <w:lang w:val="en-GB"/>
              </w:rPr>
              <w:t xml:space="preserve">new </w:t>
            </w:r>
            <w:r w:rsidRPr="00E50FA4">
              <w:rPr>
                <w:rFonts w:ascii="Times New Roman" w:eastAsia="Times New Roman" w:hAnsi="Times New Roman" w:cs="Times New Roman"/>
                <w:noProof/>
                <w:sz w:val="24"/>
                <w:lang w:val="en-GB"/>
              </w:rPr>
              <w:t xml:space="preserve">assets </w:t>
            </w:r>
            <w:r w:rsidR="00F62731" w:rsidRPr="00E50FA4">
              <w:rPr>
                <w:rFonts w:ascii="Times New Roman" w:eastAsia="Times New Roman" w:hAnsi="Times New Roman" w:cs="Times New Roman"/>
                <w:noProof/>
                <w:sz w:val="24"/>
                <w:lang w:val="en-GB"/>
              </w:rPr>
              <w:t>from those assets</w:t>
            </w:r>
            <w:r w:rsidR="003E1996" w:rsidRPr="00E50FA4">
              <w:rPr>
                <w:rFonts w:ascii="Times New Roman" w:eastAsia="Times New Roman" w:hAnsi="Times New Roman" w:cs="Times New Roman"/>
                <w:noProof/>
                <w:sz w:val="24"/>
                <w:lang w:val="en-GB"/>
              </w:rPr>
              <w:t>,</w:t>
            </w:r>
            <w:r w:rsidR="00F62731"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71196B" w:rsidRPr="00E50FA4" w14:paraId="33EB514A" w14:textId="77777777" w:rsidTr="00BA313D">
        <w:tc>
          <w:tcPr>
            <w:tcW w:w="1188" w:type="dxa"/>
            <w:tcBorders>
              <w:top w:val="single" w:sz="4" w:space="0" w:color="auto"/>
              <w:left w:val="single" w:sz="4" w:space="0" w:color="auto"/>
              <w:bottom w:val="single" w:sz="4" w:space="0" w:color="auto"/>
              <w:right w:val="single" w:sz="4" w:space="0" w:color="auto"/>
            </w:tcBorders>
          </w:tcPr>
          <w:p w14:paraId="5363721F" w14:textId="77777777" w:rsidR="0071196B" w:rsidRPr="00E50FA4" w:rsidRDefault="0071196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u</w:t>
            </w:r>
          </w:p>
        </w:tc>
        <w:tc>
          <w:tcPr>
            <w:tcW w:w="7879" w:type="dxa"/>
            <w:tcBorders>
              <w:top w:val="single" w:sz="4" w:space="0" w:color="auto"/>
              <w:left w:val="single" w:sz="4" w:space="0" w:color="auto"/>
              <w:bottom w:val="single" w:sz="4" w:space="0" w:color="auto"/>
              <w:right w:val="single" w:sz="4" w:space="0" w:color="auto"/>
            </w:tcBorders>
          </w:tcPr>
          <w:p w14:paraId="291DEB93" w14:textId="77777777" w:rsidR="0071196B" w:rsidRPr="00E50FA4" w:rsidRDefault="007119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enabling</w:t>
            </w:r>
          </w:p>
          <w:p w14:paraId="7BE337D9" w14:textId="77777777" w:rsidR="0071196B" w:rsidRPr="00E50FA4" w:rsidRDefault="0071196B"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Article 16 of </w:t>
            </w:r>
            <w:r w:rsidRPr="00E50FA4">
              <w:rPr>
                <w:rFonts w:ascii="Times New Roman" w:hAnsi="Times New Roman"/>
                <w:noProof/>
                <w:sz w:val="24"/>
                <w:lang w:val="en-GB"/>
              </w:rPr>
              <w:t>Regulation (EU) 2020/852.</w:t>
            </w:r>
          </w:p>
          <w:p w14:paraId="56E26AAE" w14:textId="67088F8E" w:rsidR="0071196B" w:rsidRPr="00E50FA4" w:rsidRDefault="005A4494"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71196B" w:rsidRPr="00E50FA4">
              <w:rPr>
                <w:rFonts w:ascii="Times New Roman" w:eastAsia="Times New Roman" w:hAnsi="Times New Roman" w:cs="Times New Roman"/>
                <w:noProof/>
                <w:sz w:val="24"/>
                <w:lang w:val="en-GB"/>
              </w:rPr>
              <w:t>he proportion of the new assets (i.e. assets originated within the current disclosure period) related to enabling activities for the objective of climate change mitigation in total new eligible assets (i.e. assets originated within the current disclosure period) funding environmentally sustainable activities. New eligible assets shall be calculated net of repayments and other reductions.</w:t>
            </w:r>
          </w:p>
          <w:p w14:paraId="47236FF3" w14:textId="77777777" w:rsidR="0071196B" w:rsidRPr="00E50FA4" w:rsidRDefault="0071196B"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The item shall be expressed as a percentage.</w:t>
            </w:r>
          </w:p>
          <w:p w14:paraId="358A95D8" w14:textId="73B0DD5B" w:rsidR="0071196B" w:rsidRPr="00E50FA4" w:rsidRDefault="0071196B"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new assets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f</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8.</w:t>
            </w:r>
          </w:p>
          <w:p w14:paraId="20A34DC5" w14:textId="332501B6" w:rsidR="0071196B" w:rsidRPr="00E50FA4" w:rsidRDefault="0071196B" w:rsidP="00D35AD5">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1F62A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w:t>
            </w:r>
            <w:r w:rsidR="00F62731" w:rsidRPr="00E50FA4">
              <w:rPr>
                <w:rFonts w:ascii="Times New Roman" w:eastAsia="Times New Roman" w:hAnsi="Times New Roman" w:cs="Times New Roman"/>
                <w:noProof/>
                <w:sz w:val="24"/>
                <w:lang w:val="en-GB"/>
              </w:rPr>
              <w:t xml:space="preserve">new </w:t>
            </w:r>
            <w:r w:rsidRPr="00E50FA4">
              <w:rPr>
                <w:rFonts w:ascii="Times New Roman" w:eastAsia="Times New Roman" w:hAnsi="Times New Roman" w:cs="Times New Roman"/>
                <w:noProof/>
                <w:sz w:val="24"/>
                <w:lang w:val="en-GB"/>
              </w:rPr>
              <w:t xml:space="preserve">assets </w:t>
            </w:r>
            <w:r w:rsidR="00F62731" w:rsidRPr="00E50FA4">
              <w:rPr>
                <w:rFonts w:ascii="Times New Roman" w:eastAsia="Times New Roman" w:hAnsi="Times New Roman" w:cs="Times New Roman"/>
                <w:noProof/>
                <w:sz w:val="24"/>
                <w:lang w:val="en-GB"/>
              </w:rPr>
              <w:t>from those</w:t>
            </w:r>
            <w:r w:rsidR="003E1996" w:rsidRPr="00E50FA4">
              <w:rPr>
                <w:rFonts w:ascii="Times New Roman" w:eastAsia="Times New Roman" w:hAnsi="Times New Roman" w:cs="Times New Roman"/>
                <w:noProof/>
                <w:sz w:val="24"/>
                <w:lang w:val="en-GB"/>
              </w:rPr>
              <w:t xml:space="preserve"> assets,</w:t>
            </w:r>
            <w:r w:rsidR="00F62731"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4101AA72" w14:textId="77777777" w:rsidTr="00BA313D">
        <w:tc>
          <w:tcPr>
            <w:tcW w:w="1188" w:type="dxa"/>
            <w:tcBorders>
              <w:top w:val="single" w:sz="4" w:space="0" w:color="auto"/>
              <w:left w:val="single" w:sz="4" w:space="0" w:color="auto"/>
              <w:bottom w:val="single" w:sz="4" w:space="0" w:color="auto"/>
              <w:right w:val="single" w:sz="4" w:space="0" w:color="auto"/>
            </w:tcBorders>
          </w:tcPr>
          <w:p w14:paraId="659A4BBD" w14:textId="77777777" w:rsidR="00E77292"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v</w:t>
            </w:r>
          </w:p>
        </w:tc>
        <w:tc>
          <w:tcPr>
            <w:tcW w:w="7879" w:type="dxa"/>
            <w:tcBorders>
              <w:top w:val="single" w:sz="4" w:space="0" w:color="auto"/>
              <w:left w:val="single" w:sz="4" w:space="0" w:color="auto"/>
              <w:bottom w:val="single" w:sz="4" w:space="0" w:color="auto"/>
              <w:right w:val="single" w:sz="4" w:space="0" w:color="auto"/>
            </w:tcBorders>
          </w:tcPr>
          <w:p w14:paraId="6B5872EA"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Proportion of new assets funding taxonomy relevant sectors</w:t>
            </w:r>
          </w:p>
          <w:p w14:paraId="3B3D725F" w14:textId="0C8D0DBA"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 xml:space="preserve">he proportion of new assets (i.e. assets originated within the current disclosure period) funding activities covered by </w:t>
            </w:r>
            <w:r w:rsidR="00477745" w:rsidRPr="00E50FA4">
              <w:rPr>
                <w:rFonts w:ascii="Times New Roman" w:eastAsia="Times New Roman" w:hAnsi="Times New Roman" w:cs="Times New Roman"/>
                <w:noProof/>
                <w:sz w:val="24"/>
                <w:lang w:val="en-GB"/>
              </w:rPr>
              <w:t>Regulation (EU) 2020/852</w:t>
            </w:r>
            <w:r w:rsidR="00E77292" w:rsidRPr="00E50FA4">
              <w:rPr>
                <w:rFonts w:ascii="Times New Roman" w:eastAsia="Times New Roman" w:hAnsi="Times New Roman" w:cs="Times New Roman"/>
                <w:noProof/>
                <w:sz w:val="24"/>
                <w:lang w:val="en-GB"/>
              </w:rPr>
              <w:t xml:space="preserve"> </w:t>
            </w:r>
            <w:r w:rsidR="002F5976" w:rsidRPr="00E50FA4">
              <w:rPr>
                <w:rFonts w:ascii="Times New Roman" w:eastAsia="Times New Roman" w:hAnsi="Times New Roman" w:cs="Times New Roman"/>
                <w:noProof/>
                <w:sz w:val="24"/>
                <w:lang w:val="en-GB"/>
              </w:rPr>
              <w:t xml:space="preserve">for the objective of climate change adaptation </w:t>
            </w:r>
            <w:r w:rsidR="00E77292" w:rsidRPr="00E50FA4">
              <w:rPr>
                <w:rFonts w:ascii="Times New Roman" w:eastAsia="Times New Roman" w:hAnsi="Times New Roman" w:cs="Times New Roman"/>
                <w:noProof/>
                <w:sz w:val="24"/>
                <w:lang w:val="en-GB"/>
              </w:rPr>
              <w:t>in total new eligible assets (i.e. eligible assets originated within the current disclosure period). New assets shall be calculated net of repayments and other reductions.</w:t>
            </w:r>
          </w:p>
          <w:p w14:paraId="3F5967A0" w14:textId="1A54490D" w:rsidR="00E77292" w:rsidRPr="00E50FA4" w:rsidRDefault="00BA4944"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This </w:t>
            </w:r>
            <w:r w:rsidR="00E77292" w:rsidRPr="00E50FA4">
              <w:rPr>
                <w:rFonts w:ascii="Times New Roman" w:eastAsia="Times New Roman" w:hAnsi="Times New Roman" w:cs="Times New Roman"/>
                <w:noProof/>
                <w:sz w:val="24"/>
                <w:lang w:val="en-GB"/>
              </w:rPr>
              <w:t>item shall be expressed as a percentage.</w:t>
            </w:r>
          </w:p>
          <w:p w14:paraId="63E9390B" w14:textId="281D91BD" w:rsidR="00E77292" w:rsidRPr="00E50FA4" w:rsidRDefault="00E77292"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new assets funding taxonomy relevant sectors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001F62A4" w:rsidRPr="00E50FA4">
              <w:rPr>
                <w:rFonts w:ascii="Times New Roman" w:eastAsia="Times New Roman" w:hAnsi="Times New Roman" w:cs="Times New Roman"/>
                <w:noProof/>
                <w:sz w:val="24"/>
                <w:lang w:val="en-GB"/>
              </w:rPr>
              <w:t>g</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664881"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053E459F" w14:textId="362D2043" w:rsidR="00E77292" w:rsidRPr="00E50FA4" w:rsidRDefault="00E77292" w:rsidP="00D35AD5">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F62731" w:rsidRPr="00E50FA4">
              <w:rPr>
                <w:rFonts w:ascii="Times New Roman" w:eastAsia="Times New Roman" w:hAnsi="Times New Roman" w:cs="Times New Roman"/>
                <w:noProof/>
                <w:sz w:val="24"/>
                <w:lang w:val="en-GB"/>
              </w:rPr>
              <w:t xml:space="preserve">new </w:t>
            </w:r>
            <w:r w:rsidR="001F62A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w:t>
            </w:r>
            <w:r w:rsidR="00F62731" w:rsidRPr="00E50FA4">
              <w:rPr>
                <w:rFonts w:ascii="Times New Roman" w:eastAsia="Times New Roman" w:hAnsi="Times New Roman" w:cs="Times New Roman"/>
                <w:noProof/>
                <w:sz w:val="24"/>
                <w:lang w:val="en-GB"/>
              </w:rPr>
              <w:t>from those assets</w:t>
            </w:r>
            <w:r w:rsidR="003E1996" w:rsidRPr="00E50FA4">
              <w:rPr>
                <w:rFonts w:ascii="Times New Roman" w:eastAsia="Times New Roman" w:hAnsi="Times New Roman" w:cs="Times New Roman"/>
                <w:noProof/>
                <w:sz w:val="24"/>
                <w:lang w:val="en-GB"/>
              </w:rPr>
              <w:t>,</w:t>
            </w:r>
            <w:r w:rsidR="00F62731"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3888AABD" w14:textId="77777777" w:rsidTr="00BA313D">
        <w:tc>
          <w:tcPr>
            <w:tcW w:w="1188" w:type="dxa"/>
            <w:tcBorders>
              <w:top w:val="single" w:sz="4" w:space="0" w:color="auto"/>
              <w:left w:val="single" w:sz="4" w:space="0" w:color="auto"/>
              <w:bottom w:val="single" w:sz="4" w:space="0" w:color="auto"/>
              <w:right w:val="single" w:sz="4" w:space="0" w:color="auto"/>
            </w:tcBorders>
          </w:tcPr>
          <w:p w14:paraId="77F4AE67" w14:textId="77777777" w:rsidR="00E77292"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w</w:t>
            </w:r>
          </w:p>
        </w:tc>
        <w:tc>
          <w:tcPr>
            <w:tcW w:w="7879" w:type="dxa"/>
            <w:tcBorders>
              <w:top w:val="single" w:sz="4" w:space="0" w:color="auto"/>
              <w:left w:val="single" w:sz="4" w:space="0" w:color="auto"/>
              <w:bottom w:val="single" w:sz="4" w:space="0" w:color="auto"/>
              <w:right w:val="single" w:sz="4" w:space="0" w:color="auto"/>
            </w:tcBorders>
          </w:tcPr>
          <w:p w14:paraId="00D3A134"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environmentally sustainable </w:t>
            </w:r>
          </w:p>
          <w:p w14:paraId="51DBFE10" w14:textId="10E63A6C"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 xml:space="preserve">he proportion of new assets (i.e. assets originated within the current disclosure period) funding environmentally sustainable activities </w:t>
            </w:r>
            <w:r w:rsidR="002F5976" w:rsidRPr="00E50FA4">
              <w:rPr>
                <w:rFonts w:ascii="Times New Roman" w:eastAsia="Times New Roman" w:hAnsi="Times New Roman" w:cs="Times New Roman"/>
                <w:noProof/>
                <w:sz w:val="24"/>
                <w:lang w:val="en-GB"/>
              </w:rPr>
              <w:t xml:space="preserve">for the objective of climate change adaptation </w:t>
            </w:r>
            <w:r w:rsidR="00E77292" w:rsidRPr="00E50FA4">
              <w:rPr>
                <w:rFonts w:ascii="Times New Roman" w:eastAsia="Times New Roman" w:hAnsi="Times New Roman" w:cs="Times New Roman"/>
                <w:noProof/>
                <w:sz w:val="24"/>
                <w:lang w:val="en-GB"/>
              </w:rPr>
              <w:t>in total new eligible assets (i.e. eligible assets originated within the current disclosure period). New assets shall be calculated net of repayments and other reductions.</w:t>
            </w:r>
          </w:p>
          <w:p w14:paraId="7FAE922A" w14:textId="4393A719"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w:t>
            </w:r>
            <w:r w:rsidR="00BA4944" w:rsidRPr="00E50FA4">
              <w:rPr>
                <w:rFonts w:ascii="Times New Roman" w:eastAsia="Times New Roman" w:hAnsi="Times New Roman" w:cs="Times New Roman"/>
                <w:noProof/>
                <w:sz w:val="24"/>
                <w:lang w:val="en-GB"/>
              </w:rPr>
              <w:t>is</w:t>
            </w:r>
            <w:r w:rsidRPr="00E50FA4">
              <w:rPr>
                <w:rFonts w:ascii="Times New Roman" w:eastAsia="Times New Roman" w:hAnsi="Times New Roman" w:cs="Times New Roman"/>
                <w:noProof/>
                <w:sz w:val="24"/>
                <w:lang w:val="en-GB"/>
              </w:rPr>
              <w:t xml:space="preserve"> item shall be expressed </w:t>
            </w:r>
            <w:r w:rsidR="004D6FC8" w:rsidRPr="00E50FA4">
              <w:rPr>
                <w:rFonts w:ascii="Times New Roman" w:eastAsia="Times New Roman" w:hAnsi="Times New Roman" w:cs="Times New Roman"/>
                <w:noProof/>
                <w:sz w:val="24"/>
                <w:lang w:val="en-GB"/>
              </w:rPr>
              <w:t xml:space="preserve">in </w:t>
            </w:r>
            <w:r w:rsidRPr="00E50FA4">
              <w:rPr>
                <w:rFonts w:ascii="Times New Roman" w:eastAsia="Times New Roman" w:hAnsi="Times New Roman" w:cs="Times New Roman"/>
                <w:noProof/>
                <w:sz w:val="24"/>
                <w:lang w:val="en-GB"/>
              </w:rPr>
              <w:t>percentage</w:t>
            </w:r>
            <w:r w:rsidR="004D6FC8" w:rsidRPr="00E50FA4">
              <w:rPr>
                <w:rFonts w:ascii="Times New Roman" w:eastAsia="Times New Roman" w:hAnsi="Times New Roman" w:cs="Times New Roman"/>
                <w:noProof/>
                <w:sz w:val="24"/>
                <w:lang w:val="en-GB"/>
              </w:rPr>
              <w:t xml:space="preserve"> terms</w:t>
            </w:r>
            <w:r w:rsidRPr="00E50FA4">
              <w:rPr>
                <w:rFonts w:ascii="Times New Roman" w:eastAsia="Times New Roman" w:hAnsi="Times New Roman" w:cs="Times New Roman"/>
                <w:noProof/>
                <w:sz w:val="24"/>
                <w:lang w:val="en-GB"/>
              </w:rPr>
              <w:t>.</w:t>
            </w:r>
          </w:p>
          <w:p w14:paraId="672A3F34" w14:textId="19699AF0" w:rsidR="00E77292" w:rsidRPr="00E50FA4" w:rsidRDefault="00E77292"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new assets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001F62A4" w:rsidRPr="00E50FA4">
              <w:rPr>
                <w:rFonts w:ascii="Times New Roman" w:eastAsia="Times New Roman" w:hAnsi="Times New Roman" w:cs="Times New Roman"/>
                <w:noProof/>
                <w:sz w:val="24"/>
                <w:lang w:val="en-GB"/>
              </w:rPr>
              <w:t>h</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664881"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5AC7A819" w14:textId="45220774" w:rsidR="00E77292" w:rsidRPr="00E50FA4" w:rsidRDefault="00E77292" w:rsidP="00D35AD5">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F62731" w:rsidRPr="00E50FA4">
              <w:rPr>
                <w:rFonts w:ascii="Times New Roman" w:eastAsia="Times New Roman" w:hAnsi="Times New Roman" w:cs="Times New Roman"/>
                <w:noProof/>
                <w:sz w:val="24"/>
                <w:lang w:val="en-GB"/>
              </w:rPr>
              <w:t xml:space="preserve">new </w:t>
            </w:r>
            <w:r w:rsidR="001F62A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w:t>
            </w:r>
            <w:r w:rsidR="00F62731" w:rsidRPr="00E50FA4">
              <w:rPr>
                <w:rFonts w:ascii="Times New Roman" w:eastAsia="Times New Roman" w:hAnsi="Times New Roman" w:cs="Times New Roman"/>
                <w:noProof/>
                <w:sz w:val="24"/>
                <w:lang w:val="en-GB"/>
              </w:rPr>
              <w:t>from those assets</w:t>
            </w:r>
            <w:r w:rsidR="003E1996" w:rsidRPr="00E50FA4">
              <w:rPr>
                <w:rFonts w:ascii="Times New Roman" w:eastAsia="Times New Roman" w:hAnsi="Times New Roman" w:cs="Times New Roman"/>
                <w:noProof/>
                <w:sz w:val="24"/>
                <w:lang w:val="en-GB"/>
              </w:rPr>
              <w:t>,</w:t>
            </w:r>
            <w:r w:rsidR="00F62731"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51D3B1B1" w14:textId="77777777" w:rsidTr="00BA313D">
        <w:tc>
          <w:tcPr>
            <w:tcW w:w="1188" w:type="dxa"/>
            <w:tcBorders>
              <w:top w:val="single" w:sz="4" w:space="0" w:color="auto"/>
              <w:left w:val="single" w:sz="4" w:space="0" w:color="auto"/>
              <w:bottom w:val="single" w:sz="4" w:space="0" w:color="auto"/>
              <w:right w:val="single" w:sz="4" w:space="0" w:color="auto"/>
            </w:tcBorders>
          </w:tcPr>
          <w:p w14:paraId="6E0ADE76" w14:textId="77777777" w:rsidR="00E77292"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x</w:t>
            </w:r>
          </w:p>
        </w:tc>
        <w:tc>
          <w:tcPr>
            <w:tcW w:w="7879" w:type="dxa"/>
            <w:tcBorders>
              <w:top w:val="single" w:sz="4" w:space="0" w:color="auto"/>
              <w:left w:val="single" w:sz="4" w:space="0" w:color="auto"/>
              <w:bottom w:val="single" w:sz="4" w:space="0" w:color="auto"/>
              <w:right w:val="single" w:sz="4" w:space="0" w:color="auto"/>
            </w:tcBorders>
          </w:tcPr>
          <w:p w14:paraId="320551D9"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specialised lending</w:t>
            </w:r>
          </w:p>
          <w:p w14:paraId="1121CAC6" w14:textId="1461BF5F"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he proportion of new assets (i.e. assets originated within the current disclosure period) categorised as specialised lending funding environmentally sustainable activities</w:t>
            </w:r>
            <w:r w:rsidR="002F5976" w:rsidRPr="00E50FA4">
              <w:rPr>
                <w:rFonts w:ascii="Times New Roman" w:eastAsia="Times New Roman" w:hAnsi="Times New Roman" w:cs="Times New Roman"/>
                <w:noProof/>
                <w:sz w:val="24"/>
                <w:lang w:val="en-GB"/>
              </w:rPr>
              <w:t xml:space="preserve"> for the objective of climate change </w:t>
            </w:r>
            <w:r w:rsidR="001F62A4" w:rsidRPr="00E50FA4">
              <w:rPr>
                <w:rFonts w:ascii="Times New Roman" w:eastAsia="Times New Roman" w:hAnsi="Times New Roman" w:cs="Times New Roman"/>
                <w:noProof/>
                <w:sz w:val="24"/>
                <w:lang w:val="en-GB"/>
              </w:rPr>
              <w:t xml:space="preserve">adaptation </w:t>
            </w:r>
            <w:r w:rsidR="00E77292" w:rsidRPr="00E50FA4">
              <w:rPr>
                <w:rFonts w:ascii="Times New Roman" w:eastAsia="Times New Roman" w:hAnsi="Times New Roman" w:cs="Times New Roman"/>
                <w:noProof/>
                <w:sz w:val="24"/>
                <w:lang w:val="en-GB"/>
              </w:rPr>
              <w:t xml:space="preserve">in total new </w:t>
            </w:r>
            <w:r w:rsidR="002F5976" w:rsidRPr="00E50FA4">
              <w:rPr>
                <w:rFonts w:ascii="Times New Roman" w:eastAsia="Times New Roman" w:hAnsi="Times New Roman" w:cs="Times New Roman"/>
                <w:noProof/>
                <w:sz w:val="24"/>
                <w:lang w:val="en-GB"/>
              </w:rPr>
              <w:t xml:space="preserve">eligible </w:t>
            </w:r>
            <w:r w:rsidR="00E77292" w:rsidRPr="00E50FA4">
              <w:rPr>
                <w:rFonts w:ascii="Times New Roman" w:eastAsia="Times New Roman" w:hAnsi="Times New Roman" w:cs="Times New Roman"/>
                <w:noProof/>
                <w:sz w:val="24"/>
                <w:lang w:val="en-GB"/>
              </w:rPr>
              <w:t xml:space="preserve">assets (i.e. assets originated within the current disclosure period) funding environmentally sustainable activities. New </w:t>
            </w:r>
            <w:r w:rsidR="002F5976" w:rsidRPr="00E50FA4">
              <w:rPr>
                <w:rFonts w:ascii="Times New Roman" w:eastAsia="Times New Roman" w:hAnsi="Times New Roman" w:cs="Times New Roman"/>
                <w:noProof/>
                <w:sz w:val="24"/>
                <w:lang w:val="en-GB"/>
              </w:rPr>
              <w:t xml:space="preserve">eligible </w:t>
            </w:r>
            <w:r w:rsidR="00E77292" w:rsidRPr="00E50FA4">
              <w:rPr>
                <w:rFonts w:ascii="Times New Roman" w:eastAsia="Times New Roman" w:hAnsi="Times New Roman" w:cs="Times New Roman"/>
                <w:noProof/>
                <w:sz w:val="24"/>
                <w:lang w:val="en-GB"/>
              </w:rPr>
              <w:t>assets shall be calculated net of repayments and other reductions.</w:t>
            </w:r>
          </w:p>
          <w:p w14:paraId="586CD8B5" w14:textId="04F76606"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w:t>
            </w:r>
            <w:r w:rsidR="00BA4944" w:rsidRPr="00E50FA4">
              <w:rPr>
                <w:rFonts w:ascii="Times New Roman" w:eastAsia="Times New Roman" w:hAnsi="Times New Roman" w:cs="Times New Roman"/>
                <w:noProof/>
                <w:sz w:val="24"/>
                <w:lang w:val="en-GB"/>
              </w:rPr>
              <w:t>is</w:t>
            </w:r>
            <w:r w:rsidRPr="00E50FA4">
              <w:rPr>
                <w:rFonts w:ascii="Times New Roman" w:eastAsia="Times New Roman" w:hAnsi="Times New Roman" w:cs="Times New Roman"/>
                <w:noProof/>
                <w:sz w:val="24"/>
                <w:lang w:val="en-GB"/>
              </w:rPr>
              <w:t xml:space="preserve"> item shall be expressed as a percentage.</w:t>
            </w:r>
          </w:p>
          <w:p w14:paraId="62C27C3B" w14:textId="5A5889F9" w:rsidR="00E77292" w:rsidRPr="00E50FA4" w:rsidRDefault="00E77292"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new assets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001F62A4" w:rsidRPr="00E50FA4">
              <w:rPr>
                <w:rFonts w:ascii="Times New Roman" w:eastAsia="Times New Roman" w:hAnsi="Times New Roman" w:cs="Times New Roman"/>
                <w:noProof/>
                <w:sz w:val="24"/>
                <w:lang w:val="en-GB"/>
              </w:rPr>
              <w:t>i</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664881"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5A24D386" w14:textId="64BC6E56" w:rsidR="00E77292" w:rsidRPr="00E50FA4" w:rsidRDefault="00E77292" w:rsidP="00D35AD5">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F62731" w:rsidRPr="00E50FA4">
              <w:rPr>
                <w:rFonts w:ascii="Times New Roman" w:eastAsia="Times New Roman" w:hAnsi="Times New Roman" w:cs="Times New Roman"/>
                <w:noProof/>
                <w:sz w:val="24"/>
                <w:lang w:val="en-GB"/>
              </w:rPr>
              <w:t xml:space="preserve">new </w:t>
            </w:r>
            <w:r w:rsidR="001F62A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w:t>
            </w:r>
            <w:r w:rsidR="00F62731" w:rsidRPr="00E50FA4">
              <w:rPr>
                <w:rFonts w:ascii="Times New Roman" w:eastAsia="Times New Roman" w:hAnsi="Times New Roman" w:cs="Times New Roman"/>
                <w:noProof/>
                <w:sz w:val="24"/>
                <w:lang w:val="en-GB"/>
              </w:rPr>
              <w:t>from those assets</w:t>
            </w:r>
            <w:r w:rsidR="003E1996" w:rsidRPr="00E50FA4">
              <w:rPr>
                <w:rFonts w:ascii="Times New Roman" w:eastAsia="Times New Roman" w:hAnsi="Times New Roman" w:cs="Times New Roman"/>
                <w:noProof/>
                <w:sz w:val="24"/>
                <w:lang w:val="en-GB"/>
              </w:rPr>
              <w:t>,</w:t>
            </w:r>
            <w:r w:rsidR="00F62731"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001F62A4" w:rsidRPr="00E50FA4">
              <w:rPr>
                <w:rFonts w:ascii="Times New Roman" w:eastAsia="Times New Roman" w:hAnsi="Times New Roman" w:cs="Times New Roman"/>
                <w:noProof/>
                <w:sz w:val="24"/>
                <w:lang w:val="en-GB"/>
              </w:rPr>
              <w:t>a</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77330E" w:rsidRPr="00E50FA4" w14:paraId="48F2890D" w14:textId="77777777" w:rsidTr="00BA313D">
        <w:tc>
          <w:tcPr>
            <w:tcW w:w="1188" w:type="dxa"/>
            <w:tcBorders>
              <w:top w:val="single" w:sz="4" w:space="0" w:color="auto"/>
              <w:left w:val="single" w:sz="4" w:space="0" w:color="auto"/>
              <w:bottom w:val="single" w:sz="4" w:space="0" w:color="auto"/>
              <w:right w:val="single" w:sz="4" w:space="0" w:color="auto"/>
            </w:tcBorders>
          </w:tcPr>
          <w:p w14:paraId="4154B05D" w14:textId="77777777" w:rsidR="0077330E"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y</w:t>
            </w:r>
          </w:p>
        </w:tc>
        <w:tc>
          <w:tcPr>
            <w:tcW w:w="7879" w:type="dxa"/>
            <w:tcBorders>
              <w:top w:val="single" w:sz="4" w:space="0" w:color="auto"/>
              <w:left w:val="single" w:sz="4" w:space="0" w:color="auto"/>
              <w:bottom w:val="single" w:sz="4" w:space="0" w:color="auto"/>
              <w:right w:val="single" w:sz="4" w:space="0" w:color="auto"/>
            </w:tcBorders>
          </w:tcPr>
          <w:p w14:paraId="68FEAA30" w14:textId="77777777" w:rsidR="0077330E" w:rsidRPr="00E50FA4" w:rsidRDefault="0077330E"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w:t>
            </w:r>
            <w:r w:rsidR="00BA002B" w:rsidRPr="00E50FA4">
              <w:rPr>
                <w:rFonts w:ascii="Times New Roman" w:eastAsia="Times New Roman" w:hAnsi="Times New Roman" w:cs="Times New Roman"/>
                <w:b/>
                <w:noProof/>
                <w:sz w:val="24"/>
                <w:u w:val="single"/>
                <w:lang w:val="en-GB"/>
              </w:rPr>
              <w:t>adaptation</w:t>
            </w:r>
          </w:p>
          <w:p w14:paraId="0CD3DB71" w14:textId="77777777" w:rsidR="0071196B" w:rsidRPr="00E50FA4" w:rsidRDefault="0077330E"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Article 11 of </w:t>
            </w:r>
            <w:r w:rsidRPr="00E50FA4">
              <w:rPr>
                <w:rFonts w:ascii="Times New Roman" w:hAnsi="Times New Roman"/>
                <w:noProof/>
                <w:sz w:val="24"/>
                <w:lang w:val="en-GB"/>
              </w:rPr>
              <w:t>Regulation (EU) 2020/852.</w:t>
            </w:r>
          </w:p>
          <w:p w14:paraId="36963606" w14:textId="0C919EF3" w:rsidR="0071196B" w:rsidRPr="00E50FA4" w:rsidRDefault="005A4494"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71196B" w:rsidRPr="00E50FA4">
              <w:rPr>
                <w:rFonts w:ascii="Times New Roman" w:eastAsia="Times New Roman" w:hAnsi="Times New Roman" w:cs="Times New Roman"/>
                <w:noProof/>
                <w:sz w:val="24"/>
                <w:lang w:val="en-GB"/>
              </w:rPr>
              <w:t>he proportion of the new assets (i.e. assets originated within the current disclosure period) related to transitional activities for the objective of climate change adaptation in total new eligible assets (i.e. assets originated within the current disclosure period) funding environmentally sustainable activities. New eligible assets shall be calculated net of repayments and other reductions.</w:t>
            </w:r>
          </w:p>
          <w:p w14:paraId="3BA351F5" w14:textId="0B4F9200" w:rsidR="0071196B" w:rsidRPr="00E50FA4" w:rsidRDefault="0071196B"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w:t>
            </w:r>
            <w:r w:rsidR="00BA4944" w:rsidRPr="00E50FA4">
              <w:rPr>
                <w:rFonts w:ascii="Times New Roman" w:eastAsia="Times New Roman" w:hAnsi="Times New Roman" w:cs="Times New Roman"/>
                <w:noProof/>
                <w:sz w:val="24"/>
                <w:lang w:val="en-GB"/>
              </w:rPr>
              <w:t>is</w:t>
            </w:r>
            <w:r w:rsidRPr="00E50FA4">
              <w:rPr>
                <w:rFonts w:ascii="Times New Roman" w:eastAsia="Times New Roman" w:hAnsi="Times New Roman" w:cs="Times New Roman"/>
                <w:noProof/>
                <w:sz w:val="24"/>
                <w:lang w:val="en-GB"/>
              </w:rPr>
              <w:t xml:space="preserve"> item shall be expressed </w:t>
            </w:r>
            <w:r w:rsidR="004D6FC8" w:rsidRPr="00E50FA4">
              <w:rPr>
                <w:rFonts w:ascii="Times New Roman" w:eastAsia="Times New Roman" w:hAnsi="Times New Roman" w:cs="Times New Roman"/>
                <w:noProof/>
                <w:sz w:val="24"/>
                <w:lang w:val="en-GB"/>
              </w:rPr>
              <w:t xml:space="preserve">in </w:t>
            </w:r>
            <w:r w:rsidRPr="00E50FA4">
              <w:rPr>
                <w:rFonts w:ascii="Times New Roman" w:eastAsia="Times New Roman" w:hAnsi="Times New Roman" w:cs="Times New Roman"/>
                <w:noProof/>
                <w:sz w:val="24"/>
                <w:lang w:val="en-GB"/>
              </w:rPr>
              <w:t>percentage</w:t>
            </w:r>
            <w:r w:rsidR="004D6FC8" w:rsidRPr="00E50FA4">
              <w:rPr>
                <w:rFonts w:ascii="Times New Roman" w:eastAsia="Times New Roman" w:hAnsi="Times New Roman" w:cs="Times New Roman"/>
                <w:noProof/>
                <w:sz w:val="24"/>
                <w:lang w:val="en-GB"/>
              </w:rPr>
              <w:t xml:space="preserve"> terms</w:t>
            </w:r>
            <w:r w:rsidRPr="00E50FA4">
              <w:rPr>
                <w:rFonts w:ascii="Times New Roman" w:eastAsia="Times New Roman" w:hAnsi="Times New Roman" w:cs="Times New Roman"/>
                <w:noProof/>
                <w:sz w:val="24"/>
                <w:lang w:val="en-GB"/>
              </w:rPr>
              <w:t>.</w:t>
            </w:r>
          </w:p>
          <w:p w14:paraId="038BEC50" w14:textId="6018DCEA" w:rsidR="0071196B" w:rsidRPr="00E50FA4" w:rsidRDefault="0071196B"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new assets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j</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664881"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29F57768" w14:textId="09E8F884" w:rsidR="0071196B" w:rsidRPr="00E50FA4" w:rsidRDefault="0071196B" w:rsidP="000F056B">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F62731" w:rsidRPr="00E50FA4">
              <w:rPr>
                <w:rFonts w:ascii="Times New Roman" w:eastAsia="Times New Roman" w:hAnsi="Times New Roman" w:cs="Times New Roman"/>
                <w:noProof/>
                <w:sz w:val="24"/>
                <w:lang w:val="en-GB"/>
              </w:rPr>
              <w:t xml:space="preserve">new </w:t>
            </w:r>
            <w:r w:rsidR="001F62A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w:t>
            </w:r>
            <w:r w:rsidR="00F62731" w:rsidRPr="00E50FA4">
              <w:rPr>
                <w:rFonts w:ascii="Times New Roman" w:eastAsia="Times New Roman" w:hAnsi="Times New Roman" w:cs="Times New Roman"/>
                <w:noProof/>
                <w:sz w:val="24"/>
                <w:lang w:val="en-GB"/>
              </w:rPr>
              <w:t>from those assets</w:t>
            </w:r>
            <w:r w:rsidR="003E1996" w:rsidRPr="00E50FA4">
              <w:rPr>
                <w:rFonts w:ascii="Times New Roman" w:eastAsia="Times New Roman" w:hAnsi="Times New Roman" w:cs="Times New Roman"/>
                <w:noProof/>
                <w:sz w:val="24"/>
                <w:lang w:val="en-GB"/>
              </w:rPr>
              <w:t>,</w:t>
            </w:r>
            <w:r w:rsidR="00F62731" w:rsidRPr="00E50FA4">
              <w:rPr>
                <w:rFonts w:ascii="Times New Roman" w:eastAsia="Times New Roman" w:hAnsi="Times New Roman" w:cs="Times New Roman"/>
                <w:noProof/>
                <w:sz w:val="24"/>
                <w:lang w:val="en-GB"/>
              </w:rPr>
              <w:t xml:space="preserve"> </w:t>
            </w:r>
            <w:r w:rsidRPr="00E50FA4">
              <w:rPr>
                <w:rFonts w:ascii="Times New Roman" w:eastAsia="Times New Roman" w:hAnsi="Times New Roman" w:cs="Times New Roman"/>
                <w:noProof/>
                <w:sz w:val="24"/>
                <w:lang w:val="en-GB"/>
              </w:rPr>
              <w:t xml:space="preserve">as </w:t>
            </w:r>
            <w:r w:rsidR="000F056B"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77330E" w:rsidRPr="00E50FA4" w14:paraId="7E5314FD" w14:textId="77777777" w:rsidTr="00BA313D">
        <w:tc>
          <w:tcPr>
            <w:tcW w:w="1188" w:type="dxa"/>
            <w:tcBorders>
              <w:top w:val="single" w:sz="4" w:space="0" w:color="auto"/>
              <w:left w:val="single" w:sz="4" w:space="0" w:color="auto"/>
              <w:bottom w:val="single" w:sz="4" w:space="0" w:color="auto"/>
              <w:right w:val="single" w:sz="4" w:space="0" w:color="auto"/>
            </w:tcBorders>
          </w:tcPr>
          <w:p w14:paraId="1B80A160" w14:textId="77777777" w:rsidR="0077330E"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z</w:t>
            </w:r>
          </w:p>
        </w:tc>
        <w:tc>
          <w:tcPr>
            <w:tcW w:w="7879" w:type="dxa"/>
            <w:tcBorders>
              <w:top w:val="single" w:sz="4" w:space="0" w:color="auto"/>
              <w:left w:val="single" w:sz="4" w:space="0" w:color="auto"/>
              <w:bottom w:val="single" w:sz="4" w:space="0" w:color="auto"/>
              <w:right w:val="single" w:sz="4" w:space="0" w:color="auto"/>
            </w:tcBorders>
          </w:tcPr>
          <w:p w14:paraId="30BB97B3" w14:textId="77777777" w:rsidR="0077330E" w:rsidRPr="00E50FA4" w:rsidRDefault="0077330E"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enabling</w:t>
            </w:r>
          </w:p>
          <w:p w14:paraId="27B76DDE" w14:textId="77777777" w:rsidR="0071196B" w:rsidRPr="00E50FA4" w:rsidRDefault="0071196B"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Article 16 of </w:t>
            </w:r>
            <w:r w:rsidRPr="00E50FA4">
              <w:rPr>
                <w:rFonts w:ascii="Times New Roman" w:hAnsi="Times New Roman"/>
                <w:noProof/>
                <w:sz w:val="24"/>
                <w:lang w:val="en-GB"/>
              </w:rPr>
              <w:t>Regulation (EU) 2020/852.</w:t>
            </w:r>
          </w:p>
          <w:p w14:paraId="42FEAE32" w14:textId="19033F8E" w:rsidR="0071196B" w:rsidRPr="00E50FA4" w:rsidRDefault="005A4494"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71196B" w:rsidRPr="00E50FA4">
              <w:rPr>
                <w:rFonts w:ascii="Times New Roman" w:eastAsia="Times New Roman" w:hAnsi="Times New Roman" w:cs="Times New Roman"/>
                <w:noProof/>
                <w:sz w:val="24"/>
                <w:lang w:val="en-GB"/>
              </w:rPr>
              <w:t>he proportion of the new assets (i.e. assets originated within the current disclosure period) related to enabling activities for the objective of climate change adaptation in total new eligible assets (i.e. assets originated within the current disclosure period) funding environmentally sustainable activities. New eligible assets shall be calculated net of repayments and other reductions.</w:t>
            </w:r>
          </w:p>
          <w:p w14:paraId="3F6D981E" w14:textId="0E791DCE" w:rsidR="0071196B" w:rsidRPr="00E50FA4" w:rsidRDefault="0071196B"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w:t>
            </w:r>
            <w:r w:rsidR="00BA4944" w:rsidRPr="00E50FA4">
              <w:rPr>
                <w:rFonts w:ascii="Times New Roman" w:eastAsia="Times New Roman" w:hAnsi="Times New Roman" w:cs="Times New Roman"/>
                <w:noProof/>
                <w:sz w:val="24"/>
                <w:lang w:val="en-GB"/>
              </w:rPr>
              <w:t>is</w:t>
            </w:r>
            <w:r w:rsidRPr="00E50FA4">
              <w:rPr>
                <w:rFonts w:ascii="Times New Roman" w:eastAsia="Times New Roman" w:hAnsi="Times New Roman" w:cs="Times New Roman"/>
                <w:noProof/>
                <w:sz w:val="24"/>
                <w:lang w:val="en-GB"/>
              </w:rPr>
              <w:t xml:space="preserve"> item shall be expressed </w:t>
            </w:r>
            <w:r w:rsidR="004D6FC8" w:rsidRPr="00E50FA4">
              <w:rPr>
                <w:rFonts w:ascii="Times New Roman" w:eastAsia="Times New Roman" w:hAnsi="Times New Roman" w:cs="Times New Roman"/>
                <w:noProof/>
                <w:sz w:val="24"/>
                <w:lang w:val="en-GB"/>
              </w:rPr>
              <w:t xml:space="preserve">in </w:t>
            </w:r>
            <w:r w:rsidRPr="00E50FA4">
              <w:rPr>
                <w:rFonts w:ascii="Times New Roman" w:eastAsia="Times New Roman" w:hAnsi="Times New Roman" w:cs="Times New Roman"/>
                <w:noProof/>
                <w:sz w:val="24"/>
                <w:lang w:val="en-GB"/>
              </w:rPr>
              <w:t>percentage</w:t>
            </w:r>
            <w:r w:rsidR="004D6FC8" w:rsidRPr="00E50FA4">
              <w:rPr>
                <w:rFonts w:ascii="Times New Roman" w:eastAsia="Times New Roman" w:hAnsi="Times New Roman" w:cs="Times New Roman"/>
                <w:noProof/>
                <w:sz w:val="24"/>
                <w:lang w:val="en-GB"/>
              </w:rPr>
              <w:t xml:space="preserve"> terms</w:t>
            </w:r>
            <w:r w:rsidRPr="00E50FA4">
              <w:rPr>
                <w:rFonts w:ascii="Times New Roman" w:eastAsia="Times New Roman" w:hAnsi="Times New Roman" w:cs="Times New Roman"/>
                <w:noProof/>
                <w:sz w:val="24"/>
                <w:lang w:val="en-GB"/>
              </w:rPr>
              <w:t>.</w:t>
            </w:r>
          </w:p>
          <w:p w14:paraId="6A719C93" w14:textId="5A33D397" w:rsidR="0071196B" w:rsidRPr="00E50FA4" w:rsidRDefault="0071196B"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new assets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k</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664881"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23909FE7" w14:textId="3E7051E5" w:rsidR="0077330E" w:rsidRPr="00E50FA4" w:rsidRDefault="0071196B" w:rsidP="00D35AD5">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3E1996" w:rsidRPr="00E50FA4">
              <w:rPr>
                <w:rFonts w:ascii="Times New Roman" w:eastAsia="Times New Roman" w:hAnsi="Times New Roman" w:cs="Times New Roman"/>
                <w:noProof/>
                <w:sz w:val="24"/>
                <w:lang w:val="en-GB"/>
              </w:rPr>
              <w:t xml:space="preserve">new </w:t>
            </w:r>
            <w:r w:rsidR="001F62A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w:t>
            </w:r>
            <w:r w:rsidR="003E1996" w:rsidRPr="00E50FA4">
              <w:rPr>
                <w:rFonts w:ascii="Times New Roman" w:eastAsia="Times New Roman" w:hAnsi="Times New Roman" w:cs="Times New Roman"/>
                <w:noProof/>
                <w:sz w:val="24"/>
                <w:lang w:val="en-GB"/>
              </w:rPr>
              <w:t xml:space="preserve"> from those assets,</w:t>
            </w:r>
            <w:r w:rsidRPr="00E50FA4">
              <w:rPr>
                <w:rFonts w:ascii="Times New Roman" w:eastAsia="Times New Roman" w:hAnsi="Times New Roman" w:cs="Times New Roman"/>
                <w:noProof/>
                <w:sz w:val="24"/>
                <w:lang w:val="en-GB"/>
              </w:rPr>
              <w:t xml:space="preserve">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2974520A" w14:textId="77777777" w:rsidTr="00BA313D">
        <w:tc>
          <w:tcPr>
            <w:tcW w:w="1188" w:type="dxa"/>
            <w:tcBorders>
              <w:top w:val="single" w:sz="4" w:space="0" w:color="auto"/>
              <w:left w:val="single" w:sz="4" w:space="0" w:color="auto"/>
              <w:bottom w:val="single" w:sz="4" w:space="0" w:color="auto"/>
              <w:right w:val="single" w:sz="4" w:space="0" w:color="auto"/>
            </w:tcBorders>
          </w:tcPr>
          <w:p w14:paraId="54593754" w14:textId="77777777" w:rsidR="00E77292"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aa</w:t>
            </w:r>
          </w:p>
        </w:tc>
        <w:tc>
          <w:tcPr>
            <w:tcW w:w="7879" w:type="dxa"/>
            <w:tcBorders>
              <w:top w:val="single" w:sz="4" w:space="0" w:color="auto"/>
              <w:left w:val="single" w:sz="4" w:space="0" w:color="auto"/>
              <w:bottom w:val="single" w:sz="4" w:space="0" w:color="auto"/>
              <w:right w:val="single" w:sz="4" w:space="0" w:color="auto"/>
            </w:tcBorders>
          </w:tcPr>
          <w:p w14:paraId="7DAC7072"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Proportion of assets funding taxonomy relevant sectors</w:t>
            </w:r>
          </w:p>
          <w:p w14:paraId="5B62CAEF" w14:textId="50F6D2D5"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 xml:space="preserve">he proportion of new assets (i.e. assets originated within the current disclosure period) funding activities covered by </w:t>
            </w:r>
            <w:r w:rsidR="002F5976" w:rsidRPr="00E50FA4">
              <w:rPr>
                <w:rFonts w:ascii="Times New Roman" w:eastAsia="Times New Roman" w:hAnsi="Times New Roman" w:cs="Times New Roman"/>
                <w:noProof/>
                <w:sz w:val="24"/>
                <w:lang w:val="en-GB"/>
              </w:rPr>
              <w:t xml:space="preserve">the objectives </w:t>
            </w:r>
            <w:r w:rsidR="00D35AD5" w:rsidRPr="00E50FA4">
              <w:rPr>
                <w:rFonts w:ascii="Times New Roman" w:eastAsia="Times New Roman" w:hAnsi="Times New Roman" w:cs="Times New Roman"/>
                <w:noProof/>
                <w:sz w:val="24"/>
                <w:lang w:val="en-GB"/>
              </w:rPr>
              <w:t xml:space="preserve">laid down in Regulation (EU) 2020/852 </w:t>
            </w:r>
            <w:r w:rsidR="002F5976" w:rsidRPr="00E50FA4">
              <w:rPr>
                <w:rFonts w:ascii="Times New Roman" w:eastAsia="Times New Roman" w:hAnsi="Times New Roman" w:cs="Times New Roman"/>
                <w:noProof/>
                <w:sz w:val="24"/>
                <w:lang w:val="en-GB"/>
              </w:rPr>
              <w:t>of</w:t>
            </w:r>
            <w:r w:rsidR="00D35AD5" w:rsidRPr="00E50FA4">
              <w:rPr>
                <w:rFonts w:ascii="Times New Roman" w:eastAsia="Times New Roman" w:hAnsi="Times New Roman" w:cs="Times New Roman"/>
                <w:noProof/>
                <w:sz w:val="24"/>
                <w:lang w:val="en-GB"/>
              </w:rPr>
              <w:t xml:space="preserve"> </w:t>
            </w:r>
            <w:r w:rsidR="002F5976" w:rsidRPr="00E50FA4">
              <w:rPr>
                <w:rFonts w:ascii="Times New Roman" w:eastAsia="Times New Roman" w:hAnsi="Times New Roman" w:cs="Times New Roman"/>
                <w:noProof/>
                <w:sz w:val="24"/>
                <w:lang w:val="en-GB"/>
              </w:rPr>
              <w:t xml:space="preserve">climate change mitigation and </w:t>
            </w:r>
            <w:r w:rsidR="00C0083B" w:rsidRPr="00E50FA4">
              <w:rPr>
                <w:rFonts w:ascii="Times New Roman" w:eastAsia="Times New Roman" w:hAnsi="Times New Roman" w:cs="Times New Roman"/>
                <w:noProof/>
                <w:sz w:val="24"/>
                <w:lang w:val="en-GB"/>
              </w:rPr>
              <w:t xml:space="preserve">climate change </w:t>
            </w:r>
            <w:r w:rsidR="002F5976" w:rsidRPr="00E50FA4">
              <w:rPr>
                <w:rFonts w:ascii="Times New Roman" w:eastAsia="Times New Roman" w:hAnsi="Times New Roman" w:cs="Times New Roman"/>
                <w:noProof/>
                <w:sz w:val="24"/>
                <w:lang w:val="en-GB"/>
              </w:rPr>
              <w:t xml:space="preserve">adaptation </w:t>
            </w:r>
            <w:r w:rsidR="00E77292" w:rsidRPr="00E50FA4">
              <w:rPr>
                <w:rFonts w:ascii="Times New Roman" w:eastAsia="Times New Roman" w:hAnsi="Times New Roman" w:cs="Times New Roman"/>
                <w:noProof/>
                <w:sz w:val="24"/>
                <w:lang w:val="en-GB"/>
              </w:rPr>
              <w:t>in total new eligible assets (i.e. eligible assets originated within the current disclosure period). New assets shall be calculated net of repayments and other reductions.</w:t>
            </w:r>
          </w:p>
          <w:p w14:paraId="78102709" w14:textId="1C1A7E99"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w:t>
            </w:r>
            <w:r w:rsidR="00BA4944" w:rsidRPr="00E50FA4">
              <w:rPr>
                <w:rFonts w:ascii="Times New Roman" w:eastAsia="Times New Roman" w:hAnsi="Times New Roman" w:cs="Times New Roman"/>
                <w:noProof/>
                <w:sz w:val="24"/>
                <w:lang w:val="en-GB"/>
              </w:rPr>
              <w:t>is</w:t>
            </w:r>
            <w:r w:rsidRPr="00E50FA4">
              <w:rPr>
                <w:rFonts w:ascii="Times New Roman" w:eastAsia="Times New Roman" w:hAnsi="Times New Roman" w:cs="Times New Roman"/>
                <w:noProof/>
                <w:sz w:val="24"/>
                <w:lang w:val="en-GB"/>
              </w:rPr>
              <w:t xml:space="preserve"> item shall be expressed </w:t>
            </w:r>
            <w:r w:rsidR="004D6FC8" w:rsidRPr="00E50FA4">
              <w:rPr>
                <w:rFonts w:ascii="Times New Roman" w:eastAsia="Times New Roman" w:hAnsi="Times New Roman" w:cs="Times New Roman"/>
                <w:noProof/>
                <w:sz w:val="24"/>
                <w:lang w:val="en-GB"/>
              </w:rPr>
              <w:t xml:space="preserve">in </w:t>
            </w:r>
            <w:r w:rsidRPr="00E50FA4">
              <w:rPr>
                <w:rFonts w:ascii="Times New Roman" w:eastAsia="Times New Roman" w:hAnsi="Times New Roman" w:cs="Times New Roman"/>
                <w:noProof/>
                <w:sz w:val="24"/>
                <w:lang w:val="en-GB"/>
              </w:rPr>
              <w:t>percentage</w:t>
            </w:r>
            <w:r w:rsidR="004D6FC8" w:rsidRPr="00E50FA4">
              <w:rPr>
                <w:rFonts w:ascii="Times New Roman" w:eastAsia="Times New Roman" w:hAnsi="Times New Roman" w:cs="Times New Roman"/>
                <w:noProof/>
                <w:sz w:val="24"/>
                <w:lang w:val="en-GB"/>
              </w:rPr>
              <w:t xml:space="preserve"> terms</w:t>
            </w:r>
            <w:r w:rsidRPr="00E50FA4">
              <w:rPr>
                <w:rFonts w:ascii="Times New Roman" w:eastAsia="Times New Roman" w:hAnsi="Times New Roman" w:cs="Times New Roman"/>
                <w:noProof/>
                <w:sz w:val="24"/>
                <w:lang w:val="en-GB"/>
              </w:rPr>
              <w:t>.</w:t>
            </w:r>
          </w:p>
          <w:p w14:paraId="1EB679E9" w14:textId="7A73E528" w:rsidR="00E77292" w:rsidRPr="00E50FA4" w:rsidRDefault="00E77292"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new assets funding taxonomy relevant sectors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00A03C37" w:rsidRPr="00E50FA4">
              <w:rPr>
                <w:rFonts w:ascii="Times New Roman" w:eastAsia="Times New Roman" w:hAnsi="Times New Roman" w:cs="Times New Roman"/>
                <w:noProof/>
                <w:sz w:val="24"/>
                <w:lang w:val="en-GB"/>
              </w:rPr>
              <w:t>l</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596F9A03" w14:textId="71F268D8" w:rsidR="00E77292" w:rsidRPr="00E50FA4" w:rsidRDefault="00E77292" w:rsidP="00D35AD5">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3E1996" w:rsidRPr="00E50FA4">
              <w:rPr>
                <w:rFonts w:ascii="Times New Roman" w:eastAsia="Times New Roman" w:hAnsi="Times New Roman" w:cs="Times New Roman"/>
                <w:noProof/>
                <w:sz w:val="24"/>
                <w:lang w:val="en-GB"/>
              </w:rPr>
              <w:t xml:space="preserve">new </w:t>
            </w:r>
            <w:r w:rsidR="001F62A4"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w:t>
            </w:r>
            <w:r w:rsidR="003E1996" w:rsidRPr="00E50FA4">
              <w:rPr>
                <w:rFonts w:ascii="Times New Roman" w:eastAsia="Times New Roman" w:hAnsi="Times New Roman" w:cs="Times New Roman"/>
                <w:noProof/>
                <w:sz w:val="24"/>
                <w:lang w:val="en-GB"/>
              </w:rPr>
              <w:t xml:space="preserve"> from those assets,</w:t>
            </w:r>
            <w:r w:rsidRPr="00E50FA4">
              <w:rPr>
                <w:rFonts w:ascii="Times New Roman" w:eastAsia="Times New Roman" w:hAnsi="Times New Roman" w:cs="Times New Roman"/>
                <w:noProof/>
                <w:sz w:val="24"/>
                <w:lang w:val="en-GB"/>
              </w:rPr>
              <w:t xml:space="preserve">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7984E843" w14:textId="77777777" w:rsidTr="00BA313D">
        <w:tc>
          <w:tcPr>
            <w:tcW w:w="1188" w:type="dxa"/>
            <w:tcBorders>
              <w:top w:val="single" w:sz="4" w:space="0" w:color="auto"/>
              <w:left w:val="single" w:sz="4" w:space="0" w:color="auto"/>
              <w:bottom w:val="single" w:sz="4" w:space="0" w:color="auto"/>
              <w:right w:val="single" w:sz="4" w:space="0" w:color="auto"/>
            </w:tcBorders>
          </w:tcPr>
          <w:p w14:paraId="6E7C0127" w14:textId="77777777" w:rsidR="00E77292"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ab</w:t>
            </w:r>
          </w:p>
        </w:tc>
        <w:tc>
          <w:tcPr>
            <w:tcW w:w="7879" w:type="dxa"/>
            <w:tcBorders>
              <w:top w:val="single" w:sz="4" w:space="0" w:color="auto"/>
              <w:left w:val="single" w:sz="4" w:space="0" w:color="auto"/>
              <w:bottom w:val="single" w:sz="4" w:space="0" w:color="auto"/>
              <w:right w:val="single" w:sz="4" w:space="0" w:color="auto"/>
            </w:tcBorders>
          </w:tcPr>
          <w:p w14:paraId="264525DD"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environmentally sustainable </w:t>
            </w:r>
          </w:p>
          <w:p w14:paraId="45CA49F4" w14:textId="388F95D3"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 xml:space="preserve">he proportion of new assets (i.e. assets originated within the current disclosure period) funding environmentally sustainable activities </w:t>
            </w:r>
            <w:r w:rsidR="002F5976" w:rsidRPr="00E50FA4">
              <w:rPr>
                <w:rFonts w:ascii="Times New Roman" w:eastAsia="Times New Roman" w:hAnsi="Times New Roman" w:cs="Times New Roman"/>
                <w:noProof/>
                <w:sz w:val="24"/>
                <w:lang w:val="en-GB"/>
              </w:rPr>
              <w:t xml:space="preserve">for the objective of climate change mitigation and </w:t>
            </w:r>
            <w:r w:rsidR="00C0083B" w:rsidRPr="00E50FA4">
              <w:rPr>
                <w:rFonts w:ascii="Times New Roman" w:eastAsia="Times New Roman" w:hAnsi="Times New Roman" w:cs="Times New Roman"/>
                <w:noProof/>
                <w:sz w:val="24"/>
                <w:lang w:val="en-GB"/>
              </w:rPr>
              <w:t xml:space="preserve">climate change </w:t>
            </w:r>
            <w:r w:rsidR="002F5976" w:rsidRPr="00E50FA4">
              <w:rPr>
                <w:rFonts w:ascii="Times New Roman" w:eastAsia="Times New Roman" w:hAnsi="Times New Roman" w:cs="Times New Roman"/>
                <w:noProof/>
                <w:sz w:val="24"/>
                <w:lang w:val="en-GB"/>
              </w:rPr>
              <w:t xml:space="preserve">adaptation </w:t>
            </w:r>
            <w:r w:rsidR="00E77292" w:rsidRPr="00E50FA4">
              <w:rPr>
                <w:rFonts w:ascii="Times New Roman" w:eastAsia="Times New Roman" w:hAnsi="Times New Roman" w:cs="Times New Roman"/>
                <w:noProof/>
                <w:sz w:val="24"/>
                <w:lang w:val="en-GB"/>
              </w:rPr>
              <w:t>in total new eligible assets (i.e. eligible assets originated within the current disclosure period). New assets shall be calculated net of repayments and other reductions.</w:t>
            </w:r>
          </w:p>
          <w:p w14:paraId="7C83F818" w14:textId="271F5C1B" w:rsidR="00E77292" w:rsidRPr="00E50FA4" w:rsidRDefault="00B663F4"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This </w:t>
            </w:r>
            <w:r w:rsidR="00E77292" w:rsidRPr="00E50FA4">
              <w:rPr>
                <w:rFonts w:ascii="Times New Roman" w:eastAsia="Times New Roman" w:hAnsi="Times New Roman" w:cs="Times New Roman"/>
                <w:noProof/>
                <w:sz w:val="24"/>
                <w:lang w:val="en-GB"/>
              </w:rPr>
              <w:t xml:space="preserve">item shall be expressed </w:t>
            </w:r>
            <w:r w:rsidR="004D6FC8" w:rsidRPr="00E50FA4">
              <w:rPr>
                <w:rFonts w:ascii="Times New Roman" w:eastAsia="Times New Roman" w:hAnsi="Times New Roman" w:cs="Times New Roman"/>
                <w:noProof/>
                <w:sz w:val="24"/>
                <w:lang w:val="en-GB"/>
              </w:rPr>
              <w:t xml:space="preserve">in </w:t>
            </w:r>
            <w:r w:rsidR="00E77292" w:rsidRPr="00E50FA4">
              <w:rPr>
                <w:rFonts w:ascii="Times New Roman" w:eastAsia="Times New Roman" w:hAnsi="Times New Roman" w:cs="Times New Roman"/>
                <w:noProof/>
                <w:sz w:val="24"/>
                <w:lang w:val="en-GB"/>
              </w:rPr>
              <w:t>percentage</w:t>
            </w:r>
            <w:r w:rsidR="004D6FC8" w:rsidRPr="00E50FA4">
              <w:rPr>
                <w:rFonts w:ascii="Times New Roman" w:eastAsia="Times New Roman" w:hAnsi="Times New Roman" w:cs="Times New Roman"/>
                <w:noProof/>
                <w:sz w:val="24"/>
                <w:lang w:val="en-GB"/>
              </w:rPr>
              <w:t xml:space="preserve"> terms</w:t>
            </w:r>
            <w:r w:rsidR="00E77292" w:rsidRPr="00E50FA4">
              <w:rPr>
                <w:rFonts w:ascii="Times New Roman" w:eastAsia="Times New Roman" w:hAnsi="Times New Roman" w:cs="Times New Roman"/>
                <w:noProof/>
                <w:sz w:val="24"/>
                <w:lang w:val="en-GB"/>
              </w:rPr>
              <w:t>.</w:t>
            </w:r>
          </w:p>
          <w:p w14:paraId="6DD1A47B" w14:textId="54434468" w:rsidR="00E77292" w:rsidRPr="00E50FA4" w:rsidRDefault="00E77292"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new assets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00C0083B" w:rsidRPr="00E50FA4">
              <w:rPr>
                <w:rFonts w:ascii="Times New Roman" w:eastAsia="Times New Roman" w:hAnsi="Times New Roman" w:cs="Times New Roman"/>
                <w:noProof/>
                <w:sz w:val="24"/>
                <w:lang w:val="en-GB"/>
              </w:rPr>
              <w:t>m</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1E9FF4F4" w14:textId="459DAAA5" w:rsidR="00E77292" w:rsidRPr="00E50FA4" w:rsidRDefault="00E77292" w:rsidP="00D35AD5">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3E1996" w:rsidRPr="00E50FA4">
              <w:rPr>
                <w:rFonts w:ascii="Times New Roman" w:eastAsia="Times New Roman" w:hAnsi="Times New Roman" w:cs="Times New Roman"/>
                <w:noProof/>
                <w:sz w:val="24"/>
                <w:lang w:val="en-GB"/>
              </w:rPr>
              <w:t xml:space="preserve">new </w:t>
            </w:r>
            <w:r w:rsidR="00C0083B"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w:t>
            </w:r>
            <w:r w:rsidR="003E1996" w:rsidRPr="00E50FA4">
              <w:rPr>
                <w:rFonts w:ascii="Times New Roman" w:eastAsia="Times New Roman" w:hAnsi="Times New Roman" w:cs="Times New Roman"/>
                <w:noProof/>
                <w:sz w:val="24"/>
                <w:lang w:val="en-GB"/>
              </w:rPr>
              <w:t xml:space="preserve"> from those assets,</w:t>
            </w:r>
            <w:r w:rsidRPr="00E50FA4">
              <w:rPr>
                <w:rFonts w:ascii="Times New Roman" w:eastAsia="Times New Roman" w:hAnsi="Times New Roman" w:cs="Times New Roman"/>
                <w:noProof/>
                <w:sz w:val="24"/>
                <w:lang w:val="en-GB"/>
              </w:rPr>
              <w:t xml:space="preserve">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a</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E77292" w:rsidRPr="00E50FA4" w14:paraId="5284FB49" w14:textId="77777777" w:rsidTr="00BA313D">
        <w:tc>
          <w:tcPr>
            <w:tcW w:w="1188" w:type="dxa"/>
            <w:tcBorders>
              <w:top w:val="single" w:sz="4" w:space="0" w:color="auto"/>
              <w:left w:val="single" w:sz="4" w:space="0" w:color="auto"/>
              <w:bottom w:val="single" w:sz="4" w:space="0" w:color="auto"/>
              <w:right w:val="single" w:sz="4" w:space="0" w:color="auto"/>
            </w:tcBorders>
          </w:tcPr>
          <w:p w14:paraId="7ACF584F" w14:textId="77777777" w:rsidR="00E77292"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ac</w:t>
            </w:r>
          </w:p>
        </w:tc>
        <w:tc>
          <w:tcPr>
            <w:tcW w:w="7879" w:type="dxa"/>
            <w:tcBorders>
              <w:top w:val="single" w:sz="4" w:space="0" w:color="auto"/>
              <w:left w:val="single" w:sz="4" w:space="0" w:color="auto"/>
              <w:bottom w:val="single" w:sz="4" w:space="0" w:color="auto"/>
              <w:right w:val="single" w:sz="4" w:space="0" w:color="auto"/>
            </w:tcBorders>
          </w:tcPr>
          <w:p w14:paraId="7F7BC635"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specialised lending</w:t>
            </w:r>
          </w:p>
          <w:p w14:paraId="4A6FD4AB" w14:textId="735C8F64"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he proportion of new assets (i.e. assets originated within the current disclosure period) categorised as specialised lending funding environmentally sustainable activities</w:t>
            </w:r>
            <w:r w:rsidR="002F5976" w:rsidRPr="00E50FA4">
              <w:rPr>
                <w:rFonts w:ascii="Times New Roman" w:eastAsia="Times New Roman" w:hAnsi="Times New Roman" w:cs="Times New Roman"/>
                <w:noProof/>
                <w:sz w:val="24"/>
                <w:lang w:val="en-GB"/>
              </w:rPr>
              <w:t xml:space="preserve"> for the objectives of climate change mitigation</w:t>
            </w:r>
            <w:r w:rsidR="00E77292" w:rsidRPr="00E50FA4">
              <w:rPr>
                <w:rFonts w:ascii="Times New Roman" w:eastAsia="Times New Roman" w:hAnsi="Times New Roman" w:cs="Times New Roman"/>
                <w:noProof/>
                <w:sz w:val="24"/>
                <w:lang w:val="en-GB"/>
              </w:rPr>
              <w:t xml:space="preserve"> </w:t>
            </w:r>
            <w:r w:rsidR="002F5976" w:rsidRPr="00E50FA4">
              <w:rPr>
                <w:rFonts w:ascii="Times New Roman" w:eastAsia="Times New Roman" w:hAnsi="Times New Roman" w:cs="Times New Roman"/>
                <w:noProof/>
                <w:sz w:val="24"/>
                <w:lang w:val="en-GB"/>
              </w:rPr>
              <w:t xml:space="preserve">and </w:t>
            </w:r>
            <w:r w:rsidR="00C0083B" w:rsidRPr="00E50FA4">
              <w:rPr>
                <w:rFonts w:ascii="Times New Roman" w:eastAsia="Times New Roman" w:hAnsi="Times New Roman" w:cs="Times New Roman"/>
                <w:noProof/>
                <w:sz w:val="24"/>
                <w:lang w:val="en-GB"/>
              </w:rPr>
              <w:t xml:space="preserve">climate change </w:t>
            </w:r>
            <w:r w:rsidR="002F5976" w:rsidRPr="00E50FA4">
              <w:rPr>
                <w:rFonts w:ascii="Times New Roman" w:eastAsia="Times New Roman" w:hAnsi="Times New Roman" w:cs="Times New Roman"/>
                <w:noProof/>
                <w:sz w:val="24"/>
                <w:lang w:val="en-GB"/>
              </w:rPr>
              <w:t xml:space="preserve">adaptation </w:t>
            </w:r>
            <w:r w:rsidR="00E77292" w:rsidRPr="00E50FA4">
              <w:rPr>
                <w:rFonts w:ascii="Times New Roman" w:eastAsia="Times New Roman" w:hAnsi="Times New Roman" w:cs="Times New Roman"/>
                <w:noProof/>
                <w:sz w:val="24"/>
                <w:lang w:val="en-GB"/>
              </w:rPr>
              <w:t>in total new assets (i.e. assets originated within the current disclosure period) funding environmentally sustainable activities. New assets shall be calculated net of repayments and other reductions.</w:t>
            </w:r>
          </w:p>
          <w:p w14:paraId="3F3E6FE0" w14:textId="34B6D461" w:rsidR="00E77292" w:rsidRPr="00E50FA4" w:rsidRDefault="00B663F4"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This </w:t>
            </w:r>
            <w:r w:rsidR="00E77292" w:rsidRPr="00E50FA4">
              <w:rPr>
                <w:rFonts w:ascii="Times New Roman" w:eastAsia="Times New Roman" w:hAnsi="Times New Roman" w:cs="Times New Roman"/>
                <w:noProof/>
                <w:sz w:val="24"/>
                <w:lang w:val="en-GB"/>
              </w:rPr>
              <w:t xml:space="preserve">item shall be expressed </w:t>
            </w:r>
            <w:r w:rsidR="004D6FC8" w:rsidRPr="00E50FA4">
              <w:rPr>
                <w:rFonts w:ascii="Times New Roman" w:eastAsia="Times New Roman" w:hAnsi="Times New Roman" w:cs="Times New Roman"/>
                <w:noProof/>
                <w:sz w:val="24"/>
                <w:lang w:val="en-GB"/>
              </w:rPr>
              <w:t xml:space="preserve">in </w:t>
            </w:r>
            <w:r w:rsidR="00E77292" w:rsidRPr="00E50FA4">
              <w:rPr>
                <w:rFonts w:ascii="Times New Roman" w:eastAsia="Times New Roman" w:hAnsi="Times New Roman" w:cs="Times New Roman"/>
                <w:noProof/>
                <w:sz w:val="24"/>
                <w:lang w:val="en-GB"/>
              </w:rPr>
              <w:t>percentage</w:t>
            </w:r>
            <w:r w:rsidR="004D6FC8" w:rsidRPr="00E50FA4">
              <w:rPr>
                <w:rFonts w:ascii="Times New Roman" w:eastAsia="Times New Roman" w:hAnsi="Times New Roman" w:cs="Times New Roman"/>
                <w:noProof/>
                <w:sz w:val="24"/>
                <w:lang w:val="en-GB"/>
              </w:rPr>
              <w:t xml:space="preserve"> terms</w:t>
            </w:r>
            <w:r w:rsidR="00E77292" w:rsidRPr="00E50FA4">
              <w:rPr>
                <w:rFonts w:ascii="Times New Roman" w:eastAsia="Times New Roman" w:hAnsi="Times New Roman" w:cs="Times New Roman"/>
                <w:noProof/>
                <w:sz w:val="24"/>
                <w:lang w:val="en-GB"/>
              </w:rPr>
              <w:t>.</w:t>
            </w:r>
          </w:p>
          <w:p w14:paraId="5956B05A" w14:textId="5E12AD92" w:rsidR="00E77292" w:rsidRPr="00E50FA4" w:rsidRDefault="00E77292"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gross carrying amount of eligible new assets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00C0083B" w:rsidRPr="00E50FA4">
              <w:rPr>
                <w:rFonts w:ascii="Times New Roman" w:eastAsia="Times New Roman" w:hAnsi="Times New Roman" w:cs="Times New Roman"/>
                <w:noProof/>
                <w:sz w:val="24"/>
                <w:lang w:val="en-GB"/>
              </w:rPr>
              <w:t>n</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664881"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p w14:paraId="6DB84D93" w14:textId="59603E2D" w:rsidR="00E77292" w:rsidRPr="00E50FA4" w:rsidRDefault="00E77292" w:rsidP="00D35AD5">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denominator of the KPI shall be the gross carrying amount of </w:t>
            </w:r>
            <w:r w:rsidR="00160F32" w:rsidRPr="00E50FA4">
              <w:rPr>
                <w:rFonts w:ascii="Times New Roman" w:eastAsia="Times New Roman" w:hAnsi="Times New Roman" w:cs="Times New Roman"/>
                <w:noProof/>
                <w:sz w:val="24"/>
                <w:lang w:val="en-GB"/>
              </w:rPr>
              <w:t xml:space="preserve">new </w:t>
            </w:r>
            <w:r w:rsidR="00C0083B"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w:t>
            </w:r>
            <w:r w:rsidR="00160F32" w:rsidRPr="00E50FA4">
              <w:rPr>
                <w:rFonts w:ascii="Times New Roman" w:eastAsia="Times New Roman" w:hAnsi="Times New Roman" w:cs="Times New Roman"/>
                <w:noProof/>
                <w:sz w:val="24"/>
                <w:lang w:val="en-GB"/>
              </w:rPr>
              <w:t xml:space="preserve"> from those assets,</w:t>
            </w:r>
            <w:r w:rsidRPr="00E50FA4">
              <w:rPr>
                <w:rFonts w:ascii="Times New Roman" w:eastAsia="Times New Roman" w:hAnsi="Times New Roman" w:cs="Times New Roman"/>
                <w:noProof/>
                <w:sz w:val="24"/>
                <w:lang w:val="en-GB"/>
              </w:rPr>
              <w:t xml:space="preserve">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column </w:t>
            </w:r>
            <w:r w:rsidR="0090321E" w:rsidRPr="00E50FA4">
              <w:rPr>
                <w:rFonts w:ascii="Times New Roman" w:eastAsia="Times New Roman" w:hAnsi="Times New Roman" w:cs="Times New Roman"/>
                <w:noProof/>
                <w:sz w:val="24"/>
                <w:lang w:val="en-GB"/>
              </w:rPr>
              <w:t>(</w:t>
            </w:r>
            <w:r w:rsidR="00C0083B" w:rsidRPr="00E50FA4">
              <w:rPr>
                <w:rFonts w:ascii="Times New Roman" w:eastAsia="Times New Roman" w:hAnsi="Times New Roman" w:cs="Times New Roman"/>
                <w:noProof/>
                <w:sz w:val="24"/>
                <w:lang w:val="en-GB"/>
              </w:rPr>
              <w:t>a</w:t>
            </w:r>
            <w:r w:rsidR="0090321E" w:rsidRPr="00E50FA4">
              <w:rPr>
                <w:rFonts w:ascii="Times New Roman" w:eastAsia="Times New Roman" w:hAnsi="Times New Roman" w:cs="Times New Roman"/>
                <w:noProof/>
                <w:sz w:val="24"/>
                <w:lang w:val="en-GB"/>
              </w:rPr>
              <w:t>)</w:t>
            </w:r>
            <w:r w:rsidRPr="00E50FA4">
              <w:rPr>
                <w:rFonts w:ascii="Times New Roman" w:eastAsia="Times New Roman" w:hAnsi="Times New Roman" w:cs="Times New Roman"/>
                <w:noProof/>
                <w:sz w:val="24"/>
                <w:lang w:val="en-GB"/>
              </w:rPr>
              <w:t xml:space="preserve"> of Template </w:t>
            </w:r>
            <w:r w:rsidR="00C021CB" w:rsidRPr="00E50FA4">
              <w:rPr>
                <w:rFonts w:ascii="Times New Roman" w:eastAsia="Times New Roman" w:hAnsi="Times New Roman" w:cs="Times New Roman"/>
                <w:noProof/>
                <w:sz w:val="24"/>
                <w:lang w:val="en-GB"/>
              </w:rPr>
              <w:t>7</w:t>
            </w:r>
            <w:r w:rsidRPr="00E50FA4">
              <w:rPr>
                <w:rFonts w:ascii="Times New Roman" w:eastAsia="Times New Roman" w:hAnsi="Times New Roman" w:cs="Times New Roman"/>
                <w:noProof/>
                <w:sz w:val="24"/>
                <w:lang w:val="en-GB"/>
              </w:rPr>
              <w:t>.</w:t>
            </w:r>
          </w:p>
        </w:tc>
      </w:tr>
      <w:tr w:rsidR="0077330E" w:rsidRPr="00E50FA4" w14:paraId="1EECCA25" w14:textId="77777777" w:rsidTr="00BA313D">
        <w:tc>
          <w:tcPr>
            <w:tcW w:w="1188" w:type="dxa"/>
            <w:tcBorders>
              <w:top w:val="single" w:sz="4" w:space="0" w:color="auto"/>
              <w:left w:val="single" w:sz="4" w:space="0" w:color="auto"/>
              <w:bottom w:val="single" w:sz="4" w:space="0" w:color="auto"/>
              <w:right w:val="single" w:sz="4" w:space="0" w:color="auto"/>
            </w:tcBorders>
          </w:tcPr>
          <w:p w14:paraId="52A8F529" w14:textId="77777777" w:rsidR="0077330E"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ad</w:t>
            </w:r>
          </w:p>
        </w:tc>
        <w:tc>
          <w:tcPr>
            <w:tcW w:w="7879" w:type="dxa"/>
            <w:tcBorders>
              <w:top w:val="single" w:sz="4" w:space="0" w:color="auto"/>
              <w:left w:val="single" w:sz="4" w:space="0" w:color="auto"/>
              <w:bottom w:val="single" w:sz="4" w:space="0" w:color="auto"/>
              <w:right w:val="single" w:sz="4" w:space="0" w:color="auto"/>
            </w:tcBorders>
          </w:tcPr>
          <w:p w14:paraId="36D21756" w14:textId="77777777" w:rsidR="0077330E" w:rsidRPr="00E50FA4" w:rsidRDefault="0077330E"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transitional</w:t>
            </w:r>
            <w:r w:rsidR="00BA002B" w:rsidRPr="00E50FA4">
              <w:rPr>
                <w:rFonts w:ascii="Times New Roman" w:eastAsia="Times New Roman" w:hAnsi="Times New Roman" w:cs="Times New Roman"/>
                <w:b/>
                <w:noProof/>
                <w:sz w:val="24"/>
                <w:u w:val="single"/>
                <w:lang w:val="en-GB"/>
              </w:rPr>
              <w:t>/adaptation</w:t>
            </w:r>
          </w:p>
          <w:p w14:paraId="34D6183B" w14:textId="55301395" w:rsidR="0077330E" w:rsidRPr="00E50FA4" w:rsidRDefault="0077330E"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Article</w:t>
            </w:r>
            <w:r w:rsidR="0090321E" w:rsidRPr="00E50FA4">
              <w:rPr>
                <w:rFonts w:ascii="Times New Roman" w:eastAsia="Times New Roman" w:hAnsi="Times New Roman" w:cs="Times New Roman"/>
                <w:noProof/>
                <w:sz w:val="24"/>
                <w:lang w:val="en-GB"/>
              </w:rPr>
              <w:t>s</w:t>
            </w:r>
            <w:r w:rsidRPr="00E50FA4">
              <w:rPr>
                <w:rFonts w:ascii="Times New Roman" w:eastAsia="Times New Roman" w:hAnsi="Times New Roman" w:cs="Times New Roman"/>
                <w:noProof/>
                <w:sz w:val="24"/>
                <w:lang w:val="en-GB"/>
              </w:rPr>
              <w:t xml:space="preserve"> 10 and 11 of </w:t>
            </w:r>
            <w:r w:rsidRPr="00E50FA4">
              <w:rPr>
                <w:rFonts w:ascii="Times New Roman" w:hAnsi="Times New Roman"/>
                <w:noProof/>
                <w:sz w:val="24"/>
                <w:lang w:val="en-GB"/>
              </w:rPr>
              <w:t>Regulation (EU) 2020/852.</w:t>
            </w:r>
          </w:p>
          <w:p w14:paraId="146C6F0C" w14:textId="77777777" w:rsidR="00181FA3" w:rsidRPr="00E50FA4" w:rsidRDefault="00994B4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percentage shall correspond to </w:t>
            </w:r>
            <w:r w:rsidR="00181FA3" w:rsidRPr="00E50FA4">
              <w:rPr>
                <w:rFonts w:ascii="Times New Roman" w:eastAsia="Times New Roman" w:hAnsi="Times New Roman" w:cs="Times New Roman"/>
                <w:noProof/>
                <w:sz w:val="24"/>
                <w:lang w:val="en-GB"/>
              </w:rPr>
              <w:t>column (t) and column (y).</w:t>
            </w:r>
          </w:p>
        </w:tc>
      </w:tr>
      <w:tr w:rsidR="0077330E" w:rsidRPr="00E50FA4" w14:paraId="2CD745BD" w14:textId="77777777" w:rsidTr="00BA313D">
        <w:tc>
          <w:tcPr>
            <w:tcW w:w="1188" w:type="dxa"/>
            <w:tcBorders>
              <w:top w:val="single" w:sz="4" w:space="0" w:color="auto"/>
              <w:left w:val="single" w:sz="4" w:space="0" w:color="auto"/>
              <w:bottom w:val="single" w:sz="4" w:space="0" w:color="auto"/>
              <w:right w:val="single" w:sz="4" w:space="0" w:color="auto"/>
            </w:tcBorders>
          </w:tcPr>
          <w:p w14:paraId="7D13BC6A" w14:textId="77777777" w:rsidR="0077330E"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ae</w:t>
            </w:r>
          </w:p>
        </w:tc>
        <w:tc>
          <w:tcPr>
            <w:tcW w:w="7879" w:type="dxa"/>
            <w:tcBorders>
              <w:top w:val="single" w:sz="4" w:space="0" w:color="auto"/>
              <w:left w:val="single" w:sz="4" w:space="0" w:color="auto"/>
              <w:bottom w:val="single" w:sz="4" w:space="0" w:color="auto"/>
              <w:right w:val="single" w:sz="4" w:space="0" w:color="auto"/>
            </w:tcBorders>
          </w:tcPr>
          <w:p w14:paraId="79301994" w14:textId="77777777" w:rsidR="0077330E" w:rsidRPr="00E50FA4" w:rsidRDefault="0077330E"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enabling</w:t>
            </w:r>
          </w:p>
          <w:p w14:paraId="45523255" w14:textId="77777777" w:rsidR="0077330E" w:rsidRPr="00E50FA4" w:rsidRDefault="0077330E" w:rsidP="00DA390D">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Article 16 of </w:t>
            </w:r>
            <w:r w:rsidRPr="00E50FA4">
              <w:rPr>
                <w:rFonts w:ascii="Times New Roman" w:hAnsi="Times New Roman"/>
                <w:noProof/>
                <w:sz w:val="24"/>
                <w:lang w:val="en-GB"/>
              </w:rPr>
              <w:t>Regulation (EU) 2020/852.</w:t>
            </w:r>
          </w:p>
          <w:p w14:paraId="7D61D28C" w14:textId="77777777" w:rsidR="00181FA3" w:rsidRPr="00E50FA4" w:rsidRDefault="00994B4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The percentage shall correspond to </w:t>
            </w:r>
            <w:r w:rsidR="00181FA3" w:rsidRPr="00E50FA4">
              <w:rPr>
                <w:rFonts w:ascii="Times New Roman" w:eastAsia="Times New Roman" w:hAnsi="Times New Roman" w:cs="Times New Roman"/>
                <w:noProof/>
                <w:sz w:val="24"/>
                <w:lang w:val="en-GB"/>
              </w:rPr>
              <w:t>column (u) and column (z).</w:t>
            </w:r>
          </w:p>
        </w:tc>
      </w:tr>
      <w:tr w:rsidR="00E77292" w:rsidRPr="00E50FA4" w14:paraId="3175DC07" w14:textId="77777777" w:rsidTr="00BA313D">
        <w:tc>
          <w:tcPr>
            <w:tcW w:w="1188" w:type="dxa"/>
            <w:tcBorders>
              <w:top w:val="single" w:sz="4" w:space="0" w:color="auto"/>
              <w:left w:val="single" w:sz="4" w:space="0" w:color="auto"/>
              <w:bottom w:val="single" w:sz="4" w:space="0" w:color="auto"/>
              <w:right w:val="single" w:sz="4" w:space="0" w:color="auto"/>
            </w:tcBorders>
            <w:shd w:val="clear" w:color="auto" w:fill="auto"/>
          </w:tcPr>
          <w:p w14:paraId="599B2752" w14:textId="77777777" w:rsidR="00E77292" w:rsidRPr="00E50FA4" w:rsidRDefault="0077330E"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af</w:t>
            </w:r>
          </w:p>
        </w:tc>
        <w:tc>
          <w:tcPr>
            <w:tcW w:w="7879" w:type="dxa"/>
            <w:tcBorders>
              <w:top w:val="single" w:sz="4" w:space="0" w:color="auto"/>
              <w:left w:val="single" w:sz="4" w:space="0" w:color="auto"/>
              <w:bottom w:val="single" w:sz="4" w:space="0" w:color="auto"/>
              <w:right w:val="single" w:sz="4" w:space="0" w:color="auto"/>
            </w:tcBorders>
          </w:tcPr>
          <w:p w14:paraId="30404F74"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Proportion of new </w:t>
            </w:r>
            <w:r w:rsidR="002F5976" w:rsidRPr="00E50FA4">
              <w:rPr>
                <w:rFonts w:ascii="Times New Roman" w:eastAsia="Times New Roman" w:hAnsi="Times New Roman" w:cs="Times New Roman"/>
                <w:b/>
                <w:noProof/>
                <w:sz w:val="24"/>
                <w:u w:val="single"/>
                <w:lang w:val="en-GB"/>
              </w:rPr>
              <w:t xml:space="preserve">total </w:t>
            </w:r>
            <w:r w:rsidRPr="00E50FA4">
              <w:rPr>
                <w:rFonts w:ascii="Times New Roman" w:eastAsia="Times New Roman" w:hAnsi="Times New Roman" w:cs="Times New Roman"/>
                <w:b/>
                <w:noProof/>
                <w:sz w:val="24"/>
                <w:u w:val="single"/>
                <w:lang w:val="en-GB"/>
              </w:rPr>
              <w:t>assets covered</w:t>
            </w:r>
          </w:p>
          <w:p w14:paraId="2E34E6BD" w14:textId="4163F21D" w:rsidR="00E77292" w:rsidRPr="00E50FA4" w:rsidRDefault="005A4494"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Institutions shall disclose t</w:t>
            </w:r>
            <w:r w:rsidR="00E77292" w:rsidRPr="00E50FA4">
              <w:rPr>
                <w:rFonts w:ascii="Times New Roman" w:eastAsia="Times New Roman" w:hAnsi="Times New Roman" w:cs="Times New Roman"/>
                <w:noProof/>
                <w:sz w:val="24"/>
                <w:lang w:val="en-GB"/>
              </w:rPr>
              <w:t xml:space="preserve">he proportion of new </w:t>
            </w:r>
            <w:r w:rsidR="002F5976" w:rsidRPr="00E50FA4">
              <w:rPr>
                <w:rFonts w:ascii="Times New Roman" w:eastAsia="Times New Roman" w:hAnsi="Times New Roman" w:cs="Times New Roman"/>
                <w:noProof/>
                <w:sz w:val="24"/>
                <w:lang w:val="en-GB"/>
              </w:rPr>
              <w:t xml:space="preserve">total </w:t>
            </w:r>
            <w:r w:rsidR="00E77292" w:rsidRPr="00E50FA4">
              <w:rPr>
                <w:rFonts w:ascii="Times New Roman" w:eastAsia="Times New Roman" w:hAnsi="Times New Roman" w:cs="Times New Roman"/>
                <w:noProof/>
                <w:sz w:val="24"/>
                <w:lang w:val="en-GB"/>
              </w:rPr>
              <w:t xml:space="preserve">assets </w:t>
            </w:r>
            <w:r w:rsidR="003216E1" w:rsidRPr="00E50FA4">
              <w:rPr>
                <w:rFonts w:ascii="Times New Roman" w:eastAsia="Times New Roman" w:hAnsi="Times New Roman" w:cs="Times New Roman"/>
                <w:noProof/>
                <w:sz w:val="24"/>
                <w:lang w:val="en-GB"/>
              </w:rPr>
              <w:t xml:space="preserve">covered </w:t>
            </w:r>
            <w:r w:rsidR="002F5976" w:rsidRPr="00E50FA4">
              <w:rPr>
                <w:rFonts w:ascii="Times New Roman" w:eastAsia="Times New Roman" w:hAnsi="Times New Roman" w:cs="Times New Roman"/>
                <w:noProof/>
                <w:sz w:val="24"/>
                <w:lang w:val="en-GB"/>
              </w:rPr>
              <w:t>by the GAR</w:t>
            </w:r>
            <w:r w:rsidR="00E77292" w:rsidRPr="00E50FA4">
              <w:rPr>
                <w:rFonts w:ascii="Times New Roman" w:eastAsia="Times New Roman" w:hAnsi="Times New Roman" w:cs="Times New Roman"/>
                <w:noProof/>
                <w:sz w:val="24"/>
                <w:lang w:val="en-GB"/>
              </w:rPr>
              <w:t>. New assets shall be calculated net of repayments and other reductions.</w:t>
            </w:r>
          </w:p>
          <w:p w14:paraId="3E84B315" w14:textId="77777777" w:rsidR="00E77292" w:rsidRPr="00E50FA4" w:rsidRDefault="00E77292" w:rsidP="008D522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The item shall be expressed as a percentage.</w:t>
            </w:r>
          </w:p>
          <w:p w14:paraId="03D6FEFB" w14:textId="324C1EFF" w:rsidR="00E77292" w:rsidRPr="00E50FA4" w:rsidRDefault="00E77292" w:rsidP="001B102C">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numerator of the KPI shall be the difference in the gross carrying amount of </w:t>
            </w:r>
            <w:r w:rsidR="003216E1" w:rsidRPr="00E50FA4">
              <w:rPr>
                <w:rFonts w:ascii="Times New Roman" w:eastAsia="Times New Roman" w:hAnsi="Times New Roman" w:cs="Times New Roman"/>
                <w:noProof/>
                <w:sz w:val="24"/>
                <w:lang w:val="en-GB"/>
              </w:rPr>
              <w:t>covered</w:t>
            </w:r>
            <w:r w:rsidRPr="00E50FA4">
              <w:rPr>
                <w:rFonts w:ascii="Times New Roman" w:eastAsia="Times New Roman" w:hAnsi="Times New Roman" w:cs="Times New Roman"/>
                <w:noProof/>
                <w:sz w:val="24"/>
                <w:lang w:val="en-GB"/>
              </w:rPr>
              <w:t xml:space="preserve"> assets, as </w:t>
            </w:r>
            <w:r w:rsidR="00D35AD5" w:rsidRPr="00E50FA4">
              <w:rPr>
                <w:rFonts w:ascii="Times New Roman" w:eastAsia="Times New Roman" w:hAnsi="Times New Roman" w:cs="Times New Roman"/>
                <w:noProof/>
                <w:sz w:val="24"/>
                <w:lang w:val="en-GB"/>
              </w:rPr>
              <w:t xml:space="preserve">referred to </w:t>
            </w:r>
            <w:r w:rsidRPr="00E50FA4">
              <w:rPr>
                <w:rFonts w:ascii="Times New Roman" w:eastAsia="Times New Roman" w:hAnsi="Times New Roman" w:cs="Times New Roman"/>
                <w:noProof/>
                <w:sz w:val="24"/>
                <w:lang w:val="en-GB"/>
              </w:rPr>
              <w:t xml:space="preserve">in the instructions corresponding to row 1 of </w:t>
            </w:r>
            <w:r w:rsidR="00C021CB" w:rsidRPr="00E50FA4">
              <w:rPr>
                <w:rFonts w:ascii="Times New Roman" w:eastAsia="Times New Roman" w:hAnsi="Times New Roman" w:cs="Times New Roman"/>
                <w:noProof/>
                <w:sz w:val="24"/>
                <w:lang w:val="en-GB"/>
              </w:rPr>
              <w:t>Template 7</w:t>
            </w:r>
            <w:r w:rsidRPr="00E50FA4">
              <w:rPr>
                <w:rFonts w:ascii="Times New Roman" w:eastAsia="Times New Roman" w:hAnsi="Times New Roman" w:cs="Times New Roman"/>
                <w:noProof/>
                <w:sz w:val="24"/>
                <w:lang w:val="en-GB"/>
              </w:rPr>
              <w:t>, between current disclosure period (t) and previous disclosure period (t-1).</w:t>
            </w:r>
          </w:p>
          <w:p w14:paraId="6A008832" w14:textId="72616879" w:rsidR="00E77292" w:rsidRPr="00E50FA4" w:rsidRDefault="00E77292" w:rsidP="00B76863">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The denominator of the KPI shall be the difference in the gross carrying amount of new total assets, as </w:t>
            </w:r>
            <w:r w:rsidR="00D35AD5" w:rsidRPr="00E50FA4">
              <w:rPr>
                <w:rFonts w:ascii="Times New Roman" w:eastAsia="Times New Roman" w:hAnsi="Times New Roman" w:cs="Times New Roman"/>
                <w:noProof/>
                <w:sz w:val="24"/>
                <w:lang w:val="en-GB"/>
              </w:rPr>
              <w:t>refer</w:t>
            </w:r>
            <w:r w:rsidR="00B76863">
              <w:rPr>
                <w:rFonts w:ascii="Times New Roman" w:eastAsia="Times New Roman" w:hAnsi="Times New Roman" w:cs="Times New Roman"/>
                <w:noProof/>
                <w:sz w:val="24"/>
                <w:lang w:val="en-GB"/>
              </w:rPr>
              <w:t>r</w:t>
            </w:r>
            <w:r w:rsidR="00D35AD5" w:rsidRPr="00E50FA4">
              <w:rPr>
                <w:rFonts w:ascii="Times New Roman" w:eastAsia="Times New Roman" w:hAnsi="Times New Roman" w:cs="Times New Roman"/>
                <w:noProof/>
                <w:sz w:val="24"/>
                <w:lang w:val="en-GB"/>
              </w:rPr>
              <w:t xml:space="preserve">ed to </w:t>
            </w:r>
            <w:r w:rsidRPr="00E50FA4">
              <w:rPr>
                <w:rFonts w:ascii="Times New Roman" w:eastAsia="Times New Roman" w:hAnsi="Times New Roman" w:cs="Times New Roman"/>
                <w:noProof/>
                <w:sz w:val="24"/>
                <w:lang w:val="en-GB"/>
              </w:rPr>
              <w:t xml:space="preserve">in the instructions corresponding to row </w:t>
            </w:r>
            <w:r w:rsidR="003216E1" w:rsidRPr="00E50FA4">
              <w:rPr>
                <w:rFonts w:ascii="Times New Roman" w:eastAsia="Times New Roman" w:hAnsi="Times New Roman" w:cs="Times New Roman"/>
                <w:noProof/>
                <w:sz w:val="24"/>
                <w:lang w:val="en-GB"/>
              </w:rPr>
              <w:t>53</w:t>
            </w:r>
            <w:r w:rsidRPr="00E50FA4">
              <w:rPr>
                <w:rFonts w:ascii="Times New Roman" w:eastAsia="Times New Roman" w:hAnsi="Times New Roman" w:cs="Times New Roman"/>
                <w:noProof/>
                <w:sz w:val="24"/>
                <w:lang w:val="en-GB"/>
              </w:rPr>
              <w:t xml:space="preserve"> of </w:t>
            </w:r>
            <w:r w:rsidR="00C021CB" w:rsidRPr="00E50FA4">
              <w:rPr>
                <w:rFonts w:ascii="Times New Roman" w:eastAsia="Times New Roman" w:hAnsi="Times New Roman" w:cs="Times New Roman"/>
                <w:noProof/>
                <w:sz w:val="24"/>
                <w:lang w:val="en-GB"/>
              </w:rPr>
              <w:t>Template 7</w:t>
            </w:r>
            <w:r w:rsidRPr="00E50FA4">
              <w:rPr>
                <w:rFonts w:ascii="Times New Roman" w:eastAsia="Times New Roman" w:hAnsi="Times New Roman" w:cs="Times New Roman"/>
                <w:noProof/>
                <w:sz w:val="24"/>
                <w:lang w:val="en-GB"/>
              </w:rPr>
              <w:t>, between current disclosure period (t) and previous disclosure period (t-1).</w:t>
            </w:r>
          </w:p>
        </w:tc>
      </w:tr>
      <w:tr w:rsidR="00E77292" w:rsidRPr="00E50FA4" w14:paraId="69CAEF74" w14:textId="77777777" w:rsidTr="00BA313D">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6C7AC"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Rows</w:t>
            </w:r>
          </w:p>
        </w:tc>
        <w:tc>
          <w:tcPr>
            <w:tcW w:w="7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6BDC4"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bidi="ne-NP"/>
              </w:rPr>
              <w:t xml:space="preserve"> Instructions</w:t>
            </w:r>
          </w:p>
        </w:tc>
      </w:tr>
      <w:tr w:rsidR="00E77292" w:rsidRPr="00E50FA4" w14:paraId="65B625E4" w14:textId="77777777" w:rsidTr="00BA313D">
        <w:tc>
          <w:tcPr>
            <w:tcW w:w="1188" w:type="dxa"/>
            <w:tcBorders>
              <w:top w:val="single" w:sz="4" w:space="0" w:color="auto"/>
              <w:left w:val="single" w:sz="4" w:space="0" w:color="auto"/>
              <w:bottom w:val="single" w:sz="4" w:space="0" w:color="auto"/>
              <w:right w:val="single" w:sz="4" w:space="0" w:color="auto"/>
            </w:tcBorders>
          </w:tcPr>
          <w:p w14:paraId="29511AAC"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1</w:t>
            </w:r>
          </w:p>
        </w:tc>
        <w:tc>
          <w:tcPr>
            <w:tcW w:w="7879" w:type="dxa"/>
            <w:tcBorders>
              <w:top w:val="single" w:sz="4" w:space="0" w:color="auto"/>
              <w:left w:val="single" w:sz="4" w:space="0" w:color="auto"/>
              <w:bottom w:val="single" w:sz="4" w:space="0" w:color="auto"/>
              <w:right w:val="single" w:sz="4" w:space="0" w:color="auto"/>
            </w:tcBorders>
          </w:tcPr>
          <w:p w14:paraId="2778F0AF" w14:textId="7E061319" w:rsidR="00E77292" w:rsidRPr="00E50FA4" w:rsidRDefault="00E77292" w:rsidP="00BA4944">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b/>
                <w:noProof/>
                <w:sz w:val="24"/>
                <w:u w:val="single"/>
                <w:lang w:val="en-GB"/>
              </w:rPr>
              <w:t>GAR</w:t>
            </w:r>
            <w:r w:rsidR="00C021CB" w:rsidRPr="00E50FA4">
              <w:rPr>
                <w:rFonts w:ascii="Times New Roman" w:eastAsia="Times New Roman" w:hAnsi="Times New Roman" w:cs="Times New Roman"/>
                <w:noProof/>
                <w:sz w:val="24"/>
                <w:lang w:val="en-GB"/>
              </w:rPr>
              <w:t xml:space="preserve"> </w:t>
            </w:r>
            <w:r w:rsidR="00405A6B" w:rsidRPr="00E50FA4">
              <w:rPr>
                <w:rFonts w:ascii="Times New Roman" w:hAnsi="Times New Roman"/>
                <w:noProof/>
                <w:sz w:val="24"/>
                <w:lang w:val="en-GB"/>
              </w:rPr>
              <w:t xml:space="preserve">as </w:t>
            </w:r>
            <w:r w:rsidR="00BA4944" w:rsidRPr="00E50FA4">
              <w:rPr>
                <w:rFonts w:ascii="Times New Roman" w:hAnsi="Times New Roman"/>
                <w:noProof/>
                <w:sz w:val="24"/>
                <w:lang w:val="en-GB"/>
              </w:rPr>
              <w:t xml:space="preserve">referred to </w:t>
            </w:r>
            <w:r w:rsidR="00405A6B" w:rsidRPr="00E50FA4">
              <w:rPr>
                <w:rFonts w:ascii="Times New Roman" w:hAnsi="Times New Roman"/>
                <w:noProof/>
                <w:sz w:val="24"/>
                <w:lang w:val="en-GB"/>
              </w:rPr>
              <w:t xml:space="preserve">in Delegated Regulation (EU) </w:t>
            </w:r>
            <w:r w:rsidR="0090321E" w:rsidRPr="00E50FA4">
              <w:rPr>
                <w:rFonts w:ascii="Times New Roman" w:hAnsi="Times New Roman"/>
                <w:noProof/>
                <w:sz w:val="24"/>
                <w:lang w:val="en-GB"/>
              </w:rPr>
              <w:t>2021/2178</w:t>
            </w:r>
            <w:r w:rsidR="00552D38" w:rsidRPr="00E50FA4">
              <w:rPr>
                <w:rFonts w:ascii="Times New Roman" w:hAnsi="Times New Roman"/>
                <w:noProof/>
                <w:sz w:val="24"/>
                <w:lang w:val="en-GB"/>
              </w:rPr>
              <w:t>.</w:t>
            </w:r>
          </w:p>
        </w:tc>
      </w:tr>
      <w:tr w:rsidR="00E77292" w:rsidRPr="00E50FA4" w14:paraId="5DF586DA" w14:textId="77777777" w:rsidTr="00BA313D">
        <w:tc>
          <w:tcPr>
            <w:tcW w:w="1188" w:type="dxa"/>
            <w:tcBorders>
              <w:top w:val="single" w:sz="4" w:space="0" w:color="auto"/>
              <w:left w:val="single" w:sz="4" w:space="0" w:color="auto"/>
              <w:bottom w:val="single" w:sz="4" w:space="0" w:color="auto"/>
              <w:right w:val="single" w:sz="4" w:space="0" w:color="auto"/>
            </w:tcBorders>
          </w:tcPr>
          <w:p w14:paraId="17D87E23"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2</w:t>
            </w:r>
          </w:p>
        </w:tc>
        <w:tc>
          <w:tcPr>
            <w:tcW w:w="7879" w:type="dxa"/>
            <w:tcBorders>
              <w:top w:val="single" w:sz="4" w:space="0" w:color="auto"/>
              <w:left w:val="single" w:sz="4" w:space="0" w:color="auto"/>
              <w:bottom w:val="single" w:sz="4" w:space="0" w:color="auto"/>
              <w:right w:val="single" w:sz="4" w:space="0" w:color="auto"/>
            </w:tcBorders>
          </w:tcPr>
          <w:p w14:paraId="676BC42D"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Loans and advances, debt securities and equity instruments not HfT eligible for GAR calculation</w:t>
            </w:r>
          </w:p>
          <w:p w14:paraId="2C51ECC8" w14:textId="77777777" w:rsidR="00E77292" w:rsidRPr="00E50FA4" w:rsidRDefault="00C021CB"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GAR % for exposures</w:t>
            </w:r>
            <w:r w:rsidR="00E77292" w:rsidRPr="00E50FA4">
              <w:rPr>
                <w:rFonts w:ascii="Times New Roman" w:eastAsia="Times New Roman" w:hAnsi="Times New Roman" w:cs="Times New Roman"/>
                <w:noProof/>
                <w:sz w:val="24"/>
                <w:lang w:val="en-GB"/>
              </w:rPr>
              <w:t xml:space="preserve"> </w:t>
            </w:r>
            <w:r w:rsidR="00405A6B" w:rsidRPr="00E50FA4">
              <w:rPr>
                <w:rFonts w:ascii="Times New Roman" w:eastAsia="Times New Roman" w:hAnsi="Times New Roman" w:cs="Times New Roman"/>
                <w:noProof/>
                <w:sz w:val="24"/>
                <w:lang w:val="en-GB"/>
              </w:rPr>
              <w:t>in</w:t>
            </w:r>
            <w:r w:rsidR="00E77292" w:rsidRPr="00E50FA4">
              <w:rPr>
                <w:rFonts w:ascii="Times New Roman" w:eastAsia="Times New Roman" w:hAnsi="Times New Roman" w:cs="Times New Roman"/>
                <w:noProof/>
                <w:sz w:val="24"/>
                <w:lang w:val="en-GB"/>
              </w:rPr>
              <w:t xml:space="preserve"> row </w:t>
            </w:r>
            <w:r w:rsidR="006644DB" w:rsidRPr="00E50FA4">
              <w:rPr>
                <w:rFonts w:ascii="Times New Roman" w:eastAsia="Times New Roman" w:hAnsi="Times New Roman" w:cs="Times New Roman"/>
                <w:noProof/>
                <w:sz w:val="24"/>
                <w:lang w:val="en-GB"/>
              </w:rPr>
              <w:t>1</w:t>
            </w:r>
            <w:r w:rsidR="00E77292" w:rsidRPr="00E50FA4">
              <w:rPr>
                <w:rFonts w:ascii="Times New Roman" w:eastAsia="Times New Roman" w:hAnsi="Times New Roman" w:cs="Times New Roman"/>
                <w:noProof/>
                <w:sz w:val="24"/>
                <w:lang w:val="en-GB"/>
              </w:rPr>
              <w:t xml:space="preserve"> of </w:t>
            </w:r>
            <w:r w:rsidRPr="00E50FA4">
              <w:rPr>
                <w:rFonts w:ascii="Times New Roman" w:eastAsia="Times New Roman" w:hAnsi="Times New Roman" w:cs="Times New Roman"/>
                <w:noProof/>
                <w:sz w:val="24"/>
                <w:lang w:val="en-GB"/>
              </w:rPr>
              <w:t>Template 7</w:t>
            </w:r>
            <w:r w:rsidR="00E77292" w:rsidRPr="00E50FA4">
              <w:rPr>
                <w:rFonts w:ascii="Times New Roman" w:eastAsia="Times New Roman" w:hAnsi="Times New Roman" w:cs="Times New Roman"/>
                <w:noProof/>
                <w:sz w:val="24"/>
                <w:lang w:val="en-GB"/>
              </w:rPr>
              <w:t>.</w:t>
            </w:r>
          </w:p>
        </w:tc>
      </w:tr>
      <w:tr w:rsidR="00E77292" w:rsidRPr="00E50FA4" w14:paraId="756CEDBE" w14:textId="77777777" w:rsidTr="00BA313D">
        <w:tc>
          <w:tcPr>
            <w:tcW w:w="1188" w:type="dxa"/>
            <w:tcBorders>
              <w:top w:val="single" w:sz="4" w:space="0" w:color="auto"/>
              <w:left w:val="single" w:sz="4" w:space="0" w:color="auto"/>
              <w:bottom w:val="single" w:sz="4" w:space="0" w:color="auto"/>
              <w:right w:val="single" w:sz="4" w:space="0" w:color="auto"/>
            </w:tcBorders>
          </w:tcPr>
          <w:p w14:paraId="2F433D00"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3</w:t>
            </w:r>
          </w:p>
        </w:tc>
        <w:tc>
          <w:tcPr>
            <w:tcW w:w="7879" w:type="dxa"/>
            <w:tcBorders>
              <w:top w:val="single" w:sz="4" w:space="0" w:color="auto"/>
              <w:left w:val="single" w:sz="4" w:space="0" w:color="auto"/>
              <w:bottom w:val="single" w:sz="4" w:space="0" w:color="auto"/>
              <w:right w:val="single" w:sz="4" w:space="0" w:color="auto"/>
            </w:tcBorders>
          </w:tcPr>
          <w:p w14:paraId="418800BE" w14:textId="77777777" w:rsidR="00E77292" w:rsidRPr="00E50FA4" w:rsidRDefault="00E77292" w:rsidP="001A08A2">
            <w:pPr>
              <w:spacing w:before="120" w:after="120"/>
              <w:jc w:val="both"/>
              <w:rPr>
                <w:rFonts w:ascii="Times New Roman" w:eastAsia="Times New Roman" w:hAnsi="Times New Roman" w:cs="Times New Roman"/>
                <w:b/>
                <w:noProof/>
                <w:sz w:val="24"/>
                <w:u w:val="single"/>
                <w:lang w:val="en-GB" w:bidi="ne-NP"/>
              </w:rPr>
            </w:pPr>
            <w:r w:rsidRPr="00E50FA4">
              <w:rPr>
                <w:rFonts w:ascii="Times New Roman" w:eastAsia="Times New Roman" w:hAnsi="Times New Roman" w:cs="Times New Roman"/>
                <w:b/>
                <w:noProof/>
                <w:sz w:val="24"/>
                <w:u w:val="single"/>
                <w:lang w:val="en-GB" w:bidi="ne-NP"/>
              </w:rPr>
              <w:t>Financial corporations</w:t>
            </w:r>
          </w:p>
          <w:p w14:paraId="19914767" w14:textId="77777777" w:rsidR="00E77292" w:rsidRPr="00E50FA4" w:rsidRDefault="00405A6B" w:rsidP="00D35812">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GAR % for exposures in </w:t>
            </w:r>
            <w:r w:rsidR="00E77292" w:rsidRPr="00E50FA4">
              <w:rPr>
                <w:rFonts w:ascii="Times New Roman" w:eastAsia="Times New Roman" w:hAnsi="Times New Roman" w:cs="Times New Roman"/>
                <w:noProof/>
                <w:sz w:val="24"/>
                <w:lang w:val="en-GB"/>
              </w:rPr>
              <w:t xml:space="preserve">row </w:t>
            </w:r>
            <w:r w:rsidR="006644DB" w:rsidRPr="00E50FA4">
              <w:rPr>
                <w:rFonts w:ascii="Times New Roman" w:eastAsia="Times New Roman" w:hAnsi="Times New Roman" w:cs="Times New Roman"/>
                <w:noProof/>
                <w:sz w:val="24"/>
                <w:lang w:val="en-GB"/>
              </w:rPr>
              <w:t>2</w:t>
            </w:r>
            <w:r w:rsidR="00E77292" w:rsidRPr="00E50FA4">
              <w:rPr>
                <w:rFonts w:ascii="Times New Roman" w:eastAsia="Times New Roman" w:hAnsi="Times New Roman" w:cs="Times New Roman"/>
                <w:noProof/>
                <w:sz w:val="24"/>
                <w:lang w:val="en-GB"/>
              </w:rPr>
              <w:t xml:space="preserve"> of </w:t>
            </w:r>
            <w:r w:rsidR="00C021CB" w:rsidRPr="00E50FA4">
              <w:rPr>
                <w:rFonts w:ascii="Times New Roman" w:eastAsia="Times New Roman" w:hAnsi="Times New Roman" w:cs="Times New Roman"/>
                <w:noProof/>
                <w:sz w:val="24"/>
                <w:lang w:val="en-GB"/>
              </w:rPr>
              <w:t>Template 7</w:t>
            </w:r>
            <w:r w:rsidR="00E77292" w:rsidRPr="00E50FA4">
              <w:rPr>
                <w:rFonts w:ascii="Times New Roman" w:eastAsia="Times New Roman" w:hAnsi="Times New Roman" w:cs="Times New Roman"/>
                <w:noProof/>
                <w:sz w:val="24"/>
                <w:lang w:val="en-GB"/>
              </w:rPr>
              <w:t>.</w:t>
            </w:r>
          </w:p>
        </w:tc>
      </w:tr>
      <w:tr w:rsidR="00E77292" w:rsidRPr="00E50FA4" w14:paraId="6BDADAC9" w14:textId="77777777" w:rsidTr="00BA313D">
        <w:tc>
          <w:tcPr>
            <w:tcW w:w="1188" w:type="dxa"/>
            <w:tcBorders>
              <w:top w:val="single" w:sz="4" w:space="0" w:color="auto"/>
              <w:left w:val="single" w:sz="4" w:space="0" w:color="auto"/>
              <w:bottom w:val="single" w:sz="4" w:space="0" w:color="auto"/>
              <w:right w:val="single" w:sz="4" w:space="0" w:color="auto"/>
            </w:tcBorders>
          </w:tcPr>
          <w:p w14:paraId="6EE97C1F"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4</w:t>
            </w:r>
          </w:p>
        </w:tc>
        <w:tc>
          <w:tcPr>
            <w:tcW w:w="7879" w:type="dxa"/>
            <w:tcBorders>
              <w:top w:val="single" w:sz="4" w:space="0" w:color="auto"/>
              <w:left w:val="single" w:sz="4" w:space="0" w:color="auto"/>
              <w:bottom w:val="single" w:sz="4" w:space="0" w:color="auto"/>
              <w:right w:val="single" w:sz="4" w:space="0" w:color="auto"/>
            </w:tcBorders>
          </w:tcPr>
          <w:p w14:paraId="0E4B92E6"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Credit institutions</w:t>
            </w:r>
          </w:p>
          <w:p w14:paraId="044F28BF" w14:textId="77777777" w:rsidR="00E77292" w:rsidRPr="00E50FA4" w:rsidRDefault="00405A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GAR % for exposures in</w:t>
            </w:r>
            <w:r w:rsidR="00E77292" w:rsidRPr="00E50FA4">
              <w:rPr>
                <w:rFonts w:ascii="Times New Roman" w:eastAsia="Times New Roman" w:hAnsi="Times New Roman" w:cs="Times New Roman"/>
                <w:noProof/>
                <w:sz w:val="24"/>
                <w:lang w:val="en-GB"/>
              </w:rPr>
              <w:t xml:space="preserve"> row </w:t>
            </w:r>
            <w:r w:rsidR="006644DB" w:rsidRPr="00E50FA4">
              <w:rPr>
                <w:rFonts w:ascii="Times New Roman" w:eastAsia="Times New Roman" w:hAnsi="Times New Roman" w:cs="Times New Roman"/>
                <w:noProof/>
                <w:sz w:val="24"/>
                <w:lang w:val="en-GB"/>
              </w:rPr>
              <w:t>3</w:t>
            </w:r>
            <w:r w:rsidR="00E77292" w:rsidRPr="00E50FA4">
              <w:rPr>
                <w:rFonts w:ascii="Times New Roman" w:eastAsia="Times New Roman" w:hAnsi="Times New Roman" w:cs="Times New Roman"/>
                <w:noProof/>
                <w:sz w:val="24"/>
                <w:lang w:val="en-GB"/>
              </w:rPr>
              <w:t xml:space="preserve"> of </w:t>
            </w:r>
            <w:r w:rsidR="00C021CB" w:rsidRPr="00E50FA4">
              <w:rPr>
                <w:rFonts w:ascii="Times New Roman" w:eastAsia="Times New Roman" w:hAnsi="Times New Roman" w:cs="Times New Roman"/>
                <w:noProof/>
                <w:sz w:val="24"/>
                <w:lang w:val="en-GB"/>
              </w:rPr>
              <w:t>Template 7</w:t>
            </w:r>
            <w:r w:rsidR="00E77292" w:rsidRPr="00E50FA4">
              <w:rPr>
                <w:rFonts w:ascii="Times New Roman" w:eastAsia="Times New Roman" w:hAnsi="Times New Roman" w:cs="Times New Roman"/>
                <w:noProof/>
                <w:sz w:val="24"/>
                <w:lang w:val="en-GB"/>
              </w:rPr>
              <w:t>.</w:t>
            </w:r>
          </w:p>
        </w:tc>
      </w:tr>
      <w:tr w:rsidR="00E77292" w:rsidRPr="00E50FA4" w14:paraId="25D57AA6" w14:textId="77777777" w:rsidTr="00BA313D">
        <w:tc>
          <w:tcPr>
            <w:tcW w:w="1188" w:type="dxa"/>
            <w:tcBorders>
              <w:top w:val="single" w:sz="4" w:space="0" w:color="auto"/>
              <w:left w:val="single" w:sz="4" w:space="0" w:color="auto"/>
              <w:bottom w:val="single" w:sz="4" w:space="0" w:color="auto"/>
              <w:right w:val="single" w:sz="4" w:space="0" w:color="auto"/>
            </w:tcBorders>
          </w:tcPr>
          <w:p w14:paraId="46084216"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5</w:t>
            </w:r>
          </w:p>
        </w:tc>
        <w:tc>
          <w:tcPr>
            <w:tcW w:w="7879" w:type="dxa"/>
            <w:tcBorders>
              <w:top w:val="single" w:sz="4" w:space="0" w:color="auto"/>
              <w:left w:val="single" w:sz="4" w:space="0" w:color="auto"/>
              <w:bottom w:val="single" w:sz="4" w:space="0" w:color="auto"/>
              <w:right w:val="single" w:sz="4" w:space="0" w:color="auto"/>
            </w:tcBorders>
          </w:tcPr>
          <w:p w14:paraId="45DC2394"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Other financial corporations</w:t>
            </w:r>
          </w:p>
          <w:p w14:paraId="294DB996" w14:textId="77777777" w:rsidR="00E77292" w:rsidRPr="00E50FA4" w:rsidRDefault="00405A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GAR % for exposures in</w:t>
            </w:r>
            <w:r w:rsidR="00E77292" w:rsidRPr="00E50FA4">
              <w:rPr>
                <w:rFonts w:ascii="Times New Roman" w:eastAsia="Times New Roman" w:hAnsi="Times New Roman" w:cs="Times New Roman"/>
                <w:noProof/>
                <w:sz w:val="24"/>
                <w:lang w:val="en-GB"/>
              </w:rPr>
              <w:t xml:space="preserve"> row </w:t>
            </w:r>
            <w:r w:rsidR="006644DB" w:rsidRPr="00E50FA4">
              <w:rPr>
                <w:rFonts w:ascii="Times New Roman" w:eastAsia="Times New Roman" w:hAnsi="Times New Roman" w:cs="Times New Roman"/>
                <w:noProof/>
                <w:sz w:val="24"/>
                <w:lang w:val="en-GB"/>
              </w:rPr>
              <w:t>7</w:t>
            </w:r>
            <w:r w:rsidR="00E77292" w:rsidRPr="00E50FA4">
              <w:rPr>
                <w:rFonts w:ascii="Times New Roman" w:eastAsia="Times New Roman" w:hAnsi="Times New Roman" w:cs="Times New Roman"/>
                <w:noProof/>
                <w:sz w:val="24"/>
                <w:lang w:val="en-GB"/>
              </w:rPr>
              <w:t xml:space="preserve"> of </w:t>
            </w:r>
            <w:r w:rsidR="00C021CB" w:rsidRPr="00E50FA4">
              <w:rPr>
                <w:rFonts w:ascii="Times New Roman" w:eastAsia="Times New Roman" w:hAnsi="Times New Roman" w:cs="Times New Roman"/>
                <w:noProof/>
                <w:sz w:val="24"/>
                <w:lang w:val="en-GB"/>
              </w:rPr>
              <w:t>Template 7</w:t>
            </w:r>
            <w:r w:rsidR="00E77292" w:rsidRPr="00E50FA4">
              <w:rPr>
                <w:rFonts w:ascii="Times New Roman" w:eastAsia="Times New Roman" w:hAnsi="Times New Roman" w:cs="Times New Roman"/>
                <w:noProof/>
                <w:sz w:val="24"/>
                <w:lang w:val="en-GB"/>
              </w:rPr>
              <w:t>.</w:t>
            </w:r>
          </w:p>
        </w:tc>
      </w:tr>
      <w:tr w:rsidR="00E77292" w:rsidRPr="00E50FA4" w14:paraId="27E5BBC5" w14:textId="77777777" w:rsidTr="00BA313D">
        <w:tc>
          <w:tcPr>
            <w:tcW w:w="1188" w:type="dxa"/>
            <w:tcBorders>
              <w:top w:val="single" w:sz="4" w:space="0" w:color="auto"/>
              <w:left w:val="single" w:sz="4" w:space="0" w:color="auto"/>
              <w:bottom w:val="single" w:sz="4" w:space="0" w:color="auto"/>
              <w:right w:val="single" w:sz="4" w:space="0" w:color="auto"/>
            </w:tcBorders>
          </w:tcPr>
          <w:p w14:paraId="09CEECE7"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6</w:t>
            </w:r>
          </w:p>
        </w:tc>
        <w:tc>
          <w:tcPr>
            <w:tcW w:w="7879" w:type="dxa"/>
            <w:tcBorders>
              <w:top w:val="single" w:sz="4" w:space="0" w:color="auto"/>
              <w:left w:val="single" w:sz="4" w:space="0" w:color="auto"/>
              <w:bottom w:val="single" w:sz="4" w:space="0" w:color="auto"/>
              <w:right w:val="single" w:sz="4" w:space="0" w:color="auto"/>
            </w:tcBorders>
          </w:tcPr>
          <w:p w14:paraId="62630F0A"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investment firms</w:t>
            </w:r>
          </w:p>
          <w:p w14:paraId="0D44EA86" w14:textId="77777777" w:rsidR="00E77292" w:rsidRPr="00E50FA4" w:rsidRDefault="00405A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GAR % for exposures in</w:t>
            </w:r>
            <w:r w:rsidR="00E77292" w:rsidRPr="00E50FA4">
              <w:rPr>
                <w:rFonts w:ascii="Times New Roman" w:eastAsia="Times New Roman" w:hAnsi="Times New Roman" w:cs="Times New Roman"/>
                <w:noProof/>
                <w:sz w:val="24"/>
                <w:lang w:val="en-GB"/>
              </w:rPr>
              <w:t xml:space="preserve"> row </w:t>
            </w:r>
            <w:r w:rsidR="006644DB" w:rsidRPr="00E50FA4">
              <w:rPr>
                <w:rFonts w:ascii="Times New Roman" w:eastAsia="Times New Roman" w:hAnsi="Times New Roman" w:cs="Times New Roman"/>
                <w:noProof/>
                <w:sz w:val="24"/>
                <w:lang w:val="en-GB"/>
              </w:rPr>
              <w:t>8</w:t>
            </w:r>
            <w:r w:rsidR="00E77292" w:rsidRPr="00E50FA4">
              <w:rPr>
                <w:rFonts w:ascii="Times New Roman" w:eastAsia="Times New Roman" w:hAnsi="Times New Roman" w:cs="Times New Roman"/>
                <w:noProof/>
                <w:sz w:val="24"/>
                <w:lang w:val="en-GB"/>
              </w:rPr>
              <w:t xml:space="preserve"> of </w:t>
            </w:r>
            <w:r w:rsidR="00C021CB" w:rsidRPr="00E50FA4">
              <w:rPr>
                <w:rFonts w:ascii="Times New Roman" w:eastAsia="Times New Roman" w:hAnsi="Times New Roman" w:cs="Times New Roman"/>
                <w:noProof/>
                <w:sz w:val="24"/>
                <w:lang w:val="en-GB"/>
              </w:rPr>
              <w:t>Template 7</w:t>
            </w:r>
            <w:r w:rsidR="00E77292" w:rsidRPr="00E50FA4">
              <w:rPr>
                <w:rFonts w:ascii="Times New Roman" w:eastAsia="Times New Roman" w:hAnsi="Times New Roman" w:cs="Times New Roman"/>
                <w:noProof/>
                <w:sz w:val="24"/>
                <w:lang w:val="en-GB"/>
              </w:rPr>
              <w:t>.</w:t>
            </w:r>
          </w:p>
        </w:tc>
      </w:tr>
      <w:tr w:rsidR="00E77292" w:rsidRPr="00E50FA4" w14:paraId="47A2EA82" w14:textId="77777777" w:rsidTr="00BA313D">
        <w:tc>
          <w:tcPr>
            <w:tcW w:w="1188" w:type="dxa"/>
            <w:tcBorders>
              <w:top w:val="single" w:sz="4" w:space="0" w:color="auto"/>
              <w:left w:val="single" w:sz="4" w:space="0" w:color="auto"/>
              <w:bottom w:val="single" w:sz="4" w:space="0" w:color="auto"/>
              <w:right w:val="single" w:sz="4" w:space="0" w:color="auto"/>
            </w:tcBorders>
          </w:tcPr>
          <w:p w14:paraId="33614B09"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7</w:t>
            </w:r>
          </w:p>
        </w:tc>
        <w:tc>
          <w:tcPr>
            <w:tcW w:w="7879" w:type="dxa"/>
            <w:tcBorders>
              <w:top w:val="single" w:sz="4" w:space="0" w:color="auto"/>
              <w:left w:val="single" w:sz="4" w:space="0" w:color="auto"/>
              <w:bottom w:val="single" w:sz="4" w:space="0" w:color="auto"/>
              <w:right w:val="single" w:sz="4" w:space="0" w:color="auto"/>
            </w:tcBorders>
          </w:tcPr>
          <w:p w14:paraId="36886346"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w:t>
            </w:r>
            <w:r w:rsidR="005A610A" w:rsidRPr="00E50FA4">
              <w:rPr>
                <w:rFonts w:ascii="Times New Roman" w:eastAsia="Times New Roman" w:hAnsi="Times New Roman" w:cs="Times New Roman"/>
                <w:b/>
                <w:noProof/>
                <w:sz w:val="24"/>
                <w:u w:val="single"/>
                <w:lang w:val="en-GB"/>
              </w:rPr>
              <w:t>management companies</w:t>
            </w:r>
          </w:p>
          <w:p w14:paraId="29554774" w14:textId="77777777" w:rsidR="00E77292" w:rsidRPr="00E50FA4" w:rsidRDefault="00405A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GAR % for exposures in </w:t>
            </w:r>
            <w:r w:rsidR="00E77292" w:rsidRPr="00E50FA4">
              <w:rPr>
                <w:rFonts w:ascii="Times New Roman" w:eastAsia="Times New Roman" w:hAnsi="Times New Roman" w:cs="Times New Roman"/>
                <w:noProof/>
                <w:sz w:val="24"/>
                <w:lang w:val="en-GB"/>
              </w:rPr>
              <w:t>row 1</w:t>
            </w:r>
            <w:r w:rsidR="006644DB" w:rsidRPr="00E50FA4">
              <w:rPr>
                <w:rFonts w:ascii="Times New Roman" w:eastAsia="Times New Roman" w:hAnsi="Times New Roman" w:cs="Times New Roman"/>
                <w:noProof/>
                <w:sz w:val="24"/>
                <w:lang w:val="en-GB"/>
              </w:rPr>
              <w:t>2</w:t>
            </w:r>
            <w:r w:rsidR="00E77292" w:rsidRPr="00E50FA4">
              <w:rPr>
                <w:rFonts w:ascii="Times New Roman" w:eastAsia="Times New Roman" w:hAnsi="Times New Roman" w:cs="Times New Roman"/>
                <w:noProof/>
                <w:sz w:val="24"/>
                <w:lang w:val="en-GB"/>
              </w:rPr>
              <w:t xml:space="preserve"> of </w:t>
            </w:r>
            <w:r w:rsidR="00C021CB" w:rsidRPr="00E50FA4">
              <w:rPr>
                <w:rFonts w:ascii="Times New Roman" w:eastAsia="Times New Roman" w:hAnsi="Times New Roman" w:cs="Times New Roman"/>
                <w:noProof/>
                <w:sz w:val="24"/>
                <w:lang w:val="en-GB"/>
              </w:rPr>
              <w:t>Template 7</w:t>
            </w:r>
            <w:r w:rsidR="00E77292" w:rsidRPr="00E50FA4">
              <w:rPr>
                <w:rFonts w:ascii="Times New Roman" w:eastAsia="Times New Roman" w:hAnsi="Times New Roman" w:cs="Times New Roman"/>
                <w:noProof/>
                <w:sz w:val="24"/>
                <w:lang w:val="en-GB"/>
              </w:rPr>
              <w:t>.</w:t>
            </w:r>
          </w:p>
        </w:tc>
      </w:tr>
      <w:tr w:rsidR="00E77292" w:rsidRPr="00E50FA4" w14:paraId="425C4E66" w14:textId="77777777" w:rsidTr="00BA313D">
        <w:tc>
          <w:tcPr>
            <w:tcW w:w="1188" w:type="dxa"/>
            <w:tcBorders>
              <w:top w:val="single" w:sz="4" w:space="0" w:color="auto"/>
              <w:left w:val="single" w:sz="4" w:space="0" w:color="auto"/>
              <w:bottom w:val="single" w:sz="4" w:space="0" w:color="auto"/>
              <w:right w:val="single" w:sz="4" w:space="0" w:color="auto"/>
            </w:tcBorders>
          </w:tcPr>
          <w:p w14:paraId="500B4E00"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8</w:t>
            </w:r>
          </w:p>
        </w:tc>
        <w:tc>
          <w:tcPr>
            <w:tcW w:w="7879" w:type="dxa"/>
            <w:tcBorders>
              <w:top w:val="single" w:sz="4" w:space="0" w:color="auto"/>
              <w:left w:val="single" w:sz="4" w:space="0" w:color="auto"/>
              <w:bottom w:val="single" w:sz="4" w:space="0" w:color="auto"/>
              <w:right w:val="single" w:sz="4" w:space="0" w:color="auto"/>
            </w:tcBorders>
          </w:tcPr>
          <w:p w14:paraId="5CBC287F"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 xml:space="preserve">Of which: insurance </w:t>
            </w:r>
            <w:r w:rsidR="005A610A" w:rsidRPr="00E50FA4">
              <w:rPr>
                <w:rFonts w:ascii="Times New Roman" w:eastAsia="Times New Roman" w:hAnsi="Times New Roman" w:cs="Times New Roman"/>
                <w:b/>
                <w:noProof/>
                <w:sz w:val="24"/>
                <w:u w:val="single"/>
                <w:lang w:val="en-GB"/>
              </w:rPr>
              <w:t>un</w:t>
            </w:r>
            <w:r w:rsidR="00903F9E" w:rsidRPr="00E50FA4">
              <w:rPr>
                <w:rFonts w:ascii="Times New Roman" w:eastAsia="Times New Roman" w:hAnsi="Times New Roman" w:cs="Times New Roman"/>
                <w:b/>
                <w:noProof/>
                <w:sz w:val="24"/>
                <w:u w:val="single"/>
                <w:lang w:val="en-GB"/>
              </w:rPr>
              <w:t>d</w:t>
            </w:r>
            <w:r w:rsidR="005A610A" w:rsidRPr="00E50FA4">
              <w:rPr>
                <w:rFonts w:ascii="Times New Roman" w:eastAsia="Times New Roman" w:hAnsi="Times New Roman" w:cs="Times New Roman"/>
                <w:b/>
                <w:noProof/>
                <w:sz w:val="24"/>
                <w:u w:val="single"/>
                <w:lang w:val="en-GB"/>
              </w:rPr>
              <w:t>ertakings</w:t>
            </w:r>
          </w:p>
          <w:p w14:paraId="396A6974" w14:textId="77777777" w:rsidR="00E77292" w:rsidRPr="00E50FA4" w:rsidRDefault="00405A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GAR % for exposures in </w:t>
            </w:r>
            <w:r w:rsidR="00E77292" w:rsidRPr="00E50FA4">
              <w:rPr>
                <w:rFonts w:ascii="Times New Roman" w:eastAsia="Times New Roman" w:hAnsi="Times New Roman" w:cs="Times New Roman"/>
                <w:noProof/>
                <w:sz w:val="24"/>
                <w:lang w:val="en-GB"/>
              </w:rPr>
              <w:t>row 1</w:t>
            </w:r>
            <w:r w:rsidR="006644DB" w:rsidRPr="00E50FA4">
              <w:rPr>
                <w:rFonts w:ascii="Times New Roman" w:eastAsia="Times New Roman" w:hAnsi="Times New Roman" w:cs="Times New Roman"/>
                <w:noProof/>
                <w:sz w:val="24"/>
                <w:lang w:val="en-GB"/>
              </w:rPr>
              <w:t>6</w:t>
            </w:r>
            <w:r w:rsidR="00E77292" w:rsidRPr="00E50FA4">
              <w:rPr>
                <w:rFonts w:ascii="Times New Roman" w:eastAsia="Times New Roman" w:hAnsi="Times New Roman" w:cs="Times New Roman"/>
                <w:noProof/>
                <w:sz w:val="24"/>
                <w:lang w:val="en-GB"/>
              </w:rPr>
              <w:t xml:space="preserve"> of </w:t>
            </w:r>
            <w:r w:rsidR="00C021CB" w:rsidRPr="00E50FA4">
              <w:rPr>
                <w:rFonts w:ascii="Times New Roman" w:eastAsia="Times New Roman" w:hAnsi="Times New Roman" w:cs="Times New Roman"/>
                <w:noProof/>
                <w:sz w:val="24"/>
                <w:lang w:val="en-GB"/>
              </w:rPr>
              <w:t>Template 7</w:t>
            </w:r>
            <w:r w:rsidR="00E77292" w:rsidRPr="00E50FA4">
              <w:rPr>
                <w:rFonts w:ascii="Times New Roman" w:eastAsia="Times New Roman" w:hAnsi="Times New Roman" w:cs="Times New Roman"/>
                <w:noProof/>
                <w:sz w:val="24"/>
                <w:lang w:val="en-GB"/>
              </w:rPr>
              <w:t>.</w:t>
            </w:r>
          </w:p>
        </w:tc>
      </w:tr>
      <w:tr w:rsidR="00E77292" w:rsidRPr="00E50FA4" w14:paraId="31D3D51B" w14:textId="77777777" w:rsidTr="00BA313D">
        <w:tc>
          <w:tcPr>
            <w:tcW w:w="1188" w:type="dxa"/>
            <w:tcBorders>
              <w:top w:val="single" w:sz="4" w:space="0" w:color="auto"/>
              <w:left w:val="single" w:sz="4" w:space="0" w:color="auto"/>
              <w:bottom w:val="single" w:sz="4" w:space="0" w:color="auto"/>
              <w:right w:val="single" w:sz="4" w:space="0" w:color="auto"/>
            </w:tcBorders>
          </w:tcPr>
          <w:p w14:paraId="6A386EED" w14:textId="77777777" w:rsidR="00E77292" w:rsidRPr="00E50FA4" w:rsidRDefault="00405A6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9</w:t>
            </w:r>
          </w:p>
        </w:tc>
        <w:tc>
          <w:tcPr>
            <w:tcW w:w="7879" w:type="dxa"/>
            <w:tcBorders>
              <w:top w:val="single" w:sz="4" w:space="0" w:color="auto"/>
              <w:left w:val="single" w:sz="4" w:space="0" w:color="auto"/>
              <w:bottom w:val="single" w:sz="4" w:space="0" w:color="auto"/>
              <w:right w:val="single" w:sz="4" w:space="0" w:color="auto"/>
            </w:tcBorders>
          </w:tcPr>
          <w:p w14:paraId="12046C11"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NFCs subject to NFRD disclosure obligations</w:t>
            </w:r>
          </w:p>
          <w:p w14:paraId="4EB28637" w14:textId="77777777" w:rsidR="00E77292" w:rsidRPr="00E50FA4" w:rsidRDefault="00405A6B" w:rsidP="00DA390D">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GAR % for exposures in </w:t>
            </w:r>
            <w:r w:rsidR="00E77292" w:rsidRPr="00E50FA4">
              <w:rPr>
                <w:rFonts w:ascii="Times New Roman" w:eastAsia="Times New Roman" w:hAnsi="Times New Roman" w:cs="Times New Roman"/>
                <w:noProof/>
                <w:sz w:val="24"/>
                <w:lang w:val="en-GB"/>
              </w:rPr>
              <w:t>row 2</w:t>
            </w:r>
            <w:r w:rsidR="006644DB" w:rsidRPr="00E50FA4">
              <w:rPr>
                <w:rFonts w:ascii="Times New Roman" w:eastAsia="Times New Roman" w:hAnsi="Times New Roman" w:cs="Times New Roman"/>
                <w:noProof/>
                <w:sz w:val="24"/>
                <w:lang w:val="en-GB"/>
              </w:rPr>
              <w:t>0</w:t>
            </w:r>
            <w:r w:rsidR="00E77292" w:rsidRPr="00E50FA4">
              <w:rPr>
                <w:rFonts w:ascii="Times New Roman" w:eastAsia="Times New Roman" w:hAnsi="Times New Roman" w:cs="Times New Roman"/>
                <w:noProof/>
                <w:sz w:val="24"/>
                <w:lang w:val="en-GB"/>
              </w:rPr>
              <w:t xml:space="preserve"> of </w:t>
            </w:r>
            <w:r w:rsidR="00C021CB" w:rsidRPr="00E50FA4">
              <w:rPr>
                <w:rFonts w:ascii="Times New Roman" w:eastAsia="Times New Roman" w:hAnsi="Times New Roman" w:cs="Times New Roman"/>
                <w:noProof/>
                <w:sz w:val="24"/>
                <w:lang w:val="en-GB"/>
              </w:rPr>
              <w:t>Template 7</w:t>
            </w:r>
            <w:r w:rsidR="00E77292" w:rsidRPr="00E50FA4">
              <w:rPr>
                <w:rFonts w:ascii="Times New Roman" w:eastAsia="Times New Roman" w:hAnsi="Times New Roman" w:cs="Times New Roman"/>
                <w:noProof/>
                <w:sz w:val="24"/>
                <w:lang w:val="en-GB"/>
              </w:rPr>
              <w:t>.</w:t>
            </w:r>
          </w:p>
        </w:tc>
      </w:tr>
      <w:tr w:rsidR="00E77292" w:rsidRPr="00E50FA4" w14:paraId="1E3BEC6C" w14:textId="77777777" w:rsidTr="00BA313D">
        <w:tc>
          <w:tcPr>
            <w:tcW w:w="1188" w:type="dxa"/>
            <w:tcBorders>
              <w:top w:val="single" w:sz="4" w:space="0" w:color="auto"/>
              <w:left w:val="single" w:sz="4" w:space="0" w:color="auto"/>
              <w:bottom w:val="single" w:sz="4" w:space="0" w:color="auto"/>
              <w:right w:val="single" w:sz="4" w:space="0" w:color="auto"/>
            </w:tcBorders>
          </w:tcPr>
          <w:p w14:paraId="26A34095" w14:textId="77777777" w:rsidR="00E77292" w:rsidRPr="00E50FA4" w:rsidRDefault="00405A6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10</w:t>
            </w:r>
          </w:p>
        </w:tc>
        <w:tc>
          <w:tcPr>
            <w:tcW w:w="7879" w:type="dxa"/>
            <w:tcBorders>
              <w:top w:val="single" w:sz="4" w:space="0" w:color="auto"/>
              <w:left w:val="single" w:sz="4" w:space="0" w:color="auto"/>
              <w:bottom w:val="single" w:sz="4" w:space="0" w:color="auto"/>
              <w:right w:val="single" w:sz="4" w:space="0" w:color="auto"/>
            </w:tcBorders>
          </w:tcPr>
          <w:p w14:paraId="5FF14A73"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Households</w:t>
            </w:r>
          </w:p>
          <w:p w14:paraId="46C21211" w14:textId="77777777" w:rsidR="00E77292" w:rsidRPr="00E50FA4" w:rsidRDefault="00405A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GAR % for exposures in </w:t>
            </w:r>
            <w:r w:rsidR="00E77292" w:rsidRPr="00E50FA4">
              <w:rPr>
                <w:rFonts w:ascii="Times New Roman" w:eastAsia="Times New Roman" w:hAnsi="Times New Roman" w:cs="Times New Roman"/>
                <w:noProof/>
                <w:sz w:val="24"/>
                <w:lang w:val="en-GB"/>
              </w:rPr>
              <w:t xml:space="preserve">row </w:t>
            </w:r>
            <w:r w:rsidR="006644DB" w:rsidRPr="00E50FA4">
              <w:rPr>
                <w:rFonts w:ascii="Times New Roman" w:eastAsia="Times New Roman" w:hAnsi="Times New Roman" w:cs="Times New Roman"/>
                <w:noProof/>
                <w:sz w:val="24"/>
                <w:lang w:val="en-GB"/>
              </w:rPr>
              <w:t>24</w:t>
            </w:r>
            <w:r w:rsidR="00E77292" w:rsidRPr="00E50FA4">
              <w:rPr>
                <w:rFonts w:ascii="Times New Roman" w:eastAsia="Times New Roman" w:hAnsi="Times New Roman" w:cs="Times New Roman"/>
                <w:noProof/>
                <w:sz w:val="24"/>
                <w:lang w:val="en-GB"/>
              </w:rPr>
              <w:t xml:space="preserve"> of </w:t>
            </w:r>
            <w:r w:rsidR="00C021CB" w:rsidRPr="00E50FA4">
              <w:rPr>
                <w:rFonts w:ascii="Times New Roman" w:eastAsia="Times New Roman" w:hAnsi="Times New Roman" w:cs="Times New Roman"/>
                <w:noProof/>
                <w:sz w:val="24"/>
                <w:lang w:val="en-GB"/>
              </w:rPr>
              <w:t>Template 7</w:t>
            </w:r>
            <w:r w:rsidR="00E77292" w:rsidRPr="00E50FA4">
              <w:rPr>
                <w:rFonts w:ascii="Times New Roman" w:eastAsia="Times New Roman" w:hAnsi="Times New Roman" w:cs="Times New Roman"/>
                <w:noProof/>
                <w:sz w:val="24"/>
                <w:lang w:val="en-GB"/>
              </w:rPr>
              <w:t>.</w:t>
            </w:r>
          </w:p>
        </w:tc>
      </w:tr>
      <w:tr w:rsidR="00E77292" w:rsidRPr="00E50FA4" w14:paraId="112F5C20" w14:textId="77777777" w:rsidTr="00BA313D">
        <w:tc>
          <w:tcPr>
            <w:tcW w:w="1188" w:type="dxa"/>
            <w:tcBorders>
              <w:top w:val="single" w:sz="4" w:space="0" w:color="auto"/>
              <w:left w:val="single" w:sz="4" w:space="0" w:color="auto"/>
              <w:bottom w:val="single" w:sz="4" w:space="0" w:color="auto"/>
              <w:right w:val="single" w:sz="4" w:space="0" w:color="auto"/>
            </w:tcBorders>
          </w:tcPr>
          <w:p w14:paraId="7BE9A154" w14:textId="77777777" w:rsidR="00E77292" w:rsidRPr="00E50FA4" w:rsidRDefault="00405A6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11</w:t>
            </w:r>
          </w:p>
        </w:tc>
        <w:tc>
          <w:tcPr>
            <w:tcW w:w="7879" w:type="dxa"/>
            <w:tcBorders>
              <w:top w:val="single" w:sz="4" w:space="0" w:color="auto"/>
              <w:left w:val="single" w:sz="4" w:space="0" w:color="auto"/>
              <w:bottom w:val="single" w:sz="4" w:space="0" w:color="auto"/>
              <w:right w:val="single" w:sz="4" w:space="0" w:color="auto"/>
            </w:tcBorders>
          </w:tcPr>
          <w:p w14:paraId="4CDF1943"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loans collateralised by residential immovable property</w:t>
            </w:r>
          </w:p>
          <w:p w14:paraId="25D90206" w14:textId="77777777" w:rsidR="00E77292" w:rsidRPr="00E50FA4" w:rsidRDefault="00405A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GAR % for exposures in </w:t>
            </w:r>
            <w:r w:rsidR="00E77292" w:rsidRPr="00E50FA4">
              <w:rPr>
                <w:rFonts w:ascii="Times New Roman" w:eastAsia="Times New Roman" w:hAnsi="Times New Roman" w:cs="Times New Roman"/>
                <w:noProof/>
                <w:sz w:val="24"/>
                <w:lang w:val="en-GB"/>
              </w:rPr>
              <w:t xml:space="preserve">row </w:t>
            </w:r>
            <w:r w:rsidR="006644DB" w:rsidRPr="00E50FA4">
              <w:rPr>
                <w:rFonts w:ascii="Times New Roman" w:eastAsia="Times New Roman" w:hAnsi="Times New Roman" w:cs="Times New Roman"/>
                <w:noProof/>
                <w:sz w:val="24"/>
                <w:lang w:val="en-GB"/>
              </w:rPr>
              <w:t>25</w:t>
            </w:r>
            <w:r w:rsidR="00E77292" w:rsidRPr="00E50FA4">
              <w:rPr>
                <w:rFonts w:ascii="Times New Roman" w:eastAsia="Times New Roman" w:hAnsi="Times New Roman" w:cs="Times New Roman"/>
                <w:noProof/>
                <w:sz w:val="24"/>
                <w:lang w:val="en-GB"/>
              </w:rPr>
              <w:t xml:space="preserve"> of </w:t>
            </w:r>
            <w:r w:rsidR="00C021CB" w:rsidRPr="00E50FA4">
              <w:rPr>
                <w:rFonts w:ascii="Times New Roman" w:eastAsia="Times New Roman" w:hAnsi="Times New Roman" w:cs="Times New Roman"/>
                <w:noProof/>
                <w:sz w:val="24"/>
                <w:lang w:val="en-GB"/>
              </w:rPr>
              <w:t>Template 7</w:t>
            </w:r>
            <w:r w:rsidR="00E77292" w:rsidRPr="00E50FA4">
              <w:rPr>
                <w:rFonts w:ascii="Times New Roman" w:eastAsia="Times New Roman" w:hAnsi="Times New Roman" w:cs="Times New Roman"/>
                <w:noProof/>
                <w:sz w:val="24"/>
                <w:lang w:val="en-GB"/>
              </w:rPr>
              <w:t>.</w:t>
            </w:r>
          </w:p>
        </w:tc>
      </w:tr>
      <w:tr w:rsidR="00E77292" w:rsidRPr="00E50FA4" w14:paraId="289F438D" w14:textId="77777777" w:rsidTr="00BA313D">
        <w:tc>
          <w:tcPr>
            <w:tcW w:w="1188" w:type="dxa"/>
            <w:tcBorders>
              <w:top w:val="single" w:sz="4" w:space="0" w:color="auto"/>
              <w:left w:val="single" w:sz="4" w:space="0" w:color="auto"/>
              <w:bottom w:val="single" w:sz="4" w:space="0" w:color="auto"/>
              <w:right w:val="single" w:sz="4" w:space="0" w:color="auto"/>
            </w:tcBorders>
          </w:tcPr>
          <w:p w14:paraId="60EDF716"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1</w:t>
            </w:r>
            <w:r w:rsidR="00405A6B" w:rsidRPr="00E50FA4">
              <w:rPr>
                <w:rFonts w:ascii="Times New Roman" w:eastAsia="Times New Roman" w:hAnsi="Times New Roman" w:cs="Times New Roman"/>
                <w:noProof/>
                <w:sz w:val="24"/>
                <w:lang w:val="en-GB"/>
              </w:rPr>
              <w:t>2</w:t>
            </w:r>
          </w:p>
        </w:tc>
        <w:tc>
          <w:tcPr>
            <w:tcW w:w="7879" w:type="dxa"/>
            <w:tcBorders>
              <w:top w:val="single" w:sz="4" w:space="0" w:color="auto"/>
              <w:left w:val="single" w:sz="4" w:space="0" w:color="auto"/>
              <w:bottom w:val="single" w:sz="4" w:space="0" w:color="auto"/>
              <w:right w:val="single" w:sz="4" w:space="0" w:color="auto"/>
            </w:tcBorders>
          </w:tcPr>
          <w:p w14:paraId="242D016D"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building renovation loans</w:t>
            </w:r>
          </w:p>
          <w:p w14:paraId="6D9C84CB" w14:textId="77777777" w:rsidR="00E77292" w:rsidRPr="00E50FA4" w:rsidRDefault="00405A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GAR % for exposures in </w:t>
            </w:r>
            <w:r w:rsidR="00E77292" w:rsidRPr="00E50FA4">
              <w:rPr>
                <w:rFonts w:ascii="Times New Roman" w:eastAsia="Times New Roman" w:hAnsi="Times New Roman" w:cs="Times New Roman"/>
                <w:noProof/>
                <w:sz w:val="24"/>
                <w:lang w:val="en-GB"/>
              </w:rPr>
              <w:t xml:space="preserve">row </w:t>
            </w:r>
            <w:r w:rsidR="006644DB" w:rsidRPr="00E50FA4">
              <w:rPr>
                <w:rFonts w:ascii="Times New Roman" w:eastAsia="Times New Roman" w:hAnsi="Times New Roman" w:cs="Times New Roman"/>
                <w:noProof/>
                <w:sz w:val="24"/>
                <w:lang w:val="en-GB"/>
              </w:rPr>
              <w:t>26</w:t>
            </w:r>
            <w:r w:rsidR="00E77292" w:rsidRPr="00E50FA4">
              <w:rPr>
                <w:rFonts w:ascii="Times New Roman" w:eastAsia="Times New Roman" w:hAnsi="Times New Roman" w:cs="Times New Roman"/>
                <w:noProof/>
                <w:sz w:val="24"/>
                <w:lang w:val="en-GB"/>
              </w:rPr>
              <w:t xml:space="preserve"> of </w:t>
            </w:r>
            <w:r w:rsidR="00C021CB" w:rsidRPr="00E50FA4">
              <w:rPr>
                <w:rFonts w:ascii="Times New Roman" w:eastAsia="Times New Roman" w:hAnsi="Times New Roman" w:cs="Times New Roman"/>
                <w:noProof/>
                <w:sz w:val="24"/>
                <w:lang w:val="en-GB"/>
              </w:rPr>
              <w:t>Template 7</w:t>
            </w:r>
            <w:r w:rsidR="00E77292" w:rsidRPr="00E50FA4">
              <w:rPr>
                <w:rFonts w:ascii="Times New Roman" w:eastAsia="Times New Roman" w:hAnsi="Times New Roman" w:cs="Times New Roman"/>
                <w:noProof/>
                <w:sz w:val="24"/>
                <w:lang w:val="en-GB"/>
              </w:rPr>
              <w:t>.</w:t>
            </w:r>
          </w:p>
        </w:tc>
      </w:tr>
      <w:tr w:rsidR="00E77292" w:rsidRPr="00E50FA4" w14:paraId="59CD9BD9" w14:textId="77777777" w:rsidTr="00BA313D">
        <w:tc>
          <w:tcPr>
            <w:tcW w:w="1188" w:type="dxa"/>
            <w:tcBorders>
              <w:top w:val="single" w:sz="4" w:space="0" w:color="auto"/>
              <w:left w:val="single" w:sz="4" w:space="0" w:color="auto"/>
              <w:bottom w:val="single" w:sz="4" w:space="0" w:color="auto"/>
              <w:right w:val="single" w:sz="4" w:space="0" w:color="auto"/>
            </w:tcBorders>
          </w:tcPr>
          <w:p w14:paraId="00EF4FF8"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1</w:t>
            </w:r>
            <w:r w:rsidR="00405A6B" w:rsidRPr="00E50FA4">
              <w:rPr>
                <w:rFonts w:ascii="Times New Roman" w:eastAsia="Times New Roman" w:hAnsi="Times New Roman" w:cs="Times New Roman"/>
                <w:noProof/>
                <w:sz w:val="24"/>
                <w:lang w:val="en-GB"/>
              </w:rPr>
              <w:t>3</w:t>
            </w:r>
          </w:p>
        </w:tc>
        <w:tc>
          <w:tcPr>
            <w:tcW w:w="7879" w:type="dxa"/>
            <w:tcBorders>
              <w:top w:val="single" w:sz="4" w:space="0" w:color="auto"/>
              <w:left w:val="single" w:sz="4" w:space="0" w:color="auto"/>
              <w:bottom w:val="single" w:sz="4" w:space="0" w:color="auto"/>
              <w:right w:val="single" w:sz="4" w:space="0" w:color="auto"/>
            </w:tcBorders>
          </w:tcPr>
          <w:p w14:paraId="77DB851A"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motor vehicle loans</w:t>
            </w:r>
          </w:p>
          <w:p w14:paraId="3B8E3680" w14:textId="77777777" w:rsidR="00E77292" w:rsidRPr="00E50FA4" w:rsidRDefault="00405A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GAR % for exposures in </w:t>
            </w:r>
            <w:r w:rsidR="00E77292" w:rsidRPr="00E50FA4">
              <w:rPr>
                <w:rFonts w:ascii="Times New Roman" w:eastAsia="Times New Roman" w:hAnsi="Times New Roman" w:cs="Times New Roman"/>
                <w:noProof/>
                <w:sz w:val="24"/>
                <w:lang w:val="en-GB"/>
              </w:rPr>
              <w:t xml:space="preserve">row </w:t>
            </w:r>
            <w:r w:rsidR="006644DB" w:rsidRPr="00E50FA4">
              <w:rPr>
                <w:rFonts w:ascii="Times New Roman" w:eastAsia="Times New Roman" w:hAnsi="Times New Roman" w:cs="Times New Roman"/>
                <w:noProof/>
                <w:sz w:val="24"/>
                <w:lang w:val="en-GB"/>
              </w:rPr>
              <w:t>27</w:t>
            </w:r>
            <w:r w:rsidR="00E77292" w:rsidRPr="00E50FA4">
              <w:rPr>
                <w:rFonts w:ascii="Times New Roman" w:eastAsia="Times New Roman" w:hAnsi="Times New Roman" w:cs="Times New Roman"/>
                <w:noProof/>
                <w:sz w:val="24"/>
                <w:lang w:val="en-GB"/>
              </w:rPr>
              <w:t xml:space="preserve"> of </w:t>
            </w:r>
            <w:r w:rsidR="00C021CB" w:rsidRPr="00E50FA4">
              <w:rPr>
                <w:rFonts w:ascii="Times New Roman" w:eastAsia="Times New Roman" w:hAnsi="Times New Roman" w:cs="Times New Roman"/>
                <w:noProof/>
                <w:sz w:val="24"/>
                <w:lang w:val="en-GB"/>
              </w:rPr>
              <w:t>Template 7</w:t>
            </w:r>
            <w:r w:rsidR="00E77292" w:rsidRPr="00E50FA4">
              <w:rPr>
                <w:rFonts w:ascii="Times New Roman" w:eastAsia="Times New Roman" w:hAnsi="Times New Roman" w:cs="Times New Roman"/>
                <w:noProof/>
                <w:sz w:val="24"/>
                <w:lang w:val="en-GB"/>
              </w:rPr>
              <w:t>.</w:t>
            </w:r>
          </w:p>
        </w:tc>
      </w:tr>
      <w:tr w:rsidR="00E77292" w:rsidRPr="00E50FA4" w14:paraId="2D905511" w14:textId="77777777" w:rsidTr="00BA313D">
        <w:tc>
          <w:tcPr>
            <w:tcW w:w="1188" w:type="dxa"/>
            <w:tcBorders>
              <w:top w:val="single" w:sz="4" w:space="0" w:color="auto"/>
              <w:left w:val="single" w:sz="4" w:space="0" w:color="auto"/>
              <w:bottom w:val="single" w:sz="4" w:space="0" w:color="auto"/>
              <w:right w:val="single" w:sz="4" w:space="0" w:color="auto"/>
            </w:tcBorders>
          </w:tcPr>
          <w:p w14:paraId="3FE0BB62" w14:textId="77777777" w:rsidR="00E77292" w:rsidRPr="00E50FA4" w:rsidRDefault="006644D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1</w:t>
            </w:r>
            <w:r w:rsidR="00405A6B" w:rsidRPr="00E50FA4">
              <w:rPr>
                <w:rFonts w:ascii="Times New Roman" w:eastAsia="Times New Roman" w:hAnsi="Times New Roman" w:cs="Times New Roman"/>
                <w:noProof/>
                <w:sz w:val="24"/>
                <w:lang w:val="en-GB"/>
              </w:rPr>
              <w:t>4</w:t>
            </w:r>
          </w:p>
        </w:tc>
        <w:tc>
          <w:tcPr>
            <w:tcW w:w="7879" w:type="dxa"/>
            <w:tcBorders>
              <w:top w:val="single" w:sz="4" w:space="0" w:color="auto"/>
              <w:left w:val="single" w:sz="4" w:space="0" w:color="auto"/>
              <w:bottom w:val="single" w:sz="4" w:space="0" w:color="auto"/>
              <w:right w:val="single" w:sz="4" w:space="0" w:color="auto"/>
            </w:tcBorders>
          </w:tcPr>
          <w:p w14:paraId="2B81797E"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Local government</w:t>
            </w:r>
            <w:r w:rsidR="006644DB" w:rsidRPr="00E50FA4">
              <w:rPr>
                <w:rFonts w:ascii="Times New Roman" w:eastAsia="Times New Roman" w:hAnsi="Times New Roman" w:cs="Times New Roman"/>
                <w:b/>
                <w:noProof/>
                <w:sz w:val="24"/>
                <w:u w:val="single"/>
                <w:lang w:val="en-GB"/>
              </w:rPr>
              <w:t xml:space="preserve"> financing</w:t>
            </w:r>
          </w:p>
          <w:p w14:paraId="211E96EA" w14:textId="77777777" w:rsidR="00E77292" w:rsidRPr="00E50FA4" w:rsidRDefault="00405A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GAR % for exposures in </w:t>
            </w:r>
            <w:r w:rsidR="00E77292" w:rsidRPr="00E50FA4">
              <w:rPr>
                <w:rFonts w:ascii="Times New Roman" w:eastAsia="Times New Roman" w:hAnsi="Times New Roman" w:cs="Times New Roman"/>
                <w:noProof/>
                <w:sz w:val="24"/>
                <w:lang w:val="en-GB"/>
              </w:rPr>
              <w:t xml:space="preserve">row </w:t>
            </w:r>
            <w:r w:rsidR="006644DB" w:rsidRPr="00E50FA4">
              <w:rPr>
                <w:rFonts w:ascii="Times New Roman" w:eastAsia="Times New Roman" w:hAnsi="Times New Roman" w:cs="Times New Roman"/>
                <w:noProof/>
                <w:sz w:val="24"/>
                <w:lang w:val="en-GB"/>
              </w:rPr>
              <w:t>28</w:t>
            </w:r>
            <w:r w:rsidR="00E77292" w:rsidRPr="00E50FA4">
              <w:rPr>
                <w:rFonts w:ascii="Times New Roman" w:eastAsia="Times New Roman" w:hAnsi="Times New Roman" w:cs="Times New Roman"/>
                <w:noProof/>
                <w:sz w:val="24"/>
                <w:lang w:val="en-GB"/>
              </w:rPr>
              <w:t xml:space="preserve"> of </w:t>
            </w:r>
            <w:r w:rsidR="00C021CB" w:rsidRPr="00E50FA4">
              <w:rPr>
                <w:rFonts w:ascii="Times New Roman" w:eastAsia="Times New Roman" w:hAnsi="Times New Roman" w:cs="Times New Roman"/>
                <w:noProof/>
                <w:sz w:val="24"/>
                <w:lang w:val="en-GB"/>
              </w:rPr>
              <w:t>Template 7</w:t>
            </w:r>
            <w:r w:rsidR="00E77292" w:rsidRPr="00E50FA4">
              <w:rPr>
                <w:rFonts w:ascii="Times New Roman" w:eastAsia="Times New Roman" w:hAnsi="Times New Roman" w:cs="Times New Roman"/>
                <w:noProof/>
                <w:sz w:val="24"/>
                <w:lang w:val="en-GB"/>
              </w:rPr>
              <w:t>.</w:t>
            </w:r>
          </w:p>
        </w:tc>
      </w:tr>
      <w:tr w:rsidR="006644DB" w:rsidRPr="00E50FA4" w14:paraId="772B1D71" w14:textId="77777777" w:rsidTr="00BA313D">
        <w:tc>
          <w:tcPr>
            <w:tcW w:w="1188" w:type="dxa"/>
            <w:tcBorders>
              <w:top w:val="single" w:sz="4" w:space="0" w:color="auto"/>
              <w:left w:val="single" w:sz="4" w:space="0" w:color="auto"/>
              <w:bottom w:val="single" w:sz="4" w:space="0" w:color="auto"/>
              <w:right w:val="single" w:sz="4" w:space="0" w:color="auto"/>
            </w:tcBorders>
          </w:tcPr>
          <w:p w14:paraId="151C40A6" w14:textId="77777777" w:rsidR="006644DB" w:rsidRPr="00E50FA4" w:rsidRDefault="006644D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1</w:t>
            </w:r>
            <w:r w:rsidR="00405A6B" w:rsidRPr="00E50FA4">
              <w:rPr>
                <w:rFonts w:ascii="Times New Roman" w:eastAsia="Times New Roman" w:hAnsi="Times New Roman" w:cs="Times New Roman"/>
                <w:noProof/>
                <w:sz w:val="24"/>
                <w:lang w:val="en-GB"/>
              </w:rPr>
              <w:t>5</w:t>
            </w:r>
          </w:p>
        </w:tc>
        <w:tc>
          <w:tcPr>
            <w:tcW w:w="7879" w:type="dxa"/>
            <w:tcBorders>
              <w:top w:val="single" w:sz="4" w:space="0" w:color="auto"/>
              <w:left w:val="single" w:sz="4" w:space="0" w:color="auto"/>
              <w:bottom w:val="single" w:sz="4" w:space="0" w:color="auto"/>
              <w:right w:val="single" w:sz="4" w:space="0" w:color="auto"/>
            </w:tcBorders>
          </w:tcPr>
          <w:p w14:paraId="77E8E11D" w14:textId="77777777" w:rsidR="006644DB" w:rsidRPr="00E50FA4" w:rsidRDefault="006644D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Housing financing</w:t>
            </w:r>
          </w:p>
          <w:p w14:paraId="3C111A4F" w14:textId="77777777" w:rsidR="006644DB" w:rsidRPr="00E50FA4" w:rsidRDefault="00405A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GAR % for exposures in </w:t>
            </w:r>
            <w:r w:rsidR="006644DB" w:rsidRPr="00E50FA4">
              <w:rPr>
                <w:rFonts w:ascii="Times New Roman" w:eastAsia="Times New Roman" w:hAnsi="Times New Roman" w:cs="Times New Roman"/>
                <w:noProof/>
                <w:sz w:val="24"/>
                <w:lang w:val="en-GB"/>
              </w:rPr>
              <w:t xml:space="preserve">row 29 of </w:t>
            </w:r>
            <w:r w:rsidR="00C021CB" w:rsidRPr="00E50FA4">
              <w:rPr>
                <w:rFonts w:ascii="Times New Roman" w:eastAsia="Times New Roman" w:hAnsi="Times New Roman" w:cs="Times New Roman"/>
                <w:noProof/>
                <w:sz w:val="24"/>
                <w:lang w:val="en-GB"/>
              </w:rPr>
              <w:t>Template 7</w:t>
            </w:r>
            <w:r w:rsidR="006644DB" w:rsidRPr="00E50FA4">
              <w:rPr>
                <w:rFonts w:ascii="Times New Roman" w:eastAsia="Times New Roman" w:hAnsi="Times New Roman" w:cs="Times New Roman"/>
                <w:noProof/>
                <w:sz w:val="24"/>
                <w:lang w:val="en-GB"/>
              </w:rPr>
              <w:t>.</w:t>
            </w:r>
          </w:p>
        </w:tc>
      </w:tr>
      <w:tr w:rsidR="006644DB" w:rsidRPr="00E50FA4" w14:paraId="6584A633" w14:textId="77777777" w:rsidTr="00BA313D">
        <w:tc>
          <w:tcPr>
            <w:tcW w:w="1188" w:type="dxa"/>
            <w:tcBorders>
              <w:top w:val="single" w:sz="4" w:space="0" w:color="auto"/>
              <w:left w:val="single" w:sz="4" w:space="0" w:color="auto"/>
              <w:bottom w:val="single" w:sz="4" w:space="0" w:color="auto"/>
              <w:right w:val="single" w:sz="4" w:space="0" w:color="auto"/>
            </w:tcBorders>
          </w:tcPr>
          <w:p w14:paraId="4C156299" w14:textId="77777777" w:rsidR="006644DB" w:rsidRPr="00E50FA4" w:rsidRDefault="006644DB"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1</w:t>
            </w:r>
            <w:r w:rsidR="00405A6B" w:rsidRPr="00E50FA4">
              <w:rPr>
                <w:rFonts w:ascii="Times New Roman" w:eastAsia="Times New Roman" w:hAnsi="Times New Roman" w:cs="Times New Roman"/>
                <w:noProof/>
                <w:sz w:val="24"/>
                <w:lang w:val="en-GB"/>
              </w:rPr>
              <w:t>6</w:t>
            </w:r>
          </w:p>
        </w:tc>
        <w:tc>
          <w:tcPr>
            <w:tcW w:w="7879" w:type="dxa"/>
            <w:tcBorders>
              <w:top w:val="single" w:sz="4" w:space="0" w:color="auto"/>
              <w:left w:val="single" w:sz="4" w:space="0" w:color="auto"/>
              <w:bottom w:val="single" w:sz="4" w:space="0" w:color="auto"/>
              <w:right w:val="single" w:sz="4" w:space="0" w:color="auto"/>
            </w:tcBorders>
          </w:tcPr>
          <w:p w14:paraId="6B746CCF" w14:textId="77777777" w:rsidR="006644DB" w:rsidRPr="00E50FA4" w:rsidRDefault="006644D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Other local government financing</w:t>
            </w:r>
          </w:p>
          <w:p w14:paraId="6C7F2A3F" w14:textId="77777777" w:rsidR="006644DB" w:rsidRPr="00E50FA4" w:rsidRDefault="00405A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GAR % for exposures in </w:t>
            </w:r>
            <w:r w:rsidR="006644DB" w:rsidRPr="00E50FA4">
              <w:rPr>
                <w:rFonts w:ascii="Times New Roman" w:eastAsia="Times New Roman" w:hAnsi="Times New Roman" w:cs="Times New Roman"/>
                <w:noProof/>
                <w:sz w:val="24"/>
                <w:lang w:val="en-GB"/>
              </w:rPr>
              <w:t xml:space="preserve">row 30 of </w:t>
            </w:r>
            <w:r w:rsidR="00C021CB" w:rsidRPr="00E50FA4">
              <w:rPr>
                <w:rFonts w:ascii="Times New Roman" w:eastAsia="Times New Roman" w:hAnsi="Times New Roman" w:cs="Times New Roman"/>
                <w:noProof/>
                <w:sz w:val="24"/>
                <w:lang w:val="en-GB"/>
              </w:rPr>
              <w:t>Template 7</w:t>
            </w:r>
            <w:r w:rsidR="006644DB" w:rsidRPr="00E50FA4">
              <w:rPr>
                <w:rFonts w:ascii="Times New Roman" w:eastAsia="Times New Roman" w:hAnsi="Times New Roman" w:cs="Times New Roman"/>
                <w:noProof/>
                <w:sz w:val="24"/>
                <w:lang w:val="en-GB"/>
              </w:rPr>
              <w:t>.</w:t>
            </w:r>
          </w:p>
        </w:tc>
      </w:tr>
      <w:tr w:rsidR="00E77292" w:rsidRPr="00E50FA4" w14:paraId="0B54624A" w14:textId="77777777" w:rsidTr="00BA313D">
        <w:tc>
          <w:tcPr>
            <w:tcW w:w="1188" w:type="dxa"/>
            <w:tcBorders>
              <w:top w:val="single" w:sz="4" w:space="0" w:color="auto"/>
              <w:left w:val="single" w:sz="4" w:space="0" w:color="auto"/>
              <w:bottom w:val="single" w:sz="4" w:space="0" w:color="auto"/>
              <w:right w:val="single" w:sz="4" w:space="0" w:color="auto"/>
            </w:tcBorders>
          </w:tcPr>
          <w:p w14:paraId="2CE8E159"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1</w:t>
            </w:r>
            <w:r w:rsidR="00405A6B" w:rsidRPr="00E50FA4">
              <w:rPr>
                <w:rFonts w:ascii="Times New Roman" w:eastAsia="Times New Roman" w:hAnsi="Times New Roman" w:cs="Times New Roman"/>
                <w:noProof/>
                <w:sz w:val="24"/>
                <w:lang w:val="en-GB"/>
              </w:rPr>
              <w:t>7</w:t>
            </w:r>
          </w:p>
        </w:tc>
        <w:tc>
          <w:tcPr>
            <w:tcW w:w="7879" w:type="dxa"/>
            <w:tcBorders>
              <w:top w:val="single" w:sz="4" w:space="0" w:color="auto"/>
              <w:left w:val="single" w:sz="4" w:space="0" w:color="auto"/>
              <w:bottom w:val="single" w:sz="4" w:space="0" w:color="auto"/>
              <w:right w:val="single" w:sz="4" w:space="0" w:color="auto"/>
            </w:tcBorders>
          </w:tcPr>
          <w:p w14:paraId="7D19DF9B"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Collateral obtained by taking possession: residential and commercial immovable properties</w:t>
            </w:r>
          </w:p>
          <w:p w14:paraId="64A43A10" w14:textId="77777777" w:rsidR="00E77292" w:rsidRPr="00E50FA4" w:rsidRDefault="00405A6B"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noProof/>
                <w:sz w:val="24"/>
                <w:lang w:val="en-GB"/>
              </w:rPr>
              <w:t xml:space="preserve">GAR % for exposures in </w:t>
            </w:r>
            <w:r w:rsidR="00E77292" w:rsidRPr="00E50FA4">
              <w:rPr>
                <w:rFonts w:ascii="Times New Roman" w:eastAsia="Times New Roman" w:hAnsi="Times New Roman" w:cs="Times New Roman"/>
                <w:noProof/>
                <w:sz w:val="24"/>
                <w:lang w:val="en-GB"/>
              </w:rPr>
              <w:t>row 3</w:t>
            </w:r>
            <w:r w:rsidR="006644DB" w:rsidRPr="00E50FA4">
              <w:rPr>
                <w:rFonts w:ascii="Times New Roman" w:eastAsia="Times New Roman" w:hAnsi="Times New Roman" w:cs="Times New Roman"/>
                <w:noProof/>
                <w:sz w:val="24"/>
                <w:lang w:val="en-GB"/>
              </w:rPr>
              <w:t>1</w:t>
            </w:r>
            <w:r w:rsidR="00E77292" w:rsidRPr="00E50FA4">
              <w:rPr>
                <w:rFonts w:ascii="Times New Roman" w:eastAsia="Times New Roman" w:hAnsi="Times New Roman" w:cs="Times New Roman"/>
                <w:noProof/>
                <w:sz w:val="24"/>
                <w:lang w:val="en-GB"/>
              </w:rPr>
              <w:t xml:space="preserve"> of </w:t>
            </w:r>
            <w:r w:rsidR="00C021CB" w:rsidRPr="00E50FA4">
              <w:rPr>
                <w:rFonts w:ascii="Times New Roman" w:eastAsia="Times New Roman" w:hAnsi="Times New Roman" w:cs="Times New Roman"/>
                <w:noProof/>
                <w:sz w:val="24"/>
                <w:lang w:val="en-GB"/>
              </w:rPr>
              <w:t>Template 7</w:t>
            </w:r>
            <w:r w:rsidR="00E77292" w:rsidRPr="00E50FA4">
              <w:rPr>
                <w:rFonts w:ascii="Times New Roman" w:eastAsia="Times New Roman" w:hAnsi="Times New Roman" w:cs="Times New Roman"/>
                <w:noProof/>
                <w:sz w:val="24"/>
                <w:lang w:val="en-GB"/>
              </w:rPr>
              <w:t>.</w:t>
            </w:r>
          </w:p>
        </w:tc>
      </w:tr>
    </w:tbl>
    <w:p w14:paraId="3F4B68A1" w14:textId="77777777" w:rsidR="00E77292" w:rsidRPr="00E50FA4" w:rsidRDefault="00E77292" w:rsidP="00D35812">
      <w:pPr>
        <w:spacing w:before="120" w:after="120"/>
        <w:jc w:val="both"/>
        <w:rPr>
          <w:rFonts w:ascii="Times New Roman" w:hAnsi="Times New Roman"/>
          <w:noProof/>
          <w:sz w:val="24"/>
          <w:lang w:val="en-GB"/>
        </w:rPr>
      </w:pPr>
    </w:p>
    <w:p w14:paraId="4AF9C7B9" w14:textId="77777777" w:rsidR="00EF63C8" w:rsidRPr="00E50FA4" w:rsidRDefault="00EF63C8" w:rsidP="00D35812">
      <w:pPr>
        <w:jc w:val="both"/>
        <w:rPr>
          <w:rFonts w:ascii="Times New Roman" w:hAnsi="Times New Roman" w:cs="Times New Roman"/>
          <w:b/>
          <w:noProof/>
          <w:sz w:val="24"/>
          <w:lang w:val="en-GB"/>
        </w:rPr>
      </w:pPr>
      <w:r w:rsidRPr="00E50FA4">
        <w:rPr>
          <w:rFonts w:ascii="Times New Roman" w:hAnsi="Times New Roman" w:cs="Times New Roman"/>
          <w:b/>
          <w:noProof/>
          <w:sz w:val="24"/>
          <w:lang w:val="en-GB"/>
        </w:rPr>
        <w:t>Template 9 - Mitigating actions: BTAR</w:t>
      </w:r>
    </w:p>
    <w:p w14:paraId="6B6FD8E0" w14:textId="77777777" w:rsidR="002812BA" w:rsidRPr="00E50FA4" w:rsidRDefault="002812BA" w:rsidP="00D35812">
      <w:pPr>
        <w:jc w:val="both"/>
        <w:rPr>
          <w:rFonts w:ascii="Times New Roman" w:hAnsi="Times New Roman" w:cs="Times New Roman"/>
          <w:b/>
          <w:noProof/>
          <w:sz w:val="24"/>
          <w:lang w:val="en-GB"/>
        </w:rPr>
      </w:pPr>
    </w:p>
    <w:p w14:paraId="3CDFECF5" w14:textId="478D083E" w:rsidR="00C71E7E" w:rsidRPr="00E50FA4" w:rsidRDefault="000F056B" w:rsidP="00085549">
      <w:pPr>
        <w:pStyle w:val="ListParagraph"/>
        <w:numPr>
          <w:ilvl w:val="0"/>
          <w:numId w:val="66"/>
        </w:numPr>
        <w:tabs>
          <w:tab w:val="left" w:pos="567"/>
        </w:tabs>
        <w:ind w:left="0" w:firstLine="0"/>
        <w:jc w:val="both"/>
        <w:rPr>
          <w:rFonts w:ascii="Times New Roman" w:hAnsi="Times New Roman"/>
          <w:noProof/>
          <w:sz w:val="24"/>
        </w:rPr>
      </w:pPr>
      <w:r w:rsidRPr="00E50FA4">
        <w:rPr>
          <w:rFonts w:ascii="Times New Roman" w:hAnsi="Times New Roman"/>
          <w:noProof/>
          <w:sz w:val="24"/>
        </w:rPr>
        <w:t xml:space="preserve">Article 9 of </w:t>
      </w:r>
      <w:r w:rsidR="00C71E7E" w:rsidRPr="00E50FA4">
        <w:rPr>
          <w:rFonts w:ascii="Times New Roman" w:hAnsi="Times New Roman"/>
          <w:noProof/>
          <w:sz w:val="24"/>
        </w:rPr>
        <w:t xml:space="preserve">Implementing Regulation (EU) 2021/2178 provides that the Commission </w:t>
      </w:r>
      <w:r w:rsidR="00B76863" w:rsidRPr="00E50FA4">
        <w:rPr>
          <w:rFonts w:ascii="Times New Roman" w:hAnsi="Times New Roman"/>
          <w:noProof/>
          <w:sz w:val="24"/>
        </w:rPr>
        <w:t>reviews the</w:t>
      </w:r>
      <w:r w:rsidR="00C71E7E" w:rsidRPr="00E50FA4">
        <w:rPr>
          <w:rFonts w:ascii="Times New Roman" w:hAnsi="Times New Roman"/>
          <w:noProof/>
          <w:sz w:val="24"/>
        </w:rPr>
        <w:t xml:space="preserve"> application of th</w:t>
      </w:r>
      <w:r w:rsidR="0073529E" w:rsidRPr="00E50FA4">
        <w:rPr>
          <w:rFonts w:ascii="Times New Roman" w:hAnsi="Times New Roman"/>
          <w:noProof/>
          <w:sz w:val="24"/>
        </w:rPr>
        <w:t xml:space="preserve">at </w:t>
      </w:r>
      <w:r w:rsidR="00C71E7E" w:rsidRPr="00E50FA4">
        <w:rPr>
          <w:rFonts w:ascii="Times New Roman" w:hAnsi="Times New Roman"/>
          <w:noProof/>
          <w:sz w:val="24"/>
        </w:rPr>
        <w:t>Regulation</w:t>
      </w:r>
      <w:r w:rsidR="0073529E" w:rsidRPr="00E50FA4">
        <w:rPr>
          <w:rFonts w:ascii="Times New Roman" w:hAnsi="Times New Roman"/>
          <w:noProof/>
          <w:sz w:val="24"/>
        </w:rPr>
        <w:t xml:space="preserve"> by 30 June 2024</w:t>
      </w:r>
      <w:r w:rsidR="00C71E7E" w:rsidRPr="00E50FA4">
        <w:rPr>
          <w:rFonts w:ascii="Times New Roman" w:hAnsi="Times New Roman"/>
          <w:noProof/>
          <w:sz w:val="24"/>
        </w:rPr>
        <w:t>. The Commission is to assess in particular the need for any further amendments with regard</w:t>
      </w:r>
      <w:r w:rsidR="001077C6" w:rsidRPr="00E50FA4">
        <w:rPr>
          <w:rFonts w:ascii="Times New Roman" w:hAnsi="Times New Roman"/>
          <w:noProof/>
          <w:sz w:val="24"/>
        </w:rPr>
        <w:t>s</w:t>
      </w:r>
      <w:r w:rsidR="00C71E7E" w:rsidRPr="00E50FA4">
        <w:rPr>
          <w:rFonts w:ascii="Times New Roman" w:hAnsi="Times New Roman"/>
          <w:noProof/>
          <w:sz w:val="24"/>
        </w:rPr>
        <w:t xml:space="preserve"> to the inclusion of:</w:t>
      </w:r>
    </w:p>
    <w:p w14:paraId="759235E9" w14:textId="3A60C327" w:rsidR="00C71E7E" w:rsidRPr="00E50FA4" w:rsidRDefault="00C71E7E" w:rsidP="00085549">
      <w:pPr>
        <w:ind w:left="567" w:hanging="567"/>
        <w:jc w:val="both"/>
        <w:rPr>
          <w:rFonts w:ascii="Times New Roman" w:hAnsi="Times New Roman" w:cs="Times New Roman"/>
          <w:noProof/>
          <w:sz w:val="24"/>
          <w:lang w:val="en-GB"/>
        </w:rPr>
      </w:pPr>
      <w:r w:rsidRPr="00E50FA4">
        <w:rPr>
          <w:rFonts w:ascii="Times New Roman" w:hAnsi="Times New Roman" w:cs="Times New Roman"/>
          <w:noProof/>
          <w:sz w:val="24"/>
          <w:lang w:val="en-GB"/>
        </w:rPr>
        <w:t>(a)</w:t>
      </w:r>
      <w:r w:rsidR="00085549" w:rsidRPr="00E50FA4">
        <w:rPr>
          <w:rFonts w:ascii="Times New Roman" w:hAnsi="Times New Roman" w:cs="Times New Roman"/>
          <w:noProof/>
          <w:sz w:val="24"/>
          <w:lang w:val="en-GB"/>
        </w:rPr>
        <w:tab/>
      </w:r>
      <w:r w:rsidRPr="00E50FA4">
        <w:rPr>
          <w:rFonts w:ascii="Times New Roman" w:hAnsi="Times New Roman" w:cs="Times New Roman"/>
          <w:noProof/>
          <w:sz w:val="24"/>
          <w:lang w:val="en-GB"/>
        </w:rPr>
        <w:t>exposures to central governments and central banks in the numerator and denominator of key performance indicators of financial undertakings;</w:t>
      </w:r>
    </w:p>
    <w:p w14:paraId="052B33B8" w14:textId="2D2B90E0" w:rsidR="00C71E7E" w:rsidRPr="00E50FA4" w:rsidRDefault="00C71E7E" w:rsidP="00085549">
      <w:pPr>
        <w:ind w:left="567" w:hanging="567"/>
        <w:jc w:val="both"/>
        <w:rPr>
          <w:rFonts w:ascii="Times New Roman" w:hAnsi="Times New Roman" w:cs="Times New Roman"/>
          <w:noProof/>
          <w:sz w:val="24"/>
          <w:lang w:val="en-GB"/>
        </w:rPr>
      </w:pPr>
      <w:r w:rsidRPr="00E50FA4">
        <w:rPr>
          <w:rFonts w:ascii="Times New Roman" w:hAnsi="Times New Roman" w:cs="Times New Roman"/>
          <w:noProof/>
          <w:sz w:val="24"/>
          <w:lang w:val="en-GB"/>
        </w:rPr>
        <w:t>(b)</w:t>
      </w:r>
      <w:r w:rsidR="00085549" w:rsidRPr="00E50FA4">
        <w:rPr>
          <w:rFonts w:ascii="Times New Roman" w:hAnsi="Times New Roman" w:cs="Times New Roman"/>
          <w:noProof/>
          <w:sz w:val="24"/>
          <w:lang w:val="en-GB"/>
        </w:rPr>
        <w:tab/>
      </w:r>
      <w:r w:rsidRPr="00E50FA4">
        <w:rPr>
          <w:rFonts w:ascii="Times New Roman" w:hAnsi="Times New Roman" w:cs="Times New Roman"/>
          <w:noProof/>
          <w:sz w:val="24"/>
          <w:lang w:val="en-GB"/>
        </w:rPr>
        <w:t>exposures to undertakings that do not publish a non-financial statement pursuant to Articles 19a or 29a of Directive 2013/34/EU in the numerator of key performance indicators of financial undertakings.</w:t>
      </w:r>
    </w:p>
    <w:p w14:paraId="656BC7EC" w14:textId="51BD745A" w:rsidR="00EF3EEA" w:rsidRPr="00E50FA4" w:rsidRDefault="007E7531" w:rsidP="00B76863">
      <w:pPr>
        <w:pStyle w:val="ListParagraph"/>
        <w:numPr>
          <w:ilvl w:val="0"/>
          <w:numId w:val="67"/>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I</w:t>
      </w:r>
      <w:r w:rsidR="00EF3EEA" w:rsidRPr="00E50FA4">
        <w:rPr>
          <w:rFonts w:ascii="Times New Roman" w:hAnsi="Times New Roman"/>
          <w:noProof/>
          <w:sz w:val="24"/>
        </w:rPr>
        <w:t xml:space="preserve">nstitutions </w:t>
      </w:r>
      <w:r w:rsidRPr="00E50FA4">
        <w:rPr>
          <w:rFonts w:ascii="Times New Roman" w:hAnsi="Times New Roman"/>
          <w:noProof/>
          <w:sz w:val="24"/>
        </w:rPr>
        <w:t xml:space="preserve">may choose to </w:t>
      </w:r>
      <w:r w:rsidR="00EF3EEA" w:rsidRPr="00E50FA4">
        <w:rPr>
          <w:rFonts w:ascii="Times New Roman" w:hAnsi="Times New Roman"/>
          <w:noProof/>
          <w:sz w:val="24"/>
        </w:rPr>
        <w:t>include in this template</w:t>
      </w:r>
      <w:r w:rsidR="00C06AA4" w:rsidRPr="00E50FA4">
        <w:rPr>
          <w:rFonts w:ascii="Times New Roman" w:hAnsi="Times New Roman"/>
          <w:noProof/>
          <w:sz w:val="24"/>
        </w:rPr>
        <w:t xml:space="preserve"> the following information.</w:t>
      </w:r>
      <w:r w:rsidR="00EF3EEA" w:rsidRPr="00E50FA4">
        <w:rPr>
          <w:rFonts w:ascii="Times New Roman" w:hAnsi="Times New Roman"/>
          <w:noProof/>
          <w:sz w:val="24"/>
        </w:rPr>
        <w:t xml:space="preserve"> </w:t>
      </w:r>
      <w:r w:rsidR="00C06AA4" w:rsidRPr="00E50FA4">
        <w:rPr>
          <w:rFonts w:ascii="Times New Roman" w:hAnsi="Times New Roman"/>
          <w:noProof/>
          <w:sz w:val="24"/>
        </w:rPr>
        <w:t xml:space="preserve">For </w:t>
      </w:r>
      <w:r w:rsidR="00EF3EEA" w:rsidRPr="00E50FA4">
        <w:rPr>
          <w:rFonts w:ascii="Times New Roman" w:hAnsi="Times New Roman"/>
          <w:noProof/>
          <w:sz w:val="24"/>
        </w:rPr>
        <w:t>those counterparties that</w:t>
      </w:r>
      <w:r w:rsidR="008116D5" w:rsidRPr="00E50FA4">
        <w:rPr>
          <w:rFonts w:ascii="Times New Roman" w:hAnsi="Times New Roman"/>
          <w:noProof/>
          <w:sz w:val="24"/>
        </w:rPr>
        <w:t xml:space="preserve"> are non-financial corporates and</w:t>
      </w:r>
      <w:r w:rsidR="00EF3EEA" w:rsidRPr="00E50FA4">
        <w:rPr>
          <w:rFonts w:ascii="Times New Roman" w:hAnsi="Times New Roman"/>
          <w:noProof/>
          <w:sz w:val="24"/>
        </w:rPr>
        <w:t xml:space="preserve"> do not have disclosure obligations</w:t>
      </w:r>
      <w:r w:rsidR="00C06AA4" w:rsidRPr="00E50FA4">
        <w:rPr>
          <w:rFonts w:ascii="Times New Roman" w:hAnsi="Times New Roman"/>
          <w:noProof/>
          <w:sz w:val="24"/>
        </w:rPr>
        <w:t>, institutions may disclose,</w:t>
      </w:r>
      <w:r w:rsidRPr="00E50FA4">
        <w:rPr>
          <w:rFonts w:ascii="Times New Roman" w:hAnsi="Times New Roman"/>
          <w:noProof/>
          <w:sz w:val="24"/>
        </w:rPr>
        <w:t xml:space="preserve"> </w:t>
      </w:r>
      <w:r w:rsidR="00EF3EEA" w:rsidRPr="00E50FA4">
        <w:rPr>
          <w:rFonts w:ascii="Times New Roman" w:hAnsi="Times New Roman"/>
          <w:noProof/>
          <w:sz w:val="24"/>
        </w:rPr>
        <w:t xml:space="preserve">on a </w:t>
      </w:r>
      <w:r w:rsidRPr="00E50FA4">
        <w:rPr>
          <w:rFonts w:ascii="Times New Roman" w:hAnsi="Times New Roman"/>
          <w:noProof/>
          <w:sz w:val="24"/>
        </w:rPr>
        <w:t xml:space="preserve">reasonable </w:t>
      </w:r>
      <w:r w:rsidR="00EF3EEA" w:rsidRPr="00E50FA4">
        <w:rPr>
          <w:rFonts w:ascii="Times New Roman" w:hAnsi="Times New Roman"/>
          <w:noProof/>
          <w:sz w:val="24"/>
        </w:rPr>
        <w:t>effort basis an</w:t>
      </w:r>
      <w:r w:rsidR="008116D5" w:rsidRPr="00E50FA4">
        <w:rPr>
          <w:rFonts w:ascii="Times New Roman" w:hAnsi="Times New Roman"/>
          <w:noProof/>
          <w:sz w:val="24"/>
        </w:rPr>
        <w:t>d</w:t>
      </w:r>
      <w:r w:rsidR="00EF3EEA" w:rsidRPr="00E50FA4">
        <w:rPr>
          <w:rFonts w:ascii="Times New Roman" w:hAnsi="Times New Roman"/>
          <w:noProof/>
          <w:sz w:val="24"/>
        </w:rPr>
        <w:t xml:space="preserve"> based on information </w:t>
      </w:r>
      <w:r w:rsidRPr="00E50FA4">
        <w:rPr>
          <w:rFonts w:ascii="Times New Roman" w:hAnsi="Times New Roman"/>
          <w:noProof/>
          <w:sz w:val="24"/>
        </w:rPr>
        <w:t xml:space="preserve">already available and </w:t>
      </w:r>
      <w:r w:rsidR="00EF3EEA" w:rsidRPr="00E50FA4">
        <w:rPr>
          <w:rFonts w:ascii="Times New Roman" w:hAnsi="Times New Roman"/>
          <w:noProof/>
          <w:sz w:val="24"/>
        </w:rPr>
        <w:t xml:space="preserve">collected </w:t>
      </w:r>
      <w:r w:rsidRPr="00E50FA4">
        <w:rPr>
          <w:rFonts w:ascii="Times New Roman" w:hAnsi="Times New Roman"/>
          <w:noProof/>
          <w:sz w:val="24"/>
        </w:rPr>
        <w:t xml:space="preserve">on a voluntary and </w:t>
      </w:r>
      <w:r w:rsidR="00EF3EEA" w:rsidRPr="00E50FA4">
        <w:rPr>
          <w:rFonts w:ascii="Times New Roman" w:hAnsi="Times New Roman"/>
          <w:noProof/>
          <w:sz w:val="24"/>
        </w:rPr>
        <w:t xml:space="preserve">bilateral basis from their counterparties or calculated using estimates, extended information on the taxonomy eligibility and taxonomy alignment </w:t>
      </w:r>
      <w:r w:rsidR="00D35AD5" w:rsidRPr="00E50FA4">
        <w:rPr>
          <w:rFonts w:ascii="Times New Roman" w:hAnsi="Times New Roman"/>
          <w:noProof/>
          <w:sz w:val="24"/>
        </w:rPr>
        <w:t xml:space="preserve">as referred to in Regulation (EU) 2020/852 </w:t>
      </w:r>
      <w:r w:rsidR="00EF3EEA" w:rsidRPr="00E50FA4">
        <w:rPr>
          <w:rFonts w:ascii="Times New Roman" w:hAnsi="Times New Roman"/>
          <w:noProof/>
          <w:sz w:val="24"/>
        </w:rPr>
        <w:t>with regard to the environmental objectives of climate</w:t>
      </w:r>
      <w:r w:rsidR="00C06AA4" w:rsidRPr="00E50FA4">
        <w:rPr>
          <w:rFonts w:ascii="Times New Roman" w:hAnsi="Times New Roman"/>
          <w:noProof/>
          <w:sz w:val="24"/>
        </w:rPr>
        <w:t>-</w:t>
      </w:r>
      <w:r w:rsidR="00EF3EEA" w:rsidRPr="00E50FA4">
        <w:rPr>
          <w:rFonts w:ascii="Times New Roman" w:hAnsi="Times New Roman"/>
          <w:noProof/>
          <w:sz w:val="24"/>
        </w:rPr>
        <w:t xml:space="preserve">change mitigation and adaptation, as </w:t>
      </w:r>
      <w:r w:rsidR="0090321E" w:rsidRPr="00E50FA4">
        <w:rPr>
          <w:rFonts w:ascii="Times New Roman" w:hAnsi="Times New Roman"/>
          <w:noProof/>
          <w:sz w:val="24"/>
        </w:rPr>
        <w:t>referred to</w:t>
      </w:r>
      <w:r w:rsidR="00EF3EEA" w:rsidRPr="00E50FA4">
        <w:rPr>
          <w:rFonts w:ascii="Times New Roman" w:hAnsi="Times New Roman"/>
          <w:noProof/>
          <w:sz w:val="24"/>
        </w:rPr>
        <w:t xml:space="preserve"> in Article 9, points (a) and (b)</w:t>
      </w:r>
      <w:r w:rsidR="00AF0432" w:rsidRPr="00E50FA4">
        <w:rPr>
          <w:rFonts w:ascii="Times New Roman" w:hAnsi="Times New Roman"/>
          <w:noProof/>
          <w:sz w:val="24"/>
        </w:rPr>
        <w:t>,</w:t>
      </w:r>
      <w:r w:rsidR="00EF3EEA" w:rsidRPr="00E50FA4">
        <w:rPr>
          <w:rFonts w:ascii="Times New Roman" w:hAnsi="Times New Roman"/>
          <w:noProof/>
          <w:sz w:val="24"/>
        </w:rPr>
        <w:t xml:space="preserve"> of Regulation (EU) 2020/852, of those exposures towards </w:t>
      </w:r>
      <w:r w:rsidR="00D35AD5" w:rsidRPr="00E50FA4">
        <w:rPr>
          <w:rFonts w:ascii="Times New Roman" w:hAnsi="Times New Roman"/>
          <w:noProof/>
          <w:sz w:val="24"/>
        </w:rPr>
        <w:t>European non</w:t>
      </w:r>
      <w:r w:rsidR="00EF3EEA" w:rsidRPr="00E50FA4">
        <w:rPr>
          <w:rFonts w:ascii="Times New Roman" w:hAnsi="Times New Roman"/>
          <w:noProof/>
          <w:sz w:val="24"/>
        </w:rPr>
        <w:t xml:space="preserve">-financial corporations </w:t>
      </w:r>
      <w:r w:rsidR="00D20B32" w:rsidRPr="00E50FA4">
        <w:rPr>
          <w:rFonts w:ascii="Times New Roman" w:hAnsi="Times New Roman"/>
          <w:noProof/>
          <w:sz w:val="24"/>
        </w:rPr>
        <w:t xml:space="preserve">that are </w:t>
      </w:r>
      <w:r w:rsidR="00EF3EEA" w:rsidRPr="00E50FA4">
        <w:rPr>
          <w:rFonts w:ascii="Times New Roman" w:hAnsi="Times New Roman"/>
          <w:noProof/>
          <w:sz w:val="24"/>
        </w:rPr>
        <w:t xml:space="preserve">not subject to </w:t>
      </w:r>
      <w:r w:rsidR="00D35AD5" w:rsidRPr="00E50FA4">
        <w:rPr>
          <w:rFonts w:ascii="Times New Roman" w:hAnsi="Times New Roman"/>
          <w:noProof/>
          <w:sz w:val="24"/>
        </w:rPr>
        <w:t xml:space="preserve">the </w:t>
      </w:r>
      <w:r w:rsidR="00EF3EEA" w:rsidRPr="00E50FA4">
        <w:rPr>
          <w:rFonts w:ascii="Times New Roman" w:hAnsi="Times New Roman"/>
          <w:noProof/>
          <w:sz w:val="24"/>
        </w:rPr>
        <w:t xml:space="preserve">disclosure obligations </w:t>
      </w:r>
      <w:r w:rsidR="00D35AD5" w:rsidRPr="00E50FA4">
        <w:rPr>
          <w:rFonts w:ascii="Times New Roman" w:hAnsi="Times New Roman"/>
          <w:noProof/>
          <w:sz w:val="24"/>
        </w:rPr>
        <w:t xml:space="preserve">laid down in Directive 2013/34/EU </w:t>
      </w:r>
      <w:r w:rsidR="00EF3EEA" w:rsidRPr="00E50FA4">
        <w:rPr>
          <w:rFonts w:ascii="Times New Roman" w:hAnsi="Times New Roman"/>
          <w:noProof/>
          <w:sz w:val="24"/>
        </w:rPr>
        <w:t xml:space="preserve">and </w:t>
      </w:r>
      <w:r w:rsidR="00D35AD5" w:rsidRPr="00E50FA4">
        <w:rPr>
          <w:rFonts w:ascii="Times New Roman" w:hAnsi="Times New Roman"/>
          <w:noProof/>
          <w:sz w:val="24"/>
        </w:rPr>
        <w:t>non</w:t>
      </w:r>
      <w:r w:rsidR="00EF3EEA" w:rsidRPr="00E50FA4">
        <w:rPr>
          <w:rFonts w:ascii="Times New Roman" w:hAnsi="Times New Roman"/>
          <w:noProof/>
          <w:sz w:val="24"/>
        </w:rPr>
        <w:t>-</w:t>
      </w:r>
      <w:r w:rsidR="00D35AD5" w:rsidRPr="00E50FA4">
        <w:rPr>
          <w:rFonts w:ascii="Times New Roman" w:hAnsi="Times New Roman"/>
          <w:noProof/>
          <w:sz w:val="24"/>
        </w:rPr>
        <w:t>Europe</w:t>
      </w:r>
      <w:r w:rsidR="00C71E7E" w:rsidRPr="00E50FA4">
        <w:rPr>
          <w:rFonts w:ascii="Times New Roman" w:hAnsi="Times New Roman"/>
          <w:noProof/>
          <w:sz w:val="24"/>
        </w:rPr>
        <w:t>a</w:t>
      </w:r>
      <w:r w:rsidR="00D35AD5" w:rsidRPr="00E50FA4">
        <w:rPr>
          <w:rFonts w:ascii="Times New Roman" w:hAnsi="Times New Roman"/>
          <w:noProof/>
          <w:sz w:val="24"/>
        </w:rPr>
        <w:t>n n</w:t>
      </w:r>
      <w:r w:rsidR="00EF3EEA" w:rsidRPr="00E50FA4">
        <w:rPr>
          <w:rFonts w:ascii="Times New Roman" w:hAnsi="Times New Roman"/>
          <w:noProof/>
          <w:sz w:val="24"/>
        </w:rPr>
        <w:t xml:space="preserve">on-financial corporations not subject to </w:t>
      </w:r>
      <w:r w:rsidR="00D35AD5" w:rsidRPr="00E50FA4">
        <w:rPr>
          <w:rFonts w:ascii="Times New Roman" w:hAnsi="Times New Roman"/>
          <w:noProof/>
          <w:sz w:val="24"/>
        </w:rPr>
        <w:t xml:space="preserve">the </w:t>
      </w:r>
      <w:r w:rsidR="00EF3EEA" w:rsidRPr="00E50FA4">
        <w:rPr>
          <w:rFonts w:ascii="Times New Roman" w:hAnsi="Times New Roman"/>
          <w:noProof/>
          <w:sz w:val="24"/>
        </w:rPr>
        <w:t>disclosure obligations</w:t>
      </w:r>
      <w:r w:rsidR="00D35AD5" w:rsidRPr="00E50FA4">
        <w:rPr>
          <w:rFonts w:ascii="Times New Roman" w:hAnsi="Times New Roman"/>
          <w:noProof/>
          <w:sz w:val="24"/>
        </w:rPr>
        <w:t xml:space="preserve"> laid down in Directive 2013/34/EU</w:t>
      </w:r>
      <w:r w:rsidR="00EF3EEA" w:rsidRPr="00E50FA4">
        <w:rPr>
          <w:rFonts w:ascii="Times New Roman" w:hAnsi="Times New Roman"/>
          <w:noProof/>
          <w:sz w:val="24"/>
        </w:rPr>
        <w:t>. Th</w:t>
      </w:r>
      <w:r w:rsidR="000F056B" w:rsidRPr="00E50FA4">
        <w:rPr>
          <w:rFonts w:ascii="Times New Roman" w:hAnsi="Times New Roman"/>
          <w:noProof/>
          <w:sz w:val="24"/>
        </w:rPr>
        <w:t>at</w:t>
      </w:r>
      <w:r w:rsidR="00EF3EEA" w:rsidRPr="00E50FA4">
        <w:rPr>
          <w:rFonts w:ascii="Times New Roman" w:hAnsi="Times New Roman"/>
          <w:noProof/>
          <w:sz w:val="24"/>
        </w:rPr>
        <w:t xml:space="preserve"> information </w:t>
      </w:r>
      <w:r w:rsidRPr="00E50FA4">
        <w:rPr>
          <w:rFonts w:ascii="Times New Roman" w:hAnsi="Times New Roman"/>
          <w:noProof/>
          <w:sz w:val="24"/>
        </w:rPr>
        <w:t xml:space="preserve">may </w:t>
      </w:r>
      <w:r w:rsidR="00EF3EEA" w:rsidRPr="00E50FA4">
        <w:rPr>
          <w:rFonts w:ascii="Times New Roman" w:hAnsi="Times New Roman"/>
          <w:noProof/>
          <w:sz w:val="24"/>
        </w:rPr>
        <w:t>be disclosed only once, based on counterparties</w:t>
      </w:r>
      <w:r w:rsidR="001077C6" w:rsidRPr="00E50FA4">
        <w:rPr>
          <w:rFonts w:ascii="Times New Roman" w:hAnsi="Times New Roman"/>
          <w:noProof/>
          <w:sz w:val="24"/>
        </w:rPr>
        <w:t>’</w:t>
      </w:r>
      <w:r w:rsidR="00EF3EEA" w:rsidRPr="00E50FA4">
        <w:rPr>
          <w:rFonts w:ascii="Times New Roman" w:hAnsi="Times New Roman"/>
          <w:noProof/>
          <w:sz w:val="24"/>
        </w:rPr>
        <w:t xml:space="preserve"> turnover alignment for the general-purpose lending loans, as in the case of the GAR. </w:t>
      </w:r>
    </w:p>
    <w:p w14:paraId="546E8421" w14:textId="6C2582ED" w:rsidR="006C4055" w:rsidRPr="00E50FA4" w:rsidRDefault="001B0E70" w:rsidP="00B76863">
      <w:pPr>
        <w:pStyle w:val="ListParagraph"/>
        <w:spacing w:before="120" w:after="120"/>
        <w:ind w:left="426"/>
        <w:jc w:val="both"/>
        <w:rPr>
          <w:rFonts w:ascii="Times New Roman" w:hAnsi="Times New Roman"/>
          <w:noProof/>
          <w:sz w:val="24"/>
        </w:rPr>
      </w:pPr>
      <w:r w:rsidRPr="00E50FA4">
        <w:rPr>
          <w:rFonts w:ascii="Times New Roman" w:hAnsi="Times New Roman"/>
          <w:noProof/>
          <w:sz w:val="24"/>
        </w:rPr>
        <w:t>The first disclosure reference date of this template is</w:t>
      </w:r>
      <w:r w:rsidR="002A2C5B" w:rsidRPr="00E50FA4">
        <w:rPr>
          <w:rFonts w:ascii="Times New Roman" w:hAnsi="Times New Roman"/>
          <w:noProof/>
          <w:sz w:val="24"/>
        </w:rPr>
        <w:t xml:space="preserve"> as of</w:t>
      </w:r>
      <w:r w:rsidRPr="00E50FA4">
        <w:rPr>
          <w:rFonts w:ascii="Times New Roman" w:hAnsi="Times New Roman"/>
          <w:noProof/>
          <w:sz w:val="24"/>
        </w:rPr>
        <w:t xml:space="preserve"> 31</w:t>
      </w:r>
      <w:r w:rsidR="002A2C5B" w:rsidRPr="00E50FA4">
        <w:rPr>
          <w:rFonts w:ascii="Times New Roman" w:hAnsi="Times New Roman"/>
          <w:noProof/>
          <w:sz w:val="24"/>
        </w:rPr>
        <w:t xml:space="preserve"> </w:t>
      </w:r>
      <w:r w:rsidRPr="00E50FA4">
        <w:rPr>
          <w:rFonts w:ascii="Times New Roman" w:hAnsi="Times New Roman"/>
          <w:noProof/>
          <w:sz w:val="24"/>
        </w:rPr>
        <w:t xml:space="preserve">December 2024. Institutions </w:t>
      </w:r>
      <w:r w:rsidR="002A2C5B" w:rsidRPr="00E50FA4">
        <w:rPr>
          <w:rFonts w:ascii="Times New Roman" w:hAnsi="Times New Roman"/>
          <w:noProof/>
          <w:sz w:val="24"/>
        </w:rPr>
        <w:t>are not</w:t>
      </w:r>
      <w:r w:rsidRPr="00E50FA4">
        <w:rPr>
          <w:rFonts w:ascii="Times New Roman" w:hAnsi="Times New Roman"/>
          <w:noProof/>
          <w:sz w:val="24"/>
        </w:rPr>
        <w:t xml:space="preserve"> required to disclose this information before 1 January 2025.</w:t>
      </w:r>
    </w:p>
    <w:p w14:paraId="2ECFBFAE" w14:textId="77777777" w:rsidR="00EF3EEA" w:rsidRPr="00E50FA4" w:rsidRDefault="004158E6" w:rsidP="0051392F">
      <w:pPr>
        <w:jc w:val="both"/>
        <w:rPr>
          <w:rFonts w:ascii="Times New Roman" w:hAnsi="Times New Roman"/>
          <w:b/>
          <w:noProof/>
          <w:sz w:val="24"/>
        </w:rPr>
      </w:pPr>
      <w:r w:rsidRPr="00E50FA4">
        <w:rPr>
          <w:rFonts w:ascii="Times New Roman" w:hAnsi="Times New Roman" w:cs="Times New Roman"/>
          <w:b/>
          <w:noProof/>
          <w:sz w:val="24"/>
          <w:lang w:val="en-GB"/>
        </w:rPr>
        <w:t>Template 9.1 - Mitigating actions: Assets for the calculation of BTAR</w:t>
      </w:r>
    </w:p>
    <w:p w14:paraId="72F939F1" w14:textId="77777777" w:rsidR="002812BA" w:rsidRPr="00E50FA4" w:rsidRDefault="002812BA" w:rsidP="00D35812">
      <w:pPr>
        <w:jc w:val="both"/>
        <w:rPr>
          <w:rFonts w:ascii="Times New Roman" w:hAnsi="Times New Roman" w:cs="Times New Roman"/>
          <w:b/>
          <w:noProof/>
          <w:sz w:val="24"/>
          <w:lang w:val="en-GB"/>
        </w:rPr>
      </w:pPr>
    </w:p>
    <w:p w14:paraId="5E30DA8B" w14:textId="761C9CF4" w:rsidR="004158E6" w:rsidRPr="00E50FA4" w:rsidRDefault="004158E6" w:rsidP="00B76863">
      <w:pPr>
        <w:pStyle w:val="ListParagraph"/>
        <w:numPr>
          <w:ilvl w:val="0"/>
          <w:numId w:val="68"/>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Institutions </w:t>
      </w:r>
      <w:r w:rsidR="007E7531" w:rsidRPr="00E50FA4">
        <w:rPr>
          <w:rFonts w:ascii="Times New Roman" w:hAnsi="Times New Roman"/>
          <w:noProof/>
          <w:sz w:val="24"/>
        </w:rPr>
        <w:t xml:space="preserve">may </w:t>
      </w:r>
      <w:r w:rsidRPr="00E50FA4">
        <w:rPr>
          <w:rFonts w:ascii="Times New Roman" w:hAnsi="Times New Roman"/>
          <w:noProof/>
          <w:sz w:val="24"/>
        </w:rPr>
        <w:t>disclose in this template the gross carrying among of the assets relevant for the calculation of the BTAR.</w:t>
      </w:r>
      <w:r w:rsidR="007E7531" w:rsidRPr="00E50FA4">
        <w:rPr>
          <w:rFonts w:ascii="Times New Roman" w:hAnsi="Times New Roman"/>
          <w:noProof/>
          <w:sz w:val="24"/>
        </w:rPr>
        <w:t xml:space="preserve"> This template shall only apply </w:t>
      </w:r>
      <w:r w:rsidR="007E7531" w:rsidRPr="00E50FA4">
        <w:rPr>
          <w:rFonts w:ascii="Times New Roman" w:hAnsi="Times New Roman"/>
          <w:noProof/>
          <w:sz w:val="24"/>
          <w:lang w:val="en-US"/>
        </w:rPr>
        <w:t xml:space="preserve">to counterparties </w:t>
      </w:r>
      <w:r w:rsidR="000F056B" w:rsidRPr="00E50FA4">
        <w:rPr>
          <w:rFonts w:ascii="Times New Roman" w:hAnsi="Times New Roman"/>
          <w:noProof/>
          <w:sz w:val="24"/>
          <w:lang w:val="en-US"/>
        </w:rPr>
        <w:t xml:space="preserve">that are </w:t>
      </w:r>
      <w:r w:rsidR="007E7531" w:rsidRPr="00E50FA4">
        <w:rPr>
          <w:rFonts w:ascii="Times New Roman" w:hAnsi="Times New Roman"/>
          <w:noProof/>
          <w:sz w:val="24"/>
          <w:lang w:val="en-US"/>
        </w:rPr>
        <w:t>not subject to disclosure obligations</w:t>
      </w:r>
      <w:r w:rsidR="007E7531" w:rsidRPr="00E50FA4">
        <w:rPr>
          <w:rFonts w:ascii="Times New Roman" w:hAnsi="Times New Roman"/>
          <w:noProof/>
          <w:sz w:val="24"/>
        </w:rPr>
        <w:t>.</w:t>
      </w:r>
    </w:p>
    <w:p w14:paraId="133CFA6A" w14:textId="77777777" w:rsidR="00EF63C8" w:rsidRPr="00E50FA4" w:rsidRDefault="00EF63C8" w:rsidP="00D35812">
      <w:pPr>
        <w:jc w:val="both"/>
        <w:rPr>
          <w:rFonts w:ascii="Times New Roman" w:hAnsi="Times New Roman" w:cs="Times New Roman"/>
          <w:b/>
          <w:noProof/>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879"/>
      </w:tblGrid>
      <w:tr w:rsidR="00EF3EEA" w:rsidRPr="00E50FA4" w14:paraId="1BAED352"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255F67E9" w14:textId="77777777" w:rsidR="00EF3EEA" w:rsidRPr="00E50FA4" w:rsidRDefault="00EF3EEA" w:rsidP="00EF3EEA">
            <w:pPr>
              <w:spacing w:before="120" w:after="120"/>
              <w:jc w:val="both"/>
              <w:rPr>
                <w:rFonts w:ascii="Times New Roman" w:eastAsia="Times New Roman" w:hAnsi="Times New Roman" w:cs="Times New Roman"/>
                <w:noProof/>
                <w:sz w:val="24"/>
                <w:lang w:val="en-GB"/>
              </w:rPr>
            </w:pPr>
            <w:r w:rsidRPr="00E50FA4">
              <w:rPr>
                <w:rFonts w:ascii="Calibri" w:hAnsi="Calibri" w:cs="Calibri"/>
                <w:noProof/>
                <w:color w:val="000000"/>
                <w:szCs w:val="22"/>
              </w:rPr>
              <w:t>1</w:t>
            </w:r>
          </w:p>
        </w:tc>
        <w:tc>
          <w:tcPr>
            <w:tcW w:w="7879" w:type="dxa"/>
            <w:tcBorders>
              <w:top w:val="single" w:sz="4" w:space="0" w:color="auto"/>
              <w:left w:val="single" w:sz="4" w:space="0" w:color="auto"/>
              <w:bottom w:val="single" w:sz="4" w:space="0" w:color="auto"/>
              <w:right w:val="single" w:sz="4" w:space="0" w:color="auto"/>
            </w:tcBorders>
            <w:vAlign w:val="center"/>
          </w:tcPr>
          <w:p w14:paraId="58222059" w14:textId="77777777" w:rsidR="00EF3EEA" w:rsidRPr="00B76863" w:rsidRDefault="00EF3EEA" w:rsidP="00EF3EEA">
            <w:pPr>
              <w:spacing w:before="120" w:after="120"/>
              <w:jc w:val="both"/>
              <w:rPr>
                <w:rFonts w:ascii="Times New Roman" w:hAnsi="Times New Roman"/>
                <w:b/>
                <w:noProof/>
                <w:color w:val="000000"/>
                <w:sz w:val="24"/>
              </w:rPr>
            </w:pPr>
            <w:r w:rsidRPr="00B76863">
              <w:rPr>
                <w:rFonts w:ascii="Times New Roman" w:hAnsi="Times New Roman"/>
                <w:b/>
                <w:noProof/>
                <w:color w:val="000000"/>
                <w:sz w:val="24"/>
              </w:rPr>
              <w:t>TOTAL GAR ASSETS</w:t>
            </w:r>
          </w:p>
          <w:p w14:paraId="303FD3D8" w14:textId="77777777" w:rsidR="008116D5" w:rsidRPr="00E50FA4" w:rsidRDefault="008116D5" w:rsidP="00EF3EEA">
            <w:pPr>
              <w:spacing w:before="120" w:after="120"/>
              <w:jc w:val="both"/>
              <w:rPr>
                <w:rFonts w:ascii="Times New Roman" w:eastAsia="Times New Roman" w:hAnsi="Times New Roman" w:cs="Times New Roman"/>
                <w:noProof/>
                <w:sz w:val="24"/>
                <w:u w:val="single"/>
                <w:lang w:val="en-GB"/>
              </w:rPr>
            </w:pPr>
            <w:r w:rsidRPr="00B76863">
              <w:rPr>
                <w:rFonts w:ascii="Times New Roman" w:hAnsi="Times New Roman"/>
                <w:noProof/>
                <w:color w:val="000000"/>
                <w:sz w:val="24"/>
                <w:u w:val="single"/>
                <w:lang w:val="en-GB"/>
              </w:rPr>
              <w:t xml:space="preserve">As disclosed in row 32 of template 7. </w:t>
            </w:r>
          </w:p>
        </w:tc>
      </w:tr>
      <w:tr w:rsidR="00EF3EEA" w:rsidRPr="00E50FA4" w14:paraId="7AEB8BEE"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1CEDC011" w14:textId="77777777" w:rsidR="00EF3EEA" w:rsidRPr="00E50FA4" w:rsidRDefault="00EF3EEA" w:rsidP="00EF3EEA">
            <w:pPr>
              <w:spacing w:before="120" w:after="120"/>
              <w:jc w:val="both"/>
              <w:rPr>
                <w:rFonts w:ascii="Times New Roman" w:eastAsia="Times New Roman" w:hAnsi="Times New Roman" w:cs="Times New Roman"/>
                <w:noProof/>
                <w:sz w:val="24"/>
                <w:lang w:val="en-GB"/>
              </w:rPr>
            </w:pPr>
            <w:r w:rsidRPr="00E50FA4">
              <w:rPr>
                <w:rFonts w:ascii="Calibri" w:hAnsi="Calibri" w:cs="Calibri"/>
                <w:noProof/>
                <w:color w:val="000000"/>
                <w:szCs w:val="22"/>
              </w:rPr>
              <w:t>2</w:t>
            </w:r>
          </w:p>
        </w:tc>
        <w:tc>
          <w:tcPr>
            <w:tcW w:w="7879" w:type="dxa"/>
            <w:tcBorders>
              <w:top w:val="single" w:sz="4" w:space="0" w:color="auto"/>
              <w:left w:val="single" w:sz="4" w:space="0" w:color="auto"/>
              <w:bottom w:val="single" w:sz="4" w:space="0" w:color="auto"/>
              <w:right w:val="single" w:sz="4" w:space="0" w:color="auto"/>
            </w:tcBorders>
          </w:tcPr>
          <w:p w14:paraId="67EE0665" w14:textId="77777777" w:rsidR="00EF3EEA" w:rsidRPr="00E50FA4" w:rsidRDefault="00EF3EEA" w:rsidP="00EF3EEA">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EU Non-financial corporations (not subject to NFRD disclosure obligations)</w:t>
            </w:r>
          </w:p>
          <w:p w14:paraId="31782FB4" w14:textId="28D5B93C" w:rsidR="00EF3EEA" w:rsidRPr="00E50FA4" w:rsidRDefault="00C06AA4" w:rsidP="00EF3EEA">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 xml:space="preserve">Institutions shall disclose exposures </w:t>
            </w:r>
            <w:r w:rsidR="00EF3EEA" w:rsidRPr="00E50FA4">
              <w:rPr>
                <w:rFonts w:ascii="Times New Roman" w:eastAsia="Times New Roman" w:hAnsi="Times New Roman" w:cs="Times New Roman"/>
                <w:noProof/>
                <w:sz w:val="24"/>
                <w:lang w:val="en-GB" w:bidi="ne-NP"/>
              </w:rPr>
              <w:t xml:space="preserve">to non-financial corporation as defined in </w:t>
            </w:r>
            <w:r w:rsidR="003E4DB5" w:rsidRPr="00E50FA4">
              <w:rPr>
                <w:rFonts w:ascii="Times New Roman" w:eastAsia="Times New Roman" w:hAnsi="Times New Roman" w:cs="Times New Roman"/>
                <w:noProof/>
                <w:sz w:val="24"/>
                <w:lang w:val="en-GB" w:bidi="ne-NP"/>
              </w:rPr>
              <w:t xml:space="preserve">Part 1, </w:t>
            </w:r>
            <w:r w:rsidR="000F056B" w:rsidRPr="00E50FA4">
              <w:rPr>
                <w:rFonts w:ascii="Times New Roman" w:eastAsia="Times New Roman" w:hAnsi="Times New Roman" w:cs="Times New Roman"/>
                <w:noProof/>
                <w:sz w:val="24"/>
                <w:lang w:val="en-GB" w:bidi="ne-NP"/>
              </w:rPr>
              <w:t>point</w:t>
            </w:r>
            <w:r w:rsidR="003E4DB5" w:rsidRPr="00E50FA4">
              <w:rPr>
                <w:rFonts w:ascii="Times New Roman" w:eastAsia="Times New Roman" w:hAnsi="Times New Roman" w:cs="Times New Roman"/>
                <w:noProof/>
                <w:sz w:val="24"/>
                <w:lang w:val="en-GB" w:bidi="ne-NP"/>
              </w:rPr>
              <w:t xml:space="preserve"> 42</w:t>
            </w:r>
            <w:r w:rsidR="00EF3EEA" w:rsidRPr="00E50FA4">
              <w:rPr>
                <w:rFonts w:ascii="Times New Roman" w:eastAsia="Times New Roman" w:hAnsi="Times New Roman" w:cs="Times New Roman"/>
                <w:noProof/>
                <w:sz w:val="24"/>
                <w:lang w:val="en-GB" w:bidi="ne-NP"/>
              </w:rPr>
              <w:t>(e)</w:t>
            </w:r>
            <w:r w:rsidR="003E4DB5" w:rsidRPr="00E50FA4">
              <w:rPr>
                <w:rFonts w:ascii="Times New Roman" w:eastAsia="Times New Roman" w:hAnsi="Times New Roman" w:cs="Times New Roman"/>
                <w:noProof/>
                <w:sz w:val="24"/>
                <w:lang w:val="en-GB" w:bidi="ne-NP"/>
              </w:rPr>
              <w:t>,</w:t>
            </w:r>
            <w:r w:rsidR="00EF3EEA" w:rsidRPr="00E50FA4">
              <w:rPr>
                <w:rFonts w:ascii="Times New Roman" w:eastAsia="Times New Roman" w:hAnsi="Times New Roman" w:cs="Times New Roman"/>
                <w:noProof/>
                <w:sz w:val="24"/>
                <w:lang w:val="en-GB" w:bidi="ne-NP"/>
              </w:rPr>
              <w:t xml:space="preserve"> of Annex V to Implementing Regulation (EU) </w:t>
            </w:r>
            <w:r w:rsidR="00EF3EEA" w:rsidRPr="00E50FA4">
              <w:rPr>
                <w:rFonts w:ascii="Times New Roman" w:eastAsia="Times New Roman" w:hAnsi="Times New Roman" w:cs="Times New Roman"/>
                <w:noProof/>
                <w:sz w:val="24"/>
                <w:lang w:val="en-GB"/>
              </w:rPr>
              <w:t>2021/451, which are located in the U</w:t>
            </w:r>
            <w:r w:rsidR="00AF0432" w:rsidRPr="00E50FA4">
              <w:rPr>
                <w:rFonts w:ascii="Times New Roman" w:eastAsia="Times New Roman" w:hAnsi="Times New Roman" w:cs="Times New Roman"/>
                <w:noProof/>
                <w:sz w:val="24"/>
                <w:lang w:val="en-GB"/>
              </w:rPr>
              <w:t>nion</w:t>
            </w:r>
            <w:r w:rsidR="00EF3EEA" w:rsidRPr="00E50FA4">
              <w:rPr>
                <w:rFonts w:ascii="Times New Roman" w:eastAsia="Times New Roman" w:hAnsi="Times New Roman" w:cs="Times New Roman"/>
                <w:noProof/>
                <w:sz w:val="24"/>
                <w:lang w:val="en-GB"/>
              </w:rPr>
              <w:t xml:space="preserve"> and</w:t>
            </w:r>
            <w:r w:rsidR="000F056B" w:rsidRPr="00E50FA4">
              <w:rPr>
                <w:rFonts w:ascii="Times New Roman" w:eastAsia="Times New Roman" w:hAnsi="Times New Roman" w:cs="Times New Roman"/>
                <w:noProof/>
                <w:sz w:val="24"/>
                <w:lang w:val="en-GB"/>
              </w:rPr>
              <w:t xml:space="preserve"> which are</w:t>
            </w:r>
            <w:r w:rsidR="00EF3EEA" w:rsidRPr="00E50FA4">
              <w:rPr>
                <w:rFonts w:ascii="Times New Roman" w:eastAsia="Times New Roman" w:hAnsi="Times New Roman" w:cs="Times New Roman"/>
                <w:noProof/>
                <w:sz w:val="24"/>
                <w:lang w:val="en-GB"/>
              </w:rPr>
              <w:t xml:space="preserve"> not subject to disclosure obligations under </w:t>
            </w:r>
            <w:r w:rsidR="00D35AD5" w:rsidRPr="00E50FA4">
              <w:rPr>
                <w:rFonts w:ascii="Times New Roman" w:eastAsia="Times New Roman" w:hAnsi="Times New Roman" w:cs="Times New Roman"/>
                <w:noProof/>
                <w:sz w:val="24"/>
                <w:lang w:val="en-GB"/>
              </w:rPr>
              <w:t>Directive 2013/34/EU</w:t>
            </w:r>
            <w:r w:rsidR="00EF3EEA" w:rsidRPr="00E50FA4">
              <w:rPr>
                <w:rFonts w:ascii="Times New Roman" w:eastAsia="Times New Roman" w:hAnsi="Times New Roman" w:cs="Times New Roman"/>
                <w:noProof/>
                <w:sz w:val="24"/>
                <w:lang w:val="en-GB"/>
              </w:rPr>
              <w:t>.</w:t>
            </w:r>
          </w:p>
          <w:p w14:paraId="6ACACC27" w14:textId="6F535AA6" w:rsidR="00EF3EEA" w:rsidRPr="00E50FA4" w:rsidRDefault="00EF3EEA" w:rsidP="00EF3EEA">
            <w:pPr>
              <w:spacing w:before="120" w:after="120"/>
              <w:jc w:val="both"/>
              <w:rPr>
                <w:rFonts w:ascii="Times New Roman" w:hAnsi="Times New Roman"/>
                <w:noProof/>
                <w:sz w:val="24"/>
              </w:rPr>
            </w:pPr>
            <w:r w:rsidRPr="00E50FA4">
              <w:rPr>
                <w:rFonts w:ascii="Times New Roman" w:hAnsi="Times New Roman"/>
                <w:noProof/>
                <w:sz w:val="24"/>
                <w:lang w:val="en-GB"/>
              </w:rPr>
              <w:t>Where the counterparty is not subject to disclosures under Article 8 of Regulation (EU) 2020/852, for the calculation of the percentage of taxonomy-aligned exposures</w:t>
            </w:r>
            <w:r w:rsidR="00D35AD5" w:rsidRPr="00E50FA4">
              <w:rPr>
                <w:rFonts w:ascii="Times New Roman" w:hAnsi="Times New Roman"/>
                <w:noProof/>
                <w:sz w:val="24"/>
                <w:lang w:val="en-GB"/>
              </w:rPr>
              <w:t xml:space="preserve"> </w:t>
            </w:r>
            <w:r w:rsidR="00D35AD5" w:rsidRPr="00E50FA4">
              <w:rPr>
                <w:rFonts w:ascii="Times New Roman" w:hAnsi="Times New Roman"/>
                <w:noProof/>
                <w:sz w:val="24"/>
              </w:rPr>
              <w:t>as referred to in Regulation (EU) 2020/852</w:t>
            </w:r>
            <w:r w:rsidRPr="00E50FA4">
              <w:rPr>
                <w:rFonts w:ascii="Times New Roman" w:hAnsi="Times New Roman"/>
                <w:noProof/>
                <w:sz w:val="24"/>
                <w:lang w:val="en-GB"/>
              </w:rPr>
              <w:t xml:space="preserve">, institutions </w:t>
            </w:r>
            <w:r w:rsidR="005A67EE" w:rsidRPr="00E50FA4">
              <w:rPr>
                <w:rFonts w:ascii="Times New Roman" w:hAnsi="Times New Roman"/>
                <w:noProof/>
                <w:sz w:val="24"/>
                <w:lang w:val="en-GB"/>
              </w:rPr>
              <w:t>may</w:t>
            </w:r>
            <w:r w:rsidRPr="00E50FA4">
              <w:rPr>
                <w:rFonts w:ascii="Times New Roman" w:hAnsi="Times New Roman"/>
                <w:noProof/>
                <w:sz w:val="24"/>
                <w:lang w:val="en-GB"/>
              </w:rPr>
              <w:t xml:space="preserve">, on a </w:t>
            </w:r>
            <w:r w:rsidR="005A67EE" w:rsidRPr="00E50FA4">
              <w:rPr>
                <w:rFonts w:ascii="Times New Roman" w:hAnsi="Times New Roman"/>
                <w:noProof/>
                <w:sz w:val="24"/>
                <w:lang w:val="en-GB"/>
              </w:rPr>
              <w:t xml:space="preserve">reasonable </w:t>
            </w:r>
            <w:r w:rsidRPr="00E50FA4">
              <w:rPr>
                <w:rFonts w:ascii="Times New Roman" w:hAnsi="Times New Roman"/>
                <w:noProof/>
                <w:sz w:val="24"/>
                <w:lang w:val="en-GB"/>
              </w:rPr>
              <w:t xml:space="preserve">effort basis, collect information </w:t>
            </w:r>
            <w:r w:rsidR="000F056B" w:rsidRPr="00E50FA4">
              <w:rPr>
                <w:rFonts w:ascii="Times New Roman" w:hAnsi="Times New Roman"/>
                <w:noProof/>
                <w:sz w:val="24"/>
                <w:lang w:val="en-GB"/>
              </w:rPr>
              <w:t>from</w:t>
            </w:r>
            <w:r w:rsidRPr="00E50FA4">
              <w:rPr>
                <w:rFonts w:ascii="Times New Roman" w:hAnsi="Times New Roman"/>
                <w:noProof/>
                <w:sz w:val="24"/>
                <w:lang w:val="en-GB"/>
              </w:rPr>
              <w:t xml:space="preserve"> their counterparties on a </w:t>
            </w:r>
            <w:r w:rsidR="005A67EE" w:rsidRPr="00E50FA4">
              <w:rPr>
                <w:rFonts w:ascii="Times New Roman" w:hAnsi="Times New Roman"/>
                <w:noProof/>
                <w:sz w:val="24"/>
                <w:lang w:val="en-GB"/>
              </w:rPr>
              <w:t xml:space="preserve">voluntary and </w:t>
            </w:r>
            <w:r w:rsidRPr="00E50FA4">
              <w:rPr>
                <w:rFonts w:ascii="Times New Roman" w:hAnsi="Times New Roman"/>
                <w:noProof/>
                <w:sz w:val="24"/>
                <w:lang w:val="en-GB"/>
              </w:rPr>
              <w:t xml:space="preserve">bilateral basis through the loan origination, and regular credit review and monitoring process. Only </w:t>
            </w:r>
            <w:r w:rsidR="000F056B" w:rsidRPr="00E50FA4">
              <w:rPr>
                <w:rFonts w:ascii="Times New Roman" w:hAnsi="Times New Roman"/>
                <w:noProof/>
                <w:sz w:val="24"/>
                <w:lang w:val="en-GB"/>
              </w:rPr>
              <w:t>where</w:t>
            </w:r>
            <w:r w:rsidRPr="00E50FA4">
              <w:rPr>
                <w:rFonts w:ascii="Times New Roman" w:hAnsi="Times New Roman"/>
                <w:noProof/>
                <w:sz w:val="24"/>
                <w:lang w:val="en-GB"/>
              </w:rPr>
              <w:t xml:space="preserve"> the counterparty is not able </w:t>
            </w:r>
            <w:r w:rsidR="005A67EE" w:rsidRPr="00E50FA4">
              <w:rPr>
                <w:rFonts w:ascii="Times New Roman" w:hAnsi="Times New Roman"/>
                <w:noProof/>
                <w:sz w:val="24"/>
                <w:lang w:val="en-GB"/>
              </w:rPr>
              <w:t xml:space="preserve">or willing </w:t>
            </w:r>
            <w:r w:rsidRPr="00E50FA4">
              <w:rPr>
                <w:rFonts w:ascii="Times New Roman" w:hAnsi="Times New Roman"/>
                <w:noProof/>
                <w:sz w:val="24"/>
                <w:lang w:val="en-GB"/>
              </w:rPr>
              <w:t>to provide the relevant data, credit institutions shall make use of internal estimates and proxies and explain in the narrative accompanying the template the extend of use of th</w:t>
            </w:r>
            <w:r w:rsidR="000F056B" w:rsidRPr="00E50FA4">
              <w:rPr>
                <w:rFonts w:ascii="Times New Roman" w:hAnsi="Times New Roman"/>
                <w:noProof/>
                <w:sz w:val="24"/>
                <w:lang w:val="en-GB"/>
              </w:rPr>
              <w:t>o</w:t>
            </w:r>
            <w:r w:rsidRPr="00E50FA4">
              <w:rPr>
                <w:rFonts w:ascii="Times New Roman" w:hAnsi="Times New Roman"/>
                <w:noProof/>
                <w:sz w:val="24"/>
                <w:lang w:val="en-GB"/>
              </w:rPr>
              <w:t>se estimates and the kind of estimates applied</w:t>
            </w:r>
            <w:r w:rsidR="000F056B" w:rsidRPr="00E50FA4">
              <w:rPr>
                <w:rFonts w:ascii="Times New Roman" w:hAnsi="Times New Roman"/>
                <w:noProof/>
                <w:sz w:val="24"/>
                <w:lang w:val="en-GB"/>
              </w:rPr>
              <w:t>.</w:t>
            </w:r>
            <w:r w:rsidRPr="00E50FA4">
              <w:rPr>
                <w:rFonts w:ascii="Times New Roman" w:hAnsi="Times New Roman"/>
                <w:noProof/>
                <w:sz w:val="24"/>
                <w:lang w:val="en-GB"/>
              </w:rPr>
              <w:t xml:space="preserve"> Where institutions are unable to collect on a </w:t>
            </w:r>
            <w:r w:rsidR="005A67EE" w:rsidRPr="00E50FA4">
              <w:rPr>
                <w:rFonts w:ascii="Times New Roman" w:hAnsi="Times New Roman"/>
                <w:noProof/>
                <w:sz w:val="24"/>
                <w:lang w:val="en-GB"/>
              </w:rPr>
              <w:t xml:space="preserve">voluntary and </w:t>
            </w:r>
            <w:r w:rsidRPr="00E50FA4">
              <w:rPr>
                <w:rFonts w:ascii="Times New Roman" w:hAnsi="Times New Roman"/>
                <w:noProof/>
                <w:sz w:val="24"/>
                <w:lang w:val="en-GB"/>
              </w:rPr>
              <w:t>bilateral basis or estimate relevant information, or are unable to do it in a reasonable way that is not over</w:t>
            </w:r>
            <w:r w:rsidR="00AF0432" w:rsidRPr="00E50FA4">
              <w:rPr>
                <w:rFonts w:ascii="Times New Roman" w:hAnsi="Times New Roman"/>
                <w:noProof/>
                <w:sz w:val="24"/>
                <w:lang w:val="en-GB"/>
              </w:rPr>
              <w:t xml:space="preserve">ly </w:t>
            </w:r>
            <w:r w:rsidRPr="00E50FA4">
              <w:rPr>
                <w:rFonts w:ascii="Times New Roman" w:hAnsi="Times New Roman"/>
                <w:noProof/>
                <w:sz w:val="24"/>
                <w:lang w:val="en-GB"/>
              </w:rPr>
              <w:t xml:space="preserve">burdensome for them or their counterparties, they shall explain </w:t>
            </w:r>
            <w:r w:rsidR="000F056B" w:rsidRPr="00E50FA4">
              <w:rPr>
                <w:rFonts w:ascii="Times New Roman" w:hAnsi="Times New Roman"/>
                <w:noProof/>
                <w:sz w:val="24"/>
                <w:lang w:val="en-GB"/>
              </w:rPr>
              <w:t xml:space="preserve">that fact </w:t>
            </w:r>
            <w:r w:rsidRPr="00E50FA4">
              <w:rPr>
                <w:rFonts w:ascii="Times New Roman" w:hAnsi="Times New Roman"/>
                <w:noProof/>
                <w:sz w:val="24"/>
                <w:lang w:val="en-GB"/>
              </w:rPr>
              <w:t>in the narrative accompanying the template, explaining the reasons and counterparties affected.</w:t>
            </w:r>
          </w:p>
          <w:p w14:paraId="0106E41D" w14:textId="6D5C1A03" w:rsidR="00EF3EEA" w:rsidRPr="00E50FA4" w:rsidRDefault="00EF3EEA" w:rsidP="00EF3EEA">
            <w:pPr>
              <w:spacing w:before="120" w:after="120"/>
              <w:jc w:val="both"/>
              <w:rPr>
                <w:rFonts w:ascii="Times New Roman" w:hAnsi="Times New Roman"/>
                <w:noProof/>
                <w:sz w:val="24"/>
                <w:lang w:val="en-GB"/>
              </w:rPr>
            </w:pPr>
            <w:r w:rsidRPr="00E50FA4">
              <w:rPr>
                <w:rFonts w:ascii="Times New Roman" w:hAnsi="Times New Roman"/>
                <w:noProof/>
                <w:sz w:val="24"/>
                <w:lang w:val="en-GB"/>
              </w:rPr>
              <w:t>For disclosures involving corporates not subject to disclosure obligations</w:t>
            </w:r>
            <w:r w:rsidR="00AF0432" w:rsidRPr="00E50FA4">
              <w:rPr>
                <w:rFonts w:ascii="Times New Roman" w:hAnsi="Times New Roman"/>
                <w:noProof/>
                <w:sz w:val="24"/>
                <w:lang w:val="en-GB"/>
              </w:rPr>
              <w:t xml:space="preserve"> under </w:t>
            </w:r>
            <w:r w:rsidR="00D35AD5" w:rsidRPr="00E50FA4">
              <w:rPr>
                <w:rFonts w:ascii="Times New Roman" w:hAnsi="Times New Roman"/>
                <w:noProof/>
                <w:sz w:val="24"/>
                <w:lang w:val="en-GB"/>
              </w:rPr>
              <w:t>Directive 2013/34/EU</w:t>
            </w:r>
            <w:r w:rsidRPr="00E50FA4">
              <w:rPr>
                <w:rFonts w:ascii="Times New Roman" w:hAnsi="Times New Roman"/>
                <w:noProof/>
                <w:sz w:val="24"/>
                <w:lang w:val="en-GB"/>
              </w:rPr>
              <w:t xml:space="preserve">, including </w:t>
            </w:r>
            <w:r w:rsidR="00C06AA4" w:rsidRPr="00E50FA4">
              <w:rPr>
                <w:rFonts w:ascii="Times New Roman" w:hAnsi="Times New Roman"/>
                <w:noProof/>
                <w:sz w:val="24"/>
                <w:lang w:val="en-GB"/>
              </w:rPr>
              <w:t>small and medium enterprises (SMEs)</w:t>
            </w:r>
            <w:r w:rsidRPr="00E50FA4">
              <w:rPr>
                <w:rFonts w:ascii="Times New Roman" w:hAnsi="Times New Roman"/>
                <w:noProof/>
                <w:sz w:val="24"/>
                <w:lang w:val="en-GB"/>
              </w:rPr>
              <w:t xml:space="preserve">, when assessing general purpose lending/financing with unknown use of proceeds, institutions shall follow a simplified approach and focus their assessment on the main economic activity of the corporate, that is, on their main source of turnover, in order to determine the overall alignment of the exposures with </w:t>
            </w:r>
            <w:r w:rsidR="00AF0432" w:rsidRPr="00E50FA4">
              <w:rPr>
                <w:rFonts w:ascii="Times New Roman" w:hAnsi="Times New Roman"/>
                <w:noProof/>
                <w:sz w:val="24"/>
                <w:lang w:val="en-GB"/>
              </w:rPr>
              <w:t>Regulation (EU) 2020/852</w:t>
            </w:r>
            <w:r w:rsidRPr="00E50FA4">
              <w:rPr>
                <w:rFonts w:ascii="Times New Roman" w:hAnsi="Times New Roman"/>
                <w:noProof/>
                <w:sz w:val="24"/>
                <w:lang w:val="en-GB"/>
              </w:rPr>
              <w:t>. In the case of specialised lending</w:t>
            </w:r>
            <w:r w:rsidR="000F056B" w:rsidRPr="00E50FA4">
              <w:rPr>
                <w:rFonts w:ascii="Times New Roman" w:hAnsi="Times New Roman"/>
                <w:noProof/>
                <w:sz w:val="24"/>
                <w:lang w:val="en-GB"/>
              </w:rPr>
              <w:t>,</w:t>
            </w:r>
            <w:r w:rsidRPr="00E50FA4">
              <w:rPr>
                <w:rFonts w:ascii="Times New Roman" w:hAnsi="Times New Roman"/>
                <w:noProof/>
                <w:sz w:val="24"/>
                <w:lang w:val="en-GB"/>
              </w:rPr>
              <w:t xml:space="preserve"> the assessment shall be based on the extent </w:t>
            </w:r>
            <w:r w:rsidR="000F056B" w:rsidRPr="00E50FA4">
              <w:rPr>
                <w:rFonts w:ascii="Times New Roman" w:hAnsi="Times New Roman"/>
                <w:noProof/>
                <w:sz w:val="24"/>
                <w:lang w:val="en-GB"/>
              </w:rPr>
              <w:t xml:space="preserve">to </w:t>
            </w:r>
            <w:r w:rsidRPr="00E50FA4">
              <w:rPr>
                <w:rFonts w:ascii="Times New Roman" w:hAnsi="Times New Roman"/>
                <w:noProof/>
                <w:sz w:val="24"/>
                <w:lang w:val="en-GB"/>
              </w:rPr>
              <w:t>which the specific project funded qualif</w:t>
            </w:r>
            <w:r w:rsidR="000F056B" w:rsidRPr="00E50FA4">
              <w:rPr>
                <w:rFonts w:ascii="Times New Roman" w:hAnsi="Times New Roman"/>
                <w:noProof/>
                <w:sz w:val="24"/>
                <w:lang w:val="en-GB"/>
              </w:rPr>
              <w:t>ies</w:t>
            </w:r>
            <w:r w:rsidRPr="00E50FA4">
              <w:rPr>
                <w:rFonts w:ascii="Times New Roman" w:hAnsi="Times New Roman"/>
                <w:noProof/>
                <w:sz w:val="24"/>
                <w:lang w:val="en-GB"/>
              </w:rPr>
              <w:t xml:space="preserve"> as contributing substantially to climate change mitigation or adaptation (project specific information). </w:t>
            </w:r>
          </w:p>
          <w:p w14:paraId="0069EE67" w14:textId="77777777" w:rsidR="00EF3EEA" w:rsidRPr="00E50FA4" w:rsidRDefault="00EF3EEA" w:rsidP="00EF3EEA">
            <w:pPr>
              <w:spacing w:before="120" w:after="120"/>
              <w:jc w:val="both"/>
              <w:rPr>
                <w:rFonts w:ascii="Times New Roman" w:eastAsia="Times New Roman" w:hAnsi="Times New Roman" w:cs="Times New Roman"/>
                <w:b/>
                <w:noProof/>
                <w:sz w:val="24"/>
                <w:lang w:val="en-GB"/>
              </w:rPr>
            </w:pPr>
          </w:p>
        </w:tc>
      </w:tr>
      <w:tr w:rsidR="00EF3EEA" w:rsidRPr="00E50FA4" w14:paraId="4CA44752"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39641CBD" w14:textId="77777777" w:rsidR="00EF3EEA" w:rsidRPr="00E50FA4" w:rsidRDefault="00EF3EEA" w:rsidP="00EF3EEA">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lang w:val="en-GB"/>
              </w:rPr>
              <w:t>4</w:t>
            </w:r>
          </w:p>
        </w:tc>
        <w:tc>
          <w:tcPr>
            <w:tcW w:w="7879" w:type="dxa"/>
            <w:tcBorders>
              <w:top w:val="single" w:sz="4" w:space="0" w:color="auto"/>
              <w:left w:val="single" w:sz="4" w:space="0" w:color="auto"/>
              <w:bottom w:val="single" w:sz="4" w:space="0" w:color="auto"/>
              <w:right w:val="single" w:sz="4" w:space="0" w:color="auto"/>
            </w:tcBorders>
          </w:tcPr>
          <w:p w14:paraId="50AF429F" w14:textId="77777777" w:rsidR="00EF3EEA" w:rsidRPr="00E50FA4" w:rsidRDefault="00EF3EEA" w:rsidP="00EF3EEA">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loans collateralised by commercial immovable property</w:t>
            </w:r>
          </w:p>
          <w:p w14:paraId="6E9B9DEF" w14:textId="23CF4306" w:rsidR="00EF3EEA" w:rsidRPr="00E50FA4" w:rsidRDefault="009D521D" w:rsidP="00EF3EEA">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The e</w:t>
            </w:r>
            <w:r w:rsidR="00EF3EEA" w:rsidRPr="00E50FA4">
              <w:rPr>
                <w:rFonts w:ascii="Times New Roman" w:eastAsia="Times New Roman" w:hAnsi="Times New Roman" w:cs="Times New Roman"/>
                <w:noProof/>
                <w:sz w:val="24"/>
                <w:lang w:val="en-GB"/>
              </w:rPr>
              <w:t xml:space="preserve">xposures referred to in </w:t>
            </w:r>
            <w:r w:rsidR="00AF0432" w:rsidRPr="00E50FA4">
              <w:rPr>
                <w:rFonts w:ascii="Times New Roman" w:eastAsia="Times New Roman" w:hAnsi="Times New Roman" w:cs="Times New Roman"/>
                <w:noProof/>
                <w:sz w:val="24"/>
                <w:lang w:val="en-GB"/>
              </w:rPr>
              <w:t xml:space="preserve">Part 2, </w:t>
            </w:r>
            <w:r w:rsidR="0025458E" w:rsidRPr="00E50FA4">
              <w:rPr>
                <w:rFonts w:ascii="Times New Roman" w:eastAsia="Times New Roman" w:hAnsi="Times New Roman" w:cs="Times New Roman"/>
                <w:noProof/>
                <w:sz w:val="24"/>
                <w:lang w:val="en-GB"/>
              </w:rPr>
              <w:t xml:space="preserve">point </w:t>
            </w:r>
            <w:r w:rsidR="00AF0432" w:rsidRPr="00E50FA4">
              <w:rPr>
                <w:rFonts w:ascii="Times New Roman" w:eastAsia="Times New Roman" w:hAnsi="Times New Roman" w:cs="Times New Roman"/>
                <w:noProof/>
                <w:sz w:val="24"/>
                <w:lang w:val="en-GB"/>
              </w:rPr>
              <w:t xml:space="preserve">173, </w:t>
            </w:r>
            <w:r w:rsidR="0025458E" w:rsidRPr="00E50FA4">
              <w:rPr>
                <w:rFonts w:ascii="Times New Roman" w:eastAsia="Times New Roman" w:hAnsi="Times New Roman" w:cs="Times New Roman"/>
                <w:noProof/>
                <w:sz w:val="24"/>
                <w:lang w:val="en-GB"/>
              </w:rPr>
              <w:t xml:space="preserve">letter </w:t>
            </w:r>
            <w:r w:rsidR="00EF3EEA" w:rsidRPr="00E50FA4">
              <w:rPr>
                <w:rFonts w:ascii="Times New Roman" w:eastAsia="Times New Roman" w:hAnsi="Times New Roman" w:cs="Times New Roman"/>
                <w:noProof/>
                <w:sz w:val="24"/>
                <w:lang w:val="en-GB"/>
              </w:rPr>
              <w:t>(a)</w:t>
            </w:r>
            <w:r w:rsidR="00AF0432" w:rsidRPr="00E50FA4">
              <w:rPr>
                <w:rFonts w:ascii="Times New Roman" w:eastAsia="Times New Roman" w:hAnsi="Times New Roman" w:cs="Times New Roman"/>
                <w:noProof/>
                <w:sz w:val="24"/>
                <w:lang w:val="en-GB"/>
              </w:rPr>
              <w:t>,</w:t>
            </w:r>
            <w:r w:rsidR="00EF3EEA" w:rsidRPr="00E50FA4">
              <w:rPr>
                <w:rFonts w:ascii="Times New Roman" w:eastAsia="Times New Roman" w:hAnsi="Times New Roman" w:cs="Times New Roman"/>
                <w:noProof/>
                <w:sz w:val="24"/>
                <w:lang w:val="en-GB"/>
              </w:rPr>
              <w:t xml:space="preserve"> and </w:t>
            </w:r>
            <w:r w:rsidR="0025458E" w:rsidRPr="00E50FA4">
              <w:rPr>
                <w:rFonts w:ascii="Times New Roman" w:eastAsia="Times New Roman" w:hAnsi="Times New Roman" w:cs="Times New Roman"/>
                <w:noProof/>
                <w:sz w:val="24"/>
                <w:lang w:val="en-GB"/>
              </w:rPr>
              <w:t xml:space="preserve">point </w:t>
            </w:r>
            <w:r w:rsidR="00EF3EEA" w:rsidRPr="00E50FA4">
              <w:rPr>
                <w:rFonts w:ascii="Times New Roman" w:eastAsia="Times New Roman" w:hAnsi="Times New Roman" w:cs="Times New Roman"/>
                <w:noProof/>
                <w:sz w:val="24"/>
                <w:lang w:val="en-GB"/>
              </w:rPr>
              <w:t>239ix</w:t>
            </w:r>
            <w:r w:rsidR="00AF0432" w:rsidRPr="00E50FA4">
              <w:rPr>
                <w:rFonts w:ascii="Times New Roman" w:eastAsia="Times New Roman" w:hAnsi="Times New Roman" w:cs="Times New Roman"/>
                <w:noProof/>
                <w:sz w:val="24"/>
                <w:lang w:val="en-GB"/>
              </w:rPr>
              <w:t>,</w:t>
            </w:r>
            <w:r w:rsidR="00EF3EEA" w:rsidRPr="00E50FA4">
              <w:rPr>
                <w:rFonts w:ascii="Times New Roman" w:eastAsia="Times New Roman" w:hAnsi="Times New Roman" w:cs="Times New Roman"/>
                <w:noProof/>
                <w:sz w:val="24"/>
                <w:lang w:val="en-GB"/>
              </w:rPr>
              <w:t xml:space="preserve"> of Annex V to Implementing Regulation (EU) 2021/451.</w:t>
            </w:r>
          </w:p>
          <w:p w14:paraId="6306C14C" w14:textId="79AF3D84" w:rsidR="00EF3EEA" w:rsidRPr="00E50FA4" w:rsidRDefault="00EF3EEA" w:rsidP="00EF3EEA">
            <w:pPr>
              <w:spacing w:before="120" w:after="120"/>
              <w:jc w:val="both"/>
              <w:rPr>
                <w:rFonts w:ascii="Times New Roman" w:hAnsi="Times New Roman"/>
                <w:noProof/>
                <w:sz w:val="24"/>
                <w:lang w:val="en-GB"/>
              </w:rPr>
            </w:pPr>
            <w:r w:rsidRPr="00E50FA4">
              <w:rPr>
                <w:rFonts w:ascii="Times New Roman" w:eastAsia="Times New Roman" w:hAnsi="Times New Roman" w:cs="Times New Roman"/>
                <w:bCs/>
                <w:noProof/>
                <w:sz w:val="24"/>
                <w:lang w:val="en-GB"/>
              </w:rPr>
              <w:t>The taxonomy</w:t>
            </w:r>
            <w:r w:rsidR="00C06AA4" w:rsidRPr="00E50FA4">
              <w:rPr>
                <w:rFonts w:ascii="Times New Roman" w:eastAsia="Times New Roman" w:hAnsi="Times New Roman" w:cs="Times New Roman"/>
                <w:bCs/>
                <w:noProof/>
                <w:sz w:val="24"/>
                <w:lang w:val="en-GB"/>
              </w:rPr>
              <w:t>-</w:t>
            </w:r>
            <w:r w:rsidRPr="00E50FA4">
              <w:rPr>
                <w:rFonts w:ascii="Times New Roman" w:eastAsia="Times New Roman" w:hAnsi="Times New Roman" w:cs="Times New Roman"/>
                <w:bCs/>
                <w:noProof/>
                <w:sz w:val="24"/>
                <w:lang w:val="en-GB"/>
              </w:rPr>
              <w:t>alignment</w:t>
            </w:r>
            <w:r w:rsidR="00D35AD5" w:rsidRPr="00E50FA4">
              <w:rPr>
                <w:rFonts w:ascii="Times New Roman" w:eastAsia="Times New Roman" w:hAnsi="Times New Roman" w:cs="Times New Roman"/>
                <w:bCs/>
                <w:noProof/>
                <w:sz w:val="24"/>
                <w:lang w:val="en-GB"/>
              </w:rPr>
              <w:t xml:space="preserve"> as </w:t>
            </w:r>
            <w:r w:rsidR="001D4928" w:rsidRPr="00E50FA4">
              <w:rPr>
                <w:rFonts w:ascii="Times New Roman" w:eastAsia="Times New Roman" w:hAnsi="Times New Roman" w:cs="Times New Roman"/>
                <w:bCs/>
                <w:noProof/>
                <w:sz w:val="24"/>
                <w:lang w:val="en-GB"/>
              </w:rPr>
              <w:t>referred to in</w:t>
            </w:r>
            <w:r w:rsidR="00D35AD5" w:rsidRPr="00E50FA4">
              <w:rPr>
                <w:rFonts w:ascii="Times New Roman" w:eastAsia="Times New Roman" w:hAnsi="Times New Roman" w:cs="Times New Roman"/>
                <w:bCs/>
                <w:noProof/>
                <w:sz w:val="24"/>
                <w:lang w:val="en-GB"/>
              </w:rPr>
              <w:t xml:space="preserve"> </w:t>
            </w:r>
            <w:r w:rsidR="00D35AD5" w:rsidRPr="00E50FA4">
              <w:rPr>
                <w:rFonts w:ascii="Times New Roman" w:hAnsi="Times New Roman"/>
                <w:noProof/>
                <w:sz w:val="24"/>
                <w:lang w:val="en-GB"/>
              </w:rPr>
              <w:t>Regulation (EU) 2020/852</w:t>
            </w:r>
            <w:r w:rsidRPr="00E50FA4">
              <w:rPr>
                <w:rFonts w:ascii="Times New Roman" w:eastAsia="Times New Roman" w:hAnsi="Times New Roman" w:cs="Times New Roman"/>
                <w:bCs/>
                <w:noProof/>
                <w:sz w:val="24"/>
                <w:lang w:val="en-GB"/>
              </w:rPr>
              <w:t xml:space="preserve"> of th</w:t>
            </w:r>
            <w:r w:rsidR="00AF0432" w:rsidRPr="00E50FA4">
              <w:rPr>
                <w:rFonts w:ascii="Times New Roman" w:eastAsia="Times New Roman" w:hAnsi="Times New Roman" w:cs="Times New Roman"/>
                <w:bCs/>
                <w:noProof/>
                <w:sz w:val="24"/>
                <w:lang w:val="en-GB"/>
              </w:rPr>
              <w:t>o</w:t>
            </w:r>
            <w:r w:rsidRPr="00E50FA4">
              <w:rPr>
                <w:rFonts w:ascii="Times New Roman" w:eastAsia="Times New Roman" w:hAnsi="Times New Roman" w:cs="Times New Roman"/>
                <w:bCs/>
                <w:noProof/>
                <w:sz w:val="24"/>
                <w:lang w:val="en-GB"/>
              </w:rPr>
              <w:t>se exposures shall only be assessed following a simplified approach, for the objective of climate change mitigation in accordance with the technical screening criteria for buildings, namely renovation and acquisition and ownership in accordance with points 7.2., 7.3., 7.4., 7.5, 7.6., and 7.7. respectively, of Annex I to</w:t>
            </w:r>
            <w:r w:rsidR="00AF0432" w:rsidRPr="00B76863">
              <w:rPr>
                <w:noProof/>
              </w:rPr>
              <w:t xml:space="preserve"> </w:t>
            </w:r>
            <w:r w:rsidR="00AF0432" w:rsidRPr="00E50FA4">
              <w:rPr>
                <w:rFonts w:ascii="Times New Roman" w:eastAsia="Times New Roman" w:hAnsi="Times New Roman" w:cs="Times New Roman"/>
                <w:bCs/>
                <w:noProof/>
                <w:sz w:val="24"/>
                <w:lang w:val="en-GB"/>
              </w:rPr>
              <w:t>Delegated Regulation (EU) 2021/2139</w:t>
            </w:r>
            <w:r w:rsidRPr="00E50FA4">
              <w:rPr>
                <w:rFonts w:ascii="Times New Roman" w:eastAsia="Times New Roman" w:hAnsi="Times New Roman" w:cs="Times New Roman"/>
                <w:bCs/>
                <w:noProof/>
                <w:sz w:val="24"/>
                <w:lang w:val="en-GB"/>
              </w:rPr>
              <w:t>, based on the energy efficiency of the underlying collateral.</w:t>
            </w:r>
          </w:p>
          <w:p w14:paraId="15327AF8" w14:textId="77777777" w:rsidR="00EF3EEA" w:rsidRPr="00E50FA4" w:rsidRDefault="00EF3EEA" w:rsidP="00EF3EEA">
            <w:pPr>
              <w:spacing w:before="120" w:after="120"/>
              <w:jc w:val="both"/>
              <w:rPr>
                <w:rFonts w:ascii="Times New Roman" w:eastAsia="Times New Roman" w:hAnsi="Times New Roman" w:cs="Times New Roman"/>
                <w:b/>
                <w:noProof/>
                <w:sz w:val="24"/>
                <w:u w:val="single"/>
                <w:lang w:val="en-GB"/>
              </w:rPr>
            </w:pPr>
          </w:p>
        </w:tc>
      </w:tr>
      <w:tr w:rsidR="00EF3EEA" w:rsidRPr="00E50FA4" w14:paraId="060E3E78"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5550FCB7" w14:textId="77777777" w:rsidR="00EF3EEA" w:rsidRPr="00E50FA4" w:rsidRDefault="00EF3EEA" w:rsidP="00EF3EEA">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lang w:val="en-GB"/>
              </w:rPr>
              <w:t>5</w:t>
            </w:r>
          </w:p>
        </w:tc>
        <w:tc>
          <w:tcPr>
            <w:tcW w:w="7879" w:type="dxa"/>
            <w:tcBorders>
              <w:top w:val="single" w:sz="4" w:space="0" w:color="auto"/>
              <w:left w:val="single" w:sz="4" w:space="0" w:color="auto"/>
              <w:bottom w:val="single" w:sz="4" w:space="0" w:color="auto"/>
              <w:right w:val="single" w:sz="4" w:space="0" w:color="auto"/>
            </w:tcBorders>
          </w:tcPr>
          <w:p w14:paraId="1EFBCFD9" w14:textId="77777777" w:rsidR="00EF3EEA" w:rsidRPr="00E50FA4" w:rsidRDefault="00EF3EEA" w:rsidP="00EF3EEA">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Of which: building renovation loans</w:t>
            </w:r>
          </w:p>
          <w:p w14:paraId="3D6189BB" w14:textId="3E8DFCD5" w:rsidR="00EF3EEA" w:rsidRPr="00E50FA4" w:rsidRDefault="00EF3EEA" w:rsidP="00EF3EEA">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Loans that are granted to SMEs and other non-financial corporations not subject to disclosure obligations </w:t>
            </w:r>
            <w:r w:rsidR="00AF0432" w:rsidRPr="00E50FA4">
              <w:rPr>
                <w:rFonts w:ascii="Times New Roman" w:eastAsia="Times New Roman" w:hAnsi="Times New Roman" w:cs="Times New Roman"/>
                <w:noProof/>
                <w:sz w:val="24"/>
                <w:lang w:val="en-GB"/>
              </w:rPr>
              <w:t xml:space="preserve">under Directive 2014/95/EU </w:t>
            </w:r>
            <w:r w:rsidRPr="00E50FA4">
              <w:rPr>
                <w:rFonts w:ascii="Times New Roman" w:eastAsia="Times New Roman" w:hAnsi="Times New Roman" w:cs="Times New Roman"/>
                <w:noProof/>
                <w:sz w:val="24"/>
                <w:lang w:val="en-GB"/>
              </w:rPr>
              <w:t xml:space="preserve">with the purpose of renovating </w:t>
            </w:r>
            <w:r w:rsidR="00C67640" w:rsidRPr="00E50FA4">
              <w:rPr>
                <w:rFonts w:ascii="Times New Roman" w:eastAsia="Times New Roman" w:hAnsi="Times New Roman" w:cs="Times New Roman"/>
                <w:noProof/>
                <w:sz w:val="24"/>
                <w:lang w:val="en-GB"/>
              </w:rPr>
              <w:t>a building</w:t>
            </w:r>
            <w:r w:rsidRPr="00E50FA4">
              <w:rPr>
                <w:rFonts w:ascii="Times New Roman" w:eastAsia="Times New Roman" w:hAnsi="Times New Roman" w:cs="Times New Roman"/>
                <w:noProof/>
                <w:sz w:val="24"/>
                <w:lang w:val="en-GB"/>
              </w:rPr>
              <w:t>.</w:t>
            </w:r>
          </w:p>
          <w:p w14:paraId="61ED92DD" w14:textId="211BE13F" w:rsidR="00EF3EEA" w:rsidRPr="00E50FA4" w:rsidRDefault="00EF3EEA" w:rsidP="00EF3EEA">
            <w:pPr>
              <w:spacing w:before="120" w:after="120"/>
              <w:jc w:val="both"/>
              <w:rPr>
                <w:rFonts w:ascii="Times New Roman" w:hAnsi="Times New Roman"/>
                <w:noProof/>
                <w:sz w:val="24"/>
                <w:lang w:val="en-GB"/>
              </w:rPr>
            </w:pPr>
            <w:r w:rsidRPr="00E50FA4">
              <w:rPr>
                <w:rFonts w:ascii="Times New Roman" w:eastAsia="Times New Roman" w:hAnsi="Times New Roman" w:cs="Times New Roman"/>
                <w:bCs/>
                <w:noProof/>
                <w:sz w:val="24"/>
                <w:lang w:val="en-GB"/>
              </w:rPr>
              <w:t xml:space="preserve">The taxonomy alignment </w:t>
            </w:r>
            <w:r w:rsidR="00D35AD5" w:rsidRPr="00E50FA4">
              <w:rPr>
                <w:rFonts w:ascii="Times New Roman" w:eastAsia="Times New Roman" w:hAnsi="Times New Roman" w:cs="Times New Roman"/>
                <w:bCs/>
                <w:noProof/>
                <w:sz w:val="24"/>
                <w:lang w:val="en-GB"/>
              </w:rPr>
              <w:t xml:space="preserve">as </w:t>
            </w:r>
            <w:r w:rsidR="001D4928" w:rsidRPr="00E50FA4">
              <w:rPr>
                <w:rFonts w:ascii="Times New Roman" w:eastAsia="Times New Roman" w:hAnsi="Times New Roman" w:cs="Times New Roman"/>
                <w:bCs/>
                <w:noProof/>
                <w:sz w:val="24"/>
                <w:lang w:val="en-GB"/>
              </w:rPr>
              <w:t>referred to in</w:t>
            </w:r>
            <w:r w:rsidR="00D35AD5" w:rsidRPr="00E50FA4">
              <w:rPr>
                <w:rFonts w:ascii="Times New Roman" w:eastAsia="Times New Roman" w:hAnsi="Times New Roman" w:cs="Times New Roman"/>
                <w:bCs/>
                <w:noProof/>
                <w:sz w:val="24"/>
                <w:lang w:val="en-GB"/>
              </w:rPr>
              <w:t xml:space="preserve"> </w:t>
            </w:r>
            <w:r w:rsidR="00D35AD5" w:rsidRPr="00E50FA4">
              <w:rPr>
                <w:rFonts w:ascii="Times New Roman" w:hAnsi="Times New Roman"/>
                <w:noProof/>
                <w:sz w:val="24"/>
                <w:lang w:val="en-GB"/>
              </w:rPr>
              <w:t>Regulation (EU) 2020/852</w:t>
            </w:r>
            <w:r w:rsidR="001077C6" w:rsidRPr="00E50FA4">
              <w:rPr>
                <w:rFonts w:ascii="Times New Roman" w:hAnsi="Times New Roman"/>
                <w:noProof/>
                <w:sz w:val="24"/>
                <w:lang w:val="en-GB"/>
              </w:rPr>
              <w:t xml:space="preserve"> </w:t>
            </w:r>
            <w:r w:rsidRPr="00E50FA4">
              <w:rPr>
                <w:rFonts w:ascii="Times New Roman" w:eastAsia="Times New Roman" w:hAnsi="Times New Roman" w:cs="Times New Roman"/>
                <w:bCs/>
                <w:noProof/>
                <w:sz w:val="24"/>
                <w:lang w:val="en-GB"/>
              </w:rPr>
              <w:t xml:space="preserve">of these exposures shall only be assessed following a simplified approach, for the objective of climate change mitigation in accordance with the technical screening criteria for buildings, namely renovation and acquisition and ownership in accordance with points 7.2., 7.3., 7.4., 7.5, 7.6., and 7.7. respectively, of Annex I to </w:t>
            </w:r>
            <w:r w:rsidR="00961A84" w:rsidRPr="00E50FA4">
              <w:rPr>
                <w:rFonts w:ascii="Times New Roman" w:eastAsia="Times New Roman" w:hAnsi="Times New Roman" w:cs="Times New Roman"/>
                <w:bCs/>
                <w:noProof/>
                <w:sz w:val="24"/>
                <w:lang w:val="en-GB"/>
              </w:rPr>
              <w:t>Delegated Regulation (EU) 2021/</w:t>
            </w:r>
            <w:r w:rsidR="00B76863" w:rsidRPr="00E50FA4">
              <w:rPr>
                <w:rFonts w:ascii="Times New Roman" w:eastAsia="Times New Roman" w:hAnsi="Times New Roman" w:cs="Times New Roman"/>
                <w:bCs/>
                <w:noProof/>
                <w:sz w:val="24"/>
                <w:lang w:val="en-GB"/>
              </w:rPr>
              <w:t>2139,</w:t>
            </w:r>
            <w:r w:rsidRPr="00E50FA4">
              <w:rPr>
                <w:rFonts w:ascii="Times New Roman" w:eastAsia="Times New Roman" w:hAnsi="Times New Roman" w:cs="Times New Roman"/>
                <w:bCs/>
                <w:noProof/>
                <w:sz w:val="24"/>
                <w:lang w:val="en-GB"/>
              </w:rPr>
              <w:t xml:space="preserve"> based on the energy efficiency of the underlying collateral.</w:t>
            </w:r>
          </w:p>
          <w:p w14:paraId="72281082" w14:textId="77777777" w:rsidR="00EF3EEA" w:rsidRPr="00E50FA4" w:rsidRDefault="00EF3EEA" w:rsidP="00EF3EEA">
            <w:pPr>
              <w:spacing w:before="120" w:after="120"/>
              <w:jc w:val="both"/>
              <w:rPr>
                <w:rFonts w:ascii="Times New Roman" w:eastAsia="Times New Roman" w:hAnsi="Times New Roman" w:cs="Times New Roman"/>
                <w:b/>
                <w:noProof/>
                <w:sz w:val="24"/>
                <w:u w:val="single"/>
                <w:lang w:val="en-GB"/>
              </w:rPr>
            </w:pPr>
          </w:p>
        </w:tc>
      </w:tr>
      <w:tr w:rsidR="00EF3EEA" w:rsidRPr="00E50FA4" w14:paraId="0E4F4DF9"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6B7F4327" w14:textId="77777777" w:rsidR="00EF3EEA" w:rsidRPr="00E50FA4" w:rsidRDefault="00EF3EEA" w:rsidP="00EF3EEA">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lang w:val="en-GB"/>
              </w:rPr>
              <w:t>8</w:t>
            </w:r>
          </w:p>
        </w:tc>
        <w:tc>
          <w:tcPr>
            <w:tcW w:w="7879" w:type="dxa"/>
            <w:tcBorders>
              <w:top w:val="single" w:sz="4" w:space="0" w:color="auto"/>
              <w:left w:val="single" w:sz="4" w:space="0" w:color="auto"/>
              <w:bottom w:val="single" w:sz="4" w:space="0" w:color="auto"/>
              <w:right w:val="single" w:sz="4" w:space="0" w:color="auto"/>
            </w:tcBorders>
          </w:tcPr>
          <w:p w14:paraId="0C402CE7" w14:textId="77777777" w:rsidR="00EF3EEA" w:rsidRPr="00E50FA4" w:rsidRDefault="00EF3EEA" w:rsidP="00EF3EEA">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Non-EU Non-financial corporations (not subject to NFRD disclosure obligations)</w:t>
            </w:r>
          </w:p>
          <w:p w14:paraId="1507459B" w14:textId="6654D701" w:rsidR="00EF3EEA" w:rsidRPr="00E50FA4" w:rsidRDefault="00EF3EEA" w:rsidP="00EF3EEA">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bidi="ne-NP"/>
              </w:rPr>
              <w:t xml:space="preserve">Exposures to non-financial corporation as </w:t>
            </w:r>
            <w:r w:rsidR="00D35AD5" w:rsidRPr="00E50FA4">
              <w:rPr>
                <w:rFonts w:ascii="Times New Roman" w:eastAsia="Times New Roman" w:hAnsi="Times New Roman" w:cs="Times New Roman"/>
                <w:noProof/>
                <w:sz w:val="24"/>
                <w:lang w:val="en-GB" w:bidi="ne-NP"/>
              </w:rPr>
              <w:t xml:space="preserve">referred to </w:t>
            </w:r>
            <w:r w:rsidRPr="00E50FA4">
              <w:rPr>
                <w:rFonts w:ascii="Times New Roman" w:eastAsia="Times New Roman" w:hAnsi="Times New Roman" w:cs="Times New Roman"/>
                <w:noProof/>
                <w:sz w:val="24"/>
                <w:lang w:val="en-GB" w:bidi="ne-NP"/>
              </w:rPr>
              <w:t xml:space="preserve">in </w:t>
            </w:r>
            <w:r w:rsidR="00961A84" w:rsidRPr="00E50FA4">
              <w:rPr>
                <w:rFonts w:ascii="Times New Roman" w:eastAsia="Times New Roman" w:hAnsi="Times New Roman" w:cs="Times New Roman"/>
                <w:noProof/>
                <w:sz w:val="24"/>
                <w:lang w:val="en-GB" w:bidi="ne-NP"/>
              </w:rPr>
              <w:t xml:space="preserve">Part 1, </w:t>
            </w:r>
            <w:r w:rsidR="0025458E" w:rsidRPr="00E50FA4">
              <w:rPr>
                <w:rFonts w:ascii="Times New Roman" w:eastAsia="Times New Roman" w:hAnsi="Times New Roman" w:cs="Times New Roman"/>
                <w:noProof/>
                <w:sz w:val="24"/>
                <w:lang w:val="en-GB" w:bidi="ne-NP"/>
              </w:rPr>
              <w:t xml:space="preserve">point </w:t>
            </w:r>
            <w:r w:rsidR="00961A84" w:rsidRPr="00E50FA4">
              <w:rPr>
                <w:rFonts w:ascii="Times New Roman" w:eastAsia="Times New Roman" w:hAnsi="Times New Roman" w:cs="Times New Roman"/>
                <w:noProof/>
                <w:sz w:val="24"/>
                <w:lang w:val="en-GB" w:bidi="ne-NP"/>
              </w:rPr>
              <w:t xml:space="preserve">42, </w:t>
            </w:r>
            <w:r w:rsidR="0025458E" w:rsidRPr="00E50FA4">
              <w:rPr>
                <w:rFonts w:ascii="Times New Roman" w:eastAsia="Times New Roman" w:hAnsi="Times New Roman" w:cs="Times New Roman"/>
                <w:noProof/>
                <w:sz w:val="24"/>
                <w:lang w:val="en-GB" w:bidi="ne-NP"/>
              </w:rPr>
              <w:t xml:space="preserve">letter </w:t>
            </w:r>
            <w:r w:rsidRPr="00E50FA4">
              <w:rPr>
                <w:rFonts w:ascii="Times New Roman" w:eastAsia="Times New Roman" w:hAnsi="Times New Roman" w:cs="Times New Roman"/>
                <w:noProof/>
                <w:sz w:val="24"/>
                <w:lang w:val="en-GB" w:bidi="ne-NP"/>
              </w:rPr>
              <w:t>(e)</w:t>
            </w:r>
            <w:r w:rsidR="00961A84" w:rsidRPr="00E50FA4">
              <w:rPr>
                <w:rFonts w:ascii="Times New Roman" w:eastAsia="Times New Roman" w:hAnsi="Times New Roman" w:cs="Times New Roman"/>
                <w:noProof/>
                <w:sz w:val="24"/>
                <w:lang w:val="en-GB" w:bidi="ne-NP"/>
              </w:rPr>
              <w:t>,</w:t>
            </w:r>
            <w:r w:rsidRPr="00E50FA4">
              <w:rPr>
                <w:rFonts w:ascii="Times New Roman" w:eastAsia="Times New Roman" w:hAnsi="Times New Roman" w:cs="Times New Roman"/>
                <w:noProof/>
                <w:sz w:val="24"/>
                <w:lang w:val="en-GB" w:bidi="ne-NP"/>
              </w:rPr>
              <w:t xml:space="preserve"> of Annex V to Implementing Regulation (EU) </w:t>
            </w:r>
            <w:r w:rsidRPr="00E50FA4">
              <w:rPr>
                <w:rFonts w:ascii="Times New Roman" w:eastAsia="Times New Roman" w:hAnsi="Times New Roman" w:cs="Times New Roman"/>
                <w:noProof/>
                <w:sz w:val="24"/>
                <w:lang w:val="en-GB"/>
              </w:rPr>
              <w:t>2021/451, which are located outside the U</w:t>
            </w:r>
            <w:r w:rsidR="00961A84" w:rsidRPr="00E50FA4">
              <w:rPr>
                <w:rFonts w:ascii="Times New Roman" w:eastAsia="Times New Roman" w:hAnsi="Times New Roman" w:cs="Times New Roman"/>
                <w:noProof/>
                <w:sz w:val="24"/>
                <w:lang w:val="en-GB"/>
              </w:rPr>
              <w:t>nion</w:t>
            </w:r>
            <w:r w:rsidRPr="00E50FA4">
              <w:rPr>
                <w:rFonts w:ascii="Times New Roman" w:eastAsia="Times New Roman" w:hAnsi="Times New Roman" w:cs="Times New Roman"/>
                <w:noProof/>
                <w:sz w:val="24"/>
                <w:lang w:val="en-GB"/>
              </w:rPr>
              <w:t xml:space="preserve"> and not subject to disclosure obligations under Directive 2014/95/EU.</w:t>
            </w:r>
          </w:p>
          <w:p w14:paraId="5305FAD0" w14:textId="77008E0A" w:rsidR="00EF3EEA" w:rsidRPr="00E50FA4" w:rsidRDefault="00EF3EEA" w:rsidP="00EF3EEA">
            <w:pPr>
              <w:spacing w:before="120" w:after="120"/>
              <w:jc w:val="both"/>
              <w:rPr>
                <w:rFonts w:ascii="Times New Roman" w:hAnsi="Times New Roman"/>
                <w:noProof/>
                <w:sz w:val="24"/>
              </w:rPr>
            </w:pPr>
            <w:r w:rsidRPr="00E50FA4">
              <w:rPr>
                <w:rFonts w:ascii="Times New Roman" w:eastAsia="Times New Roman" w:hAnsi="Times New Roman" w:cs="Times New Roman"/>
                <w:noProof/>
                <w:sz w:val="24"/>
                <w:lang w:val="en-GB"/>
              </w:rPr>
              <w:t>Where institutions are providing th</w:t>
            </w:r>
            <w:r w:rsidR="009D521D" w:rsidRPr="00E50FA4">
              <w:rPr>
                <w:rFonts w:ascii="Times New Roman" w:eastAsia="Times New Roman" w:hAnsi="Times New Roman" w:cs="Times New Roman"/>
                <w:noProof/>
                <w:sz w:val="24"/>
                <w:lang w:val="en-GB"/>
              </w:rPr>
              <w:t>at</w:t>
            </w:r>
            <w:r w:rsidRPr="00E50FA4">
              <w:rPr>
                <w:rFonts w:ascii="Times New Roman" w:eastAsia="Times New Roman" w:hAnsi="Times New Roman" w:cs="Times New Roman"/>
                <w:noProof/>
                <w:sz w:val="24"/>
                <w:lang w:val="en-GB"/>
              </w:rPr>
              <w:t xml:space="preserve"> information in their disclosures under Article 8 </w:t>
            </w:r>
            <w:r w:rsidRPr="00E50FA4">
              <w:rPr>
                <w:rFonts w:ascii="Times New Roman" w:hAnsi="Times New Roman"/>
                <w:noProof/>
                <w:sz w:val="24"/>
                <w:lang w:val="en-GB"/>
              </w:rPr>
              <w:t xml:space="preserve">of Regulation (EU) 2020/852 </w:t>
            </w:r>
            <w:r w:rsidRPr="00E50FA4">
              <w:rPr>
                <w:rFonts w:ascii="Times New Roman" w:eastAsia="Times New Roman" w:hAnsi="Times New Roman" w:cs="Times New Roman"/>
                <w:noProof/>
                <w:sz w:val="24"/>
                <w:lang w:val="en-GB"/>
              </w:rPr>
              <w:t>in accordance with Article 7(7) of</w:t>
            </w:r>
            <w:r w:rsidRPr="00E50FA4">
              <w:rPr>
                <w:rFonts w:ascii="Times New Roman" w:hAnsi="Times New Roman"/>
                <w:noProof/>
                <w:sz w:val="24"/>
                <w:lang w:val="en-GB"/>
              </w:rPr>
              <w:t xml:space="preserve"> Delegated Regulation (EU) </w:t>
            </w:r>
            <w:r w:rsidR="00961A84" w:rsidRPr="00E50FA4">
              <w:rPr>
                <w:rFonts w:ascii="Times New Roman" w:hAnsi="Times New Roman"/>
                <w:noProof/>
                <w:sz w:val="24"/>
                <w:lang w:val="en-GB"/>
              </w:rPr>
              <w:t>2021/2178</w:t>
            </w:r>
            <w:r w:rsidRPr="00E50FA4">
              <w:rPr>
                <w:rFonts w:ascii="Times New Roman" w:hAnsi="Times New Roman"/>
                <w:noProof/>
                <w:sz w:val="24"/>
                <w:lang w:val="en-GB"/>
              </w:rPr>
              <w:t xml:space="preserve">, they shall disclose here the same information. Otherwise, institutions shall collect information </w:t>
            </w:r>
            <w:r w:rsidR="009D521D" w:rsidRPr="00E50FA4">
              <w:rPr>
                <w:rFonts w:ascii="Times New Roman" w:hAnsi="Times New Roman"/>
                <w:noProof/>
                <w:sz w:val="24"/>
                <w:lang w:val="en-GB"/>
              </w:rPr>
              <w:t xml:space="preserve">from </w:t>
            </w:r>
            <w:r w:rsidRPr="00E50FA4">
              <w:rPr>
                <w:rFonts w:ascii="Times New Roman" w:hAnsi="Times New Roman"/>
                <w:noProof/>
                <w:sz w:val="24"/>
                <w:lang w:val="en-GB"/>
              </w:rPr>
              <w:t>their counterparties on a bilateral basis through the loan origination, and regular credit review and monitoring process, or use the following proxies for the disclosure of information on non-EU exposures on a best-effort-basis:</w:t>
            </w:r>
          </w:p>
          <w:p w14:paraId="2773DD8C" w14:textId="6B560101" w:rsidR="00EF3EEA" w:rsidRPr="00E50FA4" w:rsidRDefault="00786654" w:rsidP="00B76863">
            <w:pPr>
              <w:pStyle w:val="ListParagraph"/>
              <w:spacing w:before="120" w:after="120"/>
              <w:ind w:left="539" w:hanging="539"/>
              <w:jc w:val="both"/>
              <w:rPr>
                <w:rFonts w:ascii="Times New Roman" w:hAnsi="Times New Roman"/>
                <w:noProof/>
                <w:sz w:val="24"/>
              </w:rPr>
            </w:pPr>
            <w:r w:rsidRPr="00E50FA4">
              <w:rPr>
                <w:rFonts w:ascii="Times New Roman" w:hAnsi="Times New Roman"/>
                <w:noProof/>
                <w:sz w:val="24"/>
              </w:rPr>
              <w:t xml:space="preserve">(a) </w:t>
            </w:r>
            <w:r w:rsidR="00020608" w:rsidRPr="00E50FA4">
              <w:rPr>
                <w:rFonts w:ascii="Times New Roman" w:hAnsi="Times New Roman"/>
                <w:noProof/>
                <w:sz w:val="24"/>
              </w:rPr>
              <w:tab/>
            </w:r>
            <w:r w:rsidR="00EF3EEA" w:rsidRPr="00E50FA4">
              <w:rPr>
                <w:rFonts w:ascii="Times New Roman" w:hAnsi="Times New Roman"/>
                <w:noProof/>
                <w:sz w:val="24"/>
              </w:rPr>
              <w:t>their own models and the classification of exposures according to them</w:t>
            </w:r>
            <w:r w:rsidR="00961A84" w:rsidRPr="00E50FA4">
              <w:rPr>
                <w:rFonts w:ascii="Times New Roman" w:hAnsi="Times New Roman"/>
                <w:noProof/>
                <w:sz w:val="24"/>
              </w:rPr>
              <w:t>; i</w:t>
            </w:r>
            <w:r w:rsidR="00EF3EEA" w:rsidRPr="00E50FA4">
              <w:rPr>
                <w:rFonts w:ascii="Times New Roman" w:hAnsi="Times New Roman"/>
                <w:noProof/>
                <w:sz w:val="24"/>
              </w:rPr>
              <w:t>n this case institutions shall explain the main features of the models applied;</w:t>
            </w:r>
          </w:p>
          <w:p w14:paraId="2307117D" w14:textId="62C0923D" w:rsidR="00EF3EEA" w:rsidRPr="00E50FA4" w:rsidRDefault="00786654" w:rsidP="00B76863">
            <w:pPr>
              <w:pStyle w:val="ListParagraph"/>
              <w:spacing w:before="120" w:after="120"/>
              <w:ind w:left="539" w:hanging="539"/>
              <w:jc w:val="both"/>
              <w:rPr>
                <w:rFonts w:ascii="Times New Roman" w:hAnsi="Times New Roman"/>
                <w:noProof/>
                <w:sz w:val="24"/>
              </w:rPr>
            </w:pPr>
            <w:r w:rsidRPr="00E50FA4">
              <w:rPr>
                <w:rFonts w:ascii="Times New Roman" w:hAnsi="Times New Roman"/>
                <w:noProof/>
                <w:sz w:val="24"/>
              </w:rPr>
              <w:t xml:space="preserve">(b) </w:t>
            </w:r>
            <w:r w:rsidR="00020608" w:rsidRPr="00E50FA4">
              <w:rPr>
                <w:rFonts w:ascii="Times New Roman" w:hAnsi="Times New Roman"/>
                <w:noProof/>
                <w:sz w:val="24"/>
              </w:rPr>
              <w:tab/>
            </w:r>
            <w:r w:rsidR="00EF3EEA" w:rsidRPr="00E50FA4">
              <w:rPr>
                <w:rFonts w:ascii="Times New Roman" w:hAnsi="Times New Roman"/>
                <w:noProof/>
                <w:sz w:val="24"/>
              </w:rPr>
              <w:t>where available, counterparties’ public disclosures based on international standards (</w:t>
            </w:r>
            <w:r w:rsidR="00596E1A" w:rsidRPr="00E50FA4">
              <w:rPr>
                <w:rFonts w:ascii="Times New Roman" w:hAnsi="Times New Roman"/>
                <w:noProof/>
                <w:sz w:val="24"/>
              </w:rPr>
              <w:t xml:space="preserve">including </w:t>
            </w:r>
            <w:r w:rsidR="00EF3EEA" w:rsidRPr="00E50FA4">
              <w:rPr>
                <w:rFonts w:ascii="Times New Roman" w:hAnsi="Times New Roman"/>
                <w:noProof/>
                <w:sz w:val="24"/>
              </w:rPr>
              <w:t>TCFD); institutions shall in th</w:t>
            </w:r>
            <w:r w:rsidR="009D521D" w:rsidRPr="00E50FA4">
              <w:rPr>
                <w:rFonts w:ascii="Times New Roman" w:hAnsi="Times New Roman"/>
                <w:noProof/>
                <w:sz w:val="24"/>
              </w:rPr>
              <w:t>at</w:t>
            </w:r>
            <w:r w:rsidR="00EF3EEA" w:rsidRPr="00E50FA4">
              <w:rPr>
                <w:rFonts w:ascii="Times New Roman" w:hAnsi="Times New Roman"/>
                <w:noProof/>
                <w:sz w:val="24"/>
              </w:rPr>
              <w:t xml:space="preserve"> case explain the type of information available and the standards applied; </w:t>
            </w:r>
          </w:p>
          <w:p w14:paraId="6136A2C7" w14:textId="10B70A2D" w:rsidR="00EF3EEA" w:rsidRPr="00E50FA4" w:rsidRDefault="00786654" w:rsidP="00B76863">
            <w:pPr>
              <w:pStyle w:val="ListParagraph"/>
              <w:spacing w:before="120" w:after="120"/>
              <w:ind w:left="539" w:hanging="539"/>
              <w:jc w:val="both"/>
              <w:rPr>
                <w:rFonts w:ascii="Times New Roman" w:hAnsi="Times New Roman"/>
                <w:noProof/>
                <w:sz w:val="24"/>
              </w:rPr>
            </w:pPr>
            <w:r w:rsidRPr="00E50FA4">
              <w:rPr>
                <w:rFonts w:ascii="Times New Roman" w:hAnsi="Times New Roman"/>
                <w:noProof/>
                <w:sz w:val="24"/>
              </w:rPr>
              <w:t xml:space="preserve">(c) </w:t>
            </w:r>
            <w:r w:rsidR="00020608" w:rsidRPr="00E50FA4">
              <w:rPr>
                <w:rFonts w:ascii="Times New Roman" w:hAnsi="Times New Roman"/>
                <w:noProof/>
                <w:sz w:val="24"/>
              </w:rPr>
              <w:tab/>
            </w:r>
            <w:r w:rsidR="00961A84" w:rsidRPr="00E50FA4">
              <w:rPr>
                <w:rFonts w:ascii="Times New Roman" w:hAnsi="Times New Roman"/>
                <w:noProof/>
                <w:sz w:val="24"/>
              </w:rPr>
              <w:t>o</w:t>
            </w:r>
            <w:r w:rsidR="00EF3EEA" w:rsidRPr="00E50FA4">
              <w:rPr>
                <w:rFonts w:ascii="Times New Roman" w:hAnsi="Times New Roman"/>
                <w:noProof/>
                <w:sz w:val="24"/>
              </w:rPr>
              <w:t>ther publicly available data.</w:t>
            </w:r>
          </w:p>
          <w:p w14:paraId="080F993E" w14:textId="2A323C66" w:rsidR="00EF3EEA" w:rsidRPr="00E50FA4" w:rsidRDefault="00EF3EEA" w:rsidP="00EF3EEA">
            <w:pPr>
              <w:spacing w:before="120" w:after="120"/>
              <w:jc w:val="both"/>
              <w:rPr>
                <w:rFonts w:ascii="Times New Roman" w:hAnsi="Times New Roman"/>
                <w:noProof/>
                <w:sz w:val="24"/>
                <w:lang w:val="en-GB"/>
              </w:rPr>
            </w:pPr>
            <w:r w:rsidRPr="00E50FA4">
              <w:rPr>
                <w:rFonts w:ascii="Times New Roman" w:hAnsi="Times New Roman"/>
                <w:noProof/>
                <w:sz w:val="24"/>
                <w:lang w:val="en-GB"/>
              </w:rPr>
              <w:t xml:space="preserve">Institutions </w:t>
            </w:r>
            <w:r w:rsidR="00C06AA4" w:rsidRPr="00E50FA4">
              <w:rPr>
                <w:rFonts w:ascii="Times New Roman" w:hAnsi="Times New Roman"/>
                <w:noProof/>
                <w:sz w:val="24"/>
                <w:lang w:val="en-GB"/>
              </w:rPr>
              <w:t xml:space="preserve">are to </w:t>
            </w:r>
            <w:r w:rsidRPr="00E50FA4">
              <w:rPr>
                <w:rFonts w:ascii="Times New Roman" w:hAnsi="Times New Roman"/>
                <w:noProof/>
                <w:sz w:val="24"/>
                <w:lang w:val="en-GB"/>
              </w:rPr>
              <w:t>explain in the narrative accompanying this template the sources used for the disclosure of this information. Where institutions are unable to collect on a bilateral basis or estimate relevant information or are unable to do it in a reasonable way that is not over</w:t>
            </w:r>
            <w:r w:rsidR="008E0258" w:rsidRPr="00E50FA4">
              <w:rPr>
                <w:rFonts w:ascii="Times New Roman" w:hAnsi="Times New Roman"/>
                <w:noProof/>
                <w:sz w:val="24"/>
                <w:lang w:val="en-GB"/>
              </w:rPr>
              <w:t xml:space="preserve">ly </w:t>
            </w:r>
            <w:r w:rsidRPr="00E50FA4">
              <w:rPr>
                <w:rFonts w:ascii="Times New Roman" w:hAnsi="Times New Roman"/>
                <w:noProof/>
                <w:sz w:val="24"/>
                <w:lang w:val="en-GB"/>
              </w:rPr>
              <w:t xml:space="preserve">burdensome for them or their counterparties, they shall explain </w:t>
            </w:r>
            <w:r w:rsidR="009D521D" w:rsidRPr="00E50FA4">
              <w:rPr>
                <w:rFonts w:ascii="Times New Roman" w:hAnsi="Times New Roman"/>
                <w:noProof/>
                <w:sz w:val="24"/>
                <w:lang w:val="en-GB"/>
              </w:rPr>
              <w:t>that fact</w:t>
            </w:r>
            <w:r w:rsidRPr="00E50FA4">
              <w:rPr>
                <w:rFonts w:ascii="Times New Roman" w:hAnsi="Times New Roman"/>
                <w:noProof/>
                <w:sz w:val="24"/>
                <w:lang w:val="en-GB"/>
              </w:rPr>
              <w:t xml:space="preserve"> in the narrative accompanying the template, explaining the reasons and counterparties affected.</w:t>
            </w:r>
          </w:p>
          <w:p w14:paraId="5976970B" w14:textId="6A6CD48F" w:rsidR="00EF3EEA" w:rsidRPr="00E50FA4" w:rsidRDefault="00EF3EEA" w:rsidP="00EF3EEA">
            <w:pPr>
              <w:spacing w:before="120" w:after="120"/>
              <w:jc w:val="both"/>
              <w:rPr>
                <w:rFonts w:ascii="Times New Roman" w:eastAsia="Times New Roman" w:hAnsi="Times New Roman" w:cs="Times New Roman"/>
                <w:noProof/>
                <w:sz w:val="24"/>
                <w:lang w:val="en-GB"/>
              </w:rPr>
            </w:pPr>
            <w:r w:rsidRPr="00E50FA4">
              <w:rPr>
                <w:rFonts w:ascii="Times New Roman" w:hAnsi="Times New Roman"/>
                <w:noProof/>
                <w:sz w:val="24"/>
                <w:lang w:val="en-GB"/>
              </w:rPr>
              <w:t xml:space="preserve">For this type of counterparties, when assessing general purpose lending/financing with unknown use of proceeds, institutions shall follow a simplified approach and focus their assessment on the main economic activity of the corporate, that is, on their main source of turnover, in order to determine the overall alignment of the exposures with </w:t>
            </w:r>
            <w:r w:rsidR="008E0258" w:rsidRPr="00E50FA4">
              <w:rPr>
                <w:rFonts w:ascii="Times New Roman" w:hAnsi="Times New Roman"/>
                <w:noProof/>
                <w:sz w:val="24"/>
                <w:lang w:val="en-GB"/>
              </w:rPr>
              <w:t>Regulation (EU) 2020/852</w:t>
            </w:r>
            <w:r w:rsidRPr="00E50FA4">
              <w:rPr>
                <w:rFonts w:ascii="Times New Roman" w:hAnsi="Times New Roman"/>
                <w:noProof/>
                <w:sz w:val="24"/>
                <w:lang w:val="en-GB"/>
              </w:rPr>
              <w:t>. In the case of specialised lending</w:t>
            </w:r>
            <w:r w:rsidR="009D521D" w:rsidRPr="00E50FA4">
              <w:rPr>
                <w:rFonts w:ascii="Times New Roman" w:hAnsi="Times New Roman"/>
                <w:noProof/>
                <w:sz w:val="24"/>
                <w:lang w:val="en-GB"/>
              </w:rPr>
              <w:t>,</w:t>
            </w:r>
            <w:r w:rsidRPr="00E50FA4">
              <w:rPr>
                <w:rFonts w:ascii="Times New Roman" w:hAnsi="Times New Roman"/>
                <w:noProof/>
                <w:sz w:val="24"/>
                <w:lang w:val="en-GB"/>
              </w:rPr>
              <w:t xml:space="preserve"> the assessment shall be based on the extent and proportion to which the specific project funded qualify as contributing substantially to climate change mitigation or adaptation (project specific information), and for the real estate portfolio the assessment shall be conducted </w:t>
            </w:r>
            <w:r w:rsidRPr="00E50FA4">
              <w:rPr>
                <w:rFonts w:ascii="Times New Roman" w:eastAsia="Times New Roman" w:hAnsi="Times New Roman" w:cs="Times New Roman"/>
                <w:bCs/>
                <w:noProof/>
                <w:sz w:val="24"/>
                <w:lang w:val="en-GB"/>
              </w:rPr>
              <w:t xml:space="preserve">for the objective of climate change mitigation based on the energy efficiency of the underlying collateral and their alignment with criteria specified for the relevant activities in </w:t>
            </w:r>
            <w:r w:rsidR="008E0258" w:rsidRPr="00E50FA4">
              <w:rPr>
                <w:rFonts w:ascii="Times New Roman" w:hAnsi="Times New Roman"/>
                <w:noProof/>
                <w:sz w:val="24"/>
                <w:lang w:val="en-GB"/>
              </w:rPr>
              <w:t>Regulation (EU) 2020/852</w:t>
            </w:r>
            <w:r w:rsidRPr="00E50FA4">
              <w:rPr>
                <w:rFonts w:ascii="Times New Roman" w:hAnsi="Times New Roman"/>
                <w:noProof/>
                <w:sz w:val="24"/>
                <w:lang w:val="en-GB"/>
              </w:rPr>
              <w:t>.</w:t>
            </w:r>
          </w:p>
          <w:p w14:paraId="358D71B0" w14:textId="77777777" w:rsidR="00EF3EEA" w:rsidRPr="00E50FA4" w:rsidRDefault="00EF3EEA" w:rsidP="00EF3EEA">
            <w:pPr>
              <w:spacing w:before="120" w:after="120"/>
              <w:jc w:val="both"/>
              <w:rPr>
                <w:rFonts w:ascii="Times New Roman" w:eastAsia="Times New Roman" w:hAnsi="Times New Roman" w:cs="Times New Roman"/>
                <w:b/>
                <w:noProof/>
                <w:sz w:val="24"/>
                <w:u w:val="single"/>
                <w:lang w:val="en-GB"/>
              </w:rPr>
            </w:pPr>
          </w:p>
        </w:tc>
      </w:tr>
      <w:tr w:rsidR="00EF3EEA" w:rsidRPr="00E50FA4" w14:paraId="1537EB97" w14:textId="77777777" w:rsidTr="001A66AA">
        <w:tc>
          <w:tcPr>
            <w:tcW w:w="1188" w:type="dxa"/>
            <w:tcBorders>
              <w:top w:val="single" w:sz="4" w:space="0" w:color="auto"/>
              <w:left w:val="single" w:sz="4" w:space="0" w:color="auto"/>
              <w:bottom w:val="single" w:sz="4" w:space="0" w:color="auto"/>
              <w:right w:val="single" w:sz="4" w:space="0" w:color="auto"/>
            </w:tcBorders>
            <w:vAlign w:val="center"/>
          </w:tcPr>
          <w:p w14:paraId="136F058D" w14:textId="77777777" w:rsidR="00EF3EEA" w:rsidRPr="00B76863" w:rsidRDefault="00EF3EEA" w:rsidP="00EF3EEA">
            <w:pPr>
              <w:spacing w:before="120" w:after="120"/>
              <w:jc w:val="both"/>
              <w:rPr>
                <w:rFonts w:ascii="Times New Roman" w:hAnsi="Times New Roman"/>
                <w:noProof/>
                <w:color w:val="000000"/>
                <w:sz w:val="24"/>
              </w:rPr>
            </w:pPr>
            <w:r w:rsidRPr="00B76863">
              <w:rPr>
                <w:rFonts w:ascii="Times New Roman" w:hAnsi="Times New Roman"/>
                <w:noProof/>
                <w:color w:val="000000"/>
                <w:sz w:val="24"/>
              </w:rPr>
              <w:t>Row 12</w:t>
            </w:r>
          </w:p>
        </w:tc>
        <w:tc>
          <w:tcPr>
            <w:tcW w:w="7879" w:type="dxa"/>
            <w:tcBorders>
              <w:top w:val="single" w:sz="4" w:space="0" w:color="auto"/>
              <w:left w:val="single" w:sz="4" w:space="0" w:color="auto"/>
              <w:bottom w:val="single" w:sz="4" w:space="0" w:color="auto"/>
              <w:right w:val="single" w:sz="4" w:space="0" w:color="auto"/>
            </w:tcBorders>
          </w:tcPr>
          <w:p w14:paraId="2534BFA0" w14:textId="77777777" w:rsidR="00EF3EEA" w:rsidRPr="00E50FA4" w:rsidRDefault="00EF3EEA" w:rsidP="00EF3EEA">
            <w:pPr>
              <w:spacing w:before="120" w:after="120"/>
              <w:jc w:val="both"/>
              <w:rPr>
                <w:rFonts w:ascii="Times New Roman" w:eastAsia="Times New Roman" w:hAnsi="Times New Roman" w:cs="Times New Roman"/>
                <w:bCs/>
                <w:noProof/>
                <w:sz w:val="24"/>
                <w:lang w:val="en-GB"/>
              </w:rPr>
            </w:pPr>
            <w:r w:rsidRPr="00E50FA4">
              <w:rPr>
                <w:rFonts w:ascii="Times New Roman" w:eastAsia="Times New Roman" w:hAnsi="Times New Roman" w:cs="Times New Roman"/>
                <w:bCs/>
                <w:noProof/>
                <w:sz w:val="24"/>
                <w:lang w:val="en-GB"/>
              </w:rPr>
              <w:t xml:space="preserve">TOTAL BTAR ASSETS </w:t>
            </w:r>
          </w:p>
          <w:p w14:paraId="73A828F3" w14:textId="77777777" w:rsidR="00EF3EEA" w:rsidRPr="00E50FA4" w:rsidRDefault="00EF3EEA" w:rsidP="00EF3EEA">
            <w:pPr>
              <w:spacing w:before="120" w:after="120"/>
              <w:jc w:val="both"/>
              <w:rPr>
                <w:rFonts w:ascii="Times New Roman" w:eastAsia="Times New Roman" w:hAnsi="Times New Roman" w:cs="Times New Roman"/>
                <w:bCs/>
                <w:noProof/>
                <w:sz w:val="24"/>
                <w:lang w:val="en-GB"/>
              </w:rPr>
            </w:pPr>
            <w:r w:rsidRPr="00E50FA4">
              <w:rPr>
                <w:rFonts w:ascii="Times New Roman" w:eastAsia="Times New Roman" w:hAnsi="Times New Roman" w:cs="Times New Roman"/>
                <w:bCs/>
                <w:noProof/>
                <w:sz w:val="24"/>
                <w:lang w:val="en-GB"/>
              </w:rPr>
              <w:t>Sum of rows 1, 2 and 8</w:t>
            </w:r>
          </w:p>
        </w:tc>
      </w:tr>
      <w:tr w:rsidR="00EF3EEA" w:rsidRPr="00E50FA4" w14:paraId="53EFA73D" w14:textId="77777777" w:rsidTr="0051392F">
        <w:tc>
          <w:tcPr>
            <w:tcW w:w="1188" w:type="dxa"/>
            <w:tcBorders>
              <w:top w:val="single" w:sz="4" w:space="0" w:color="auto"/>
              <w:left w:val="single" w:sz="4" w:space="0" w:color="auto"/>
              <w:bottom w:val="single" w:sz="4" w:space="0" w:color="auto"/>
              <w:right w:val="single" w:sz="4" w:space="0" w:color="auto"/>
            </w:tcBorders>
            <w:vAlign w:val="center"/>
          </w:tcPr>
          <w:p w14:paraId="1D55B655" w14:textId="77777777" w:rsidR="00EF3EEA" w:rsidRPr="00E50FA4" w:rsidRDefault="00EF3EEA" w:rsidP="00EF3EEA">
            <w:pPr>
              <w:spacing w:before="120" w:after="120"/>
              <w:jc w:val="both"/>
              <w:rPr>
                <w:rFonts w:ascii="Times New Roman" w:eastAsia="Times New Roman" w:hAnsi="Times New Roman" w:cs="Times New Roman"/>
                <w:noProof/>
                <w:sz w:val="24"/>
                <w:lang w:val="en-GB"/>
              </w:rPr>
            </w:pPr>
            <w:r w:rsidRPr="00B76863">
              <w:rPr>
                <w:rFonts w:ascii="Times New Roman" w:hAnsi="Times New Roman"/>
                <w:noProof/>
                <w:color w:val="000000"/>
                <w:sz w:val="24"/>
              </w:rPr>
              <w:t xml:space="preserve">Rows 13 to </w:t>
            </w:r>
            <w:r w:rsidR="006D15A7" w:rsidRPr="00B76863">
              <w:rPr>
                <w:rFonts w:ascii="Times New Roman" w:hAnsi="Times New Roman"/>
                <w:noProof/>
                <w:color w:val="000000"/>
                <w:sz w:val="24"/>
              </w:rPr>
              <w:t>19</w:t>
            </w:r>
          </w:p>
        </w:tc>
        <w:tc>
          <w:tcPr>
            <w:tcW w:w="7879" w:type="dxa"/>
            <w:tcBorders>
              <w:top w:val="single" w:sz="4" w:space="0" w:color="auto"/>
              <w:left w:val="single" w:sz="4" w:space="0" w:color="auto"/>
              <w:bottom w:val="single" w:sz="4" w:space="0" w:color="auto"/>
              <w:right w:val="single" w:sz="4" w:space="0" w:color="auto"/>
            </w:tcBorders>
          </w:tcPr>
          <w:p w14:paraId="7C409060" w14:textId="77777777" w:rsidR="00EF3EEA" w:rsidRPr="00E50FA4" w:rsidRDefault="00EF3EEA" w:rsidP="00EF3EEA">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Cs/>
                <w:noProof/>
                <w:sz w:val="24"/>
                <w:lang w:val="en-GB"/>
              </w:rPr>
              <w:t>See definitions in template 7 (rows 41 to 50)</w:t>
            </w:r>
          </w:p>
        </w:tc>
      </w:tr>
    </w:tbl>
    <w:p w14:paraId="2BEFAC73" w14:textId="77777777" w:rsidR="00EF63C8" w:rsidRPr="00E50FA4" w:rsidRDefault="00EF63C8" w:rsidP="00D35812">
      <w:pPr>
        <w:jc w:val="both"/>
        <w:rPr>
          <w:rFonts w:ascii="Times New Roman" w:hAnsi="Times New Roman" w:cs="Times New Roman"/>
          <w:b/>
          <w:noProof/>
          <w:sz w:val="24"/>
        </w:rPr>
      </w:pPr>
    </w:p>
    <w:p w14:paraId="24B770BA" w14:textId="77777777" w:rsidR="003F07A6" w:rsidRPr="00E50FA4" w:rsidRDefault="003F07A6" w:rsidP="00D35812">
      <w:pPr>
        <w:jc w:val="both"/>
        <w:rPr>
          <w:rFonts w:ascii="Times New Roman" w:hAnsi="Times New Roman" w:cs="Times New Roman"/>
          <w:b/>
          <w:noProof/>
          <w:sz w:val="24"/>
          <w:lang w:val="en-GB"/>
        </w:rPr>
      </w:pPr>
    </w:p>
    <w:p w14:paraId="2C6C44D9" w14:textId="77777777" w:rsidR="006C4055" w:rsidRPr="00B76863" w:rsidRDefault="006C4055" w:rsidP="006C4055">
      <w:pPr>
        <w:jc w:val="both"/>
        <w:rPr>
          <w:rFonts w:ascii="Times New Roman" w:hAnsi="Times New Roman"/>
          <w:b/>
          <w:noProof/>
          <w:sz w:val="24"/>
          <w:u w:val="single"/>
          <w:lang w:val="en-GB"/>
        </w:rPr>
      </w:pPr>
      <w:r w:rsidRPr="00B76863">
        <w:rPr>
          <w:rFonts w:ascii="Times New Roman" w:hAnsi="Times New Roman"/>
          <w:b/>
          <w:noProof/>
          <w:sz w:val="24"/>
          <w:u w:val="single"/>
          <w:lang w:val="en-GB"/>
        </w:rPr>
        <w:t>Template 9.2 - BTAR %</w:t>
      </w:r>
    </w:p>
    <w:p w14:paraId="5099F1ED" w14:textId="77777777" w:rsidR="006C4055" w:rsidRPr="00E50FA4" w:rsidRDefault="006C4055" w:rsidP="00D35812">
      <w:pPr>
        <w:jc w:val="both"/>
        <w:rPr>
          <w:rFonts w:ascii="Times New Roman" w:hAnsi="Times New Roman" w:cs="Times New Roman"/>
          <w:b/>
          <w:noProof/>
          <w:sz w:val="24"/>
          <w:lang w:val="en-GB"/>
        </w:rPr>
      </w:pPr>
    </w:p>
    <w:p w14:paraId="3CE2FAAC" w14:textId="251EA804" w:rsidR="006C4055" w:rsidRPr="00E50FA4" w:rsidRDefault="006C4055" w:rsidP="000A5C17">
      <w:pPr>
        <w:pStyle w:val="ListParagraph"/>
        <w:tabs>
          <w:tab w:val="left" w:pos="567"/>
        </w:tabs>
        <w:spacing w:before="120" w:after="120"/>
        <w:ind w:left="0"/>
        <w:jc w:val="both"/>
        <w:rPr>
          <w:rFonts w:ascii="Times New Roman" w:hAnsi="Times New Roman"/>
          <w:noProof/>
          <w:sz w:val="24"/>
        </w:rPr>
      </w:pPr>
      <w:r w:rsidRPr="00E50FA4">
        <w:rPr>
          <w:rFonts w:ascii="Times New Roman" w:hAnsi="Times New Roman"/>
          <w:noProof/>
          <w:sz w:val="24"/>
        </w:rPr>
        <w:t xml:space="preserve">Institutions </w:t>
      </w:r>
      <w:r w:rsidR="005A67EE" w:rsidRPr="00E50FA4">
        <w:rPr>
          <w:rFonts w:ascii="Times New Roman" w:hAnsi="Times New Roman"/>
          <w:noProof/>
          <w:sz w:val="24"/>
        </w:rPr>
        <w:t xml:space="preserve">may </w:t>
      </w:r>
      <w:r w:rsidRPr="00E50FA4">
        <w:rPr>
          <w:rFonts w:ascii="Times New Roman" w:hAnsi="Times New Roman"/>
          <w:noProof/>
          <w:sz w:val="24"/>
        </w:rPr>
        <w:t xml:space="preserve">disclose in this template the </w:t>
      </w:r>
      <w:r w:rsidR="00C06AA4" w:rsidRPr="00E50FA4">
        <w:rPr>
          <w:rFonts w:ascii="Times New Roman" w:hAnsi="Times New Roman"/>
          <w:noProof/>
          <w:sz w:val="24"/>
        </w:rPr>
        <w:t>percentage</w:t>
      </w:r>
      <w:r w:rsidRPr="00E50FA4">
        <w:rPr>
          <w:rFonts w:ascii="Times New Roman" w:hAnsi="Times New Roman"/>
          <w:noProof/>
          <w:sz w:val="24"/>
        </w:rPr>
        <w:t xml:space="preserve"> of BTAR assets as disclosed in template 1 compared to the total assets in the denominator of the BTAR as disclosed in row 17 of template 9.1.</w:t>
      </w:r>
    </w:p>
    <w:p w14:paraId="6AB76FB3" w14:textId="63ADBDFD" w:rsidR="006C4055" w:rsidRPr="00B76863" w:rsidRDefault="00475232" w:rsidP="0051392F">
      <w:pPr>
        <w:jc w:val="both"/>
        <w:rPr>
          <w:rFonts w:ascii="Times New Roman" w:hAnsi="Times New Roman"/>
          <w:b/>
          <w:noProof/>
          <w:sz w:val="24"/>
          <w:u w:val="single"/>
        </w:rPr>
      </w:pPr>
      <w:r>
        <w:rPr>
          <w:rFonts w:ascii="Times New Roman" w:hAnsi="Times New Roman"/>
          <w:b/>
          <w:noProof/>
          <w:sz w:val="24"/>
          <w:u w:val="single"/>
          <w:lang w:val="en-GB"/>
        </w:rPr>
        <w:t>Template 9.3</w:t>
      </w:r>
      <w:r w:rsidR="006C4055" w:rsidRPr="00B76863">
        <w:rPr>
          <w:rFonts w:ascii="Times New Roman" w:hAnsi="Times New Roman"/>
          <w:b/>
          <w:noProof/>
          <w:sz w:val="24"/>
          <w:u w:val="single"/>
          <w:lang w:val="en-GB"/>
        </w:rPr>
        <w:t xml:space="preserve"> - BTAR %</w:t>
      </w:r>
    </w:p>
    <w:p w14:paraId="1A45105A" w14:textId="242071B4" w:rsidR="006C4055" w:rsidRPr="000A5C17" w:rsidRDefault="006C4055" w:rsidP="000A5C17">
      <w:pPr>
        <w:tabs>
          <w:tab w:val="left" w:pos="567"/>
        </w:tabs>
        <w:spacing w:before="120" w:after="120"/>
        <w:jc w:val="both"/>
        <w:rPr>
          <w:rFonts w:ascii="Times New Roman" w:hAnsi="Times New Roman"/>
          <w:noProof/>
          <w:sz w:val="24"/>
        </w:rPr>
      </w:pPr>
      <w:r w:rsidRPr="000A5C17">
        <w:rPr>
          <w:rFonts w:ascii="Times New Roman" w:hAnsi="Times New Roman"/>
          <w:noProof/>
          <w:sz w:val="24"/>
        </w:rPr>
        <w:t xml:space="preserve">This template </w:t>
      </w:r>
      <w:r w:rsidR="00020608" w:rsidRPr="000A5C17">
        <w:rPr>
          <w:rFonts w:ascii="Times New Roman" w:hAnsi="Times New Roman"/>
          <w:noProof/>
          <w:sz w:val="24"/>
        </w:rPr>
        <w:t xml:space="preserve">contains </w:t>
      </w:r>
      <w:r w:rsidRPr="000A5C17">
        <w:rPr>
          <w:rFonts w:ascii="Times New Roman" w:hAnsi="Times New Roman"/>
          <w:noProof/>
          <w:sz w:val="24"/>
        </w:rPr>
        <w:t>a summary of the BTAR KPI, breakdown by climate change environmental objective, and total, and with the brea</w:t>
      </w:r>
      <w:r w:rsidR="00616C2A" w:rsidRPr="000A5C17">
        <w:rPr>
          <w:rFonts w:ascii="Times New Roman" w:hAnsi="Times New Roman"/>
          <w:noProof/>
          <w:sz w:val="24"/>
        </w:rPr>
        <w:t>k</w:t>
      </w:r>
      <w:r w:rsidRPr="000A5C17">
        <w:rPr>
          <w:rFonts w:ascii="Times New Roman" w:hAnsi="Times New Roman"/>
          <w:noProof/>
          <w:sz w:val="24"/>
        </w:rPr>
        <w:t>down for stock and flow.</w:t>
      </w:r>
    </w:p>
    <w:p w14:paraId="66911CDE" w14:textId="77777777" w:rsidR="006C4055" w:rsidRPr="00E50FA4" w:rsidRDefault="006C4055" w:rsidP="00D35812">
      <w:pPr>
        <w:jc w:val="both"/>
        <w:rPr>
          <w:rFonts w:ascii="Times New Roman" w:hAnsi="Times New Roman" w:cs="Times New Roman"/>
          <w:b/>
          <w:noProof/>
          <w:sz w:val="24"/>
          <w:lang w:val="en-GB"/>
        </w:rPr>
      </w:pPr>
    </w:p>
    <w:p w14:paraId="680D581F" w14:textId="0BB6CE7A" w:rsidR="00E77292" w:rsidRPr="00E50FA4" w:rsidRDefault="00E77292" w:rsidP="00D35812">
      <w:pPr>
        <w:jc w:val="both"/>
        <w:rPr>
          <w:rFonts w:ascii="Times New Roman" w:hAnsi="Times New Roman" w:cs="Times New Roman"/>
          <w:b/>
          <w:noProof/>
          <w:sz w:val="24"/>
          <w:lang w:val="en-GB"/>
        </w:rPr>
      </w:pPr>
      <w:r w:rsidRPr="00E50FA4">
        <w:rPr>
          <w:rFonts w:ascii="Times New Roman" w:hAnsi="Times New Roman" w:cs="Times New Roman"/>
          <w:b/>
          <w:noProof/>
          <w:sz w:val="24"/>
          <w:lang w:val="en-GB"/>
        </w:rPr>
        <w:t xml:space="preserve">Template </w:t>
      </w:r>
      <w:r w:rsidR="00EF63C8" w:rsidRPr="00E50FA4">
        <w:rPr>
          <w:rFonts w:ascii="Times New Roman" w:hAnsi="Times New Roman" w:cs="Times New Roman"/>
          <w:b/>
          <w:noProof/>
          <w:sz w:val="24"/>
          <w:lang w:val="en-GB"/>
        </w:rPr>
        <w:t>10</w:t>
      </w:r>
      <w:r w:rsidRPr="00E50FA4">
        <w:rPr>
          <w:rFonts w:ascii="Times New Roman" w:hAnsi="Times New Roman" w:cs="Times New Roman"/>
          <w:b/>
          <w:noProof/>
          <w:sz w:val="24"/>
          <w:lang w:val="en-GB"/>
        </w:rPr>
        <w:t xml:space="preserve"> – Other climate change mitigating actions</w:t>
      </w:r>
      <w:r w:rsidR="00C61CC1" w:rsidRPr="00E50FA4">
        <w:rPr>
          <w:rFonts w:ascii="Times New Roman" w:hAnsi="Times New Roman" w:cs="Times New Roman"/>
          <w:b/>
          <w:noProof/>
          <w:sz w:val="24"/>
          <w:lang w:val="en-GB"/>
        </w:rPr>
        <w:t xml:space="preserve"> that are not covered in </w:t>
      </w:r>
      <w:r w:rsidR="008E0258" w:rsidRPr="00E50FA4">
        <w:rPr>
          <w:rFonts w:ascii="Times New Roman" w:hAnsi="Times New Roman" w:cs="Times New Roman"/>
          <w:b/>
          <w:noProof/>
          <w:sz w:val="24"/>
          <w:lang w:val="en-GB"/>
        </w:rPr>
        <w:t>Regulation (EU) 2020/852</w:t>
      </w:r>
    </w:p>
    <w:p w14:paraId="62FA978B" w14:textId="77777777" w:rsidR="00E77292" w:rsidRPr="00E50FA4" w:rsidRDefault="00E77292" w:rsidP="00DA390D">
      <w:pPr>
        <w:jc w:val="both"/>
        <w:rPr>
          <w:rFonts w:ascii="Times New Roman" w:hAnsi="Times New Roman" w:cs="Times New Roman"/>
          <w:b/>
          <w:noProof/>
          <w:sz w:val="24"/>
          <w:lang w:val="en-GB"/>
        </w:rPr>
      </w:pPr>
    </w:p>
    <w:p w14:paraId="42949A1F" w14:textId="0C9457A0" w:rsidR="003C237A" w:rsidRPr="00E50FA4" w:rsidRDefault="00E77292" w:rsidP="00B76863">
      <w:pPr>
        <w:pStyle w:val="ListParagraph"/>
        <w:numPr>
          <w:ilvl w:val="0"/>
          <w:numId w:val="70"/>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This template covers other climate change mitigating actions and includes </w:t>
      </w:r>
      <w:r w:rsidR="00664881" w:rsidRPr="00E50FA4">
        <w:rPr>
          <w:rFonts w:ascii="Times New Roman" w:hAnsi="Times New Roman"/>
          <w:noProof/>
          <w:sz w:val="24"/>
        </w:rPr>
        <w:t>exposures</w:t>
      </w:r>
      <w:r w:rsidRPr="00E50FA4">
        <w:rPr>
          <w:rFonts w:ascii="Times New Roman" w:hAnsi="Times New Roman"/>
          <w:noProof/>
          <w:sz w:val="24"/>
        </w:rPr>
        <w:t xml:space="preserve"> of the institu</w:t>
      </w:r>
      <w:r w:rsidR="002F5976" w:rsidRPr="00E50FA4">
        <w:rPr>
          <w:rFonts w:ascii="Times New Roman" w:hAnsi="Times New Roman"/>
          <w:noProof/>
          <w:sz w:val="24"/>
        </w:rPr>
        <w:t>ti</w:t>
      </w:r>
      <w:r w:rsidRPr="00E50FA4">
        <w:rPr>
          <w:rFonts w:ascii="Times New Roman" w:hAnsi="Times New Roman"/>
          <w:noProof/>
          <w:sz w:val="24"/>
        </w:rPr>
        <w:t xml:space="preserve">ons that are not </w:t>
      </w:r>
      <w:r w:rsidR="00664881" w:rsidRPr="00E50FA4">
        <w:rPr>
          <w:rFonts w:ascii="Times New Roman" w:hAnsi="Times New Roman"/>
          <w:noProof/>
          <w:sz w:val="24"/>
        </w:rPr>
        <w:t>taxonomy</w:t>
      </w:r>
      <w:r w:rsidR="001B2D99" w:rsidRPr="00E50FA4">
        <w:rPr>
          <w:rFonts w:ascii="Times New Roman" w:hAnsi="Times New Roman"/>
          <w:noProof/>
          <w:sz w:val="24"/>
        </w:rPr>
        <w:t>-</w:t>
      </w:r>
      <w:r w:rsidR="00664881" w:rsidRPr="00E50FA4">
        <w:rPr>
          <w:rFonts w:ascii="Times New Roman" w:hAnsi="Times New Roman"/>
          <w:noProof/>
          <w:sz w:val="24"/>
        </w:rPr>
        <w:t xml:space="preserve">aligned </w:t>
      </w:r>
      <w:r w:rsidR="00363DC4" w:rsidRPr="00E50FA4">
        <w:rPr>
          <w:rFonts w:ascii="Times New Roman" w:eastAsia="Times New Roman" w:hAnsi="Times New Roman"/>
          <w:bCs/>
          <w:noProof/>
          <w:sz w:val="24"/>
        </w:rPr>
        <w:t xml:space="preserve">as </w:t>
      </w:r>
      <w:r w:rsidR="001D4928" w:rsidRPr="00E50FA4">
        <w:rPr>
          <w:rFonts w:ascii="Times New Roman" w:eastAsia="Times New Roman" w:hAnsi="Times New Roman"/>
          <w:bCs/>
          <w:noProof/>
          <w:sz w:val="24"/>
        </w:rPr>
        <w:t>referred to in</w:t>
      </w:r>
      <w:r w:rsidR="00363DC4" w:rsidRPr="00E50FA4">
        <w:rPr>
          <w:rFonts w:ascii="Times New Roman" w:eastAsia="Times New Roman" w:hAnsi="Times New Roman"/>
          <w:bCs/>
          <w:noProof/>
          <w:sz w:val="24"/>
        </w:rPr>
        <w:t xml:space="preserve"> </w:t>
      </w:r>
      <w:r w:rsidR="00363DC4" w:rsidRPr="00E50FA4">
        <w:rPr>
          <w:rFonts w:ascii="Times New Roman" w:hAnsi="Times New Roman"/>
          <w:noProof/>
          <w:sz w:val="24"/>
        </w:rPr>
        <w:t xml:space="preserve">Regulation (EU) 2020/852 </w:t>
      </w:r>
      <w:r w:rsidR="00664881" w:rsidRPr="00E50FA4">
        <w:rPr>
          <w:rFonts w:ascii="Times New Roman" w:hAnsi="Times New Roman"/>
          <w:noProof/>
          <w:sz w:val="24"/>
        </w:rPr>
        <w:t>according to</w:t>
      </w:r>
      <w:r w:rsidRPr="00E50FA4">
        <w:rPr>
          <w:rFonts w:ascii="Times New Roman" w:hAnsi="Times New Roman"/>
          <w:noProof/>
          <w:sz w:val="24"/>
        </w:rPr>
        <w:t xml:space="preserve"> template</w:t>
      </w:r>
      <w:r w:rsidR="002F5976" w:rsidRPr="00E50FA4">
        <w:rPr>
          <w:rFonts w:ascii="Times New Roman" w:hAnsi="Times New Roman"/>
          <w:noProof/>
          <w:sz w:val="24"/>
        </w:rPr>
        <w:t>s</w:t>
      </w:r>
      <w:r w:rsidR="00F83F48" w:rsidRPr="00E50FA4">
        <w:rPr>
          <w:rFonts w:ascii="Times New Roman" w:hAnsi="Times New Roman"/>
          <w:noProof/>
          <w:sz w:val="24"/>
        </w:rPr>
        <w:t xml:space="preserve"> </w:t>
      </w:r>
      <w:r w:rsidR="001B151C" w:rsidRPr="00E50FA4">
        <w:rPr>
          <w:rFonts w:ascii="Times New Roman" w:hAnsi="Times New Roman"/>
          <w:noProof/>
          <w:sz w:val="24"/>
        </w:rPr>
        <w:t>7</w:t>
      </w:r>
      <w:r w:rsidRPr="00E50FA4">
        <w:rPr>
          <w:rFonts w:ascii="Times New Roman" w:hAnsi="Times New Roman"/>
          <w:noProof/>
          <w:sz w:val="24"/>
        </w:rPr>
        <w:t xml:space="preserve"> and </w:t>
      </w:r>
      <w:r w:rsidR="001B151C" w:rsidRPr="00E50FA4">
        <w:rPr>
          <w:rFonts w:ascii="Times New Roman" w:hAnsi="Times New Roman"/>
          <w:noProof/>
          <w:sz w:val="24"/>
        </w:rPr>
        <w:t>8</w:t>
      </w:r>
      <w:r w:rsidR="00664881" w:rsidRPr="00E50FA4">
        <w:rPr>
          <w:rFonts w:ascii="Times New Roman" w:hAnsi="Times New Roman"/>
          <w:noProof/>
          <w:sz w:val="24"/>
        </w:rPr>
        <w:t xml:space="preserve"> but that still support counterparties in the transition and adaptation process for the objectives of climate change mitigation and climate change adaptation</w:t>
      </w:r>
      <w:r w:rsidR="00C61CC1" w:rsidRPr="00E50FA4">
        <w:rPr>
          <w:rFonts w:ascii="Times New Roman" w:hAnsi="Times New Roman"/>
          <w:noProof/>
          <w:sz w:val="24"/>
        </w:rPr>
        <w:t>. Th</w:t>
      </w:r>
      <w:r w:rsidR="00A1707C" w:rsidRPr="00E50FA4">
        <w:rPr>
          <w:rFonts w:ascii="Times New Roman" w:hAnsi="Times New Roman"/>
          <w:noProof/>
          <w:sz w:val="24"/>
        </w:rPr>
        <w:t>o</w:t>
      </w:r>
      <w:r w:rsidR="00C61CC1" w:rsidRPr="00E50FA4">
        <w:rPr>
          <w:rFonts w:ascii="Times New Roman" w:hAnsi="Times New Roman"/>
          <w:noProof/>
          <w:sz w:val="24"/>
        </w:rPr>
        <w:t>se mitigating actions and activities shall include</w:t>
      </w:r>
      <w:r w:rsidR="001B151C" w:rsidRPr="00E50FA4">
        <w:rPr>
          <w:rFonts w:ascii="Times New Roman" w:hAnsi="Times New Roman"/>
          <w:noProof/>
          <w:sz w:val="24"/>
        </w:rPr>
        <w:t xml:space="preserve"> bonds and loans issued under standards other than the U</w:t>
      </w:r>
      <w:r w:rsidR="00A1707C" w:rsidRPr="00E50FA4">
        <w:rPr>
          <w:rFonts w:ascii="Times New Roman" w:hAnsi="Times New Roman"/>
          <w:noProof/>
          <w:sz w:val="24"/>
        </w:rPr>
        <w:t>nion</w:t>
      </w:r>
      <w:r w:rsidR="001B151C" w:rsidRPr="00E50FA4">
        <w:rPr>
          <w:rFonts w:ascii="Times New Roman" w:hAnsi="Times New Roman"/>
          <w:noProof/>
          <w:sz w:val="24"/>
        </w:rPr>
        <w:t xml:space="preserve"> standards, </w:t>
      </w:r>
      <w:r w:rsidR="009D521D" w:rsidRPr="00E50FA4">
        <w:rPr>
          <w:rFonts w:ascii="Times New Roman" w:hAnsi="Times New Roman"/>
          <w:noProof/>
          <w:sz w:val="24"/>
        </w:rPr>
        <w:t>including</w:t>
      </w:r>
      <w:r w:rsidR="00C61CC1" w:rsidRPr="00E50FA4">
        <w:rPr>
          <w:rFonts w:ascii="Times New Roman" w:hAnsi="Times New Roman"/>
          <w:noProof/>
          <w:sz w:val="24"/>
        </w:rPr>
        <w:t xml:space="preserve"> green bonds; sustainable bonds that are linked to aspects on climate change; sustainability-linked bonds that are linked to aspects on climate change; </w:t>
      </w:r>
      <w:r w:rsidR="00AD0DC5" w:rsidRPr="00E50FA4">
        <w:rPr>
          <w:rFonts w:ascii="Times New Roman" w:hAnsi="Times New Roman"/>
          <w:noProof/>
          <w:sz w:val="24"/>
        </w:rPr>
        <w:t>green loans; sustainability</w:t>
      </w:r>
      <w:r w:rsidR="00D822FC">
        <w:rPr>
          <w:rFonts w:ascii="Times New Roman" w:hAnsi="Times New Roman"/>
          <w:noProof/>
          <w:sz w:val="24"/>
        </w:rPr>
        <w:t>-linked</w:t>
      </w:r>
      <w:r w:rsidR="00AD0DC5" w:rsidRPr="00E50FA4">
        <w:rPr>
          <w:rFonts w:ascii="Times New Roman" w:hAnsi="Times New Roman"/>
          <w:noProof/>
          <w:sz w:val="24"/>
        </w:rPr>
        <w:t xml:space="preserve"> loans that are linked to aspects on climate change; sustainability-linked loans that are linked to aspects on climate change</w:t>
      </w:r>
      <w:r w:rsidR="00F83F48" w:rsidRPr="00E50FA4">
        <w:rPr>
          <w:rFonts w:ascii="Times New Roman" w:hAnsi="Times New Roman"/>
          <w:noProof/>
          <w:sz w:val="24"/>
        </w:rPr>
        <w:t>.</w:t>
      </w:r>
    </w:p>
    <w:p w14:paraId="59E95CF2" w14:textId="40E63533" w:rsidR="00E77292" w:rsidRPr="00E50FA4" w:rsidRDefault="002F5976" w:rsidP="00B76863">
      <w:pPr>
        <w:pStyle w:val="ListParagraph"/>
        <w:numPr>
          <w:ilvl w:val="0"/>
          <w:numId w:val="70"/>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Institutions shall include in the narrative accompanying this template detailed explanations on the nature and type of mitigating actions reflected in this template, including information on the type of risks that they aim to mitigate, </w:t>
      </w:r>
      <w:r w:rsidR="00664881" w:rsidRPr="00E50FA4">
        <w:rPr>
          <w:rFonts w:ascii="Times New Roman" w:hAnsi="Times New Roman"/>
          <w:noProof/>
          <w:sz w:val="24"/>
        </w:rPr>
        <w:t>climate change objectives that they support</w:t>
      </w:r>
      <w:r w:rsidR="001077C6" w:rsidRPr="00E50FA4">
        <w:rPr>
          <w:rFonts w:ascii="Times New Roman" w:hAnsi="Times New Roman"/>
          <w:noProof/>
          <w:sz w:val="24"/>
        </w:rPr>
        <w:t xml:space="preserve"> and information</w:t>
      </w:r>
      <w:r w:rsidR="00664881" w:rsidRPr="00E50FA4">
        <w:rPr>
          <w:rFonts w:ascii="Times New Roman" w:hAnsi="Times New Roman"/>
          <w:noProof/>
          <w:sz w:val="24"/>
        </w:rPr>
        <w:t xml:space="preserve"> </w:t>
      </w:r>
      <w:r w:rsidRPr="00E50FA4">
        <w:rPr>
          <w:rFonts w:ascii="Times New Roman" w:hAnsi="Times New Roman"/>
          <w:noProof/>
          <w:sz w:val="24"/>
        </w:rPr>
        <w:t>on the related counterparties and the timing of the actions. They s</w:t>
      </w:r>
      <w:r w:rsidR="0077764E" w:rsidRPr="00E50FA4">
        <w:rPr>
          <w:rFonts w:ascii="Times New Roman" w:hAnsi="Times New Roman"/>
          <w:noProof/>
          <w:sz w:val="24"/>
        </w:rPr>
        <w:t>hall</w:t>
      </w:r>
      <w:r w:rsidRPr="00E50FA4">
        <w:rPr>
          <w:rFonts w:ascii="Times New Roman" w:hAnsi="Times New Roman"/>
          <w:noProof/>
          <w:sz w:val="24"/>
        </w:rPr>
        <w:t xml:space="preserve"> also explain why th</w:t>
      </w:r>
      <w:r w:rsidR="00A1707C" w:rsidRPr="00E50FA4">
        <w:rPr>
          <w:rFonts w:ascii="Times New Roman" w:hAnsi="Times New Roman"/>
          <w:noProof/>
          <w:sz w:val="24"/>
        </w:rPr>
        <w:t>o</w:t>
      </w:r>
      <w:r w:rsidRPr="00E50FA4">
        <w:rPr>
          <w:rFonts w:ascii="Times New Roman" w:hAnsi="Times New Roman"/>
          <w:noProof/>
          <w:sz w:val="24"/>
        </w:rPr>
        <w:t xml:space="preserve">se exposures are not </w:t>
      </w:r>
      <w:r w:rsidR="009C705B" w:rsidRPr="00E50FA4">
        <w:rPr>
          <w:rFonts w:ascii="Times New Roman" w:hAnsi="Times New Roman"/>
          <w:noProof/>
          <w:sz w:val="24"/>
        </w:rPr>
        <w:t xml:space="preserve">fully aligned with the </w:t>
      </w:r>
      <w:r w:rsidR="00664881" w:rsidRPr="00E50FA4">
        <w:rPr>
          <w:rFonts w:ascii="Times New Roman" w:hAnsi="Times New Roman"/>
          <w:noProof/>
          <w:sz w:val="24"/>
        </w:rPr>
        <w:t>criteria</w:t>
      </w:r>
      <w:r w:rsidR="00363DC4" w:rsidRPr="00E50FA4">
        <w:rPr>
          <w:rFonts w:ascii="Times New Roman" w:hAnsi="Times New Roman"/>
          <w:noProof/>
          <w:sz w:val="24"/>
        </w:rPr>
        <w:t xml:space="preserve"> </w:t>
      </w:r>
      <w:r w:rsidR="00363DC4" w:rsidRPr="00E50FA4">
        <w:rPr>
          <w:rFonts w:ascii="Times New Roman" w:eastAsia="Times New Roman" w:hAnsi="Times New Roman"/>
          <w:bCs/>
          <w:noProof/>
          <w:sz w:val="24"/>
        </w:rPr>
        <w:t xml:space="preserve">laid down in </w:t>
      </w:r>
      <w:r w:rsidR="00363DC4" w:rsidRPr="00E50FA4">
        <w:rPr>
          <w:rFonts w:ascii="Times New Roman" w:hAnsi="Times New Roman"/>
          <w:noProof/>
          <w:sz w:val="24"/>
        </w:rPr>
        <w:t>Regulation (EU) 2020/852</w:t>
      </w:r>
      <w:r w:rsidR="00664881" w:rsidRPr="00E50FA4">
        <w:rPr>
          <w:rFonts w:ascii="Times New Roman" w:hAnsi="Times New Roman"/>
          <w:noProof/>
          <w:sz w:val="24"/>
        </w:rPr>
        <w:t xml:space="preserve">, and are not sustainable </w:t>
      </w:r>
      <w:r w:rsidR="00363DC4" w:rsidRPr="00E50FA4">
        <w:rPr>
          <w:rFonts w:ascii="Times New Roman" w:hAnsi="Times New Roman"/>
          <w:noProof/>
          <w:sz w:val="24"/>
        </w:rPr>
        <w:t xml:space="preserve">in accordance with </w:t>
      </w:r>
      <w:r w:rsidR="00A1707C" w:rsidRPr="00E50FA4">
        <w:rPr>
          <w:rFonts w:ascii="Times New Roman" w:hAnsi="Times New Roman"/>
          <w:noProof/>
          <w:sz w:val="24"/>
        </w:rPr>
        <w:t>Regulation (EU) 2020/852</w:t>
      </w:r>
      <w:r w:rsidR="00664881" w:rsidRPr="00E50FA4">
        <w:rPr>
          <w:rFonts w:ascii="Times New Roman" w:hAnsi="Times New Roman"/>
          <w:noProof/>
          <w:sz w:val="24"/>
        </w:rPr>
        <w:t xml:space="preserve"> </w:t>
      </w:r>
      <w:r w:rsidR="009C705B" w:rsidRPr="00E50FA4">
        <w:rPr>
          <w:rFonts w:ascii="Times New Roman" w:hAnsi="Times New Roman"/>
          <w:noProof/>
          <w:sz w:val="24"/>
        </w:rPr>
        <w:t xml:space="preserve">but still contribute towards </w:t>
      </w:r>
      <w:r w:rsidR="00892F35" w:rsidRPr="00E50FA4">
        <w:rPr>
          <w:rFonts w:ascii="Times New Roman" w:hAnsi="Times New Roman"/>
          <w:noProof/>
          <w:sz w:val="24"/>
        </w:rPr>
        <w:t xml:space="preserve">mitigating climate </w:t>
      </w:r>
      <w:r w:rsidR="00664881" w:rsidRPr="00E50FA4">
        <w:rPr>
          <w:rFonts w:ascii="Times New Roman" w:hAnsi="Times New Roman"/>
          <w:noProof/>
          <w:sz w:val="24"/>
        </w:rPr>
        <w:t xml:space="preserve">change </w:t>
      </w:r>
      <w:r w:rsidR="00892F35" w:rsidRPr="00E50FA4">
        <w:rPr>
          <w:rFonts w:ascii="Times New Roman" w:hAnsi="Times New Roman"/>
          <w:noProof/>
          <w:sz w:val="24"/>
        </w:rPr>
        <w:t>risk</w:t>
      </w:r>
      <w:r w:rsidR="00664881" w:rsidRPr="00E50FA4">
        <w:rPr>
          <w:rFonts w:ascii="Times New Roman" w:hAnsi="Times New Roman"/>
          <w:noProof/>
          <w:sz w:val="24"/>
        </w:rPr>
        <w:t xml:space="preserve"> transition or physical risk</w:t>
      </w:r>
      <w:r w:rsidR="009C705B" w:rsidRPr="00E50FA4">
        <w:rPr>
          <w:rFonts w:ascii="Times New Roman" w:hAnsi="Times New Roman"/>
          <w:noProof/>
          <w:sz w:val="24"/>
        </w:rPr>
        <w:t xml:space="preserve">, as well as </w:t>
      </w:r>
      <w:r w:rsidRPr="00E50FA4">
        <w:rPr>
          <w:rFonts w:ascii="Times New Roman" w:hAnsi="Times New Roman"/>
          <w:noProof/>
          <w:sz w:val="24"/>
        </w:rPr>
        <w:t xml:space="preserve">any other relevant information that may help understand the risk management </w:t>
      </w:r>
      <w:r w:rsidR="00FB0222" w:rsidRPr="00E50FA4">
        <w:rPr>
          <w:rFonts w:ascii="Times New Roman" w:hAnsi="Times New Roman"/>
          <w:noProof/>
          <w:sz w:val="24"/>
        </w:rPr>
        <w:t xml:space="preserve">framework </w:t>
      </w:r>
      <w:r w:rsidRPr="00E50FA4">
        <w:rPr>
          <w:rFonts w:ascii="Times New Roman" w:hAnsi="Times New Roman"/>
          <w:noProof/>
          <w:sz w:val="24"/>
        </w:rPr>
        <w:t>of the institution.</w:t>
      </w:r>
    </w:p>
    <w:p w14:paraId="2CDD4AFA" w14:textId="617259F0" w:rsidR="00C06AA4" w:rsidRPr="00E50FA4" w:rsidRDefault="00C06AA4" w:rsidP="00020608">
      <w:pPr>
        <w:pStyle w:val="ListParagraph"/>
        <w:numPr>
          <w:ilvl w:val="0"/>
          <w:numId w:val="70"/>
        </w:numPr>
        <w:tabs>
          <w:tab w:val="left" w:pos="567"/>
        </w:tabs>
        <w:spacing w:before="120" w:after="120"/>
        <w:ind w:left="0" w:firstLine="0"/>
        <w:jc w:val="both"/>
        <w:rPr>
          <w:rFonts w:ascii="Times New Roman" w:hAnsi="Times New Roman"/>
          <w:noProof/>
          <w:sz w:val="24"/>
        </w:rPr>
      </w:pPr>
      <w:r w:rsidRPr="00E50FA4">
        <w:rPr>
          <w:rFonts w:ascii="Times New Roman" w:hAnsi="Times New Roman"/>
          <w:noProof/>
          <w:sz w:val="24"/>
        </w:rPr>
        <w:t xml:space="preserve">Institutions shall start disclosing the information included in the templates with first disclosure reference date as of </w:t>
      </w:r>
      <w:r w:rsidR="00AC69F0">
        <w:rPr>
          <w:rFonts w:ascii="Times New Roman" w:hAnsi="Times New Roman"/>
          <w:noProof/>
          <w:sz w:val="24"/>
        </w:rPr>
        <w:t>31 December 2022</w:t>
      </w:r>
      <w:r w:rsidRPr="00E50FA4">
        <w:rPr>
          <w:rFonts w:ascii="Times New Roman" w:hAnsi="Times New Roman"/>
          <w:noProof/>
          <w:sz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879"/>
      </w:tblGrid>
      <w:tr w:rsidR="00E77292" w:rsidRPr="00E50FA4" w14:paraId="71567A90" w14:textId="77777777" w:rsidTr="00BA313D">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689F86E7" w14:textId="77777777" w:rsidR="00E77292" w:rsidRPr="00E50FA4" w:rsidRDefault="00E77292" w:rsidP="008D522D">
            <w:pPr>
              <w:spacing w:before="120" w:after="120"/>
              <w:jc w:val="both"/>
              <w:rPr>
                <w:rFonts w:ascii="Times New Roman" w:eastAsia="Times New Roman" w:hAnsi="Times New Roman" w:cs="Times New Roman"/>
                <w:noProof/>
                <w:sz w:val="24"/>
                <w:lang w:val="en-GB" w:bidi="ne-NP"/>
              </w:rPr>
            </w:pPr>
            <w:r w:rsidRPr="00E50FA4">
              <w:rPr>
                <w:rFonts w:ascii="Times New Roman" w:eastAsia="Times New Roman" w:hAnsi="Times New Roman" w:cs="Times New Roman"/>
                <w:noProof/>
                <w:sz w:val="24"/>
                <w:lang w:val="en-GB" w:bidi="ne-NP"/>
              </w:rPr>
              <w:t>Columns</w:t>
            </w:r>
          </w:p>
        </w:tc>
        <w:tc>
          <w:tcPr>
            <w:tcW w:w="7879" w:type="dxa"/>
            <w:tcBorders>
              <w:top w:val="single" w:sz="4" w:space="0" w:color="auto"/>
              <w:left w:val="single" w:sz="4" w:space="0" w:color="auto"/>
              <w:bottom w:val="single" w:sz="4" w:space="0" w:color="auto"/>
              <w:right w:val="single" w:sz="4" w:space="0" w:color="auto"/>
            </w:tcBorders>
            <w:shd w:val="clear" w:color="auto" w:fill="CCCCCC"/>
            <w:hideMark/>
          </w:tcPr>
          <w:p w14:paraId="4B0747B3" w14:textId="77777777" w:rsidR="00E77292" w:rsidRPr="00E50FA4" w:rsidRDefault="00E77292" w:rsidP="008D522D">
            <w:pPr>
              <w:spacing w:before="120" w:after="120"/>
              <w:jc w:val="both"/>
              <w:rPr>
                <w:rFonts w:ascii="Times New Roman" w:eastAsia="Times New Roman" w:hAnsi="Times New Roman" w:cs="Times New Roman"/>
                <w:noProof/>
                <w:sz w:val="24"/>
                <w:lang w:val="en-GB" w:bidi="ne-NP"/>
              </w:rPr>
            </w:pPr>
            <w:r w:rsidRPr="00E50FA4">
              <w:rPr>
                <w:rFonts w:ascii="Times New Roman" w:eastAsia="Times New Roman" w:hAnsi="Times New Roman" w:cs="Times New Roman"/>
                <w:noProof/>
                <w:sz w:val="24"/>
                <w:lang w:val="en-GB" w:bidi="ne-NP"/>
              </w:rPr>
              <w:t>Instructions</w:t>
            </w:r>
          </w:p>
        </w:tc>
      </w:tr>
      <w:tr w:rsidR="00892F35" w:rsidRPr="00E50FA4" w14:paraId="5653BE4E" w14:textId="77777777" w:rsidTr="00BA313D">
        <w:tc>
          <w:tcPr>
            <w:tcW w:w="1188" w:type="dxa"/>
            <w:tcBorders>
              <w:top w:val="single" w:sz="4" w:space="0" w:color="auto"/>
              <w:left w:val="single" w:sz="4" w:space="0" w:color="auto"/>
              <w:bottom w:val="single" w:sz="4" w:space="0" w:color="auto"/>
              <w:right w:val="single" w:sz="4" w:space="0" w:color="auto"/>
            </w:tcBorders>
          </w:tcPr>
          <w:p w14:paraId="1DA8CCAB" w14:textId="77777777" w:rsidR="00892F35" w:rsidRPr="00E50FA4" w:rsidRDefault="00892F35"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a</w:t>
            </w:r>
          </w:p>
        </w:tc>
        <w:tc>
          <w:tcPr>
            <w:tcW w:w="7879" w:type="dxa"/>
            <w:tcBorders>
              <w:top w:val="single" w:sz="4" w:space="0" w:color="auto"/>
              <w:left w:val="single" w:sz="4" w:space="0" w:color="auto"/>
              <w:bottom w:val="single" w:sz="4" w:space="0" w:color="auto"/>
              <w:right w:val="single" w:sz="4" w:space="0" w:color="auto"/>
            </w:tcBorders>
          </w:tcPr>
          <w:p w14:paraId="6FC07464" w14:textId="77777777" w:rsidR="00892F35" w:rsidRPr="00E50FA4" w:rsidRDefault="00892F35" w:rsidP="00892F35">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Type of financial instrument</w:t>
            </w:r>
          </w:p>
          <w:p w14:paraId="453E09FA" w14:textId="162C5025" w:rsidR="00892F35" w:rsidRPr="00E50FA4" w:rsidRDefault="00CB4C05" w:rsidP="00892F35">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shall disclose the </w:t>
            </w:r>
            <w:r w:rsidR="00892F35" w:rsidRPr="00E50FA4">
              <w:rPr>
                <w:rFonts w:ascii="Times New Roman" w:eastAsia="Times New Roman" w:hAnsi="Times New Roman" w:cs="Times New Roman"/>
                <w:noProof/>
                <w:sz w:val="24"/>
                <w:lang w:val="en-GB"/>
              </w:rPr>
              <w:t xml:space="preserve">type of financial instrument </w:t>
            </w:r>
            <w:r w:rsidR="009D521D" w:rsidRPr="00E50FA4">
              <w:rPr>
                <w:rFonts w:ascii="Times New Roman" w:eastAsia="Times New Roman" w:hAnsi="Times New Roman" w:cs="Times New Roman"/>
                <w:noProof/>
                <w:sz w:val="24"/>
                <w:lang w:val="en-GB"/>
              </w:rPr>
              <w:t>as referred to in</w:t>
            </w:r>
            <w:r w:rsidR="00892F35" w:rsidRPr="00E50FA4">
              <w:rPr>
                <w:rFonts w:ascii="Times New Roman" w:eastAsia="Times New Roman" w:hAnsi="Times New Roman" w:cs="Times New Roman"/>
                <w:noProof/>
                <w:sz w:val="24"/>
                <w:lang w:val="en-GB"/>
              </w:rPr>
              <w:t xml:space="preserve"> Annex V to Implementing Regulation (EU) </w:t>
            </w:r>
            <w:r w:rsidR="00664881" w:rsidRPr="00E50FA4">
              <w:rPr>
                <w:rFonts w:ascii="Times New Roman" w:eastAsia="Times New Roman" w:hAnsi="Times New Roman" w:cs="Times New Roman"/>
                <w:noProof/>
                <w:sz w:val="24"/>
                <w:lang w:val="en-GB"/>
              </w:rPr>
              <w:t>2021/451</w:t>
            </w:r>
            <w:r w:rsidR="00892F35" w:rsidRPr="00E50FA4">
              <w:rPr>
                <w:rFonts w:ascii="Times New Roman" w:eastAsia="Times New Roman" w:hAnsi="Times New Roman" w:cs="Times New Roman"/>
                <w:noProof/>
                <w:sz w:val="24"/>
                <w:lang w:val="en-GB"/>
              </w:rPr>
              <w:t>.</w:t>
            </w:r>
          </w:p>
          <w:p w14:paraId="78119A27" w14:textId="59D14990" w:rsidR="00892F35" w:rsidRPr="00E50FA4" w:rsidRDefault="00892F35" w:rsidP="00892F35">
            <w:pPr>
              <w:spacing w:before="120" w:after="120"/>
              <w:jc w:val="both"/>
              <w:rPr>
                <w:rFonts w:ascii="Times New Roman" w:eastAsia="Times New Roman" w:hAnsi="Times New Roman" w:cs="Times New Roman"/>
                <w:bCs/>
                <w:noProof/>
                <w:sz w:val="24"/>
                <w:lang w:val="en-GB"/>
              </w:rPr>
            </w:pPr>
          </w:p>
        </w:tc>
      </w:tr>
      <w:tr w:rsidR="00E77292" w:rsidRPr="00E50FA4" w14:paraId="0FF9ED55" w14:textId="77777777" w:rsidTr="00BA313D">
        <w:tc>
          <w:tcPr>
            <w:tcW w:w="1188" w:type="dxa"/>
            <w:tcBorders>
              <w:top w:val="single" w:sz="4" w:space="0" w:color="auto"/>
              <w:left w:val="single" w:sz="4" w:space="0" w:color="auto"/>
              <w:bottom w:val="single" w:sz="4" w:space="0" w:color="auto"/>
              <w:right w:val="single" w:sz="4" w:space="0" w:color="auto"/>
            </w:tcBorders>
          </w:tcPr>
          <w:p w14:paraId="65B8A527" w14:textId="77777777" w:rsidR="00E77292" w:rsidRPr="00E50FA4" w:rsidRDefault="00892F35"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b</w:t>
            </w:r>
          </w:p>
        </w:tc>
        <w:tc>
          <w:tcPr>
            <w:tcW w:w="7879" w:type="dxa"/>
            <w:tcBorders>
              <w:top w:val="single" w:sz="4" w:space="0" w:color="auto"/>
              <w:left w:val="single" w:sz="4" w:space="0" w:color="auto"/>
              <w:bottom w:val="single" w:sz="4" w:space="0" w:color="auto"/>
              <w:right w:val="single" w:sz="4" w:space="0" w:color="auto"/>
            </w:tcBorders>
          </w:tcPr>
          <w:p w14:paraId="77A4BBCE"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Type of counterparty</w:t>
            </w:r>
          </w:p>
          <w:p w14:paraId="05C5CA98" w14:textId="2A042E46" w:rsidR="00E77292" w:rsidRPr="00E50FA4" w:rsidRDefault="00CB4C05" w:rsidP="00CB4C05">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shall disclose the </w:t>
            </w:r>
            <w:r w:rsidR="00E77292" w:rsidRPr="00E50FA4">
              <w:rPr>
                <w:rFonts w:ascii="Times New Roman" w:eastAsia="Times New Roman" w:hAnsi="Times New Roman" w:cs="Times New Roman"/>
                <w:noProof/>
                <w:sz w:val="24"/>
                <w:lang w:val="en-GB"/>
              </w:rPr>
              <w:t xml:space="preserve">type of counterparty </w:t>
            </w:r>
            <w:r w:rsidR="009D521D" w:rsidRPr="00E50FA4">
              <w:rPr>
                <w:rFonts w:ascii="Times New Roman" w:eastAsia="Times New Roman" w:hAnsi="Times New Roman" w:cs="Times New Roman"/>
                <w:noProof/>
                <w:sz w:val="24"/>
                <w:lang w:val="en-GB"/>
              </w:rPr>
              <w:t>as referred to in</w:t>
            </w:r>
            <w:r w:rsidR="00E77292" w:rsidRPr="00E50FA4">
              <w:rPr>
                <w:rFonts w:ascii="Times New Roman" w:eastAsia="Times New Roman" w:hAnsi="Times New Roman" w:cs="Times New Roman"/>
                <w:noProof/>
                <w:sz w:val="24"/>
                <w:lang w:val="en-GB"/>
              </w:rPr>
              <w:t xml:space="preserve"> </w:t>
            </w:r>
            <w:r w:rsidR="00A1707C" w:rsidRPr="00E50FA4">
              <w:rPr>
                <w:rFonts w:ascii="Times New Roman" w:eastAsia="Times New Roman" w:hAnsi="Times New Roman" w:cs="Times New Roman"/>
                <w:noProof/>
                <w:sz w:val="24"/>
                <w:lang w:val="en-GB"/>
              </w:rPr>
              <w:t xml:space="preserve">Part 1, </w:t>
            </w:r>
            <w:r w:rsidR="009D521D" w:rsidRPr="00E50FA4">
              <w:rPr>
                <w:rFonts w:ascii="Times New Roman" w:eastAsia="Times New Roman" w:hAnsi="Times New Roman" w:cs="Times New Roman"/>
                <w:noProof/>
                <w:sz w:val="24"/>
                <w:lang w:val="en-GB"/>
              </w:rPr>
              <w:t xml:space="preserve">point </w:t>
            </w:r>
            <w:r w:rsidR="00E77292" w:rsidRPr="00E50FA4">
              <w:rPr>
                <w:rFonts w:ascii="Times New Roman" w:eastAsia="Times New Roman" w:hAnsi="Times New Roman" w:cs="Times New Roman"/>
                <w:noProof/>
                <w:sz w:val="24"/>
                <w:lang w:val="en-GB"/>
              </w:rPr>
              <w:t>42</w:t>
            </w:r>
            <w:r w:rsidR="00A1707C" w:rsidRPr="00E50FA4">
              <w:rPr>
                <w:rFonts w:ascii="Times New Roman" w:eastAsia="Times New Roman" w:hAnsi="Times New Roman" w:cs="Times New Roman"/>
                <w:noProof/>
                <w:sz w:val="24"/>
                <w:lang w:val="en-GB"/>
              </w:rPr>
              <w:t>,</w:t>
            </w:r>
            <w:r w:rsidR="00E77292" w:rsidRPr="00E50FA4">
              <w:rPr>
                <w:rFonts w:ascii="Times New Roman" w:eastAsia="Times New Roman" w:hAnsi="Times New Roman" w:cs="Times New Roman"/>
                <w:noProof/>
                <w:sz w:val="24"/>
                <w:lang w:val="en-GB"/>
              </w:rPr>
              <w:t xml:space="preserve"> of Annex V to Implementing Regulation </w:t>
            </w:r>
            <w:r w:rsidR="00664881" w:rsidRPr="00E50FA4">
              <w:rPr>
                <w:rFonts w:ascii="Times New Roman" w:eastAsia="Times New Roman" w:hAnsi="Times New Roman" w:cs="Times New Roman"/>
                <w:noProof/>
                <w:sz w:val="24"/>
                <w:lang w:val="en-GB" w:bidi="ne-NP"/>
              </w:rPr>
              <w:t xml:space="preserve">(EU) </w:t>
            </w:r>
            <w:r w:rsidR="00664881" w:rsidRPr="00E50FA4">
              <w:rPr>
                <w:rFonts w:ascii="Times New Roman" w:eastAsia="Times New Roman" w:hAnsi="Times New Roman" w:cs="Times New Roman"/>
                <w:noProof/>
                <w:sz w:val="24"/>
                <w:lang w:val="en-GB"/>
              </w:rPr>
              <w:t>2021/451</w:t>
            </w:r>
            <w:r w:rsidR="00E77292" w:rsidRPr="00E50FA4">
              <w:rPr>
                <w:rFonts w:ascii="Times New Roman" w:eastAsia="Times New Roman" w:hAnsi="Times New Roman" w:cs="Times New Roman"/>
                <w:noProof/>
                <w:sz w:val="24"/>
                <w:lang w:val="en-GB"/>
              </w:rPr>
              <w:t>.</w:t>
            </w:r>
          </w:p>
        </w:tc>
      </w:tr>
      <w:tr w:rsidR="00E77292" w:rsidRPr="00E50FA4" w14:paraId="11D7F4F1" w14:textId="77777777" w:rsidTr="00BA313D">
        <w:tc>
          <w:tcPr>
            <w:tcW w:w="1188" w:type="dxa"/>
            <w:tcBorders>
              <w:top w:val="single" w:sz="4" w:space="0" w:color="auto"/>
              <w:left w:val="single" w:sz="4" w:space="0" w:color="auto"/>
              <w:bottom w:val="single" w:sz="4" w:space="0" w:color="auto"/>
              <w:right w:val="single" w:sz="4" w:space="0" w:color="auto"/>
            </w:tcBorders>
          </w:tcPr>
          <w:p w14:paraId="02128DA1" w14:textId="77777777" w:rsidR="00E77292" w:rsidRPr="00E50FA4" w:rsidRDefault="00E77292"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c</w:t>
            </w:r>
          </w:p>
        </w:tc>
        <w:tc>
          <w:tcPr>
            <w:tcW w:w="7879" w:type="dxa"/>
            <w:tcBorders>
              <w:top w:val="single" w:sz="4" w:space="0" w:color="auto"/>
              <w:left w:val="single" w:sz="4" w:space="0" w:color="auto"/>
              <w:bottom w:val="single" w:sz="4" w:space="0" w:color="auto"/>
              <w:right w:val="single" w:sz="4" w:space="0" w:color="auto"/>
            </w:tcBorders>
          </w:tcPr>
          <w:p w14:paraId="1CD0125D" w14:textId="77777777" w:rsidR="00E77292" w:rsidRPr="00E50FA4" w:rsidRDefault="00E77292" w:rsidP="00DA390D">
            <w:pPr>
              <w:spacing w:before="120" w:after="120"/>
              <w:jc w:val="both"/>
              <w:rPr>
                <w:rFonts w:ascii="Times New Roman" w:eastAsia="Times New Roman" w:hAnsi="Times New Roman" w:cs="Times New Roman"/>
                <w:b/>
                <w:noProof/>
                <w:sz w:val="24"/>
                <w:u w:val="single"/>
                <w:lang w:val="en-GB"/>
              </w:rPr>
            </w:pPr>
            <w:r w:rsidRPr="00E50FA4">
              <w:rPr>
                <w:rFonts w:ascii="Times New Roman" w:eastAsia="Times New Roman" w:hAnsi="Times New Roman" w:cs="Times New Roman"/>
                <w:b/>
                <w:noProof/>
                <w:sz w:val="24"/>
                <w:u w:val="single"/>
                <w:lang w:val="en-GB"/>
              </w:rPr>
              <w:t>Gross carrying amount (million EUR)</w:t>
            </w:r>
          </w:p>
          <w:p w14:paraId="755D2817" w14:textId="79EE95E9" w:rsidR="00E77292" w:rsidRPr="00E50FA4" w:rsidRDefault="00CB4C05" w:rsidP="0025458E">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 xml:space="preserve">Institutions shall disclose the </w:t>
            </w:r>
            <w:r w:rsidR="00B372BE" w:rsidRPr="00E50FA4">
              <w:rPr>
                <w:rFonts w:ascii="Times New Roman" w:eastAsia="Times New Roman" w:hAnsi="Times New Roman" w:cs="Times New Roman"/>
                <w:noProof/>
                <w:sz w:val="24"/>
                <w:lang w:val="en-GB"/>
              </w:rPr>
              <w:t xml:space="preserve">gross carrying amount as </w:t>
            </w:r>
            <w:r w:rsidR="00363DC4" w:rsidRPr="00E50FA4">
              <w:rPr>
                <w:rFonts w:ascii="Times New Roman" w:eastAsia="Times New Roman" w:hAnsi="Times New Roman" w:cs="Times New Roman"/>
                <w:noProof/>
                <w:sz w:val="24"/>
                <w:lang w:val="en-GB"/>
              </w:rPr>
              <w:t xml:space="preserve">referred to </w:t>
            </w:r>
            <w:r w:rsidR="00B372BE" w:rsidRPr="00E50FA4">
              <w:rPr>
                <w:rFonts w:ascii="Times New Roman" w:eastAsia="Times New Roman" w:hAnsi="Times New Roman" w:cs="Times New Roman"/>
                <w:noProof/>
                <w:sz w:val="24"/>
                <w:lang w:val="en-GB"/>
              </w:rPr>
              <w:t xml:space="preserve">in </w:t>
            </w:r>
            <w:r w:rsidR="00A1707C" w:rsidRPr="00E50FA4">
              <w:rPr>
                <w:rFonts w:ascii="Times New Roman" w:eastAsia="Times New Roman" w:hAnsi="Times New Roman" w:cs="Times New Roman"/>
                <w:noProof/>
                <w:sz w:val="24"/>
                <w:lang w:val="en-GB"/>
              </w:rPr>
              <w:t xml:space="preserve">Part 1, </w:t>
            </w:r>
            <w:r w:rsidR="0025458E" w:rsidRPr="00E50FA4">
              <w:rPr>
                <w:rFonts w:ascii="Times New Roman" w:eastAsia="Times New Roman" w:hAnsi="Times New Roman" w:cs="Times New Roman"/>
                <w:noProof/>
                <w:sz w:val="24"/>
                <w:lang w:val="en-GB"/>
              </w:rPr>
              <w:t xml:space="preserve">point </w:t>
            </w:r>
            <w:r w:rsidR="00E77292" w:rsidRPr="00E50FA4">
              <w:rPr>
                <w:rFonts w:ascii="Times New Roman" w:eastAsia="Times New Roman" w:hAnsi="Times New Roman" w:cs="Times New Roman"/>
                <w:noProof/>
                <w:sz w:val="24"/>
                <w:lang w:val="en-GB"/>
              </w:rPr>
              <w:t>34</w:t>
            </w:r>
            <w:r w:rsidR="00A1707C" w:rsidRPr="00E50FA4">
              <w:rPr>
                <w:rFonts w:ascii="Times New Roman" w:eastAsia="Times New Roman" w:hAnsi="Times New Roman" w:cs="Times New Roman"/>
                <w:noProof/>
                <w:sz w:val="24"/>
                <w:lang w:val="en-GB"/>
              </w:rPr>
              <w:t>,</w:t>
            </w:r>
            <w:r w:rsidR="00E77292" w:rsidRPr="00E50FA4">
              <w:rPr>
                <w:rFonts w:ascii="Times New Roman" w:eastAsia="Times New Roman" w:hAnsi="Times New Roman" w:cs="Times New Roman"/>
                <w:noProof/>
                <w:sz w:val="24"/>
                <w:lang w:val="en-GB"/>
              </w:rPr>
              <w:t xml:space="preserve"> of Annex V to Implementing Regulation (EU) </w:t>
            </w:r>
            <w:r w:rsidR="00664881" w:rsidRPr="00E50FA4">
              <w:rPr>
                <w:rFonts w:ascii="Times New Roman" w:eastAsia="Times New Roman" w:hAnsi="Times New Roman" w:cs="Times New Roman"/>
                <w:noProof/>
                <w:sz w:val="24"/>
                <w:lang w:val="en-GB"/>
              </w:rPr>
              <w:t>2021/451</w:t>
            </w:r>
            <w:r w:rsidR="00E77292" w:rsidRPr="00E50FA4">
              <w:rPr>
                <w:rFonts w:ascii="Times New Roman" w:eastAsia="Times New Roman" w:hAnsi="Times New Roman" w:cs="Times New Roman"/>
                <w:noProof/>
                <w:sz w:val="24"/>
                <w:lang w:val="en-GB"/>
              </w:rPr>
              <w:t>.</w:t>
            </w:r>
          </w:p>
        </w:tc>
      </w:tr>
      <w:tr w:rsidR="00350EFD" w:rsidRPr="00E50FA4" w14:paraId="27B84DC5" w14:textId="77777777" w:rsidTr="00AC03F6">
        <w:tc>
          <w:tcPr>
            <w:tcW w:w="1188" w:type="dxa"/>
            <w:tcBorders>
              <w:top w:val="single" w:sz="4" w:space="0" w:color="auto"/>
              <w:left w:val="single" w:sz="4" w:space="0" w:color="auto"/>
              <w:bottom w:val="single" w:sz="4" w:space="0" w:color="auto"/>
              <w:right w:val="single" w:sz="4" w:space="0" w:color="auto"/>
            </w:tcBorders>
          </w:tcPr>
          <w:p w14:paraId="24DC7B53" w14:textId="77777777" w:rsidR="00350EFD" w:rsidRPr="00E50FA4" w:rsidRDefault="00892F35" w:rsidP="00AC03F6">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d</w:t>
            </w:r>
          </w:p>
        </w:tc>
        <w:tc>
          <w:tcPr>
            <w:tcW w:w="7879" w:type="dxa"/>
            <w:tcBorders>
              <w:top w:val="single" w:sz="4" w:space="0" w:color="auto"/>
              <w:left w:val="single" w:sz="4" w:space="0" w:color="auto"/>
              <w:bottom w:val="single" w:sz="4" w:space="0" w:color="auto"/>
              <w:right w:val="single" w:sz="4" w:space="0" w:color="auto"/>
            </w:tcBorders>
          </w:tcPr>
          <w:p w14:paraId="3973D45A" w14:textId="77777777" w:rsidR="00892F35" w:rsidRPr="00E50FA4" w:rsidRDefault="00892F35" w:rsidP="00AC03F6">
            <w:pPr>
              <w:spacing w:before="120" w:after="120"/>
              <w:jc w:val="both"/>
              <w:rPr>
                <w:rFonts w:ascii="Times New Roman" w:hAnsi="Times New Roman"/>
                <w:noProof/>
                <w:sz w:val="24"/>
                <w:lang w:val="en-GB"/>
              </w:rPr>
            </w:pPr>
            <w:r w:rsidRPr="00E50FA4">
              <w:rPr>
                <w:rFonts w:ascii="Times New Roman" w:hAnsi="Times New Roman"/>
                <w:b/>
                <w:noProof/>
                <w:sz w:val="24"/>
                <w:u w:val="single"/>
                <w:lang w:val="en-GB"/>
              </w:rPr>
              <w:t>Type of risk mitigated (Climate change transition risk)</w:t>
            </w:r>
          </w:p>
          <w:p w14:paraId="2BA65930" w14:textId="50FA1357" w:rsidR="00350EFD" w:rsidRPr="00E50FA4" w:rsidRDefault="00CB4C05">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Institutions shall disclose the</w:t>
            </w:r>
            <w:r w:rsidR="00350EFD" w:rsidRPr="00E50FA4">
              <w:rPr>
                <w:rFonts w:ascii="Times New Roman" w:hAnsi="Times New Roman"/>
                <w:noProof/>
                <w:sz w:val="24"/>
                <w:lang w:val="en-GB"/>
              </w:rPr>
              <w:t xml:space="preserve"> type of risk that is being mitigated with that action: climate change transition risk</w:t>
            </w:r>
            <w:r w:rsidR="00552D38" w:rsidRPr="00E50FA4">
              <w:rPr>
                <w:rFonts w:ascii="Times New Roman" w:hAnsi="Times New Roman"/>
                <w:noProof/>
                <w:sz w:val="24"/>
                <w:lang w:val="en-GB"/>
              </w:rPr>
              <w:t>.</w:t>
            </w:r>
          </w:p>
        </w:tc>
      </w:tr>
      <w:tr w:rsidR="00552D38" w:rsidRPr="00E50FA4" w14:paraId="2BC7AD99" w14:textId="77777777" w:rsidTr="00AC03F6">
        <w:tc>
          <w:tcPr>
            <w:tcW w:w="1188" w:type="dxa"/>
            <w:tcBorders>
              <w:top w:val="single" w:sz="4" w:space="0" w:color="auto"/>
              <w:left w:val="single" w:sz="4" w:space="0" w:color="auto"/>
              <w:bottom w:val="single" w:sz="4" w:space="0" w:color="auto"/>
              <w:right w:val="single" w:sz="4" w:space="0" w:color="auto"/>
            </w:tcBorders>
          </w:tcPr>
          <w:p w14:paraId="648C5568" w14:textId="77777777" w:rsidR="00552D38" w:rsidRPr="00E50FA4" w:rsidRDefault="00552D38" w:rsidP="00AC03F6">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e</w:t>
            </w:r>
          </w:p>
        </w:tc>
        <w:tc>
          <w:tcPr>
            <w:tcW w:w="7879" w:type="dxa"/>
            <w:tcBorders>
              <w:top w:val="single" w:sz="4" w:space="0" w:color="auto"/>
              <w:left w:val="single" w:sz="4" w:space="0" w:color="auto"/>
              <w:bottom w:val="single" w:sz="4" w:space="0" w:color="auto"/>
              <w:right w:val="single" w:sz="4" w:space="0" w:color="auto"/>
            </w:tcBorders>
          </w:tcPr>
          <w:p w14:paraId="76B564A0" w14:textId="77777777" w:rsidR="00552D38" w:rsidRPr="00E50FA4" w:rsidRDefault="00552D38" w:rsidP="00552D38">
            <w:pPr>
              <w:spacing w:before="120" w:after="120"/>
              <w:jc w:val="both"/>
              <w:rPr>
                <w:rFonts w:ascii="Times New Roman" w:hAnsi="Times New Roman"/>
                <w:noProof/>
                <w:sz w:val="24"/>
                <w:lang w:val="en-GB"/>
              </w:rPr>
            </w:pPr>
            <w:r w:rsidRPr="00E50FA4">
              <w:rPr>
                <w:rFonts w:ascii="Times New Roman" w:hAnsi="Times New Roman"/>
                <w:b/>
                <w:noProof/>
                <w:sz w:val="24"/>
                <w:u w:val="single"/>
                <w:lang w:val="en-GB"/>
              </w:rPr>
              <w:t>Type of risk mitigated (Climate change physical risk)</w:t>
            </w:r>
          </w:p>
          <w:p w14:paraId="27E232E8" w14:textId="24C4C8A6" w:rsidR="00552D38" w:rsidRPr="00E50FA4" w:rsidRDefault="00CB4C05" w:rsidP="00D20B32">
            <w:pPr>
              <w:spacing w:before="120" w:after="120"/>
              <w:jc w:val="both"/>
              <w:rPr>
                <w:rFonts w:ascii="Times New Roman" w:hAnsi="Times New Roman"/>
                <w:b/>
                <w:noProof/>
                <w:sz w:val="24"/>
                <w:u w:val="single"/>
                <w:lang w:val="en-GB"/>
              </w:rPr>
            </w:pPr>
            <w:r w:rsidRPr="00E50FA4">
              <w:rPr>
                <w:rFonts w:ascii="Times New Roman" w:eastAsia="Times New Roman" w:hAnsi="Times New Roman" w:cs="Times New Roman"/>
                <w:noProof/>
                <w:sz w:val="24"/>
                <w:lang w:val="en-GB"/>
              </w:rPr>
              <w:t>Institutions shall disclose the</w:t>
            </w:r>
            <w:r w:rsidR="00552D38" w:rsidRPr="00E50FA4">
              <w:rPr>
                <w:rFonts w:ascii="Times New Roman" w:hAnsi="Times New Roman"/>
                <w:noProof/>
                <w:sz w:val="24"/>
                <w:lang w:val="en-GB"/>
              </w:rPr>
              <w:t xml:space="preserve"> type of risk that is being mitigated with that action: climate change physical risk.</w:t>
            </w:r>
          </w:p>
        </w:tc>
      </w:tr>
      <w:tr w:rsidR="00E77292" w:rsidRPr="00E50FA4" w14:paraId="10E95863" w14:textId="77777777" w:rsidTr="00BA313D">
        <w:tc>
          <w:tcPr>
            <w:tcW w:w="1188" w:type="dxa"/>
            <w:tcBorders>
              <w:top w:val="single" w:sz="4" w:space="0" w:color="auto"/>
              <w:left w:val="single" w:sz="4" w:space="0" w:color="auto"/>
              <w:bottom w:val="single" w:sz="4" w:space="0" w:color="auto"/>
              <w:right w:val="single" w:sz="4" w:space="0" w:color="auto"/>
            </w:tcBorders>
          </w:tcPr>
          <w:p w14:paraId="265B8CB8" w14:textId="77777777" w:rsidR="00E77292" w:rsidRPr="00E50FA4" w:rsidRDefault="00E101B0" w:rsidP="00D35812">
            <w:pPr>
              <w:spacing w:before="120" w:after="120"/>
              <w:jc w:val="both"/>
              <w:rPr>
                <w:rFonts w:ascii="Times New Roman" w:eastAsia="Times New Roman" w:hAnsi="Times New Roman" w:cs="Times New Roman"/>
                <w:noProof/>
                <w:sz w:val="24"/>
                <w:lang w:val="en-GB"/>
              </w:rPr>
            </w:pPr>
            <w:r w:rsidRPr="00E50FA4">
              <w:rPr>
                <w:rFonts w:ascii="Times New Roman" w:eastAsia="Times New Roman" w:hAnsi="Times New Roman" w:cs="Times New Roman"/>
                <w:noProof/>
                <w:sz w:val="24"/>
                <w:lang w:val="en-GB"/>
              </w:rPr>
              <w:t>f</w:t>
            </w:r>
          </w:p>
        </w:tc>
        <w:tc>
          <w:tcPr>
            <w:tcW w:w="7879" w:type="dxa"/>
            <w:tcBorders>
              <w:top w:val="single" w:sz="4" w:space="0" w:color="auto"/>
              <w:left w:val="single" w:sz="4" w:space="0" w:color="auto"/>
              <w:bottom w:val="single" w:sz="4" w:space="0" w:color="auto"/>
              <w:right w:val="single" w:sz="4" w:space="0" w:color="auto"/>
            </w:tcBorders>
          </w:tcPr>
          <w:p w14:paraId="213222EC" w14:textId="77777777" w:rsidR="00E77292" w:rsidRPr="00E50FA4" w:rsidRDefault="00E77292" w:rsidP="00DA390D">
            <w:pPr>
              <w:spacing w:before="120" w:after="120"/>
              <w:jc w:val="both"/>
              <w:rPr>
                <w:rFonts w:ascii="Times New Roman" w:hAnsi="Times New Roman"/>
                <w:b/>
                <w:noProof/>
                <w:sz w:val="24"/>
                <w:u w:val="single"/>
                <w:lang w:val="en-GB"/>
              </w:rPr>
            </w:pPr>
            <w:r w:rsidRPr="00E50FA4">
              <w:rPr>
                <w:rFonts w:ascii="Times New Roman" w:hAnsi="Times New Roman"/>
                <w:b/>
                <w:noProof/>
                <w:sz w:val="24"/>
                <w:u w:val="single"/>
                <w:lang w:val="en-GB"/>
              </w:rPr>
              <w:t>Qualitative information on the nature of the mitigating actions</w:t>
            </w:r>
          </w:p>
          <w:p w14:paraId="1B72746E" w14:textId="1C7EF2BD" w:rsidR="00E77292" w:rsidRPr="00E50FA4" w:rsidRDefault="00CB4C05" w:rsidP="00D822FC">
            <w:pPr>
              <w:spacing w:before="120" w:after="120"/>
              <w:jc w:val="both"/>
              <w:rPr>
                <w:rFonts w:ascii="Times New Roman" w:hAnsi="Times New Roman"/>
                <w:noProof/>
                <w:sz w:val="24"/>
                <w:lang w:val="en-GB"/>
              </w:rPr>
            </w:pPr>
            <w:r w:rsidRPr="00E50FA4">
              <w:rPr>
                <w:rFonts w:ascii="Times New Roman" w:eastAsia="Times New Roman" w:hAnsi="Times New Roman" w:cs="Times New Roman"/>
                <w:noProof/>
                <w:sz w:val="24"/>
                <w:lang w:val="en-GB"/>
              </w:rPr>
              <w:t xml:space="preserve">Institutions shall describe </w:t>
            </w:r>
            <w:r w:rsidR="00552C77" w:rsidRPr="00E50FA4">
              <w:rPr>
                <w:rFonts w:ascii="Times New Roman" w:hAnsi="Times New Roman"/>
                <w:noProof/>
                <w:sz w:val="24"/>
                <w:lang w:val="en-GB"/>
              </w:rPr>
              <w:t>the nature of the mitigating actions</w:t>
            </w:r>
            <w:r w:rsidR="001E2DD6" w:rsidRPr="00E50FA4">
              <w:rPr>
                <w:rFonts w:ascii="Times New Roman" w:hAnsi="Times New Roman"/>
                <w:noProof/>
                <w:sz w:val="24"/>
                <w:lang w:val="en-GB"/>
              </w:rPr>
              <w:t xml:space="preserve"> contributing to climate change mitigation </w:t>
            </w:r>
            <w:r w:rsidR="00C67640" w:rsidRPr="00E50FA4">
              <w:rPr>
                <w:rFonts w:ascii="Times New Roman" w:hAnsi="Times New Roman"/>
                <w:noProof/>
                <w:sz w:val="24"/>
                <w:lang w:val="en-GB"/>
              </w:rPr>
              <w:t>referred to in</w:t>
            </w:r>
            <w:r w:rsidR="00FD7509" w:rsidRPr="00E50FA4">
              <w:rPr>
                <w:rFonts w:ascii="Times New Roman" w:hAnsi="Times New Roman"/>
                <w:noProof/>
                <w:sz w:val="24"/>
                <w:lang w:val="en-GB"/>
              </w:rPr>
              <w:t xml:space="preserve"> Article 10 of </w:t>
            </w:r>
            <w:r w:rsidR="00903F9E" w:rsidRPr="00E50FA4">
              <w:rPr>
                <w:rFonts w:ascii="Times New Roman" w:hAnsi="Times New Roman"/>
                <w:noProof/>
                <w:sz w:val="24"/>
                <w:lang w:val="en-GB"/>
              </w:rPr>
              <w:t>Regulation (EU) 2020/852</w:t>
            </w:r>
            <w:r w:rsidR="00FD7509" w:rsidRPr="00E50FA4">
              <w:rPr>
                <w:rFonts w:ascii="Times New Roman" w:hAnsi="Times New Roman"/>
                <w:noProof/>
                <w:sz w:val="24"/>
                <w:lang w:val="en-GB"/>
              </w:rPr>
              <w:t xml:space="preserve"> and to c</w:t>
            </w:r>
            <w:r w:rsidR="001E2DD6" w:rsidRPr="00E50FA4">
              <w:rPr>
                <w:rFonts w:ascii="Times New Roman" w:hAnsi="Times New Roman"/>
                <w:noProof/>
                <w:sz w:val="24"/>
                <w:lang w:val="en-GB"/>
              </w:rPr>
              <w:t>limate</w:t>
            </w:r>
            <w:r w:rsidR="00C06AA4" w:rsidRPr="00E50FA4">
              <w:rPr>
                <w:rFonts w:ascii="Times New Roman" w:hAnsi="Times New Roman"/>
                <w:noProof/>
                <w:sz w:val="24"/>
                <w:lang w:val="en-GB"/>
              </w:rPr>
              <w:t>-</w:t>
            </w:r>
            <w:r w:rsidR="001E2DD6" w:rsidRPr="00E50FA4">
              <w:rPr>
                <w:rFonts w:ascii="Times New Roman" w:hAnsi="Times New Roman"/>
                <w:noProof/>
                <w:sz w:val="24"/>
                <w:lang w:val="en-GB"/>
              </w:rPr>
              <w:t>change adaptation</w:t>
            </w:r>
            <w:r w:rsidR="00FD7509" w:rsidRPr="00E50FA4">
              <w:rPr>
                <w:rFonts w:ascii="Times New Roman" w:hAnsi="Times New Roman"/>
                <w:noProof/>
                <w:sz w:val="24"/>
                <w:lang w:val="en-GB"/>
              </w:rPr>
              <w:t xml:space="preserve"> </w:t>
            </w:r>
            <w:r w:rsidR="00C67640" w:rsidRPr="00E50FA4">
              <w:rPr>
                <w:rFonts w:ascii="Times New Roman" w:hAnsi="Times New Roman"/>
                <w:noProof/>
                <w:sz w:val="24"/>
                <w:lang w:val="en-GB"/>
              </w:rPr>
              <w:t>referred to in</w:t>
            </w:r>
            <w:r w:rsidR="00FD7509" w:rsidRPr="00E50FA4">
              <w:rPr>
                <w:rFonts w:ascii="Times New Roman" w:hAnsi="Times New Roman"/>
                <w:noProof/>
                <w:sz w:val="24"/>
                <w:lang w:val="en-GB"/>
              </w:rPr>
              <w:t xml:space="preserve"> Article 11 of that Regulation</w:t>
            </w:r>
            <w:r w:rsidR="00664881" w:rsidRPr="00E50FA4">
              <w:rPr>
                <w:rFonts w:ascii="Times New Roman" w:hAnsi="Times New Roman"/>
                <w:noProof/>
                <w:sz w:val="24"/>
                <w:lang w:val="en-GB"/>
              </w:rPr>
              <w:t xml:space="preserve">, and on the reasons why the exposures </w:t>
            </w:r>
            <w:r w:rsidR="009D521D" w:rsidRPr="00E50FA4">
              <w:rPr>
                <w:rFonts w:ascii="Times New Roman" w:hAnsi="Times New Roman"/>
                <w:noProof/>
                <w:sz w:val="24"/>
                <w:lang w:val="en-GB"/>
              </w:rPr>
              <w:t>are not regarded</w:t>
            </w:r>
            <w:r w:rsidR="00664881" w:rsidRPr="00E50FA4">
              <w:rPr>
                <w:rFonts w:ascii="Times New Roman" w:hAnsi="Times New Roman"/>
                <w:noProof/>
                <w:sz w:val="24"/>
                <w:lang w:val="en-GB"/>
              </w:rPr>
              <w:t xml:space="preserve"> as taxonomy</w:t>
            </w:r>
            <w:r w:rsidR="00C06AA4" w:rsidRPr="00E50FA4">
              <w:rPr>
                <w:rFonts w:ascii="Times New Roman" w:hAnsi="Times New Roman"/>
                <w:noProof/>
                <w:sz w:val="24"/>
                <w:lang w:val="en-GB"/>
              </w:rPr>
              <w:t>-</w:t>
            </w:r>
            <w:r w:rsidR="00664881" w:rsidRPr="00E50FA4">
              <w:rPr>
                <w:rFonts w:ascii="Times New Roman" w:hAnsi="Times New Roman"/>
                <w:noProof/>
                <w:sz w:val="24"/>
                <w:lang w:val="en-GB"/>
              </w:rPr>
              <w:t xml:space="preserve">aligned for the purpose of the </w:t>
            </w:r>
            <w:r w:rsidR="00C06AA4" w:rsidRPr="00E50FA4">
              <w:rPr>
                <w:rFonts w:ascii="Times New Roman" w:hAnsi="Times New Roman"/>
                <w:noProof/>
                <w:sz w:val="24"/>
                <w:lang w:val="en-GB"/>
              </w:rPr>
              <w:t>GAR</w:t>
            </w:r>
            <w:r w:rsidR="00664881" w:rsidRPr="00E50FA4">
              <w:rPr>
                <w:rFonts w:ascii="Times New Roman" w:hAnsi="Times New Roman"/>
                <w:noProof/>
                <w:sz w:val="24"/>
                <w:lang w:val="en-GB"/>
              </w:rPr>
              <w:t>.</w:t>
            </w:r>
          </w:p>
        </w:tc>
      </w:tr>
    </w:tbl>
    <w:p w14:paraId="62F078D2" w14:textId="77777777" w:rsidR="007A6AB7" w:rsidRPr="00E50FA4" w:rsidRDefault="00F83472" w:rsidP="001A08A2">
      <w:pPr>
        <w:jc w:val="both"/>
        <w:rPr>
          <w:rFonts w:ascii="Times New Roman" w:hAnsi="Times New Roman" w:cs="Times New Roman"/>
          <w:noProof/>
          <w:sz w:val="24"/>
          <w:lang w:val="en-GB"/>
        </w:rPr>
      </w:pPr>
      <w:r w:rsidRPr="00E50FA4">
        <w:rPr>
          <w:rFonts w:ascii="Times New Roman" w:hAnsi="Times New Roman" w:cs="Times New Roman"/>
          <w:noProof/>
          <w:sz w:val="24"/>
          <w:lang w:val="en-GB"/>
        </w:rPr>
        <w:t>___________</w:t>
      </w:r>
    </w:p>
    <w:p w14:paraId="2A46FB5C" w14:textId="73FDA51D" w:rsidR="001A5A8B" w:rsidRPr="00E50FA4" w:rsidRDefault="001A5A8B" w:rsidP="00541B93">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lang w:val="en-GB"/>
        </w:rPr>
        <w:t>⃰1</w:t>
      </w:r>
      <w:r w:rsidRPr="00E50FA4">
        <w:rPr>
          <w:rFonts w:ascii="Times New Roman" w:hAnsi="Times New Roman" w:cs="Times New Roman"/>
          <w:noProof/>
          <w:sz w:val="20"/>
          <w:szCs w:val="20"/>
          <w:vertAlign w:val="superscript"/>
          <w:lang w:val="en-GB"/>
        </w:rPr>
        <w:tab/>
      </w:r>
      <w:r w:rsidRPr="00E50FA4">
        <w:rPr>
          <w:rFonts w:ascii="Times New Roman" w:hAnsi="Times New Roman" w:cs="Times New Roman"/>
          <w:noProof/>
          <w:sz w:val="20"/>
          <w:szCs w:val="20"/>
          <w:lang w:val="en-GB"/>
        </w:rPr>
        <w:t>OJ L 282, 19.10.2016, p. 4.</w:t>
      </w:r>
    </w:p>
    <w:p w14:paraId="1EB5DF06" w14:textId="6DE6DBC6" w:rsidR="001A5A8B" w:rsidRPr="00E50FA4" w:rsidRDefault="001A5A8B" w:rsidP="00541B93">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lang w:val="en-GB"/>
        </w:rPr>
        <w:t>*2</w:t>
      </w:r>
      <w:r w:rsidRPr="00E50FA4">
        <w:rPr>
          <w:rFonts w:ascii="Times New Roman" w:hAnsi="Times New Roman" w:cs="Times New Roman"/>
          <w:noProof/>
          <w:sz w:val="20"/>
          <w:szCs w:val="20"/>
          <w:lang w:val="en-GB"/>
        </w:rPr>
        <w:tab/>
        <w:t>COM/2019/640 final.</w:t>
      </w:r>
    </w:p>
    <w:p w14:paraId="3E580C98" w14:textId="024B0D4E" w:rsidR="00541B93" w:rsidRPr="00E50FA4" w:rsidRDefault="00541B93" w:rsidP="00541B93">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lang w:val="en-GB"/>
        </w:rPr>
        <w:t>*</w:t>
      </w:r>
      <w:r w:rsidR="001A5A8B" w:rsidRPr="00E50FA4">
        <w:rPr>
          <w:rFonts w:ascii="Times New Roman" w:hAnsi="Times New Roman" w:cs="Times New Roman"/>
          <w:noProof/>
          <w:sz w:val="20"/>
          <w:szCs w:val="20"/>
          <w:vertAlign w:val="superscript"/>
          <w:lang w:val="en-GB"/>
        </w:rPr>
        <w:t>3</w:t>
      </w:r>
      <w:r w:rsidRPr="00E50FA4">
        <w:rPr>
          <w:rFonts w:ascii="Times New Roman" w:hAnsi="Times New Roman" w:cs="Times New Roman"/>
          <w:noProof/>
          <w:sz w:val="20"/>
          <w:szCs w:val="20"/>
          <w:lang w:val="en-GB"/>
        </w:rPr>
        <w:tab/>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p>
    <w:p w14:paraId="52E80A2B" w14:textId="78436020" w:rsidR="00541B93" w:rsidRPr="00E50FA4" w:rsidRDefault="00F83472" w:rsidP="00541B93">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lang w:val="en-GB"/>
        </w:rPr>
        <w:t>*</w:t>
      </w:r>
      <w:r w:rsidR="001A5A8B" w:rsidRPr="00E50FA4">
        <w:rPr>
          <w:rFonts w:ascii="Times New Roman" w:hAnsi="Times New Roman" w:cs="Times New Roman"/>
          <w:noProof/>
          <w:sz w:val="20"/>
          <w:szCs w:val="20"/>
          <w:vertAlign w:val="superscript"/>
          <w:lang w:val="en-GB"/>
        </w:rPr>
        <w:t>4</w:t>
      </w:r>
      <w:r w:rsidR="00541B93" w:rsidRPr="00E50FA4">
        <w:rPr>
          <w:rFonts w:ascii="Times New Roman" w:hAnsi="Times New Roman" w:cs="Times New Roman"/>
          <w:noProof/>
          <w:sz w:val="20"/>
          <w:szCs w:val="20"/>
          <w:vertAlign w:val="superscript"/>
          <w:lang w:val="en-GB"/>
        </w:rPr>
        <w:tab/>
      </w:r>
      <w:r w:rsidRPr="00E50FA4">
        <w:rPr>
          <w:rFonts w:ascii="Times New Roman" w:hAnsi="Times New Roman" w:cs="Times New Roman"/>
          <w:noProof/>
          <w:sz w:val="20"/>
          <w:szCs w:val="20"/>
          <w:lang w:val="en-GB"/>
        </w:rPr>
        <w:t>Directive 2014/95/EU of the European Parliament and of the Council of 22 October 2014 amending Directive 2013/34/EU as regards disclosure of non-financial and diversity information by certain large undertakings and groups (OJ L 330, 15.11.2014, p. 1).</w:t>
      </w:r>
    </w:p>
    <w:p w14:paraId="2ADB037E" w14:textId="4C97B744" w:rsidR="0096255E" w:rsidRPr="00E50FA4" w:rsidRDefault="0096255E" w:rsidP="0096255E">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lang w:val="en-GB"/>
        </w:rPr>
        <w:t>*</w:t>
      </w:r>
      <w:r w:rsidR="001A5A8B" w:rsidRPr="00E50FA4">
        <w:rPr>
          <w:rFonts w:ascii="Times New Roman" w:hAnsi="Times New Roman" w:cs="Times New Roman"/>
          <w:noProof/>
          <w:sz w:val="20"/>
          <w:szCs w:val="20"/>
          <w:vertAlign w:val="superscript"/>
          <w:lang w:val="en-GB"/>
        </w:rPr>
        <w:t>5</w:t>
      </w:r>
      <w:r w:rsidRPr="00E50FA4">
        <w:rPr>
          <w:rFonts w:ascii="Times New Roman" w:hAnsi="Times New Roman" w:cs="Times New Roman"/>
          <w:noProof/>
          <w:sz w:val="20"/>
          <w:szCs w:val="20"/>
          <w:lang w:val="en-GB"/>
        </w:rPr>
        <w:tab/>
        <w:t>C/2019/4490 (OJ C 209, 20.6.2019, p. 1).</w:t>
      </w:r>
    </w:p>
    <w:p w14:paraId="2F21B385" w14:textId="0E553EBB" w:rsidR="0096255E" w:rsidRPr="00E50FA4" w:rsidRDefault="0096255E" w:rsidP="0096255E">
      <w:pPr>
        <w:ind w:left="567" w:hanging="567"/>
        <w:jc w:val="both"/>
        <w:rPr>
          <w:rFonts w:ascii="Times New Roman" w:hAnsi="Times New Roman"/>
          <w:noProof/>
          <w:sz w:val="20"/>
          <w:szCs w:val="20"/>
        </w:rPr>
      </w:pPr>
      <w:r w:rsidRPr="00E50FA4">
        <w:rPr>
          <w:rFonts w:ascii="Times New Roman" w:hAnsi="Times New Roman"/>
          <w:noProof/>
          <w:sz w:val="20"/>
          <w:szCs w:val="20"/>
          <w:vertAlign w:val="superscript"/>
        </w:rPr>
        <w:t>*</w:t>
      </w:r>
      <w:r w:rsidR="00016326" w:rsidRPr="00E50FA4">
        <w:rPr>
          <w:rFonts w:ascii="Times New Roman" w:hAnsi="Times New Roman"/>
          <w:noProof/>
          <w:sz w:val="20"/>
          <w:szCs w:val="20"/>
          <w:vertAlign w:val="superscript"/>
        </w:rPr>
        <w:t>6</w:t>
      </w:r>
      <w:r w:rsidRPr="00E50FA4">
        <w:rPr>
          <w:rFonts w:ascii="Times New Roman" w:hAnsi="Times New Roman"/>
          <w:noProof/>
          <w:sz w:val="20"/>
          <w:szCs w:val="20"/>
        </w:rPr>
        <w:tab/>
      </w:r>
      <w:r w:rsidR="00E70857" w:rsidRPr="00E50FA4">
        <w:rPr>
          <w:rFonts w:ascii="Times New Roman" w:hAnsi="Times New Roman"/>
          <w:noProof/>
          <w:sz w:val="20"/>
          <w:szCs w:val="20"/>
        </w:rPr>
        <w:t xml:space="preserve">Recommendations of the Task Force on Climate-related Financial Disclosures, </w:t>
      </w:r>
      <w:hyperlink r:id="rId8" w:history="1">
        <w:r w:rsidR="00E70857" w:rsidRPr="00E50FA4">
          <w:rPr>
            <w:rStyle w:val="Hyperlink"/>
            <w:rFonts w:ascii="Times New Roman" w:hAnsi="Times New Roman"/>
            <w:noProof/>
            <w:sz w:val="20"/>
            <w:szCs w:val="20"/>
          </w:rPr>
          <w:t>https://www.fsb-tcfd.org/recommendations</w:t>
        </w:r>
      </w:hyperlink>
      <w:r w:rsidRPr="00E50FA4">
        <w:rPr>
          <w:rFonts w:ascii="Times New Roman" w:hAnsi="Times New Roman"/>
          <w:noProof/>
          <w:sz w:val="20"/>
          <w:szCs w:val="20"/>
        </w:rPr>
        <w:t>.</w:t>
      </w:r>
    </w:p>
    <w:p w14:paraId="3AF0B861" w14:textId="7754336B" w:rsidR="0096255E" w:rsidRPr="00E50FA4" w:rsidRDefault="0096255E" w:rsidP="0096255E">
      <w:pPr>
        <w:ind w:left="567" w:hanging="567"/>
        <w:jc w:val="both"/>
        <w:rPr>
          <w:rFonts w:ascii="Times New Roman" w:hAnsi="Times New Roman"/>
          <w:i/>
          <w:noProof/>
          <w:sz w:val="20"/>
          <w:szCs w:val="20"/>
        </w:rPr>
      </w:pPr>
      <w:r w:rsidRPr="00E50FA4">
        <w:rPr>
          <w:rFonts w:ascii="Times New Roman" w:hAnsi="Times New Roman"/>
          <w:noProof/>
          <w:sz w:val="20"/>
          <w:szCs w:val="20"/>
          <w:vertAlign w:val="superscript"/>
        </w:rPr>
        <w:t>*</w:t>
      </w:r>
      <w:r w:rsidR="005B599D" w:rsidRPr="00E50FA4">
        <w:rPr>
          <w:rFonts w:ascii="Times New Roman" w:hAnsi="Times New Roman"/>
          <w:noProof/>
          <w:sz w:val="20"/>
          <w:szCs w:val="20"/>
          <w:vertAlign w:val="superscript"/>
        </w:rPr>
        <w:t>7</w:t>
      </w:r>
      <w:r w:rsidRPr="00E50FA4">
        <w:rPr>
          <w:rFonts w:ascii="Times New Roman" w:hAnsi="Times New Roman"/>
          <w:noProof/>
          <w:sz w:val="20"/>
          <w:szCs w:val="20"/>
          <w:vertAlign w:val="superscript"/>
        </w:rPr>
        <w:tab/>
      </w:r>
      <w:r w:rsidRPr="00E50FA4">
        <w:rPr>
          <w:rFonts w:ascii="Times New Roman" w:hAnsi="Times New Roman"/>
          <w:noProof/>
          <w:sz w:val="20"/>
          <w:szCs w:val="20"/>
        </w:rPr>
        <w:t>United Nations Environment Programme Finance Initiative (UNEP FI)</w:t>
      </w:r>
      <w:r w:rsidR="00E70857" w:rsidRPr="00E50FA4">
        <w:rPr>
          <w:rFonts w:ascii="Times New Roman" w:hAnsi="Times New Roman"/>
          <w:noProof/>
          <w:sz w:val="20"/>
          <w:szCs w:val="20"/>
        </w:rPr>
        <w:t xml:space="preserve">, </w:t>
      </w:r>
      <w:hyperlink r:id="rId9" w:history="1">
        <w:r w:rsidR="00E70857" w:rsidRPr="00E50FA4">
          <w:rPr>
            <w:rStyle w:val="Hyperlink"/>
            <w:rFonts w:ascii="Times New Roman" w:hAnsi="Times New Roman"/>
            <w:noProof/>
            <w:sz w:val="20"/>
            <w:szCs w:val="20"/>
          </w:rPr>
          <w:t>https://www.unepfi.org</w:t>
        </w:r>
      </w:hyperlink>
      <w:r w:rsidRPr="00E50FA4">
        <w:rPr>
          <w:rFonts w:ascii="Times New Roman" w:hAnsi="Times New Roman"/>
          <w:noProof/>
          <w:sz w:val="20"/>
          <w:szCs w:val="20"/>
        </w:rPr>
        <w:t>.;</w:t>
      </w:r>
    </w:p>
    <w:p w14:paraId="3FDE2A85" w14:textId="3D0297EF" w:rsidR="0096255E" w:rsidRPr="00E50FA4" w:rsidRDefault="0096255E" w:rsidP="0096255E">
      <w:pPr>
        <w:ind w:left="567" w:hanging="567"/>
        <w:jc w:val="both"/>
        <w:rPr>
          <w:rFonts w:ascii="Times New Roman" w:hAnsi="Times New Roman"/>
          <w:noProof/>
          <w:sz w:val="20"/>
          <w:szCs w:val="20"/>
        </w:rPr>
      </w:pPr>
      <w:r w:rsidRPr="00E50FA4">
        <w:rPr>
          <w:rFonts w:ascii="Times New Roman" w:hAnsi="Times New Roman"/>
          <w:noProof/>
          <w:sz w:val="20"/>
          <w:szCs w:val="20"/>
          <w:vertAlign w:val="superscript"/>
        </w:rPr>
        <w:t>*</w:t>
      </w:r>
      <w:r w:rsidR="005B599D" w:rsidRPr="00E50FA4">
        <w:rPr>
          <w:rFonts w:ascii="Times New Roman" w:hAnsi="Times New Roman"/>
          <w:noProof/>
          <w:sz w:val="20"/>
          <w:szCs w:val="20"/>
          <w:vertAlign w:val="superscript"/>
        </w:rPr>
        <w:t>8</w:t>
      </w:r>
      <w:r w:rsidRPr="00E50FA4">
        <w:rPr>
          <w:rFonts w:ascii="Times New Roman" w:hAnsi="Times New Roman"/>
          <w:noProof/>
          <w:sz w:val="20"/>
          <w:szCs w:val="20"/>
        </w:rPr>
        <w:tab/>
        <w:t>Global Reporting Initiative Sustainability Reporting Standards</w:t>
      </w:r>
      <w:r w:rsidR="00E70857" w:rsidRPr="00E50FA4">
        <w:rPr>
          <w:rFonts w:ascii="Times New Roman" w:hAnsi="Times New Roman"/>
          <w:noProof/>
          <w:sz w:val="20"/>
          <w:szCs w:val="20"/>
        </w:rPr>
        <w:t xml:space="preserve">, </w:t>
      </w:r>
      <w:hyperlink r:id="rId10" w:history="1">
        <w:r w:rsidR="00E70857" w:rsidRPr="00E50FA4">
          <w:rPr>
            <w:rStyle w:val="Hyperlink"/>
            <w:noProof/>
          </w:rPr>
          <w:t>https://www.globalreporting.org/standards</w:t>
        </w:r>
      </w:hyperlink>
      <w:r w:rsidR="002340A1">
        <w:rPr>
          <w:rFonts w:ascii="Times New Roman" w:hAnsi="Times New Roman"/>
          <w:noProof/>
          <w:sz w:val="20"/>
          <w:szCs w:val="20"/>
        </w:rPr>
        <w:t>.</w:t>
      </w:r>
    </w:p>
    <w:p w14:paraId="4911FC85" w14:textId="144AB9B5" w:rsidR="0096255E" w:rsidRPr="00E50FA4" w:rsidRDefault="0096255E" w:rsidP="0096255E">
      <w:pPr>
        <w:ind w:left="567" w:hanging="567"/>
        <w:jc w:val="both"/>
        <w:rPr>
          <w:rFonts w:ascii="Times New Roman" w:hAnsi="Times New Roman"/>
          <w:i/>
          <w:noProof/>
          <w:sz w:val="20"/>
          <w:szCs w:val="20"/>
        </w:rPr>
      </w:pPr>
      <w:r w:rsidRPr="00E50FA4">
        <w:rPr>
          <w:rFonts w:ascii="Times New Roman" w:hAnsi="Times New Roman"/>
          <w:noProof/>
          <w:sz w:val="20"/>
          <w:szCs w:val="20"/>
          <w:vertAlign w:val="superscript"/>
        </w:rPr>
        <w:t>*</w:t>
      </w:r>
      <w:r w:rsidR="005B599D" w:rsidRPr="00E50FA4">
        <w:rPr>
          <w:rFonts w:ascii="Times New Roman" w:hAnsi="Times New Roman"/>
          <w:noProof/>
          <w:sz w:val="20"/>
          <w:szCs w:val="20"/>
          <w:vertAlign w:val="superscript"/>
        </w:rPr>
        <w:t>9</w:t>
      </w:r>
      <w:r w:rsidRPr="00E50FA4">
        <w:rPr>
          <w:rFonts w:ascii="Times New Roman" w:hAnsi="Times New Roman"/>
          <w:noProof/>
          <w:sz w:val="20"/>
          <w:szCs w:val="20"/>
        </w:rPr>
        <w:tab/>
        <w:t>United Nations’ Principles for Responsible Investment (UNPRI)</w:t>
      </w:r>
      <w:r w:rsidR="00E70857" w:rsidRPr="00E50FA4">
        <w:rPr>
          <w:rFonts w:ascii="Times New Roman" w:hAnsi="Times New Roman"/>
          <w:noProof/>
          <w:sz w:val="20"/>
          <w:szCs w:val="20"/>
        </w:rPr>
        <w:t xml:space="preserve">, </w:t>
      </w:r>
      <w:hyperlink r:id="rId11" w:history="1">
        <w:r w:rsidR="00E70857" w:rsidRPr="00E50FA4">
          <w:rPr>
            <w:rStyle w:val="Hyperlink"/>
            <w:noProof/>
          </w:rPr>
          <w:t>https://www.unpri.org</w:t>
        </w:r>
      </w:hyperlink>
      <w:r w:rsidR="002340A1">
        <w:rPr>
          <w:rFonts w:ascii="Times New Roman" w:hAnsi="Times New Roman"/>
          <w:noProof/>
          <w:sz w:val="20"/>
          <w:szCs w:val="20"/>
        </w:rPr>
        <w:t>.</w:t>
      </w:r>
    </w:p>
    <w:p w14:paraId="521149BD" w14:textId="23486B09" w:rsidR="00CB0BC0" w:rsidRPr="00E50FA4" w:rsidRDefault="00CB0BC0" w:rsidP="00CB0BC0">
      <w:pPr>
        <w:ind w:left="567" w:hanging="567"/>
        <w:jc w:val="both"/>
        <w:rPr>
          <w:rFonts w:ascii="Times New Roman" w:hAnsi="Times New Roman"/>
          <w:noProof/>
          <w:sz w:val="20"/>
          <w:szCs w:val="20"/>
        </w:rPr>
      </w:pPr>
      <w:r w:rsidRPr="00E50FA4">
        <w:rPr>
          <w:rFonts w:ascii="Times New Roman" w:hAnsi="Times New Roman"/>
          <w:noProof/>
          <w:sz w:val="20"/>
          <w:szCs w:val="20"/>
          <w:vertAlign w:val="superscript"/>
        </w:rPr>
        <w:t>*</w:t>
      </w:r>
      <w:r w:rsidR="001D2888" w:rsidRPr="00E50FA4">
        <w:rPr>
          <w:rFonts w:ascii="Times New Roman" w:hAnsi="Times New Roman"/>
          <w:noProof/>
          <w:sz w:val="20"/>
          <w:szCs w:val="20"/>
          <w:vertAlign w:val="superscript"/>
        </w:rPr>
        <w:t>10</w:t>
      </w:r>
      <w:r w:rsidRPr="00E50FA4">
        <w:rPr>
          <w:rFonts w:ascii="Times New Roman" w:hAnsi="Times New Roman"/>
          <w:noProof/>
          <w:sz w:val="20"/>
          <w:szCs w:val="20"/>
        </w:rPr>
        <w:tab/>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 27.6.2013, p. 338).</w:t>
      </w:r>
    </w:p>
    <w:p w14:paraId="5880BBFB" w14:textId="07B56FBB" w:rsidR="00013315" w:rsidRPr="00E50FA4" w:rsidRDefault="00CB0BC0" w:rsidP="00541B93">
      <w:pPr>
        <w:ind w:left="567" w:hanging="567"/>
        <w:jc w:val="both"/>
        <w:rPr>
          <w:rFonts w:ascii="Times New Roman" w:hAnsi="Times New Roman"/>
          <w:noProof/>
          <w:sz w:val="20"/>
          <w:szCs w:val="20"/>
        </w:rPr>
      </w:pPr>
      <w:r w:rsidRPr="00E50FA4">
        <w:rPr>
          <w:rFonts w:ascii="Times New Roman" w:hAnsi="Times New Roman"/>
          <w:noProof/>
          <w:sz w:val="20"/>
          <w:szCs w:val="20"/>
          <w:vertAlign w:val="superscript"/>
        </w:rPr>
        <w:t>*</w:t>
      </w:r>
      <w:r w:rsidR="00013315" w:rsidRPr="00E50FA4">
        <w:rPr>
          <w:rFonts w:ascii="Times New Roman" w:hAnsi="Times New Roman"/>
          <w:noProof/>
          <w:sz w:val="20"/>
          <w:szCs w:val="20"/>
          <w:vertAlign w:val="superscript"/>
        </w:rPr>
        <w:t>11</w:t>
      </w:r>
      <w:r w:rsidRPr="00E50FA4">
        <w:rPr>
          <w:rFonts w:ascii="Times New Roman" w:hAnsi="Times New Roman"/>
          <w:noProof/>
          <w:sz w:val="20"/>
          <w:szCs w:val="20"/>
        </w:rPr>
        <w:tab/>
        <w:t>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(OJ L 393, 30.12.2006, p. 1).</w:t>
      </w:r>
    </w:p>
    <w:p w14:paraId="422DA97A" w14:textId="56886105" w:rsidR="00D65FBF" w:rsidRPr="00E50FA4" w:rsidRDefault="00947EFB" w:rsidP="00541B93">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lang w:val="en-GB"/>
        </w:rPr>
        <w:t>*</w:t>
      </w:r>
      <w:r w:rsidR="00013315" w:rsidRPr="00E50FA4">
        <w:rPr>
          <w:rFonts w:ascii="Times New Roman" w:hAnsi="Times New Roman" w:cs="Times New Roman"/>
          <w:noProof/>
          <w:sz w:val="20"/>
          <w:szCs w:val="20"/>
          <w:vertAlign w:val="superscript"/>
          <w:lang w:val="en-GB"/>
        </w:rPr>
        <w:t>12</w:t>
      </w:r>
      <w:r w:rsidR="00541B93" w:rsidRPr="00E50FA4">
        <w:rPr>
          <w:noProof/>
          <w:sz w:val="20"/>
          <w:szCs w:val="20"/>
        </w:rPr>
        <w:tab/>
      </w:r>
      <w:r w:rsidRPr="00E50FA4">
        <w:rPr>
          <w:rFonts w:ascii="Times New Roman" w:hAnsi="Times New Roman" w:cs="Times New Roman"/>
          <w:noProof/>
          <w:sz w:val="20"/>
          <w:szCs w:val="20"/>
          <w:lang w:val="en-GB"/>
        </w:rPr>
        <w:t>Commission Delegated Regulation (EU) 2020/1818 of 17 July 2020 supplementing Regulation (EU) 2016/1011 of the European Parliament and of the Council as regards minimum standards for EU Climate Transition Benchmarks and EU Paris-aligned Benchmarks (OJ L 406, 3.12.2020, p. 17)</w:t>
      </w:r>
      <w:r w:rsidR="007A7437" w:rsidRPr="00E50FA4">
        <w:rPr>
          <w:rFonts w:ascii="Times New Roman" w:hAnsi="Times New Roman" w:cs="Times New Roman"/>
          <w:noProof/>
          <w:sz w:val="20"/>
          <w:szCs w:val="20"/>
          <w:lang w:val="en-GB"/>
        </w:rPr>
        <w:t>.</w:t>
      </w:r>
    </w:p>
    <w:p w14:paraId="6CCB9458" w14:textId="776BCF70" w:rsidR="007A7437" w:rsidRPr="00E50FA4" w:rsidRDefault="007A7437" w:rsidP="00541B93">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lang w:val="en-GB"/>
        </w:rPr>
        <w:t>*</w:t>
      </w:r>
      <w:r w:rsidR="00D65FBF" w:rsidRPr="00E50FA4">
        <w:rPr>
          <w:rFonts w:ascii="Times New Roman" w:hAnsi="Times New Roman" w:cs="Times New Roman"/>
          <w:noProof/>
          <w:sz w:val="20"/>
          <w:szCs w:val="20"/>
          <w:vertAlign w:val="superscript"/>
          <w:lang w:val="en-GB"/>
        </w:rPr>
        <w:t>1</w:t>
      </w:r>
      <w:r w:rsidR="00D653B5" w:rsidRPr="00E50FA4">
        <w:rPr>
          <w:rFonts w:ascii="Times New Roman" w:hAnsi="Times New Roman" w:cs="Times New Roman"/>
          <w:noProof/>
          <w:sz w:val="20"/>
          <w:szCs w:val="20"/>
          <w:vertAlign w:val="superscript"/>
          <w:lang w:val="en-GB"/>
        </w:rPr>
        <w:t>3</w:t>
      </w:r>
      <w:r w:rsidR="00541B93" w:rsidRPr="00E50FA4">
        <w:rPr>
          <w:noProof/>
          <w:sz w:val="20"/>
          <w:szCs w:val="20"/>
        </w:rPr>
        <w:tab/>
      </w:r>
      <w:r w:rsidRPr="00E50FA4">
        <w:rPr>
          <w:rFonts w:ascii="Times New Roman" w:hAnsi="Times New Roman" w:cs="Times New Roman"/>
          <w:noProof/>
          <w:sz w:val="20"/>
          <w:szCs w:val="20"/>
          <w:lang w:val="en-GB"/>
        </w:rPr>
        <w:t>Council Directive 86/635/EEC of 8 December 1986 on the annual accounts and consolidated accounts of banks and other financial institutions (OJ L 372, 31.12.1986, p. 1).</w:t>
      </w:r>
    </w:p>
    <w:p w14:paraId="5906EACE" w14:textId="414582F1" w:rsidR="00D65FBF" w:rsidRPr="00E50FA4" w:rsidRDefault="00D65FBF" w:rsidP="00D65FBF">
      <w:pPr>
        <w:ind w:left="567" w:hanging="567"/>
        <w:jc w:val="both"/>
        <w:rPr>
          <w:rFonts w:ascii="Times New Roman" w:hAnsi="Times New Roman" w:cs="Times New Roman"/>
          <w:noProof/>
          <w:sz w:val="20"/>
          <w:szCs w:val="20"/>
        </w:rPr>
      </w:pPr>
      <w:r w:rsidRPr="00E50FA4">
        <w:rPr>
          <w:rFonts w:ascii="Times New Roman" w:hAnsi="Times New Roman"/>
          <w:noProof/>
          <w:sz w:val="20"/>
          <w:szCs w:val="20"/>
          <w:vertAlign w:val="superscript"/>
        </w:rPr>
        <w:t>*1</w:t>
      </w:r>
      <w:r w:rsidR="00106DB2" w:rsidRPr="00E50FA4">
        <w:rPr>
          <w:rFonts w:ascii="Times New Roman" w:hAnsi="Times New Roman"/>
          <w:noProof/>
          <w:sz w:val="20"/>
          <w:szCs w:val="20"/>
          <w:vertAlign w:val="superscript"/>
        </w:rPr>
        <w:t>4</w:t>
      </w:r>
      <w:r w:rsidRPr="00E50FA4">
        <w:rPr>
          <w:rFonts w:ascii="Times New Roman" w:hAnsi="Times New Roman"/>
          <w:noProof/>
          <w:sz w:val="20"/>
          <w:szCs w:val="20"/>
        </w:rPr>
        <w:tab/>
      </w:r>
      <w:hyperlink r:id="rId12" w:history="1">
        <w:r w:rsidRPr="00E50FA4">
          <w:rPr>
            <w:rStyle w:val="Hyperlink"/>
            <w:rFonts w:ascii="Times New Roman" w:hAnsi="Times New Roman" w:cs="Times New Roman"/>
            <w:noProof/>
            <w:sz w:val="20"/>
            <w:szCs w:val="20"/>
          </w:rPr>
          <w:t>https://carbonaccountingfinancials.com/standard</w:t>
        </w:r>
      </w:hyperlink>
      <w:r w:rsidR="002340A1">
        <w:rPr>
          <w:rFonts w:ascii="Times New Roman" w:hAnsi="Times New Roman" w:cs="Times New Roman"/>
          <w:noProof/>
          <w:sz w:val="20"/>
          <w:szCs w:val="20"/>
        </w:rPr>
        <w:t>.</w:t>
      </w:r>
    </w:p>
    <w:p w14:paraId="796ABDF8" w14:textId="3527AB24" w:rsidR="00D65FBF" w:rsidRPr="00E50FA4" w:rsidRDefault="00D65FBF" w:rsidP="00541B93">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rPr>
        <w:t>*1</w:t>
      </w:r>
      <w:r w:rsidR="00106DB2" w:rsidRPr="00E50FA4">
        <w:rPr>
          <w:rFonts w:ascii="Times New Roman" w:hAnsi="Times New Roman" w:cs="Times New Roman"/>
          <w:noProof/>
          <w:sz w:val="20"/>
          <w:szCs w:val="20"/>
          <w:vertAlign w:val="superscript"/>
        </w:rPr>
        <w:t>5</w:t>
      </w:r>
      <w:r w:rsidR="002340A1">
        <w:rPr>
          <w:rFonts w:ascii="Times New Roman" w:hAnsi="Times New Roman" w:cs="Times New Roman"/>
          <w:noProof/>
          <w:sz w:val="20"/>
          <w:szCs w:val="20"/>
        </w:rPr>
        <w:tab/>
        <w:t>https://www.cdp.net/en.</w:t>
      </w:r>
    </w:p>
    <w:p w14:paraId="0F06CAD5" w14:textId="6307BFB3" w:rsidR="0022273E" w:rsidRPr="00E50FA4" w:rsidRDefault="00B13C50" w:rsidP="00541B93">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lang w:val="en-GB"/>
        </w:rPr>
        <w:t>*</w:t>
      </w:r>
      <w:r w:rsidR="00D65FBF" w:rsidRPr="00E50FA4">
        <w:rPr>
          <w:rFonts w:ascii="Times New Roman" w:hAnsi="Times New Roman" w:cs="Times New Roman"/>
          <w:noProof/>
          <w:sz w:val="20"/>
          <w:szCs w:val="20"/>
          <w:vertAlign w:val="superscript"/>
          <w:lang w:val="en-GB"/>
        </w:rPr>
        <w:t>1</w:t>
      </w:r>
      <w:r w:rsidR="002200C7" w:rsidRPr="00E50FA4">
        <w:rPr>
          <w:rFonts w:ascii="Times New Roman" w:hAnsi="Times New Roman" w:cs="Times New Roman"/>
          <w:noProof/>
          <w:sz w:val="20"/>
          <w:szCs w:val="20"/>
          <w:vertAlign w:val="superscript"/>
          <w:lang w:val="en-GB"/>
        </w:rPr>
        <w:t>6</w:t>
      </w:r>
      <w:r w:rsidR="00541B93" w:rsidRPr="00E50FA4">
        <w:rPr>
          <w:rFonts w:ascii="Times New Roman" w:hAnsi="Times New Roman" w:cs="Times New Roman"/>
          <w:noProof/>
          <w:sz w:val="20"/>
          <w:szCs w:val="20"/>
          <w:lang w:val="en-GB"/>
        </w:rPr>
        <w:tab/>
      </w:r>
      <w:r w:rsidRPr="00E50FA4">
        <w:rPr>
          <w:rFonts w:ascii="Times New Roman" w:hAnsi="Times New Roman" w:cs="Times New Roman"/>
          <w:noProof/>
          <w:sz w:val="20"/>
          <w:szCs w:val="20"/>
          <w:lang w:val="en-GB"/>
        </w:rPr>
        <w:t>Directive 2010/31/EU of the European Parliament and of the Council of 19 May 2010 on the energy performance of building</w:t>
      </w:r>
      <w:r w:rsidR="002340A1">
        <w:rPr>
          <w:rFonts w:ascii="Times New Roman" w:hAnsi="Times New Roman" w:cs="Times New Roman"/>
          <w:noProof/>
          <w:sz w:val="20"/>
          <w:szCs w:val="20"/>
          <w:lang w:val="en-GB"/>
        </w:rPr>
        <w:t>s (OJ L 153, 18.6.2010, p. 13).</w:t>
      </w:r>
    </w:p>
    <w:p w14:paraId="12A00B0C" w14:textId="3EB5A51A" w:rsidR="00B13C50" w:rsidRPr="00E50FA4" w:rsidRDefault="0022273E" w:rsidP="00541B93">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lang w:val="en-GB"/>
        </w:rPr>
        <w:t>*</w:t>
      </w:r>
      <w:r w:rsidR="00D65FBF" w:rsidRPr="00E50FA4">
        <w:rPr>
          <w:rFonts w:ascii="Times New Roman" w:hAnsi="Times New Roman" w:cs="Times New Roman"/>
          <w:noProof/>
          <w:sz w:val="20"/>
          <w:szCs w:val="20"/>
          <w:vertAlign w:val="superscript"/>
          <w:lang w:val="en-GB"/>
        </w:rPr>
        <w:t>1</w:t>
      </w:r>
      <w:r w:rsidR="002200C7" w:rsidRPr="00E50FA4">
        <w:rPr>
          <w:rFonts w:ascii="Times New Roman" w:hAnsi="Times New Roman" w:cs="Times New Roman"/>
          <w:noProof/>
          <w:sz w:val="20"/>
          <w:szCs w:val="20"/>
          <w:vertAlign w:val="superscript"/>
          <w:lang w:val="en-GB"/>
        </w:rPr>
        <w:t>7</w:t>
      </w:r>
      <w:r w:rsidR="00541B93" w:rsidRPr="00E50FA4">
        <w:rPr>
          <w:rFonts w:ascii="Times New Roman" w:hAnsi="Times New Roman" w:cs="Times New Roman"/>
          <w:noProof/>
          <w:sz w:val="20"/>
          <w:szCs w:val="20"/>
          <w:lang w:val="en-GB"/>
        </w:rPr>
        <w:tab/>
      </w:r>
      <w:r w:rsidRPr="00E50FA4">
        <w:rPr>
          <w:rFonts w:ascii="Times New Roman" w:hAnsi="Times New Roman" w:cs="Times New Roman"/>
          <w:noProof/>
          <w:sz w:val="20"/>
          <w:szCs w:val="20"/>
          <w:lang w:val="en-GB"/>
        </w:rPr>
        <w:t>Directive 2012/27/EU of the European Parliament and of the Council of 25 October 2012 on energy efficiency, amending Directives 2009/125/EC and 2010/30/EU and repealing Directives 2004/8/EC and 2006/32/E</w:t>
      </w:r>
      <w:r w:rsidR="002340A1">
        <w:rPr>
          <w:rFonts w:ascii="Times New Roman" w:hAnsi="Times New Roman" w:cs="Times New Roman"/>
          <w:noProof/>
          <w:sz w:val="20"/>
          <w:szCs w:val="20"/>
          <w:lang w:val="en-GB"/>
        </w:rPr>
        <w:t>C (OJ L 315, 14.11.2012, p. 1).</w:t>
      </w:r>
    </w:p>
    <w:p w14:paraId="15E428F5" w14:textId="18C8A750" w:rsidR="00D65FBF" w:rsidRPr="00E50FA4" w:rsidRDefault="00D65FBF" w:rsidP="00541B93">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lang w:val="en-GB"/>
        </w:rPr>
        <w:t>*</w:t>
      </w:r>
      <w:r w:rsidR="00191FE2" w:rsidRPr="00E50FA4">
        <w:rPr>
          <w:rFonts w:ascii="Times New Roman" w:hAnsi="Times New Roman" w:cs="Times New Roman"/>
          <w:noProof/>
          <w:sz w:val="20"/>
          <w:szCs w:val="20"/>
          <w:vertAlign w:val="superscript"/>
          <w:lang w:val="en-GB"/>
        </w:rPr>
        <w:t>1</w:t>
      </w:r>
      <w:r w:rsidR="00EB7026" w:rsidRPr="00E50FA4">
        <w:rPr>
          <w:rFonts w:ascii="Times New Roman" w:hAnsi="Times New Roman" w:cs="Times New Roman"/>
          <w:noProof/>
          <w:sz w:val="20"/>
          <w:szCs w:val="20"/>
          <w:vertAlign w:val="superscript"/>
          <w:lang w:val="en-GB"/>
        </w:rPr>
        <w:t>8</w:t>
      </w:r>
      <w:r w:rsidRPr="00E50FA4">
        <w:rPr>
          <w:rFonts w:ascii="Times New Roman" w:hAnsi="Times New Roman" w:cs="Times New Roman"/>
          <w:noProof/>
          <w:sz w:val="20"/>
          <w:szCs w:val="20"/>
          <w:lang w:val="en-GB"/>
        </w:rPr>
        <w:tab/>
        <w:t>Net Zero Emissions by 2050 Scenario (NZE) –</w:t>
      </w:r>
      <w:r w:rsidR="00ED04E7" w:rsidRPr="00ED04E7">
        <w:rPr>
          <w:rFonts w:ascii="Times New Roman" w:hAnsi="Times New Roman" w:cs="Times New Roman"/>
          <w:noProof/>
          <w:sz w:val="20"/>
          <w:szCs w:val="20"/>
          <w:lang w:val="en-GB"/>
        </w:rPr>
        <w:t xml:space="preserve">IEA (2021), World Energy Model, IEA, Paris </w:t>
      </w:r>
      <w:hyperlink r:id="rId13" w:history="1">
        <w:r w:rsidR="00ED04E7" w:rsidRPr="00141FF6">
          <w:rPr>
            <w:rStyle w:val="Hyperlink"/>
            <w:rFonts w:ascii="Times New Roman" w:hAnsi="Times New Roman" w:cs="Times New Roman"/>
            <w:noProof/>
            <w:sz w:val="20"/>
            <w:szCs w:val="20"/>
            <w:lang w:val="en-GB"/>
          </w:rPr>
          <w:t>https://www.iea.org/reports/world-energy-model</w:t>
        </w:r>
      </w:hyperlink>
    </w:p>
    <w:p w14:paraId="4B9F88AC" w14:textId="5ECAB18E" w:rsidR="00D65FBF" w:rsidRPr="00E50FA4" w:rsidRDefault="00D65FBF" w:rsidP="00541B93">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lang w:val="en-GB"/>
        </w:rPr>
        <w:t>*</w:t>
      </w:r>
      <w:r w:rsidR="00191FE2" w:rsidRPr="00E50FA4">
        <w:rPr>
          <w:rFonts w:ascii="Times New Roman" w:hAnsi="Times New Roman" w:cs="Times New Roman"/>
          <w:noProof/>
          <w:sz w:val="20"/>
          <w:szCs w:val="20"/>
          <w:vertAlign w:val="superscript"/>
          <w:lang w:val="en-GB"/>
        </w:rPr>
        <w:t>19</w:t>
      </w:r>
      <w:r w:rsidRPr="00E50FA4">
        <w:rPr>
          <w:rFonts w:ascii="Times New Roman" w:hAnsi="Times New Roman" w:cs="Times New Roman"/>
          <w:noProof/>
          <w:sz w:val="20"/>
          <w:szCs w:val="20"/>
          <w:lang w:val="en-GB"/>
        </w:rPr>
        <w:tab/>
        <w:t xml:space="preserve">2021 report can be found under this </w:t>
      </w:r>
      <w:hyperlink r:id="rId14" w:history="1">
        <w:r w:rsidRPr="00E50FA4">
          <w:rPr>
            <w:rStyle w:val="Hyperlink"/>
            <w:rFonts w:ascii="Times New Roman" w:hAnsi="Times New Roman" w:cs="Times New Roman"/>
            <w:noProof/>
            <w:sz w:val="20"/>
            <w:szCs w:val="20"/>
            <w:lang w:val="en-GB"/>
          </w:rPr>
          <w:t>link</w:t>
        </w:r>
      </w:hyperlink>
      <w:r w:rsidR="002340A1">
        <w:rPr>
          <w:rFonts w:ascii="Times New Roman" w:hAnsi="Times New Roman" w:cs="Times New Roman"/>
          <w:noProof/>
          <w:sz w:val="20"/>
          <w:szCs w:val="20"/>
          <w:lang w:val="en-GB"/>
        </w:rPr>
        <w:t>.</w:t>
      </w:r>
    </w:p>
    <w:p w14:paraId="424B1F1A" w14:textId="10CED7A2" w:rsidR="00D65FBF" w:rsidRPr="00E50FA4" w:rsidRDefault="00D65FBF" w:rsidP="00D65FBF">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lang w:val="en-GB"/>
        </w:rPr>
        <w:t>*</w:t>
      </w:r>
      <w:r w:rsidR="00191FE2" w:rsidRPr="00E50FA4">
        <w:rPr>
          <w:rFonts w:ascii="Times New Roman" w:hAnsi="Times New Roman" w:cs="Times New Roman"/>
          <w:noProof/>
          <w:sz w:val="20"/>
          <w:szCs w:val="20"/>
          <w:vertAlign w:val="superscript"/>
          <w:lang w:val="en-GB"/>
        </w:rPr>
        <w:t>20</w:t>
      </w:r>
      <w:r w:rsidRPr="00E50FA4">
        <w:rPr>
          <w:rFonts w:ascii="Times New Roman" w:hAnsi="Times New Roman" w:cs="Times New Roman"/>
          <w:noProof/>
          <w:sz w:val="20"/>
          <w:szCs w:val="20"/>
          <w:lang w:val="en-GB"/>
        </w:rPr>
        <w:tab/>
        <w:t xml:space="preserve">For more examples, please refer to the UNEP FI and Acclimatise report: ‘’Chartering New Climate. State-of-the-art tools and data for banks to assess credit risks and opportunities from physical climate change impacts”, September 2020, </w:t>
      </w:r>
      <w:hyperlink r:id="rId15" w:history="1">
        <w:r w:rsidRPr="00E50FA4">
          <w:rPr>
            <w:rStyle w:val="Hyperlink"/>
            <w:rFonts w:ascii="Times New Roman" w:hAnsi="Times New Roman" w:cs="Times New Roman"/>
            <w:noProof/>
            <w:sz w:val="20"/>
            <w:szCs w:val="20"/>
            <w:lang w:val="en-GB"/>
          </w:rPr>
          <w:t>https://www.unepfi.org/publications/banking-publications/charting-a-new-climate/</w:t>
        </w:r>
      </w:hyperlink>
      <w:r w:rsidRPr="00E50FA4">
        <w:rPr>
          <w:rFonts w:ascii="Times New Roman" w:hAnsi="Times New Roman" w:cs="Times New Roman"/>
          <w:noProof/>
          <w:sz w:val="20"/>
          <w:szCs w:val="20"/>
          <w:lang w:val="en-GB"/>
        </w:rPr>
        <w:t xml:space="preserve"> The report provides detailed information with regard to time periods covered, use of future scenarios, spatial resolution and coverage, format of outputs to be received from particular datasets as well as licensing and cost (please note that most portals and databases offer free-to-use access). Moreover, the report elaborates on different techniques of physical risk assessment and measurement, like e.g. heat mapping, correlation analysis, dedicated tools and analytics.</w:t>
      </w:r>
    </w:p>
    <w:p w14:paraId="106E1BCE" w14:textId="4E100508" w:rsidR="004775AC" w:rsidRPr="00E50FA4" w:rsidRDefault="004775AC" w:rsidP="00541B93">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lang w:val="en-GB"/>
        </w:rPr>
        <w:t>*</w:t>
      </w:r>
      <w:r w:rsidR="003E3703" w:rsidRPr="00E50FA4">
        <w:rPr>
          <w:rFonts w:ascii="Times New Roman" w:hAnsi="Times New Roman" w:cs="Times New Roman"/>
          <w:noProof/>
          <w:sz w:val="20"/>
          <w:szCs w:val="20"/>
          <w:vertAlign w:val="superscript"/>
          <w:lang w:val="en-GB"/>
        </w:rPr>
        <w:t>21</w:t>
      </w:r>
      <w:r w:rsidR="00541B93" w:rsidRPr="00E50FA4">
        <w:rPr>
          <w:rFonts w:ascii="Times New Roman" w:hAnsi="Times New Roman" w:cs="Times New Roman"/>
          <w:noProof/>
          <w:sz w:val="20"/>
          <w:szCs w:val="20"/>
          <w:vertAlign w:val="superscript"/>
          <w:lang w:val="en-GB"/>
        </w:rPr>
        <w:tab/>
      </w:r>
      <w:r w:rsidRPr="00E50FA4">
        <w:rPr>
          <w:rFonts w:ascii="Times New Roman" w:hAnsi="Times New Roman" w:cs="Times New Roman"/>
          <w:noProof/>
          <w:sz w:val="20"/>
          <w:szCs w:val="20"/>
          <w:lang w:val="en-GB"/>
        </w:rPr>
        <w:t>Commission Delegated Regulation (EU) 2021/2178 of 6 July 2021 supplementing Regulation (EU) 2020/852 of the European Parliament and of the Council by specifying the content and presentation of information to be disclosed by undertakings subject to Articles 19a or 29a of Directive 2013/34/EU concerning environmentally sustainable economic activities, and specifying the methodology to comply with that disclosure obligatio</w:t>
      </w:r>
      <w:r w:rsidR="002340A1">
        <w:rPr>
          <w:rFonts w:ascii="Times New Roman" w:hAnsi="Times New Roman" w:cs="Times New Roman"/>
          <w:noProof/>
          <w:sz w:val="20"/>
          <w:szCs w:val="20"/>
          <w:lang w:val="en-GB"/>
        </w:rPr>
        <w:t>n (OJ L 443, 10.12.2021, p. 9).</w:t>
      </w:r>
    </w:p>
    <w:p w14:paraId="4ACF3FA2" w14:textId="51654158" w:rsidR="002E0121" w:rsidRPr="002340A1" w:rsidRDefault="00425050" w:rsidP="002340A1">
      <w:pPr>
        <w:ind w:left="567" w:hanging="567"/>
        <w:jc w:val="both"/>
        <w:rPr>
          <w:rFonts w:ascii="Times New Roman" w:hAnsi="Times New Roman" w:cs="Times New Roman"/>
          <w:noProof/>
          <w:sz w:val="20"/>
          <w:szCs w:val="20"/>
          <w:lang w:val="en-GB"/>
        </w:rPr>
      </w:pPr>
      <w:r w:rsidRPr="00E50FA4">
        <w:rPr>
          <w:rFonts w:ascii="Times New Roman" w:hAnsi="Times New Roman" w:cs="Times New Roman"/>
          <w:noProof/>
          <w:sz w:val="20"/>
          <w:szCs w:val="20"/>
          <w:vertAlign w:val="superscript"/>
          <w:lang w:val="en-GB"/>
        </w:rPr>
        <w:t>*</w:t>
      </w:r>
      <w:r w:rsidR="003E3703" w:rsidRPr="00E50FA4">
        <w:rPr>
          <w:rFonts w:ascii="Times New Roman" w:hAnsi="Times New Roman" w:cs="Times New Roman"/>
          <w:noProof/>
          <w:sz w:val="20"/>
          <w:szCs w:val="20"/>
          <w:vertAlign w:val="superscript"/>
          <w:lang w:val="en-GB"/>
        </w:rPr>
        <w:t>22</w:t>
      </w:r>
      <w:r w:rsidR="00541B93" w:rsidRPr="00E50FA4">
        <w:rPr>
          <w:rFonts w:ascii="Times New Roman" w:hAnsi="Times New Roman" w:cs="Times New Roman"/>
          <w:noProof/>
          <w:sz w:val="20"/>
          <w:szCs w:val="20"/>
          <w:lang w:val="en-GB"/>
        </w:rPr>
        <w:tab/>
      </w:r>
      <w:r w:rsidRPr="00E50FA4">
        <w:rPr>
          <w:rFonts w:ascii="Times New Roman" w:hAnsi="Times New Roman" w:cs="Times New Roman"/>
          <w:noProof/>
          <w:sz w:val="20"/>
          <w:szCs w:val="20"/>
          <w:lang w:val="en-GB"/>
        </w:rPr>
        <w:t>Commission Delegated Regulation (EU) 2021/2139 of 4 June 2021 supplementing Regulation (EU) 2020/852 of the European Parliament and of the Council by establishing the technical screening criteria for determining the conditions under which an economic activity qualifies as contributing substantially to climate change mitigation or climate change adaptation and for determining whether that economic activity causes no significant harm to any of the other environmental objectives (OJ L 442, 9.12.2021, p. 1).</w:t>
      </w:r>
      <w:r w:rsidR="0073529E" w:rsidRPr="00E50FA4">
        <w:rPr>
          <w:rFonts w:ascii="Times New Roman" w:hAnsi="Times New Roman" w:cs="Times New Roman"/>
          <w:noProof/>
          <w:sz w:val="24"/>
          <w:lang w:val="en-GB"/>
        </w:rPr>
        <w:t>’</w:t>
      </w:r>
    </w:p>
    <w:sectPr w:rsidR="002E0121" w:rsidRPr="002340A1" w:rsidSect="00AC69F0">
      <w:headerReference w:type="even" r:id="rId16"/>
      <w:headerReference w:type="default" r:id="rId17"/>
      <w:footerReference w:type="even" r:id="rId18"/>
      <w:footerReference w:type="default" r:id="rId19"/>
      <w:headerReference w:type="first" r:id="rId20"/>
      <w:footerReference w:type="first" r:id="rId21"/>
      <w:pgSz w:w="11900" w:h="16840"/>
      <w:pgMar w:top="141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7236" w14:textId="77777777" w:rsidR="00475232" w:rsidRDefault="00475232" w:rsidP="00A00E34">
      <w:r>
        <w:separator/>
      </w:r>
    </w:p>
    <w:p w14:paraId="4CEB7E4C" w14:textId="77777777" w:rsidR="00475232" w:rsidRDefault="00475232"/>
  </w:endnote>
  <w:endnote w:type="continuationSeparator" w:id="0">
    <w:p w14:paraId="505613E5" w14:textId="77777777" w:rsidR="00475232" w:rsidRDefault="00475232" w:rsidP="00A00E34">
      <w:r>
        <w:continuationSeparator/>
      </w:r>
    </w:p>
    <w:p w14:paraId="11461B2D" w14:textId="77777777" w:rsidR="00475232" w:rsidRDefault="00475232"/>
  </w:endnote>
  <w:endnote w:type="continuationNotice" w:id="1">
    <w:p w14:paraId="3B61BFD7" w14:textId="77777777" w:rsidR="00475232" w:rsidRDefault="00475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8A08" w14:textId="77777777" w:rsidR="00475232" w:rsidRDefault="00475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785285"/>
      <w:docPartObj>
        <w:docPartGallery w:val="Page Numbers (Bottom of Page)"/>
        <w:docPartUnique/>
      </w:docPartObj>
    </w:sdtPr>
    <w:sdtEndPr>
      <w:rPr>
        <w:noProof/>
      </w:rPr>
    </w:sdtEndPr>
    <w:sdtContent>
      <w:p w14:paraId="2E0C1876" w14:textId="5E0067A7" w:rsidR="00475232" w:rsidRDefault="00475232" w:rsidP="001B2797">
        <w:pPr>
          <w:pStyle w:val="Footer"/>
          <w:ind w:left="7938"/>
        </w:pPr>
        <w:r>
          <w:fldChar w:fldCharType="begin"/>
        </w:r>
        <w:r>
          <w:instrText xml:space="preserve"> PAGE   \* MERGEFORMAT </w:instrText>
        </w:r>
        <w:r>
          <w:fldChar w:fldCharType="separate"/>
        </w:r>
        <w:r w:rsidR="00672AD4">
          <w:rPr>
            <w:noProof/>
          </w:rPr>
          <w:t>1</w:t>
        </w:r>
        <w:r>
          <w:rPr>
            <w:noProof/>
          </w:rPr>
          <w:fldChar w:fldCharType="end"/>
        </w:r>
      </w:p>
    </w:sdtContent>
  </w:sdt>
  <w:p w14:paraId="2113419C" w14:textId="77777777" w:rsidR="00475232" w:rsidRDefault="00475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EDC5" w14:textId="77777777" w:rsidR="00475232" w:rsidRDefault="0047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9936" w14:textId="77777777" w:rsidR="00475232" w:rsidRPr="00DB5E8F" w:rsidRDefault="00475232">
      <w:pPr>
        <w:rPr>
          <w:sz w:val="12"/>
          <w:szCs w:val="12"/>
        </w:rPr>
      </w:pPr>
      <w:r w:rsidRPr="00DB5E8F">
        <w:rPr>
          <w:sz w:val="12"/>
          <w:szCs w:val="12"/>
        </w:rPr>
        <w:separator/>
      </w:r>
    </w:p>
  </w:footnote>
  <w:footnote w:type="continuationSeparator" w:id="0">
    <w:p w14:paraId="6395A9F8" w14:textId="77777777" w:rsidR="00475232" w:rsidRDefault="00475232" w:rsidP="00A00E34">
      <w:r>
        <w:continuationSeparator/>
      </w:r>
    </w:p>
    <w:p w14:paraId="7FA67525" w14:textId="77777777" w:rsidR="00475232" w:rsidRDefault="00475232"/>
  </w:footnote>
  <w:footnote w:type="continuationNotice" w:id="1">
    <w:p w14:paraId="1A8E4801" w14:textId="77777777" w:rsidR="00475232" w:rsidRDefault="00475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7988" w14:textId="7A4C220D" w:rsidR="00475232" w:rsidRDefault="00475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1810" w14:textId="36BE0F5A" w:rsidR="00475232" w:rsidRDefault="00FE68BD">
    <w:pPr>
      <w:pStyle w:val="Header"/>
    </w:pPr>
    <w:r>
      <w:rPr>
        <w:noProof/>
      </w:rPr>
      <mc:AlternateContent>
        <mc:Choice Requires="wps">
          <w:drawing>
            <wp:anchor distT="0" distB="0" distL="114300" distR="114300" simplePos="0" relativeHeight="251659264" behindDoc="0" locked="0" layoutInCell="0" allowOverlap="1" wp14:anchorId="345FD154" wp14:editId="7143D1BC">
              <wp:simplePos x="0" y="0"/>
              <wp:positionH relativeFrom="page">
                <wp:posOffset>0</wp:posOffset>
              </wp:positionH>
              <wp:positionV relativeFrom="page">
                <wp:posOffset>190500</wp:posOffset>
              </wp:positionV>
              <wp:extent cx="7556500" cy="273050"/>
              <wp:effectExtent l="0" t="0" r="0" b="12700"/>
              <wp:wrapNone/>
              <wp:docPr id="1" name="MSIPCM48b84dda9ee15ee4d2074589" descr="{&quot;HashCode&quot;:-46641150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5F313" w14:textId="7C20D460" w:rsidR="00FE68BD" w:rsidRPr="00FE68BD" w:rsidRDefault="00FE68BD" w:rsidP="00FE68BD">
                          <w:pPr>
                            <w:rPr>
                              <w:rFonts w:ascii="Calibri" w:hAnsi="Calibri" w:cs="Calibri"/>
                              <w:color w:val="000000"/>
                              <w:sz w:val="24"/>
                            </w:rPr>
                          </w:pPr>
                          <w:r w:rsidRPr="00FE68BD">
                            <w:rPr>
                              <w:rFonts w:ascii="Calibri" w:hAnsi="Calibri" w:cs="Calibri"/>
                              <w:color w:val="000000"/>
                              <w:sz w:val="24"/>
                            </w:rPr>
                            <w:t>EBA Regular Use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45FD154" id="_x0000_t202" coordsize="21600,21600" o:spt="202" path="m,l,21600r21600,l21600,xe">
              <v:stroke joinstyle="miter"/>
              <v:path gradientshapeok="t" o:connecttype="rect"/>
            </v:shapetype>
            <v:shape id="MSIPCM48b84dda9ee15ee4d2074589" o:spid="_x0000_s1026" type="#_x0000_t202" alt="{&quot;HashCode&quot;:-466411507,&quot;Height&quot;:842.0,&quot;Width&quot;:595.0,&quot;Placement&quot;:&quot;Header&quot;,&quot;Index&quot;:&quot;Primary&quot;,&quot;Section&quot;:1,&quot;Top&quot;:0.0,&quot;Left&quot;:0.0}" style="position:absolute;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" o:allowincell="f" filled="f" stroked="f" strokeweight=".5pt">
              <v:fill o:detectmouseclick="t"/>
              <v:textbox inset="20pt,0,,0">
                <w:txbxContent>
                  <w:p w14:paraId="03A5F313" w14:textId="7C20D460" w:rsidR="00FE68BD" w:rsidRPr="00FE68BD" w:rsidRDefault="00FE68BD" w:rsidP="00FE68BD">
                    <w:pPr>
                      <w:rPr>
                        <w:rFonts w:ascii="Calibri" w:hAnsi="Calibri" w:cs="Calibri"/>
                        <w:color w:val="000000"/>
                        <w:sz w:val="24"/>
                      </w:rPr>
                    </w:pPr>
                    <w:r w:rsidRPr="00FE68BD">
                      <w:rPr>
                        <w:rFonts w:ascii="Calibri" w:hAnsi="Calibri" w:cs="Calibri"/>
                        <w:color w:val="000000"/>
                        <w:sz w:val="24"/>
                      </w:rPr>
                      <w:t>EBA Regular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F2AE" w14:textId="55C34249" w:rsidR="00475232" w:rsidRDefault="0047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542E9"/>
    <w:multiLevelType w:val="hybridMultilevel"/>
    <w:tmpl w:val="6814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86112"/>
    <w:multiLevelType w:val="hybridMultilevel"/>
    <w:tmpl w:val="64DCB65E"/>
    <w:lvl w:ilvl="0" w:tplc="AD7045B4">
      <w:start w:val="1"/>
      <w:numFmt w:val="decimal"/>
      <w:lvlText w:val="%1."/>
      <w:lvlJc w:val="left"/>
      <w:pPr>
        <w:ind w:left="720" w:hanging="360"/>
      </w:pPr>
      <w:rPr>
        <w:rFonts w:ascii="Times New Roman" w:hAnsi="Times New Roman" w:cs="Times New Roman" w:hint="default"/>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4E2A32"/>
    <w:multiLevelType w:val="hybridMultilevel"/>
    <w:tmpl w:val="F1DAFF4C"/>
    <w:lvl w:ilvl="0" w:tplc="0809001B">
      <w:start w:val="1"/>
      <w:numFmt w:val="lowerRoman"/>
      <w:lvlText w:val="%1."/>
      <w:lvlJc w:val="right"/>
      <w:pPr>
        <w:tabs>
          <w:tab w:val="num" w:pos="540"/>
        </w:tabs>
        <w:ind w:left="54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213727"/>
    <w:multiLevelType w:val="hybridMultilevel"/>
    <w:tmpl w:val="0CE05B56"/>
    <w:lvl w:ilvl="0" w:tplc="03542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84FC8"/>
    <w:multiLevelType w:val="hybridMultilevel"/>
    <w:tmpl w:val="11D6BFC4"/>
    <w:lvl w:ilvl="0" w:tplc="6652E1BA">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512C1C"/>
    <w:multiLevelType w:val="hybridMultilevel"/>
    <w:tmpl w:val="E874556E"/>
    <w:lvl w:ilvl="0" w:tplc="035421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05F352D"/>
    <w:multiLevelType w:val="hybridMultilevel"/>
    <w:tmpl w:val="54D87292"/>
    <w:lvl w:ilvl="0" w:tplc="594C0EB8">
      <w:start w:val="6"/>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B056BA"/>
    <w:multiLevelType w:val="hybridMultilevel"/>
    <w:tmpl w:val="EDF8FAEC"/>
    <w:lvl w:ilvl="0" w:tplc="917CE8EA">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C19CE"/>
    <w:multiLevelType w:val="hybridMultilevel"/>
    <w:tmpl w:val="A79A4F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C14EB8"/>
    <w:multiLevelType w:val="hybridMultilevel"/>
    <w:tmpl w:val="5AF4B008"/>
    <w:lvl w:ilvl="0" w:tplc="57560318">
      <w:start w:val="1"/>
      <w:numFmt w:val="decimal"/>
      <w:lvlText w:val="%1."/>
      <w:lvlJc w:val="left"/>
      <w:pPr>
        <w:ind w:left="720" w:hanging="360"/>
      </w:pPr>
      <w:rPr>
        <w:rFonts w:ascii="Times New Roman" w:hAnsi="Times New Roman" w:cs="Times New Roman"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111CEE"/>
    <w:multiLevelType w:val="hybridMultilevel"/>
    <w:tmpl w:val="06680FF8"/>
    <w:lvl w:ilvl="0" w:tplc="268E8C0C">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AC5C98"/>
    <w:multiLevelType w:val="hybridMultilevel"/>
    <w:tmpl w:val="89005FC6"/>
    <w:lvl w:ilvl="0" w:tplc="BD5CFB00">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394299"/>
    <w:multiLevelType w:val="hybridMultilevel"/>
    <w:tmpl w:val="76EE09FE"/>
    <w:lvl w:ilvl="0" w:tplc="C1AEE198">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DA4BF5"/>
    <w:multiLevelType w:val="hybridMultilevel"/>
    <w:tmpl w:val="5EFE9C00"/>
    <w:lvl w:ilvl="0" w:tplc="57560318">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3C78B8"/>
    <w:multiLevelType w:val="multilevel"/>
    <w:tmpl w:val="6EF4121C"/>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15:restartNumberingAfterBreak="0">
    <w:nsid w:val="1DCF4746"/>
    <w:multiLevelType w:val="hybridMultilevel"/>
    <w:tmpl w:val="37BEE978"/>
    <w:lvl w:ilvl="0" w:tplc="3BEC1EFE">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AE5DE9"/>
    <w:multiLevelType w:val="hybridMultilevel"/>
    <w:tmpl w:val="64DCB65E"/>
    <w:lvl w:ilvl="0" w:tplc="AD7045B4">
      <w:start w:val="1"/>
      <w:numFmt w:val="decimal"/>
      <w:lvlText w:val="%1."/>
      <w:lvlJc w:val="left"/>
      <w:pPr>
        <w:ind w:left="720" w:hanging="360"/>
      </w:pPr>
      <w:rPr>
        <w:rFonts w:ascii="Times New Roman" w:hAnsi="Times New Roman" w:cs="Times New Roman" w:hint="default"/>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E44180"/>
    <w:multiLevelType w:val="multilevel"/>
    <w:tmpl w:val="AEF44546"/>
    <w:name w:val="NumPar"/>
    <w:lvl w:ilvl="0">
      <w:start w:val="2"/>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9358ED"/>
    <w:multiLevelType w:val="hybridMultilevel"/>
    <w:tmpl w:val="9C5CE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23" w15:restartNumberingAfterBreak="0">
    <w:nsid w:val="2C754687"/>
    <w:multiLevelType w:val="hybridMultilevel"/>
    <w:tmpl w:val="B98CD1C6"/>
    <w:lvl w:ilvl="0" w:tplc="EDF09D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5" w15:restartNumberingAfterBreak="0">
    <w:nsid w:val="2D4F634E"/>
    <w:multiLevelType w:val="hybridMultilevel"/>
    <w:tmpl w:val="F92EDD7E"/>
    <w:lvl w:ilvl="0" w:tplc="08090001">
      <w:start w:val="1"/>
      <w:numFmt w:val="bullet"/>
      <w:lvlText w:val=""/>
      <w:lvlJc w:val="left"/>
      <w:pPr>
        <w:ind w:left="360" w:hanging="360"/>
      </w:pPr>
      <w:rPr>
        <w:rFonts w:ascii="Symbol" w:hAnsi="Symbol" w:hint="default"/>
        <w:lang w:val="en-G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E506545"/>
    <w:multiLevelType w:val="hybridMultilevel"/>
    <w:tmpl w:val="89005FC6"/>
    <w:lvl w:ilvl="0" w:tplc="BD5CFB00">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D70F29"/>
    <w:multiLevelType w:val="hybridMultilevel"/>
    <w:tmpl w:val="6814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500D54"/>
    <w:multiLevelType w:val="hybridMultilevel"/>
    <w:tmpl w:val="211A4AF4"/>
    <w:lvl w:ilvl="0" w:tplc="BB647906">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FA6A4C"/>
    <w:multiLevelType w:val="hybridMultilevel"/>
    <w:tmpl w:val="64DCB65E"/>
    <w:lvl w:ilvl="0" w:tplc="AD7045B4">
      <w:start w:val="1"/>
      <w:numFmt w:val="decimal"/>
      <w:lvlText w:val="%1."/>
      <w:lvlJc w:val="left"/>
      <w:pPr>
        <w:ind w:left="720" w:hanging="360"/>
      </w:pPr>
      <w:rPr>
        <w:rFonts w:ascii="Times New Roman" w:hAnsi="Times New Roman" w:cs="Times New Roman" w:hint="default"/>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2649D8"/>
    <w:multiLevelType w:val="hybridMultilevel"/>
    <w:tmpl w:val="3506999A"/>
    <w:lvl w:ilvl="0" w:tplc="0354210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B055E6"/>
    <w:multiLevelType w:val="hybridMultilevel"/>
    <w:tmpl w:val="64DCB65E"/>
    <w:lvl w:ilvl="0" w:tplc="AD7045B4">
      <w:start w:val="1"/>
      <w:numFmt w:val="decimal"/>
      <w:lvlText w:val="%1."/>
      <w:lvlJc w:val="left"/>
      <w:pPr>
        <w:ind w:left="720" w:hanging="360"/>
      </w:pPr>
      <w:rPr>
        <w:rFonts w:ascii="Times New Roman" w:hAnsi="Times New Roman" w:cs="Times New Roman" w:hint="default"/>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5A509C"/>
    <w:multiLevelType w:val="hybridMultilevel"/>
    <w:tmpl w:val="5D2CBD66"/>
    <w:lvl w:ilvl="0" w:tplc="6B643472">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2073DC"/>
    <w:multiLevelType w:val="hybridMultilevel"/>
    <w:tmpl w:val="268407B0"/>
    <w:lvl w:ilvl="0" w:tplc="08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0C2AE4"/>
    <w:multiLevelType w:val="hybridMultilevel"/>
    <w:tmpl w:val="33A25CD4"/>
    <w:lvl w:ilvl="0" w:tplc="7E588832">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02F0BC3"/>
    <w:multiLevelType w:val="multilevel"/>
    <w:tmpl w:val="C806378E"/>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7" w15:restartNumberingAfterBreak="0">
    <w:nsid w:val="41355FE0"/>
    <w:multiLevelType w:val="hybridMultilevel"/>
    <w:tmpl w:val="4F0ACC72"/>
    <w:lvl w:ilvl="0" w:tplc="BD4ECD2A">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2CC5AD3"/>
    <w:multiLevelType w:val="hybridMultilevel"/>
    <w:tmpl w:val="1284D63A"/>
    <w:lvl w:ilvl="0" w:tplc="08609206">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385162B"/>
    <w:multiLevelType w:val="hybridMultilevel"/>
    <w:tmpl w:val="6CB26C9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7C04538"/>
    <w:multiLevelType w:val="hybridMultilevel"/>
    <w:tmpl w:val="5F605A02"/>
    <w:lvl w:ilvl="0" w:tplc="3A8A2116">
      <w:start w:val="1"/>
      <w:numFmt w:val="decimal"/>
      <w:lvlText w:val="%1."/>
      <w:lvlJc w:val="left"/>
      <w:pPr>
        <w:ind w:left="360" w:hanging="360"/>
      </w:pPr>
      <w:rPr>
        <w:rFonts w:ascii="Times New Roman" w:hAnsi="Times New Roman" w:cs="Times New Roman"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E060C0E"/>
    <w:multiLevelType w:val="hybridMultilevel"/>
    <w:tmpl w:val="5F605A02"/>
    <w:lvl w:ilvl="0" w:tplc="3A8A2116">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EA41D82"/>
    <w:multiLevelType w:val="hybridMultilevel"/>
    <w:tmpl w:val="64DCB65E"/>
    <w:lvl w:ilvl="0" w:tplc="AD7045B4">
      <w:start w:val="1"/>
      <w:numFmt w:val="decimal"/>
      <w:lvlText w:val="%1."/>
      <w:lvlJc w:val="left"/>
      <w:pPr>
        <w:ind w:left="720" w:hanging="360"/>
      </w:pPr>
      <w:rPr>
        <w:rFonts w:ascii="Times New Roman" w:hAnsi="Times New Roman" w:cs="Times New Roman" w:hint="default"/>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F117C46"/>
    <w:multiLevelType w:val="multilevel"/>
    <w:tmpl w:val="BE066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F40191B"/>
    <w:multiLevelType w:val="hybridMultilevel"/>
    <w:tmpl w:val="D1C4DC8A"/>
    <w:lvl w:ilvl="0" w:tplc="D7AED8A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EB60AD"/>
    <w:multiLevelType w:val="hybridMultilevel"/>
    <w:tmpl w:val="64DCB65E"/>
    <w:lvl w:ilvl="0" w:tplc="AD7045B4">
      <w:start w:val="1"/>
      <w:numFmt w:val="decimal"/>
      <w:lvlText w:val="%1."/>
      <w:lvlJc w:val="left"/>
      <w:pPr>
        <w:ind w:left="720" w:hanging="360"/>
      </w:pPr>
      <w:rPr>
        <w:rFonts w:ascii="Times New Roman" w:hAnsi="Times New Roman" w:cs="Times New Roman" w:hint="default"/>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563FF0"/>
    <w:multiLevelType w:val="hybridMultilevel"/>
    <w:tmpl w:val="64DCB65E"/>
    <w:lvl w:ilvl="0" w:tplc="AD7045B4">
      <w:start w:val="1"/>
      <w:numFmt w:val="decimal"/>
      <w:lvlText w:val="%1."/>
      <w:lvlJc w:val="left"/>
      <w:pPr>
        <w:ind w:left="720" w:hanging="360"/>
      </w:pPr>
      <w:rPr>
        <w:rFonts w:ascii="Times New Roman" w:hAnsi="Times New Roman" w:cs="Times New Roman" w:hint="default"/>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3F94D79"/>
    <w:multiLevelType w:val="hybridMultilevel"/>
    <w:tmpl w:val="A8344AEE"/>
    <w:lvl w:ilvl="0" w:tplc="AD7045B4">
      <w:start w:val="1"/>
      <w:numFmt w:val="decimal"/>
      <w:lvlText w:val="%1."/>
      <w:lvlJc w:val="left"/>
      <w:pPr>
        <w:ind w:left="720" w:hanging="360"/>
      </w:pPr>
      <w:rPr>
        <w:rFonts w:ascii="Times New Roman" w:hAnsi="Times New Roman" w:cs="Times New Roman" w:hint="default"/>
        <w:i w:val="0"/>
        <w:lang w:val="en-GB"/>
      </w:rPr>
    </w:lvl>
    <w:lvl w:ilvl="1" w:tplc="0354210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47B3A05"/>
    <w:multiLevelType w:val="hybridMultilevel"/>
    <w:tmpl w:val="4890498C"/>
    <w:lvl w:ilvl="0" w:tplc="4B9E681E">
      <w:start w:val="1"/>
      <w:numFmt w:val="decimal"/>
      <w:lvlText w:val="%1."/>
      <w:lvlJc w:val="left"/>
      <w:pPr>
        <w:ind w:left="720" w:hanging="360"/>
      </w:pPr>
      <w:rPr>
        <w:rFonts w:ascii="Times New Roman" w:hAnsi="Times New Roman" w:cs="Times New Roman"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6E4204C"/>
    <w:multiLevelType w:val="hybridMultilevel"/>
    <w:tmpl w:val="30B2745A"/>
    <w:lvl w:ilvl="0" w:tplc="41082FC0">
      <w:start w:val="1"/>
      <w:numFmt w:val="decimal"/>
      <w:lvlText w:val="%1."/>
      <w:lvlJc w:val="left"/>
      <w:pPr>
        <w:ind w:left="720" w:hanging="360"/>
      </w:pPr>
      <w:rPr>
        <w:rFonts w:ascii="Times New Roman" w:hAnsi="Times New Roman" w:cs="Times New Roman" w:hint="default"/>
        <w:b w:val="0"/>
        <w:i w:val="0"/>
        <w:lang w:val="en-GB"/>
      </w:rPr>
    </w:lvl>
    <w:lvl w:ilvl="1" w:tplc="594C0EB8">
      <w:start w:val="6"/>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CCA6B62"/>
    <w:multiLevelType w:val="hybridMultilevel"/>
    <w:tmpl w:val="CECC13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5E6F09A5"/>
    <w:multiLevelType w:val="hybridMultilevel"/>
    <w:tmpl w:val="62E4463A"/>
    <w:lvl w:ilvl="0" w:tplc="17C66A54">
      <w:start w:val="1"/>
      <w:numFmt w:val="decimal"/>
      <w:lvlText w:val="%1."/>
      <w:lvlJc w:val="left"/>
      <w:pPr>
        <w:ind w:left="360" w:hanging="360"/>
      </w:pPr>
      <w:rPr>
        <w:rFonts w:ascii="Times New Roman" w:hAnsi="Times New Roman" w:cs="Times New Roman" w:hint="default"/>
        <w:lang w:val="en-G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EE2618D"/>
    <w:multiLevelType w:val="hybridMultilevel"/>
    <w:tmpl w:val="682CBC52"/>
    <w:lvl w:ilvl="0" w:tplc="AD7045B4">
      <w:start w:val="1"/>
      <w:numFmt w:val="decimal"/>
      <w:lvlText w:val="%1."/>
      <w:lvlJc w:val="left"/>
      <w:pPr>
        <w:ind w:left="720" w:hanging="360"/>
      </w:pPr>
      <w:rPr>
        <w:rFonts w:ascii="Times New Roman" w:hAnsi="Times New Roman" w:cs="Times New Roman" w:hint="default"/>
        <w:i w:val="0"/>
        <w:lang w:val="en-GB"/>
      </w:rPr>
    </w:lvl>
    <w:lvl w:ilvl="1" w:tplc="0354210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2EB2E52"/>
    <w:multiLevelType w:val="hybridMultilevel"/>
    <w:tmpl w:val="A942D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901280A"/>
    <w:multiLevelType w:val="hybridMultilevel"/>
    <w:tmpl w:val="3B5CB650"/>
    <w:lvl w:ilvl="0" w:tplc="8B6AC80C">
      <w:start w:val="1"/>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80"/>
        </w:tabs>
        <w:ind w:left="-180" w:hanging="360"/>
      </w:pPr>
    </w:lvl>
    <w:lvl w:ilvl="2" w:tplc="0809001B">
      <w:start w:val="1"/>
      <w:numFmt w:val="lowerRoman"/>
      <w:lvlText w:val="%3."/>
      <w:lvlJc w:val="right"/>
      <w:pPr>
        <w:tabs>
          <w:tab w:val="num" w:pos="540"/>
        </w:tabs>
        <w:ind w:left="540" w:hanging="180"/>
      </w:pPr>
    </w:lvl>
    <w:lvl w:ilvl="3" w:tplc="0809000F">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58" w15:restartNumberingAfterBreak="0">
    <w:nsid w:val="6A936218"/>
    <w:multiLevelType w:val="hybridMultilevel"/>
    <w:tmpl w:val="2DC2E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AE34A37"/>
    <w:multiLevelType w:val="hybridMultilevel"/>
    <w:tmpl w:val="DFE863F0"/>
    <w:lvl w:ilvl="0" w:tplc="C97E5E80">
      <w:start w:val="2"/>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B9176FD"/>
    <w:multiLevelType w:val="hybridMultilevel"/>
    <w:tmpl w:val="82600B56"/>
    <w:lvl w:ilvl="0" w:tplc="F94A57C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2" w15:restartNumberingAfterBreak="0">
    <w:nsid w:val="6BF0364E"/>
    <w:multiLevelType w:val="hybridMultilevel"/>
    <w:tmpl w:val="6814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4A55CE"/>
    <w:multiLevelType w:val="hybridMultilevel"/>
    <w:tmpl w:val="5F605A02"/>
    <w:lvl w:ilvl="0" w:tplc="3A8A2116">
      <w:start w:val="1"/>
      <w:numFmt w:val="decimal"/>
      <w:lvlText w:val="%1."/>
      <w:lvlJc w:val="left"/>
      <w:pPr>
        <w:ind w:left="360" w:hanging="360"/>
      </w:pPr>
      <w:rPr>
        <w:rFonts w:ascii="Times New Roman" w:hAnsi="Times New Roman" w:cs="Times New Roman"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3D05262"/>
    <w:multiLevelType w:val="hybridMultilevel"/>
    <w:tmpl w:val="D778D83E"/>
    <w:lvl w:ilvl="0" w:tplc="AD7045B4">
      <w:start w:val="1"/>
      <w:numFmt w:val="decimal"/>
      <w:lvlText w:val="%1."/>
      <w:lvlJc w:val="left"/>
      <w:pPr>
        <w:ind w:left="720" w:hanging="360"/>
      </w:pPr>
      <w:rPr>
        <w:rFonts w:ascii="Times New Roman" w:hAnsi="Times New Roman" w:cs="Times New Roman" w:hint="default"/>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59B7EF2"/>
    <w:multiLevelType w:val="hybridMultilevel"/>
    <w:tmpl w:val="CECC13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75D70D93"/>
    <w:multiLevelType w:val="hybridMultilevel"/>
    <w:tmpl w:val="89005FC6"/>
    <w:lvl w:ilvl="0" w:tplc="BD5CFB00">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B287DE9"/>
    <w:multiLevelType w:val="hybridMultilevel"/>
    <w:tmpl w:val="06983DAE"/>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80"/>
        </w:tabs>
        <w:ind w:left="-180" w:hanging="360"/>
      </w:pPr>
    </w:lvl>
    <w:lvl w:ilvl="2" w:tplc="0809001B">
      <w:start w:val="1"/>
      <w:numFmt w:val="lowerRoman"/>
      <w:lvlText w:val="%3."/>
      <w:lvlJc w:val="right"/>
      <w:pPr>
        <w:tabs>
          <w:tab w:val="num" w:pos="540"/>
        </w:tabs>
        <w:ind w:left="540" w:hanging="180"/>
      </w:pPr>
    </w:lvl>
    <w:lvl w:ilvl="3" w:tplc="0809000F">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69" w15:restartNumberingAfterBreak="0">
    <w:nsid w:val="7ED3388F"/>
    <w:multiLevelType w:val="hybridMultilevel"/>
    <w:tmpl w:val="64DCB65E"/>
    <w:lvl w:ilvl="0" w:tplc="AD7045B4">
      <w:start w:val="1"/>
      <w:numFmt w:val="decimal"/>
      <w:lvlText w:val="%1."/>
      <w:lvlJc w:val="left"/>
      <w:pPr>
        <w:ind w:left="720" w:hanging="360"/>
      </w:pPr>
      <w:rPr>
        <w:rFonts w:ascii="Times New Roman" w:hAnsi="Times New Roman" w:cs="Times New Roman" w:hint="default"/>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9705AA"/>
    <w:multiLevelType w:val="hybridMultilevel"/>
    <w:tmpl w:val="F99EE8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0"/>
  </w:num>
  <w:num w:numId="2">
    <w:abstractNumId w:val="6"/>
  </w:num>
  <w:num w:numId="3">
    <w:abstractNumId w:val="24"/>
  </w:num>
  <w:num w:numId="4">
    <w:abstractNumId w:val="34"/>
  </w:num>
  <w:num w:numId="5">
    <w:abstractNumId w:val="63"/>
  </w:num>
  <w:num w:numId="6">
    <w:abstractNumId w:val="2"/>
  </w:num>
  <w:num w:numId="7">
    <w:abstractNumId w:val="61"/>
  </w:num>
  <w:num w:numId="8">
    <w:abstractNumId w:val="46"/>
  </w:num>
  <w:num w:numId="9">
    <w:abstractNumId w:val="0"/>
  </w:num>
  <w:num w:numId="10">
    <w:abstractNumId w:val="22"/>
  </w:num>
  <w:num w:numId="11">
    <w:abstractNumId w:val="51"/>
  </w:num>
  <w:num w:numId="12">
    <w:abstractNumId w:val="27"/>
  </w:num>
  <w:num w:numId="13">
    <w:abstractNumId w:val="44"/>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2"/>
  </w:num>
  <w:num w:numId="17">
    <w:abstractNumId w:val="58"/>
  </w:num>
  <w:num w:numId="18">
    <w:abstractNumId w:val="11"/>
  </w:num>
  <w:num w:numId="19">
    <w:abstractNumId w:val="55"/>
  </w:num>
  <w:num w:numId="20">
    <w:abstractNumId w:val="26"/>
  </w:num>
  <w:num w:numId="21">
    <w:abstractNumId w:val="57"/>
  </w:num>
  <w:num w:numId="22">
    <w:abstractNumId w:val="4"/>
  </w:num>
  <w:num w:numId="23">
    <w:abstractNumId w:val="68"/>
  </w:num>
  <w:num w:numId="24">
    <w:abstractNumId w:val="33"/>
  </w:num>
  <w:num w:numId="25">
    <w:abstractNumId w:val="39"/>
  </w:num>
  <w:num w:numId="26">
    <w:abstractNumId w:val="67"/>
  </w:num>
  <w:num w:numId="27">
    <w:abstractNumId w:val="14"/>
  </w:num>
  <w:num w:numId="28">
    <w:abstractNumId w:val="66"/>
  </w:num>
  <w:num w:numId="29">
    <w:abstractNumId w:val="21"/>
  </w:num>
  <w:num w:numId="30">
    <w:abstractNumId w:val="53"/>
  </w:num>
  <w:num w:numId="31">
    <w:abstractNumId w:val="25"/>
  </w:num>
  <w:num w:numId="32">
    <w:abstractNumId w:val="37"/>
  </w:num>
  <w:num w:numId="33">
    <w:abstractNumId w:val="60"/>
  </w:num>
  <w:num w:numId="34">
    <w:abstractNumId w:val="52"/>
  </w:num>
  <w:num w:numId="35">
    <w:abstractNumId w:val="31"/>
  </w:num>
  <w:num w:numId="36">
    <w:abstractNumId w:val="23"/>
  </w:num>
  <w:num w:numId="37">
    <w:abstractNumId w:val="43"/>
  </w:num>
  <w:num w:numId="38">
    <w:abstractNumId w:val="47"/>
  </w:num>
  <w:num w:numId="39">
    <w:abstractNumId w:val="19"/>
  </w:num>
  <w:num w:numId="40">
    <w:abstractNumId w:val="69"/>
  </w:num>
  <w:num w:numId="41">
    <w:abstractNumId w:val="7"/>
  </w:num>
  <w:num w:numId="42">
    <w:abstractNumId w:val="48"/>
  </w:num>
  <w:num w:numId="43">
    <w:abstractNumId w:val="3"/>
  </w:num>
  <w:num w:numId="44">
    <w:abstractNumId w:val="29"/>
  </w:num>
  <w:num w:numId="45">
    <w:abstractNumId w:val="70"/>
  </w:num>
  <w:num w:numId="46">
    <w:abstractNumId w:val="65"/>
  </w:num>
  <w:num w:numId="47">
    <w:abstractNumId w:val="5"/>
  </w:num>
  <w:num w:numId="48">
    <w:abstractNumId w:val="56"/>
  </w:num>
  <w:num w:numId="49">
    <w:abstractNumId w:val="49"/>
  </w:num>
  <w:num w:numId="50">
    <w:abstractNumId w:val="54"/>
  </w:num>
  <w:num w:numId="51">
    <w:abstractNumId w:val="9"/>
  </w:num>
  <w:num w:numId="52">
    <w:abstractNumId w:val="30"/>
  </w:num>
  <w:num w:numId="53">
    <w:abstractNumId w:val="17"/>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6"/>
  </w:num>
  <w:num w:numId="57">
    <w:abstractNumId w:val="17"/>
  </w:num>
  <w:num w:numId="58">
    <w:abstractNumId w:val="50"/>
  </w:num>
  <w:num w:numId="59">
    <w:abstractNumId w:val="12"/>
  </w:num>
  <w:num w:numId="60">
    <w:abstractNumId w:val="10"/>
  </w:num>
  <w:num w:numId="61">
    <w:abstractNumId w:val="35"/>
  </w:num>
  <w:num w:numId="62">
    <w:abstractNumId w:val="8"/>
  </w:num>
  <w:num w:numId="63">
    <w:abstractNumId w:val="15"/>
  </w:num>
  <w:num w:numId="64">
    <w:abstractNumId w:val="38"/>
  </w:num>
  <w:num w:numId="65">
    <w:abstractNumId w:val="32"/>
  </w:num>
  <w:num w:numId="66">
    <w:abstractNumId w:val="16"/>
  </w:num>
  <w:num w:numId="67">
    <w:abstractNumId w:val="59"/>
  </w:num>
  <w:num w:numId="68">
    <w:abstractNumId w:val="28"/>
  </w:num>
  <w:num w:numId="69">
    <w:abstractNumId w:val="42"/>
  </w:num>
  <w:num w:numId="70">
    <w:abstractNumId w:val="18"/>
  </w:num>
  <w:num w:numId="71">
    <w:abstractNumId w:val="13"/>
  </w:num>
  <w:num w:numId="72">
    <w:abstractNumId w:val="45"/>
  </w:num>
  <w:num w:numId="73">
    <w:abstractNumId w:val="41"/>
  </w:num>
  <w:num w:numId="74">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embedSystemFonts/>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DocStatus" w:val="Red"/>
    <w:docVar w:name="LW_ACCOMPAGNANT.CP" w:val="to the "/>
    <w:docVar w:name="LW_ANNEX_NBR_FIRST" w:val="2"/>
    <w:docVar w:name="LW_ANNEX_NBR_LAST" w:val="2"/>
    <w:docVar w:name="LW_ANNEX_UNIQUE" w:val="0"/>
    <w:docVar w:name="LW_CORRIGENDUM" w:val="&lt;UNUSED&gt;"/>
    <w:docVar w:name="LW_COVERPAGE_EXISTS" w:val="True"/>
    <w:docVar w:name="LW_COVERPAGE_GUID" w:val="42C44E38-084F-4619-A73F-FC43305B1653"/>
    <w:docVar w:name="LW_COVERPAGE_TYPE" w:val="1"/>
    <w:docVar w:name="LW_CROSSREFERENCE" w:val="&lt;UNUSED&gt;"/>
    <w:docVar w:name="LW_DocType" w:val="EBA GL-REC 20XX XX (FINAL GLS-REC ON"/>
    <w:docVar w:name="LW_EMISSION" w:val="30.11.2022"/>
    <w:docVar w:name="LW_EMISSION_ISODATE" w:val="2022-11-30"/>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amending the implementing technical standards laid down in Implementing Regulation (EU) 2021/637 as regards the disclosure of environmental, social and governance risks_x000d__x000b__x000d__x000b__x000d__x000d__x000d__x000d__x000b_"/>
    <w:docVar w:name="LW_PART_NBR" w:val="1"/>
    <w:docVar w:name="LW_PART_NBR_TOTAL" w:val="1"/>
    <w:docVar w:name="LW_REF.INST.NEW" w:val="C"/>
    <w:docVar w:name="LW_REF.INST.NEW_ADOPTED" w:val="final"/>
    <w:docVar w:name="LW_REF.INST.NEW_TEXT" w:val="(2022) 83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Implementing Regulation (EU) .../..."/>
    <w:docVar w:name="LwApiVersions" w:val="LW4CoDe 1.23.2.0; LW 8.0, Build 20211117"/>
  </w:docVars>
  <w:rsids>
    <w:rsidRoot w:val="006307A5"/>
    <w:rsid w:val="00000183"/>
    <w:rsid w:val="00000C40"/>
    <w:rsid w:val="00001873"/>
    <w:rsid w:val="00003540"/>
    <w:rsid w:val="00003B3B"/>
    <w:rsid w:val="00003F50"/>
    <w:rsid w:val="000041B4"/>
    <w:rsid w:val="00004679"/>
    <w:rsid w:val="00005A8E"/>
    <w:rsid w:val="000066B4"/>
    <w:rsid w:val="00006CBB"/>
    <w:rsid w:val="00006D74"/>
    <w:rsid w:val="00007009"/>
    <w:rsid w:val="00007873"/>
    <w:rsid w:val="00010E8E"/>
    <w:rsid w:val="00011C7C"/>
    <w:rsid w:val="00013281"/>
    <w:rsid w:val="00013315"/>
    <w:rsid w:val="000136DD"/>
    <w:rsid w:val="00014788"/>
    <w:rsid w:val="00015010"/>
    <w:rsid w:val="00015DE4"/>
    <w:rsid w:val="00016326"/>
    <w:rsid w:val="000168C4"/>
    <w:rsid w:val="00020608"/>
    <w:rsid w:val="000231B7"/>
    <w:rsid w:val="00023E8E"/>
    <w:rsid w:val="0002494D"/>
    <w:rsid w:val="00025534"/>
    <w:rsid w:val="000271E6"/>
    <w:rsid w:val="00027CA0"/>
    <w:rsid w:val="00030D65"/>
    <w:rsid w:val="00031497"/>
    <w:rsid w:val="0003236B"/>
    <w:rsid w:val="00032920"/>
    <w:rsid w:val="00032C9A"/>
    <w:rsid w:val="00034BAB"/>
    <w:rsid w:val="00037E04"/>
    <w:rsid w:val="00040129"/>
    <w:rsid w:val="0004113D"/>
    <w:rsid w:val="000468D2"/>
    <w:rsid w:val="00046DF5"/>
    <w:rsid w:val="000478D0"/>
    <w:rsid w:val="00047E94"/>
    <w:rsid w:val="000513C2"/>
    <w:rsid w:val="000516B3"/>
    <w:rsid w:val="000534B3"/>
    <w:rsid w:val="00053AA2"/>
    <w:rsid w:val="00060F36"/>
    <w:rsid w:val="00060F40"/>
    <w:rsid w:val="00060FFB"/>
    <w:rsid w:val="00061C0E"/>
    <w:rsid w:val="00062830"/>
    <w:rsid w:val="00062937"/>
    <w:rsid w:val="00064FCD"/>
    <w:rsid w:val="00066A9A"/>
    <w:rsid w:val="00067723"/>
    <w:rsid w:val="00074B2C"/>
    <w:rsid w:val="00075EC1"/>
    <w:rsid w:val="000774B3"/>
    <w:rsid w:val="000779D2"/>
    <w:rsid w:val="000803DB"/>
    <w:rsid w:val="00080540"/>
    <w:rsid w:val="000827DE"/>
    <w:rsid w:val="000834D9"/>
    <w:rsid w:val="00083C33"/>
    <w:rsid w:val="000843CD"/>
    <w:rsid w:val="00085549"/>
    <w:rsid w:val="00085BAF"/>
    <w:rsid w:val="00085F65"/>
    <w:rsid w:val="0009057B"/>
    <w:rsid w:val="000912AC"/>
    <w:rsid w:val="00092A28"/>
    <w:rsid w:val="00093D96"/>
    <w:rsid w:val="000949E0"/>
    <w:rsid w:val="00094D86"/>
    <w:rsid w:val="000960C2"/>
    <w:rsid w:val="00096F1B"/>
    <w:rsid w:val="000A1C52"/>
    <w:rsid w:val="000A1C81"/>
    <w:rsid w:val="000A2565"/>
    <w:rsid w:val="000A3851"/>
    <w:rsid w:val="000A5C17"/>
    <w:rsid w:val="000A5DEC"/>
    <w:rsid w:val="000A7F89"/>
    <w:rsid w:val="000A7F92"/>
    <w:rsid w:val="000B1645"/>
    <w:rsid w:val="000B3A3E"/>
    <w:rsid w:val="000B51D7"/>
    <w:rsid w:val="000B597D"/>
    <w:rsid w:val="000C40AF"/>
    <w:rsid w:val="000C5A8A"/>
    <w:rsid w:val="000C68DF"/>
    <w:rsid w:val="000C7FD8"/>
    <w:rsid w:val="000D0676"/>
    <w:rsid w:val="000D086A"/>
    <w:rsid w:val="000D1FC3"/>
    <w:rsid w:val="000D7A44"/>
    <w:rsid w:val="000E0A05"/>
    <w:rsid w:val="000E0A0D"/>
    <w:rsid w:val="000E0C27"/>
    <w:rsid w:val="000E1C8C"/>
    <w:rsid w:val="000E2258"/>
    <w:rsid w:val="000E6D15"/>
    <w:rsid w:val="000E7F32"/>
    <w:rsid w:val="000F056B"/>
    <w:rsid w:val="000F1A23"/>
    <w:rsid w:val="000F33D3"/>
    <w:rsid w:val="000F3E72"/>
    <w:rsid w:val="000F453E"/>
    <w:rsid w:val="000F45C7"/>
    <w:rsid w:val="000F4C0C"/>
    <w:rsid w:val="000F505C"/>
    <w:rsid w:val="000F607B"/>
    <w:rsid w:val="000F60C1"/>
    <w:rsid w:val="000F6495"/>
    <w:rsid w:val="000F6FD8"/>
    <w:rsid w:val="000F734D"/>
    <w:rsid w:val="000F73A4"/>
    <w:rsid w:val="000F78D5"/>
    <w:rsid w:val="000F7FF2"/>
    <w:rsid w:val="0010317B"/>
    <w:rsid w:val="00103952"/>
    <w:rsid w:val="001040D3"/>
    <w:rsid w:val="001061FA"/>
    <w:rsid w:val="00106DB2"/>
    <w:rsid w:val="00107798"/>
    <w:rsid w:val="001077C6"/>
    <w:rsid w:val="00107E03"/>
    <w:rsid w:val="00110FB0"/>
    <w:rsid w:val="00113961"/>
    <w:rsid w:val="0011436D"/>
    <w:rsid w:val="0011517F"/>
    <w:rsid w:val="001159BD"/>
    <w:rsid w:val="001170E9"/>
    <w:rsid w:val="00117455"/>
    <w:rsid w:val="00121BB0"/>
    <w:rsid w:val="00121E46"/>
    <w:rsid w:val="001239C7"/>
    <w:rsid w:val="00124580"/>
    <w:rsid w:val="001249DB"/>
    <w:rsid w:val="00124D51"/>
    <w:rsid w:val="00124EF7"/>
    <w:rsid w:val="001254BB"/>
    <w:rsid w:val="00125C05"/>
    <w:rsid w:val="0012686C"/>
    <w:rsid w:val="0013090C"/>
    <w:rsid w:val="00131C5D"/>
    <w:rsid w:val="001338AB"/>
    <w:rsid w:val="00134FC8"/>
    <w:rsid w:val="00135C6C"/>
    <w:rsid w:val="00136976"/>
    <w:rsid w:val="00141B8D"/>
    <w:rsid w:val="001423E9"/>
    <w:rsid w:val="00142DF6"/>
    <w:rsid w:val="00143FAF"/>
    <w:rsid w:val="001452F9"/>
    <w:rsid w:val="00145848"/>
    <w:rsid w:val="00145D24"/>
    <w:rsid w:val="001465E5"/>
    <w:rsid w:val="00147142"/>
    <w:rsid w:val="00150CFE"/>
    <w:rsid w:val="001523C6"/>
    <w:rsid w:val="00152832"/>
    <w:rsid w:val="001530A1"/>
    <w:rsid w:val="001532D7"/>
    <w:rsid w:val="00154596"/>
    <w:rsid w:val="00155026"/>
    <w:rsid w:val="001600FC"/>
    <w:rsid w:val="00160F32"/>
    <w:rsid w:val="00160FD9"/>
    <w:rsid w:val="0016195C"/>
    <w:rsid w:val="00162453"/>
    <w:rsid w:val="00162644"/>
    <w:rsid w:val="00164B72"/>
    <w:rsid w:val="00164DD4"/>
    <w:rsid w:val="001668AE"/>
    <w:rsid w:val="00166CE0"/>
    <w:rsid w:val="0016737A"/>
    <w:rsid w:val="00171625"/>
    <w:rsid w:val="001716D2"/>
    <w:rsid w:val="00172007"/>
    <w:rsid w:val="0017223E"/>
    <w:rsid w:val="00172824"/>
    <w:rsid w:val="00173473"/>
    <w:rsid w:val="00173774"/>
    <w:rsid w:val="0017393D"/>
    <w:rsid w:val="001739FF"/>
    <w:rsid w:val="00173C8A"/>
    <w:rsid w:val="0017446F"/>
    <w:rsid w:val="00175583"/>
    <w:rsid w:val="00177CB9"/>
    <w:rsid w:val="00177E1D"/>
    <w:rsid w:val="00181DFE"/>
    <w:rsid w:val="00181FA3"/>
    <w:rsid w:val="001833C2"/>
    <w:rsid w:val="001834D4"/>
    <w:rsid w:val="00184269"/>
    <w:rsid w:val="00185C42"/>
    <w:rsid w:val="00191249"/>
    <w:rsid w:val="0019129E"/>
    <w:rsid w:val="001916DF"/>
    <w:rsid w:val="00191FE2"/>
    <w:rsid w:val="00192287"/>
    <w:rsid w:val="0019287D"/>
    <w:rsid w:val="00193573"/>
    <w:rsid w:val="00193F32"/>
    <w:rsid w:val="0019714F"/>
    <w:rsid w:val="0019725F"/>
    <w:rsid w:val="001A016C"/>
    <w:rsid w:val="001A08A2"/>
    <w:rsid w:val="001A2A81"/>
    <w:rsid w:val="001A365E"/>
    <w:rsid w:val="001A5405"/>
    <w:rsid w:val="001A5A8B"/>
    <w:rsid w:val="001A5BD4"/>
    <w:rsid w:val="001A66AA"/>
    <w:rsid w:val="001A70A8"/>
    <w:rsid w:val="001B0E70"/>
    <w:rsid w:val="001B102C"/>
    <w:rsid w:val="001B151C"/>
    <w:rsid w:val="001B2797"/>
    <w:rsid w:val="001B2C0D"/>
    <w:rsid w:val="001B2D99"/>
    <w:rsid w:val="001B39BA"/>
    <w:rsid w:val="001B6017"/>
    <w:rsid w:val="001B6651"/>
    <w:rsid w:val="001B7A0B"/>
    <w:rsid w:val="001B7EB3"/>
    <w:rsid w:val="001C04BC"/>
    <w:rsid w:val="001C1FD9"/>
    <w:rsid w:val="001C21AC"/>
    <w:rsid w:val="001C2FE0"/>
    <w:rsid w:val="001C3A52"/>
    <w:rsid w:val="001C43A4"/>
    <w:rsid w:val="001C4644"/>
    <w:rsid w:val="001C4B8F"/>
    <w:rsid w:val="001C53F2"/>
    <w:rsid w:val="001C56E3"/>
    <w:rsid w:val="001C5BC2"/>
    <w:rsid w:val="001C60DA"/>
    <w:rsid w:val="001C650C"/>
    <w:rsid w:val="001C717A"/>
    <w:rsid w:val="001D0179"/>
    <w:rsid w:val="001D0251"/>
    <w:rsid w:val="001D258D"/>
    <w:rsid w:val="001D2888"/>
    <w:rsid w:val="001D4928"/>
    <w:rsid w:val="001D69F9"/>
    <w:rsid w:val="001D70E0"/>
    <w:rsid w:val="001E1188"/>
    <w:rsid w:val="001E26DD"/>
    <w:rsid w:val="001E2810"/>
    <w:rsid w:val="001E2DD6"/>
    <w:rsid w:val="001E3599"/>
    <w:rsid w:val="001E39F8"/>
    <w:rsid w:val="001E41DD"/>
    <w:rsid w:val="001E6BE6"/>
    <w:rsid w:val="001E7E63"/>
    <w:rsid w:val="001F0DD9"/>
    <w:rsid w:val="001F1CB9"/>
    <w:rsid w:val="001F1FBE"/>
    <w:rsid w:val="001F2096"/>
    <w:rsid w:val="001F2361"/>
    <w:rsid w:val="001F2957"/>
    <w:rsid w:val="001F35D9"/>
    <w:rsid w:val="001F62A4"/>
    <w:rsid w:val="001F6F6B"/>
    <w:rsid w:val="001F70D8"/>
    <w:rsid w:val="001F7501"/>
    <w:rsid w:val="0020034F"/>
    <w:rsid w:val="00203525"/>
    <w:rsid w:val="002042D2"/>
    <w:rsid w:val="002048EA"/>
    <w:rsid w:val="00205878"/>
    <w:rsid w:val="00207101"/>
    <w:rsid w:val="002104C2"/>
    <w:rsid w:val="00211511"/>
    <w:rsid w:val="00211887"/>
    <w:rsid w:val="00213D7B"/>
    <w:rsid w:val="00214DEC"/>
    <w:rsid w:val="002175C6"/>
    <w:rsid w:val="002200C7"/>
    <w:rsid w:val="0022111D"/>
    <w:rsid w:val="0022273E"/>
    <w:rsid w:val="002237CC"/>
    <w:rsid w:val="00223FDF"/>
    <w:rsid w:val="00224761"/>
    <w:rsid w:val="00224A3F"/>
    <w:rsid w:val="00224B1E"/>
    <w:rsid w:val="00224D96"/>
    <w:rsid w:val="002276BC"/>
    <w:rsid w:val="00230676"/>
    <w:rsid w:val="002306C7"/>
    <w:rsid w:val="0023127D"/>
    <w:rsid w:val="00231A18"/>
    <w:rsid w:val="00233F87"/>
    <w:rsid w:val="002340A1"/>
    <w:rsid w:val="00240363"/>
    <w:rsid w:val="002404A4"/>
    <w:rsid w:val="00240607"/>
    <w:rsid w:val="00241BD8"/>
    <w:rsid w:val="00242FCF"/>
    <w:rsid w:val="00243184"/>
    <w:rsid w:val="002434B0"/>
    <w:rsid w:val="00245103"/>
    <w:rsid w:val="00245B60"/>
    <w:rsid w:val="0025017D"/>
    <w:rsid w:val="00250B6A"/>
    <w:rsid w:val="00250C8B"/>
    <w:rsid w:val="0025453E"/>
    <w:rsid w:val="0025458E"/>
    <w:rsid w:val="00254CA9"/>
    <w:rsid w:val="00260415"/>
    <w:rsid w:val="00260C35"/>
    <w:rsid w:val="00264434"/>
    <w:rsid w:val="00264E2F"/>
    <w:rsid w:val="00266831"/>
    <w:rsid w:val="00266F94"/>
    <w:rsid w:val="00270B8C"/>
    <w:rsid w:val="0027418E"/>
    <w:rsid w:val="00274B19"/>
    <w:rsid w:val="00274BFD"/>
    <w:rsid w:val="00274FF7"/>
    <w:rsid w:val="002755C2"/>
    <w:rsid w:val="00276404"/>
    <w:rsid w:val="002767AA"/>
    <w:rsid w:val="00276AB2"/>
    <w:rsid w:val="00280873"/>
    <w:rsid w:val="002809C1"/>
    <w:rsid w:val="002811CA"/>
    <w:rsid w:val="002812BA"/>
    <w:rsid w:val="002817C7"/>
    <w:rsid w:val="00287E38"/>
    <w:rsid w:val="00290DA3"/>
    <w:rsid w:val="00292324"/>
    <w:rsid w:val="0029237A"/>
    <w:rsid w:val="00292EF5"/>
    <w:rsid w:val="00293C40"/>
    <w:rsid w:val="00294ABC"/>
    <w:rsid w:val="0029541C"/>
    <w:rsid w:val="00295FC5"/>
    <w:rsid w:val="00296919"/>
    <w:rsid w:val="002975CC"/>
    <w:rsid w:val="002A0FF0"/>
    <w:rsid w:val="002A2C5B"/>
    <w:rsid w:val="002A32C2"/>
    <w:rsid w:val="002A3A19"/>
    <w:rsid w:val="002A5633"/>
    <w:rsid w:val="002A56D2"/>
    <w:rsid w:val="002A6EFB"/>
    <w:rsid w:val="002B014E"/>
    <w:rsid w:val="002B0B88"/>
    <w:rsid w:val="002B3CD1"/>
    <w:rsid w:val="002B4BB2"/>
    <w:rsid w:val="002B4C58"/>
    <w:rsid w:val="002B5AC8"/>
    <w:rsid w:val="002C0DCF"/>
    <w:rsid w:val="002C0EA4"/>
    <w:rsid w:val="002C2887"/>
    <w:rsid w:val="002C3B45"/>
    <w:rsid w:val="002C55A3"/>
    <w:rsid w:val="002C5E3F"/>
    <w:rsid w:val="002C62A6"/>
    <w:rsid w:val="002D061D"/>
    <w:rsid w:val="002D17E9"/>
    <w:rsid w:val="002D1867"/>
    <w:rsid w:val="002D6A9D"/>
    <w:rsid w:val="002D6B78"/>
    <w:rsid w:val="002D6EA3"/>
    <w:rsid w:val="002E0121"/>
    <w:rsid w:val="002E0CCA"/>
    <w:rsid w:val="002F00EF"/>
    <w:rsid w:val="002F0C41"/>
    <w:rsid w:val="002F142F"/>
    <w:rsid w:val="002F19A3"/>
    <w:rsid w:val="002F2009"/>
    <w:rsid w:val="002F37E6"/>
    <w:rsid w:val="002F4593"/>
    <w:rsid w:val="002F5976"/>
    <w:rsid w:val="00300362"/>
    <w:rsid w:val="00300924"/>
    <w:rsid w:val="00300FA4"/>
    <w:rsid w:val="003025A8"/>
    <w:rsid w:val="00302BAB"/>
    <w:rsid w:val="00303A1A"/>
    <w:rsid w:val="00305AF8"/>
    <w:rsid w:val="0030750D"/>
    <w:rsid w:val="003076C9"/>
    <w:rsid w:val="0031031A"/>
    <w:rsid w:val="003129B6"/>
    <w:rsid w:val="00313449"/>
    <w:rsid w:val="003146AC"/>
    <w:rsid w:val="00314D6E"/>
    <w:rsid w:val="00320E57"/>
    <w:rsid w:val="003216E1"/>
    <w:rsid w:val="00321C29"/>
    <w:rsid w:val="003221EF"/>
    <w:rsid w:val="00322C23"/>
    <w:rsid w:val="003248A2"/>
    <w:rsid w:val="00324C49"/>
    <w:rsid w:val="0032509C"/>
    <w:rsid w:val="003301C8"/>
    <w:rsid w:val="00330463"/>
    <w:rsid w:val="00330A13"/>
    <w:rsid w:val="00334AEC"/>
    <w:rsid w:val="00337D39"/>
    <w:rsid w:val="003427F8"/>
    <w:rsid w:val="00342A2A"/>
    <w:rsid w:val="00345183"/>
    <w:rsid w:val="003457B4"/>
    <w:rsid w:val="003458B3"/>
    <w:rsid w:val="003504D7"/>
    <w:rsid w:val="00350D0D"/>
    <w:rsid w:val="00350EFD"/>
    <w:rsid w:val="00350FA5"/>
    <w:rsid w:val="00351B81"/>
    <w:rsid w:val="00352AF7"/>
    <w:rsid w:val="0035477B"/>
    <w:rsid w:val="00355DC8"/>
    <w:rsid w:val="0035622A"/>
    <w:rsid w:val="00357AEB"/>
    <w:rsid w:val="003604AA"/>
    <w:rsid w:val="00363DC4"/>
    <w:rsid w:val="003664C5"/>
    <w:rsid w:val="003675DE"/>
    <w:rsid w:val="00367B72"/>
    <w:rsid w:val="00370E69"/>
    <w:rsid w:val="00370ED3"/>
    <w:rsid w:val="003725B4"/>
    <w:rsid w:val="00372A6E"/>
    <w:rsid w:val="00372BEC"/>
    <w:rsid w:val="00373180"/>
    <w:rsid w:val="00373848"/>
    <w:rsid w:val="003746E0"/>
    <w:rsid w:val="00381F6D"/>
    <w:rsid w:val="0038290D"/>
    <w:rsid w:val="003868B8"/>
    <w:rsid w:val="00392385"/>
    <w:rsid w:val="003928AA"/>
    <w:rsid w:val="00392D8A"/>
    <w:rsid w:val="003938C8"/>
    <w:rsid w:val="00393C46"/>
    <w:rsid w:val="003941CD"/>
    <w:rsid w:val="0039601B"/>
    <w:rsid w:val="003A0211"/>
    <w:rsid w:val="003A0E90"/>
    <w:rsid w:val="003A1C70"/>
    <w:rsid w:val="003A31DE"/>
    <w:rsid w:val="003A41A1"/>
    <w:rsid w:val="003A4578"/>
    <w:rsid w:val="003B576A"/>
    <w:rsid w:val="003B665E"/>
    <w:rsid w:val="003B6A5A"/>
    <w:rsid w:val="003C020F"/>
    <w:rsid w:val="003C237A"/>
    <w:rsid w:val="003C293F"/>
    <w:rsid w:val="003C32CD"/>
    <w:rsid w:val="003C3BE0"/>
    <w:rsid w:val="003C4AB2"/>
    <w:rsid w:val="003C607F"/>
    <w:rsid w:val="003C7132"/>
    <w:rsid w:val="003D01F8"/>
    <w:rsid w:val="003D0929"/>
    <w:rsid w:val="003D33C7"/>
    <w:rsid w:val="003D5084"/>
    <w:rsid w:val="003D53CA"/>
    <w:rsid w:val="003D6E3A"/>
    <w:rsid w:val="003D7A72"/>
    <w:rsid w:val="003E149E"/>
    <w:rsid w:val="003E1996"/>
    <w:rsid w:val="003E1CE0"/>
    <w:rsid w:val="003E318D"/>
    <w:rsid w:val="003E3703"/>
    <w:rsid w:val="003E4DB5"/>
    <w:rsid w:val="003F07A6"/>
    <w:rsid w:val="003F1AB5"/>
    <w:rsid w:val="003F1BC9"/>
    <w:rsid w:val="003F2674"/>
    <w:rsid w:val="003F3206"/>
    <w:rsid w:val="00401B4F"/>
    <w:rsid w:val="00404D8D"/>
    <w:rsid w:val="0040502A"/>
    <w:rsid w:val="00405A6B"/>
    <w:rsid w:val="00406381"/>
    <w:rsid w:val="004065A1"/>
    <w:rsid w:val="00407972"/>
    <w:rsid w:val="00412567"/>
    <w:rsid w:val="004136C3"/>
    <w:rsid w:val="00414BD6"/>
    <w:rsid w:val="00414E05"/>
    <w:rsid w:val="00414E78"/>
    <w:rsid w:val="00415293"/>
    <w:rsid w:val="0041531C"/>
    <w:rsid w:val="0041578E"/>
    <w:rsid w:val="004158E6"/>
    <w:rsid w:val="004172D1"/>
    <w:rsid w:val="004207DD"/>
    <w:rsid w:val="00421198"/>
    <w:rsid w:val="00424530"/>
    <w:rsid w:val="00425050"/>
    <w:rsid w:val="004254BA"/>
    <w:rsid w:val="00426C5F"/>
    <w:rsid w:val="0042717D"/>
    <w:rsid w:val="0043250D"/>
    <w:rsid w:val="00432DC1"/>
    <w:rsid w:val="004335FC"/>
    <w:rsid w:val="0043577F"/>
    <w:rsid w:val="0043675A"/>
    <w:rsid w:val="004373E9"/>
    <w:rsid w:val="00441F85"/>
    <w:rsid w:val="004443E7"/>
    <w:rsid w:val="0044484B"/>
    <w:rsid w:val="0044526F"/>
    <w:rsid w:val="00446DDB"/>
    <w:rsid w:val="00451470"/>
    <w:rsid w:val="0045195F"/>
    <w:rsid w:val="00452468"/>
    <w:rsid w:val="0045301B"/>
    <w:rsid w:val="00453CE1"/>
    <w:rsid w:val="004541F3"/>
    <w:rsid w:val="00455919"/>
    <w:rsid w:val="00455953"/>
    <w:rsid w:val="00455E0E"/>
    <w:rsid w:val="00461192"/>
    <w:rsid w:val="00461748"/>
    <w:rsid w:val="00465BD0"/>
    <w:rsid w:val="00470532"/>
    <w:rsid w:val="004719B4"/>
    <w:rsid w:val="00471C42"/>
    <w:rsid w:val="00471CA1"/>
    <w:rsid w:val="00471CCE"/>
    <w:rsid w:val="00472729"/>
    <w:rsid w:val="0047368B"/>
    <w:rsid w:val="00475232"/>
    <w:rsid w:val="004775AC"/>
    <w:rsid w:val="00477745"/>
    <w:rsid w:val="0048187C"/>
    <w:rsid w:val="00481AC4"/>
    <w:rsid w:val="00482FB6"/>
    <w:rsid w:val="00483749"/>
    <w:rsid w:val="00485C52"/>
    <w:rsid w:val="00486380"/>
    <w:rsid w:val="00486580"/>
    <w:rsid w:val="00487405"/>
    <w:rsid w:val="00491A29"/>
    <w:rsid w:val="00492211"/>
    <w:rsid w:val="00492736"/>
    <w:rsid w:val="00494D10"/>
    <w:rsid w:val="004955E7"/>
    <w:rsid w:val="0049781D"/>
    <w:rsid w:val="004A1E4E"/>
    <w:rsid w:val="004A5C49"/>
    <w:rsid w:val="004A5D8B"/>
    <w:rsid w:val="004A5D9C"/>
    <w:rsid w:val="004A6465"/>
    <w:rsid w:val="004A75EF"/>
    <w:rsid w:val="004A778E"/>
    <w:rsid w:val="004B0861"/>
    <w:rsid w:val="004B1DCF"/>
    <w:rsid w:val="004B2FC0"/>
    <w:rsid w:val="004B322D"/>
    <w:rsid w:val="004B7784"/>
    <w:rsid w:val="004C015A"/>
    <w:rsid w:val="004C03C2"/>
    <w:rsid w:val="004C06A9"/>
    <w:rsid w:val="004C090A"/>
    <w:rsid w:val="004C1B19"/>
    <w:rsid w:val="004C1D00"/>
    <w:rsid w:val="004C2F9A"/>
    <w:rsid w:val="004C320A"/>
    <w:rsid w:val="004C4002"/>
    <w:rsid w:val="004C5418"/>
    <w:rsid w:val="004C5F48"/>
    <w:rsid w:val="004C5FA1"/>
    <w:rsid w:val="004C61E0"/>
    <w:rsid w:val="004C6392"/>
    <w:rsid w:val="004C650C"/>
    <w:rsid w:val="004D0192"/>
    <w:rsid w:val="004D0991"/>
    <w:rsid w:val="004D24E6"/>
    <w:rsid w:val="004D2B41"/>
    <w:rsid w:val="004D3523"/>
    <w:rsid w:val="004D4691"/>
    <w:rsid w:val="004D5F61"/>
    <w:rsid w:val="004D6FC8"/>
    <w:rsid w:val="004D7668"/>
    <w:rsid w:val="004E00BC"/>
    <w:rsid w:val="004E0E63"/>
    <w:rsid w:val="004E0E6D"/>
    <w:rsid w:val="004E405B"/>
    <w:rsid w:val="004E45D8"/>
    <w:rsid w:val="004E4D85"/>
    <w:rsid w:val="004E6C3D"/>
    <w:rsid w:val="004F059E"/>
    <w:rsid w:val="004F0AB6"/>
    <w:rsid w:val="004F0BC6"/>
    <w:rsid w:val="004F1077"/>
    <w:rsid w:val="004F1651"/>
    <w:rsid w:val="004F1BD0"/>
    <w:rsid w:val="004F63DB"/>
    <w:rsid w:val="004F65D4"/>
    <w:rsid w:val="004F69D2"/>
    <w:rsid w:val="004F7817"/>
    <w:rsid w:val="00500027"/>
    <w:rsid w:val="00501650"/>
    <w:rsid w:val="00502554"/>
    <w:rsid w:val="00503B0C"/>
    <w:rsid w:val="0050481C"/>
    <w:rsid w:val="005054F2"/>
    <w:rsid w:val="00505C64"/>
    <w:rsid w:val="00507E2B"/>
    <w:rsid w:val="00510201"/>
    <w:rsid w:val="00510392"/>
    <w:rsid w:val="005105EF"/>
    <w:rsid w:val="00511C21"/>
    <w:rsid w:val="0051326C"/>
    <w:rsid w:val="0051392F"/>
    <w:rsid w:val="00513D48"/>
    <w:rsid w:val="00514944"/>
    <w:rsid w:val="005159E2"/>
    <w:rsid w:val="00521860"/>
    <w:rsid w:val="00522A8F"/>
    <w:rsid w:val="00523895"/>
    <w:rsid w:val="00524FDF"/>
    <w:rsid w:val="00525E7F"/>
    <w:rsid w:val="00532DDB"/>
    <w:rsid w:val="005348FB"/>
    <w:rsid w:val="00535F94"/>
    <w:rsid w:val="00540765"/>
    <w:rsid w:val="00540776"/>
    <w:rsid w:val="005408DC"/>
    <w:rsid w:val="005410AB"/>
    <w:rsid w:val="00541B93"/>
    <w:rsid w:val="00543A44"/>
    <w:rsid w:val="00543AE1"/>
    <w:rsid w:val="00544EA6"/>
    <w:rsid w:val="005508BA"/>
    <w:rsid w:val="00552C77"/>
    <w:rsid w:val="00552D38"/>
    <w:rsid w:val="00552EFF"/>
    <w:rsid w:val="0055405C"/>
    <w:rsid w:val="00560AE5"/>
    <w:rsid w:val="0056144E"/>
    <w:rsid w:val="0056178C"/>
    <w:rsid w:val="00563D41"/>
    <w:rsid w:val="00564C97"/>
    <w:rsid w:val="0056514B"/>
    <w:rsid w:val="00565454"/>
    <w:rsid w:val="00565691"/>
    <w:rsid w:val="005660B3"/>
    <w:rsid w:val="00567316"/>
    <w:rsid w:val="005673AC"/>
    <w:rsid w:val="0057151F"/>
    <w:rsid w:val="00571BB6"/>
    <w:rsid w:val="005720C9"/>
    <w:rsid w:val="00572989"/>
    <w:rsid w:val="00572F58"/>
    <w:rsid w:val="0057357A"/>
    <w:rsid w:val="005743DF"/>
    <w:rsid w:val="00575791"/>
    <w:rsid w:val="00575BA7"/>
    <w:rsid w:val="00580D9C"/>
    <w:rsid w:val="00581331"/>
    <w:rsid w:val="00582AA7"/>
    <w:rsid w:val="0058333C"/>
    <w:rsid w:val="005833EC"/>
    <w:rsid w:val="0058477C"/>
    <w:rsid w:val="0058568F"/>
    <w:rsid w:val="0058692D"/>
    <w:rsid w:val="00586FB3"/>
    <w:rsid w:val="005931CD"/>
    <w:rsid w:val="00593D83"/>
    <w:rsid w:val="00596E1A"/>
    <w:rsid w:val="00597B5C"/>
    <w:rsid w:val="005A0FF8"/>
    <w:rsid w:val="005A1370"/>
    <w:rsid w:val="005A43A1"/>
    <w:rsid w:val="005A4494"/>
    <w:rsid w:val="005A610A"/>
    <w:rsid w:val="005A61F4"/>
    <w:rsid w:val="005A67EE"/>
    <w:rsid w:val="005A6911"/>
    <w:rsid w:val="005B1C5D"/>
    <w:rsid w:val="005B2289"/>
    <w:rsid w:val="005B253F"/>
    <w:rsid w:val="005B3218"/>
    <w:rsid w:val="005B35EB"/>
    <w:rsid w:val="005B5055"/>
    <w:rsid w:val="005B599D"/>
    <w:rsid w:val="005B5C09"/>
    <w:rsid w:val="005B74FD"/>
    <w:rsid w:val="005B7D63"/>
    <w:rsid w:val="005C1A17"/>
    <w:rsid w:val="005C2856"/>
    <w:rsid w:val="005C2865"/>
    <w:rsid w:val="005C3DFF"/>
    <w:rsid w:val="005C498B"/>
    <w:rsid w:val="005C4997"/>
    <w:rsid w:val="005C590A"/>
    <w:rsid w:val="005C5C4D"/>
    <w:rsid w:val="005C6269"/>
    <w:rsid w:val="005C7162"/>
    <w:rsid w:val="005C7FCC"/>
    <w:rsid w:val="005D0DBC"/>
    <w:rsid w:val="005D2527"/>
    <w:rsid w:val="005D4005"/>
    <w:rsid w:val="005D40D1"/>
    <w:rsid w:val="005D63A1"/>
    <w:rsid w:val="005D65F6"/>
    <w:rsid w:val="005D7532"/>
    <w:rsid w:val="005E0816"/>
    <w:rsid w:val="005E1544"/>
    <w:rsid w:val="005E30B4"/>
    <w:rsid w:val="005E331B"/>
    <w:rsid w:val="005E389E"/>
    <w:rsid w:val="005E5062"/>
    <w:rsid w:val="005E579D"/>
    <w:rsid w:val="005E6066"/>
    <w:rsid w:val="005F2B0B"/>
    <w:rsid w:val="005F2DA5"/>
    <w:rsid w:val="005F425F"/>
    <w:rsid w:val="005F4FEE"/>
    <w:rsid w:val="005F5ED9"/>
    <w:rsid w:val="005F711B"/>
    <w:rsid w:val="0060023C"/>
    <w:rsid w:val="006017FA"/>
    <w:rsid w:val="006059B2"/>
    <w:rsid w:val="00606C49"/>
    <w:rsid w:val="00610305"/>
    <w:rsid w:val="00610419"/>
    <w:rsid w:val="00611985"/>
    <w:rsid w:val="00611B50"/>
    <w:rsid w:val="00611DDB"/>
    <w:rsid w:val="00612479"/>
    <w:rsid w:val="00612C7B"/>
    <w:rsid w:val="006148AC"/>
    <w:rsid w:val="00615CA4"/>
    <w:rsid w:val="00616C2A"/>
    <w:rsid w:val="006209B6"/>
    <w:rsid w:val="006209BD"/>
    <w:rsid w:val="00622366"/>
    <w:rsid w:val="006224C1"/>
    <w:rsid w:val="00622726"/>
    <w:rsid w:val="006251B6"/>
    <w:rsid w:val="006268C9"/>
    <w:rsid w:val="006269B7"/>
    <w:rsid w:val="00626CE9"/>
    <w:rsid w:val="00626E9A"/>
    <w:rsid w:val="0062707E"/>
    <w:rsid w:val="00627EA5"/>
    <w:rsid w:val="006307A5"/>
    <w:rsid w:val="006313B8"/>
    <w:rsid w:val="0063151E"/>
    <w:rsid w:val="00632904"/>
    <w:rsid w:val="00633D1A"/>
    <w:rsid w:val="00633DC7"/>
    <w:rsid w:val="006356FC"/>
    <w:rsid w:val="0063605D"/>
    <w:rsid w:val="00636E1D"/>
    <w:rsid w:val="0063718E"/>
    <w:rsid w:val="00637423"/>
    <w:rsid w:val="00637858"/>
    <w:rsid w:val="006409B0"/>
    <w:rsid w:val="006418F7"/>
    <w:rsid w:val="0064281C"/>
    <w:rsid w:val="00642A33"/>
    <w:rsid w:val="00642FE9"/>
    <w:rsid w:val="006526D8"/>
    <w:rsid w:val="0065448A"/>
    <w:rsid w:val="00655112"/>
    <w:rsid w:val="006553B8"/>
    <w:rsid w:val="00656062"/>
    <w:rsid w:val="006577D7"/>
    <w:rsid w:val="00660574"/>
    <w:rsid w:val="00661B7C"/>
    <w:rsid w:val="006632B5"/>
    <w:rsid w:val="00663B0A"/>
    <w:rsid w:val="00663BEE"/>
    <w:rsid w:val="00663D16"/>
    <w:rsid w:val="006641F8"/>
    <w:rsid w:val="006644DB"/>
    <w:rsid w:val="00664881"/>
    <w:rsid w:val="006657B1"/>
    <w:rsid w:val="00665FA3"/>
    <w:rsid w:val="006671A5"/>
    <w:rsid w:val="006700B3"/>
    <w:rsid w:val="006700E3"/>
    <w:rsid w:val="00670254"/>
    <w:rsid w:val="00671748"/>
    <w:rsid w:val="00672AD4"/>
    <w:rsid w:val="006735DE"/>
    <w:rsid w:val="00676680"/>
    <w:rsid w:val="00677085"/>
    <w:rsid w:val="0067725E"/>
    <w:rsid w:val="006807C1"/>
    <w:rsid w:val="00680E3F"/>
    <w:rsid w:val="00682A8C"/>
    <w:rsid w:val="0068322D"/>
    <w:rsid w:val="00684527"/>
    <w:rsid w:val="006871C4"/>
    <w:rsid w:val="006902BE"/>
    <w:rsid w:val="006913E5"/>
    <w:rsid w:val="00693087"/>
    <w:rsid w:val="00693BD2"/>
    <w:rsid w:val="00694E60"/>
    <w:rsid w:val="006968DE"/>
    <w:rsid w:val="0069726A"/>
    <w:rsid w:val="006973AC"/>
    <w:rsid w:val="00697641"/>
    <w:rsid w:val="00697BF2"/>
    <w:rsid w:val="006A0930"/>
    <w:rsid w:val="006A0D6A"/>
    <w:rsid w:val="006A1F7B"/>
    <w:rsid w:val="006A2B03"/>
    <w:rsid w:val="006A2CA7"/>
    <w:rsid w:val="006A2FE4"/>
    <w:rsid w:val="006A5D89"/>
    <w:rsid w:val="006A61F0"/>
    <w:rsid w:val="006A6F6D"/>
    <w:rsid w:val="006A79AF"/>
    <w:rsid w:val="006B135F"/>
    <w:rsid w:val="006B6280"/>
    <w:rsid w:val="006C186D"/>
    <w:rsid w:val="006C1C7B"/>
    <w:rsid w:val="006C22AF"/>
    <w:rsid w:val="006C3CB2"/>
    <w:rsid w:val="006C4055"/>
    <w:rsid w:val="006C4FF7"/>
    <w:rsid w:val="006D15A7"/>
    <w:rsid w:val="006D22C8"/>
    <w:rsid w:val="006D666C"/>
    <w:rsid w:val="006D6958"/>
    <w:rsid w:val="006D6E07"/>
    <w:rsid w:val="006D6E55"/>
    <w:rsid w:val="006D7393"/>
    <w:rsid w:val="006E15C3"/>
    <w:rsid w:val="006E1C1A"/>
    <w:rsid w:val="006E22CA"/>
    <w:rsid w:val="006E2B41"/>
    <w:rsid w:val="006E55E1"/>
    <w:rsid w:val="006E5F9F"/>
    <w:rsid w:val="006E60C8"/>
    <w:rsid w:val="006F2E13"/>
    <w:rsid w:val="006F4280"/>
    <w:rsid w:val="006F445D"/>
    <w:rsid w:val="006F45C0"/>
    <w:rsid w:val="006F4FD7"/>
    <w:rsid w:val="006F55DB"/>
    <w:rsid w:val="006F6986"/>
    <w:rsid w:val="006F72C6"/>
    <w:rsid w:val="006F7D8E"/>
    <w:rsid w:val="00700CF0"/>
    <w:rsid w:val="00702661"/>
    <w:rsid w:val="00703E4E"/>
    <w:rsid w:val="0070481D"/>
    <w:rsid w:val="00704CFB"/>
    <w:rsid w:val="0070677B"/>
    <w:rsid w:val="007071C6"/>
    <w:rsid w:val="0071196B"/>
    <w:rsid w:val="00711E1C"/>
    <w:rsid w:val="00712D2C"/>
    <w:rsid w:val="0071684B"/>
    <w:rsid w:val="007170F8"/>
    <w:rsid w:val="00720CB4"/>
    <w:rsid w:val="007215F1"/>
    <w:rsid w:val="00721891"/>
    <w:rsid w:val="00721FBA"/>
    <w:rsid w:val="00723764"/>
    <w:rsid w:val="00725A3A"/>
    <w:rsid w:val="00727855"/>
    <w:rsid w:val="00730352"/>
    <w:rsid w:val="00730A0F"/>
    <w:rsid w:val="00734DCE"/>
    <w:rsid w:val="0073529E"/>
    <w:rsid w:val="0073631A"/>
    <w:rsid w:val="00740DC7"/>
    <w:rsid w:val="00742839"/>
    <w:rsid w:val="007431C9"/>
    <w:rsid w:val="007437F2"/>
    <w:rsid w:val="00743AC2"/>
    <w:rsid w:val="00745446"/>
    <w:rsid w:val="007459D9"/>
    <w:rsid w:val="00745CFD"/>
    <w:rsid w:val="00750A24"/>
    <w:rsid w:val="00750F68"/>
    <w:rsid w:val="00751202"/>
    <w:rsid w:val="00752710"/>
    <w:rsid w:val="007527DD"/>
    <w:rsid w:val="007542B8"/>
    <w:rsid w:val="00754A74"/>
    <w:rsid w:val="00754F1F"/>
    <w:rsid w:val="00755505"/>
    <w:rsid w:val="00756501"/>
    <w:rsid w:val="007569D9"/>
    <w:rsid w:val="00756CAF"/>
    <w:rsid w:val="0075792B"/>
    <w:rsid w:val="007605C7"/>
    <w:rsid w:val="0076092D"/>
    <w:rsid w:val="00760FE9"/>
    <w:rsid w:val="0076316D"/>
    <w:rsid w:val="0076714B"/>
    <w:rsid w:val="00770A9C"/>
    <w:rsid w:val="00772993"/>
    <w:rsid w:val="0077330E"/>
    <w:rsid w:val="0077764E"/>
    <w:rsid w:val="007815FB"/>
    <w:rsid w:val="00781D80"/>
    <w:rsid w:val="007829F5"/>
    <w:rsid w:val="00783C1E"/>
    <w:rsid w:val="0078430A"/>
    <w:rsid w:val="0078442C"/>
    <w:rsid w:val="007859E6"/>
    <w:rsid w:val="00786519"/>
    <w:rsid w:val="00786654"/>
    <w:rsid w:val="0078667F"/>
    <w:rsid w:val="00786838"/>
    <w:rsid w:val="0079002B"/>
    <w:rsid w:val="00790DE1"/>
    <w:rsid w:val="00791DE5"/>
    <w:rsid w:val="00791E28"/>
    <w:rsid w:val="00793D72"/>
    <w:rsid w:val="007A0054"/>
    <w:rsid w:val="007A2A87"/>
    <w:rsid w:val="007A35BC"/>
    <w:rsid w:val="007A38F2"/>
    <w:rsid w:val="007A44A6"/>
    <w:rsid w:val="007A5353"/>
    <w:rsid w:val="007A6AB7"/>
    <w:rsid w:val="007A7437"/>
    <w:rsid w:val="007B329D"/>
    <w:rsid w:val="007B3637"/>
    <w:rsid w:val="007B3D63"/>
    <w:rsid w:val="007B42EC"/>
    <w:rsid w:val="007B4724"/>
    <w:rsid w:val="007B69D6"/>
    <w:rsid w:val="007C05CD"/>
    <w:rsid w:val="007C337E"/>
    <w:rsid w:val="007C373A"/>
    <w:rsid w:val="007C3FAB"/>
    <w:rsid w:val="007C55D0"/>
    <w:rsid w:val="007C7419"/>
    <w:rsid w:val="007D26C1"/>
    <w:rsid w:val="007D3E67"/>
    <w:rsid w:val="007D441E"/>
    <w:rsid w:val="007D49F6"/>
    <w:rsid w:val="007D6AB8"/>
    <w:rsid w:val="007D73BC"/>
    <w:rsid w:val="007E17FF"/>
    <w:rsid w:val="007E2CE6"/>
    <w:rsid w:val="007E3A92"/>
    <w:rsid w:val="007E57CE"/>
    <w:rsid w:val="007E686E"/>
    <w:rsid w:val="007E7531"/>
    <w:rsid w:val="007F052C"/>
    <w:rsid w:val="007F24BA"/>
    <w:rsid w:val="007F29B5"/>
    <w:rsid w:val="007F40F6"/>
    <w:rsid w:val="007F4D39"/>
    <w:rsid w:val="007F566F"/>
    <w:rsid w:val="007F6A28"/>
    <w:rsid w:val="007F7CEC"/>
    <w:rsid w:val="007F7EBF"/>
    <w:rsid w:val="0080001C"/>
    <w:rsid w:val="00801FA4"/>
    <w:rsid w:val="00802AB8"/>
    <w:rsid w:val="00802DD9"/>
    <w:rsid w:val="00805889"/>
    <w:rsid w:val="00805D37"/>
    <w:rsid w:val="00805E7E"/>
    <w:rsid w:val="00810A3B"/>
    <w:rsid w:val="00810EBD"/>
    <w:rsid w:val="008116D5"/>
    <w:rsid w:val="00811AC7"/>
    <w:rsid w:val="00812027"/>
    <w:rsid w:val="008123E1"/>
    <w:rsid w:val="00812527"/>
    <w:rsid w:val="00813BAC"/>
    <w:rsid w:val="00813CD4"/>
    <w:rsid w:val="008140C2"/>
    <w:rsid w:val="0081424C"/>
    <w:rsid w:val="00821B9D"/>
    <w:rsid w:val="00823FF9"/>
    <w:rsid w:val="00824A41"/>
    <w:rsid w:val="008255C5"/>
    <w:rsid w:val="00825DA4"/>
    <w:rsid w:val="00830B4F"/>
    <w:rsid w:val="0083120F"/>
    <w:rsid w:val="008317DE"/>
    <w:rsid w:val="00832FB8"/>
    <w:rsid w:val="0083480C"/>
    <w:rsid w:val="00837857"/>
    <w:rsid w:val="008444E2"/>
    <w:rsid w:val="0084468C"/>
    <w:rsid w:val="00844EE2"/>
    <w:rsid w:val="0085041F"/>
    <w:rsid w:val="00850842"/>
    <w:rsid w:val="00850A8A"/>
    <w:rsid w:val="00851DC4"/>
    <w:rsid w:val="00853187"/>
    <w:rsid w:val="008537AA"/>
    <w:rsid w:val="008552A0"/>
    <w:rsid w:val="008572A9"/>
    <w:rsid w:val="00857AFC"/>
    <w:rsid w:val="00860FFD"/>
    <w:rsid w:val="00862D23"/>
    <w:rsid w:val="00862D53"/>
    <w:rsid w:val="00865492"/>
    <w:rsid w:val="0086592A"/>
    <w:rsid w:val="00866549"/>
    <w:rsid w:val="00866CD1"/>
    <w:rsid w:val="008676F3"/>
    <w:rsid w:val="00867CB4"/>
    <w:rsid w:val="0087068A"/>
    <w:rsid w:val="008708AB"/>
    <w:rsid w:val="0087390D"/>
    <w:rsid w:val="00873C44"/>
    <w:rsid w:val="00874ED5"/>
    <w:rsid w:val="008765E8"/>
    <w:rsid w:val="008776ED"/>
    <w:rsid w:val="00880367"/>
    <w:rsid w:val="00880707"/>
    <w:rsid w:val="008810BC"/>
    <w:rsid w:val="008819DF"/>
    <w:rsid w:val="00881A19"/>
    <w:rsid w:val="00883438"/>
    <w:rsid w:val="0088417D"/>
    <w:rsid w:val="008843E1"/>
    <w:rsid w:val="008846FA"/>
    <w:rsid w:val="00884D6D"/>
    <w:rsid w:val="0088562F"/>
    <w:rsid w:val="00887550"/>
    <w:rsid w:val="00892322"/>
    <w:rsid w:val="00892F35"/>
    <w:rsid w:val="0089627B"/>
    <w:rsid w:val="00896A2F"/>
    <w:rsid w:val="00897E36"/>
    <w:rsid w:val="008A197E"/>
    <w:rsid w:val="008A5993"/>
    <w:rsid w:val="008A6095"/>
    <w:rsid w:val="008A7C0A"/>
    <w:rsid w:val="008B0845"/>
    <w:rsid w:val="008B0DCD"/>
    <w:rsid w:val="008B254D"/>
    <w:rsid w:val="008B62A9"/>
    <w:rsid w:val="008B7D61"/>
    <w:rsid w:val="008C1A94"/>
    <w:rsid w:val="008C29E1"/>
    <w:rsid w:val="008C364B"/>
    <w:rsid w:val="008C4549"/>
    <w:rsid w:val="008C4794"/>
    <w:rsid w:val="008C55DE"/>
    <w:rsid w:val="008C59EB"/>
    <w:rsid w:val="008C5B82"/>
    <w:rsid w:val="008C5BE5"/>
    <w:rsid w:val="008C7697"/>
    <w:rsid w:val="008D3B1A"/>
    <w:rsid w:val="008D522D"/>
    <w:rsid w:val="008D6300"/>
    <w:rsid w:val="008E0258"/>
    <w:rsid w:val="008E2D7F"/>
    <w:rsid w:val="008F00BC"/>
    <w:rsid w:val="008F0228"/>
    <w:rsid w:val="008F0332"/>
    <w:rsid w:val="008F08CA"/>
    <w:rsid w:val="008F0A6C"/>
    <w:rsid w:val="008F18EB"/>
    <w:rsid w:val="008F3242"/>
    <w:rsid w:val="008F3908"/>
    <w:rsid w:val="008F66F5"/>
    <w:rsid w:val="008F7340"/>
    <w:rsid w:val="008F73E9"/>
    <w:rsid w:val="009014B6"/>
    <w:rsid w:val="0090281A"/>
    <w:rsid w:val="0090321E"/>
    <w:rsid w:val="00903F9E"/>
    <w:rsid w:val="00912882"/>
    <w:rsid w:val="00912895"/>
    <w:rsid w:val="00912A54"/>
    <w:rsid w:val="00913434"/>
    <w:rsid w:val="009148AF"/>
    <w:rsid w:val="00914A93"/>
    <w:rsid w:val="009151D6"/>
    <w:rsid w:val="0091526F"/>
    <w:rsid w:val="00917814"/>
    <w:rsid w:val="009210DE"/>
    <w:rsid w:val="00921167"/>
    <w:rsid w:val="00921B99"/>
    <w:rsid w:val="00922316"/>
    <w:rsid w:val="0092311E"/>
    <w:rsid w:val="00923D55"/>
    <w:rsid w:val="009259E7"/>
    <w:rsid w:val="00925F6C"/>
    <w:rsid w:val="00926A84"/>
    <w:rsid w:val="00927E47"/>
    <w:rsid w:val="00930E02"/>
    <w:rsid w:val="00931BA6"/>
    <w:rsid w:val="00933F36"/>
    <w:rsid w:val="00936585"/>
    <w:rsid w:val="00943B87"/>
    <w:rsid w:val="00943C57"/>
    <w:rsid w:val="009446A9"/>
    <w:rsid w:val="00945FDC"/>
    <w:rsid w:val="009461DC"/>
    <w:rsid w:val="00946A88"/>
    <w:rsid w:val="00947EFB"/>
    <w:rsid w:val="00950374"/>
    <w:rsid w:val="0095054B"/>
    <w:rsid w:val="009531CB"/>
    <w:rsid w:val="00953FD0"/>
    <w:rsid w:val="009545C6"/>
    <w:rsid w:val="0095720B"/>
    <w:rsid w:val="00957A42"/>
    <w:rsid w:val="00957C66"/>
    <w:rsid w:val="00960690"/>
    <w:rsid w:val="0096160F"/>
    <w:rsid w:val="00961A84"/>
    <w:rsid w:val="009620B8"/>
    <w:rsid w:val="0096255E"/>
    <w:rsid w:val="009631B5"/>
    <w:rsid w:val="00965B80"/>
    <w:rsid w:val="00965EF4"/>
    <w:rsid w:val="00966130"/>
    <w:rsid w:val="0097360D"/>
    <w:rsid w:val="009762F5"/>
    <w:rsid w:val="009763A6"/>
    <w:rsid w:val="009763F3"/>
    <w:rsid w:val="00976910"/>
    <w:rsid w:val="00976D8D"/>
    <w:rsid w:val="0098613E"/>
    <w:rsid w:val="00987FAE"/>
    <w:rsid w:val="009906F2"/>
    <w:rsid w:val="0099073D"/>
    <w:rsid w:val="00991A79"/>
    <w:rsid w:val="00991FC0"/>
    <w:rsid w:val="0099317B"/>
    <w:rsid w:val="00993B1E"/>
    <w:rsid w:val="00994B42"/>
    <w:rsid w:val="00994B8A"/>
    <w:rsid w:val="00994D7D"/>
    <w:rsid w:val="00995E57"/>
    <w:rsid w:val="0099664B"/>
    <w:rsid w:val="0099709C"/>
    <w:rsid w:val="009A1C7E"/>
    <w:rsid w:val="009A2201"/>
    <w:rsid w:val="009A24FF"/>
    <w:rsid w:val="009A2896"/>
    <w:rsid w:val="009A2FBD"/>
    <w:rsid w:val="009A3937"/>
    <w:rsid w:val="009A40B9"/>
    <w:rsid w:val="009A49FC"/>
    <w:rsid w:val="009A51C8"/>
    <w:rsid w:val="009A6C2A"/>
    <w:rsid w:val="009B0BC1"/>
    <w:rsid w:val="009B2D35"/>
    <w:rsid w:val="009B37D7"/>
    <w:rsid w:val="009B501B"/>
    <w:rsid w:val="009B6F06"/>
    <w:rsid w:val="009B7417"/>
    <w:rsid w:val="009B7766"/>
    <w:rsid w:val="009C12C9"/>
    <w:rsid w:val="009C1CE7"/>
    <w:rsid w:val="009C2CEF"/>
    <w:rsid w:val="009C532C"/>
    <w:rsid w:val="009C705B"/>
    <w:rsid w:val="009D0F4E"/>
    <w:rsid w:val="009D116E"/>
    <w:rsid w:val="009D1B92"/>
    <w:rsid w:val="009D2181"/>
    <w:rsid w:val="009D256C"/>
    <w:rsid w:val="009D3026"/>
    <w:rsid w:val="009D3C6F"/>
    <w:rsid w:val="009D3E74"/>
    <w:rsid w:val="009D521D"/>
    <w:rsid w:val="009D55F7"/>
    <w:rsid w:val="009D74B3"/>
    <w:rsid w:val="009E38A2"/>
    <w:rsid w:val="009E4107"/>
    <w:rsid w:val="009E5B28"/>
    <w:rsid w:val="009E76BE"/>
    <w:rsid w:val="009E7740"/>
    <w:rsid w:val="009E7795"/>
    <w:rsid w:val="009E79BF"/>
    <w:rsid w:val="009F0084"/>
    <w:rsid w:val="009F12DA"/>
    <w:rsid w:val="009F1B3F"/>
    <w:rsid w:val="009F2004"/>
    <w:rsid w:val="009F3FE6"/>
    <w:rsid w:val="009F53AF"/>
    <w:rsid w:val="009F5968"/>
    <w:rsid w:val="009F703F"/>
    <w:rsid w:val="00A00793"/>
    <w:rsid w:val="00A00E34"/>
    <w:rsid w:val="00A022BE"/>
    <w:rsid w:val="00A03659"/>
    <w:rsid w:val="00A03C37"/>
    <w:rsid w:val="00A042D1"/>
    <w:rsid w:val="00A05771"/>
    <w:rsid w:val="00A05DD2"/>
    <w:rsid w:val="00A062C7"/>
    <w:rsid w:val="00A07DF7"/>
    <w:rsid w:val="00A10257"/>
    <w:rsid w:val="00A105AF"/>
    <w:rsid w:val="00A13CAF"/>
    <w:rsid w:val="00A14332"/>
    <w:rsid w:val="00A1534A"/>
    <w:rsid w:val="00A1551E"/>
    <w:rsid w:val="00A1707C"/>
    <w:rsid w:val="00A1747A"/>
    <w:rsid w:val="00A20C7A"/>
    <w:rsid w:val="00A217F7"/>
    <w:rsid w:val="00A23608"/>
    <w:rsid w:val="00A2387F"/>
    <w:rsid w:val="00A23BC3"/>
    <w:rsid w:val="00A23F56"/>
    <w:rsid w:val="00A27B9D"/>
    <w:rsid w:val="00A27D88"/>
    <w:rsid w:val="00A304B3"/>
    <w:rsid w:val="00A304D0"/>
    <w:rsid w:val="00A31A3E"/>
    <w:rsid w:val="00A35082"/>
    <w:rsid w:val="00A36325"/>
    <w:rsid w:val="00A3759B"/>
    <w:rsid w:val="00A37FED"/>
    <w:rsid w:val="00A419E8"/>
    <w:rsid w:val="00A437CD"/>
    <w:rsid w:val="00A43903"/>
    <w:rsid w:val="00A45166"/>
    <w:rsid w:val="00A4607D"/>
    <w:rsid w:val="00A469C9"/>
    <w:rsid w:val="00A518B4"/>
    <w:rsid w:val="00A53B34"/>
    <w:rsid w:val="00A53EC9"/>
    <w:rsid w:val="00A55659"/>
    <w:rsid w:val="00A630E9"/>
    <w:rsid w:val="00A65693"/>
    <w:rsid w:val="00A65BEE"/>
    <w:rsid w:val="00A65D67"/>
    <w:rsid w:val="00A701A8"/>
    <w:rsid w:val="00A70BDC"/>
    <w:rsid w:val="00A710CC"/>
    <w:rsid w:val="00A7138C"/>
    <w:rsid w:val="00A71647"/>
    <w:rsid w:val="00A725D6"/>
    <w:rsid w:val="00A72C7D"/>
    <w:rsid w:val="00A73766"/>
    <w:rsid w:val="00A76857"/>
    <w:rsid w:val="00A77D06"/>
    <w:rsid w:val="00A81586"/>
    <w:rsid w:val="00A82A12"/>
    <w:rsid w:val="00A84165"/>
    <w:rsid w:val="00A849D1"/>
    <w:rsid w:val="00A84FB7"/>
    <w:rsid w:val="00A854F1"/>
    <w:rsid w:val="00A867F1"/>
    <w:rsid w:val="00A87993"/>
    <w:rsid w:val="00A91314"/>
    <w:rsid w:val="00A92440"/>
    <w:rsid w:val="00A947C1"/>
    <w:rsid w:val="00A948EB"/>
    <w:rsid w:val="00AA3791"/>
    <w:rsid w:val="00AA61CB"/>
    <w:rsid w:val="00AA68AB"/>
    <w:rsid w:val="00AA78DE"/>
    <w:rsid w:val="00AB104D"/>
    <w:rsid w:val="00AB2476"/>
    <w:rsid w:val="00AB3EA6"/>
    <w:rsid w:val="00AB5E43"/>
    <w:rsid w:val="00AB753C"/>
    <w:rsid w:val="00AC000C"/>
    <w:rsid w:val="00AC03F6"/>
    <w:rsid w:val="00AC06AD"/>
    <w:rsid w:val="00AC1826"/>
    <w:rsid w:val="00AC1B02"/>
    <w:rsid w:val="00AC23E3"/>
    <w:rsid w:val="00AC2569"/>
    <w:rsid w:val="00AC2A3F"/>
    <w:rsid w:val="00AC3A94"/>
    <w:rsid w:val="00AC48CA"/>
    <w:rsid w:val="00AC69F0"/>
    <w:rsid w:val="00AD00F1"/>
    <w:rsid w:val="00AD0C73"/>
    <w:rsid w:val="00AD0DC5"/>
    <w:rsid w:val="00AD24BC"/>
    <w:rsid w:val="00AD4161"/>
    <w:rsid w:val="00AD492E"/>
    <w:rsid w:val="00AE02D8"/>
    <w:rsid w:val="00AE1A2D"/>
    <w:rsid w:val="00AE2220"/>
    <w:rsid w:val="00AE5347"/>
    <w:rsid w:val="00AE55F6"/>
    <w:rsid w:val="00AE56DB"/>
    <w:rsid w:val="00AE5E60"/>
    <w:rsid w:val="00AE5EC1"/>
    <w:rsid w:val="00AE5F3C"/>
    <w:rsid w:val="00AF03AF"/>
    <w:rsid w:val="00AF0432"/>
    <w:rsid w:val="00AF3118"/>
    <w:rsid w:val="00AF371C"/>
    <w:rsid w:val="00AF5E61"/>
    <w:rsid w:val="00AF715C"/>
    <w:rsid w:val="00AF7442"/>
    <w:rsid w:val="00B02292"/>
    <w:rsid w:val="00B052D5"/>
    <w:rsid w:val="00B06655"/>
    <w:rsid w:val="00B075BA"/>
    <w:rsid w:val="00B10BED"/>
    <w:rsid w:val="00B13C50"/>
    <w:rsid w:val="00B13C87"/>
    <w:rsid w:val="00B14169"/>
    <w:rsid w:val="00B16E49"/>
    <w:rsid w:val="00B1710D"/>
    <w:rsid w:val="00B17D66"/>
    <w:rsid w:val="00B2137C"/>
    <w:rsid w:val="00B2155A"/>
    <w:rsid w:val="00B22A2A"/>
    <w:rsid w:val="00B24790"/>
    <w:rsid w:val="00B248AA"/>
    <w:rsid w:val="00B24D99"/>
    <w:rsid w:val="00B267D3"/>
    <w:rsid w:val="00B26989"/>
    <w:rsid w:val="00B26AB1"/>
    <w:rsid w:val="00B30352"/>
    <w:rsid w:val="00B30367"/>
    <w:rsid w:val="00B31BDA"/>
    <w:rsid w:val="00B322AF"/>
    <w:rsid w:val="00B32510"/>
    <w:rsid w:val="00B32E7E"/>
    <w:rsid w:val="00B3524D"/>
    <w:rsid w:val="00B3595C"/>
    <w:rsid w:val="00B36D5E"/>
    <w:rsid w:val="00B372BE"/>
    <w:rsid w:val="00B41D4D"/>
    <w:rsid w:val="00B41E55"/>
    <w:rsid w:val="00B43E07"/>
    <w:rsid w:val="00B44EA9"/>
    <w:rsid w:val="00B45966"/>
    <w:rsid w:val="00B46E5D"/>
    <w:rsid w:val="00B50180"/>
    <w:rsid w:val="00B51378"/>
    <w:rsid w:val="00B526A8"/>
    <w:rsid w:val="00B54636"/>
    <w:rsid w:val="00B547A6"/>
    <w:rsid w:val="00B55FAB"/>
    <w:rsid w:val="00B63146"/>
    <w:rsid w:val="00B63904"/>
    <w:rsid w:val="00B64B13"/>
    <w:rsid w:val="00B64F8F"/>
    <w:rsid w:val="00B6543C"/>
    <w:rsid w:val="00B658F8"/>
    <w:rsid w:val="00B663F4"/>
    <w:rsid w:val="00B6734E"/>
    <w:rsid w:val="00B67A0D"/>
    <w:rsid w:val="00B72173"/>
    <w:rsid w:val="00B7557D"/>
    <w:rsid w:val="00B76198"/>
    <w:rsid w:val="00B7682D"/>
    <w:rsid w:val="00B76863"/>
    <w:rsid w:val="00B81430"/>
    <w:rsid w:val="00B816D1"/>
    <w:rsid w:val="00B82010"/>
    <w:rsid w:val="00B83D9D"/>
    <w:rsid w:val="00B84529"/>
    <w:rsid w:val="00B858B9"/>
    <w:rsid w:val="00B860FE"/>
    <w:rsid w:val="00B903F4"/>
    <w:rsid w:val="00B91CF6"/>
    <w:rsid w:val="00B93CD1"/>
    <w:rsid w:val="00B96F7F"/>
    <w:rsid w:val="00B97A1B"/>
    <w:rsid w:val="00BA002B"/>
    <w:rsid w:val="00BA0C7F"/>
    <w:rsid w:val="00BA1673"/>
    <w:rsid w:val="00BA2434"/>
    <w:rsid w:val="00BA313D"/>
    <w:rsid w:val="00BA414B"/>
    <w:rsid w:val="00BA4944"/>
    <w:rsid w:val="00BA70E9"/>
    <w:rsid w:val="00BA77B4"/>
    <w:rsid w:val="00BB05E7"/>
    <w:rsid w:val="00BB1FF1"/>
    <w:rsid w:val="00BB2111"/>
    <w:rsid w:val="00BB3021"/>
    <w:rsid w:val="00BB3D92"/>
    <w:rsid w:val="00BB6AC6"/>
    <w:rsid w:val="00BB7755"/>
    <w:rsid w:val="00BB7AAE"/>
    <w:rsid w:val="00BC1A06"/>
    <w:rsid w:val="00BC21CD"/>
    <w:rsid w:val="00BC6604"/>
    <w:rsid w:val="00BC6B56"/>
    <w:rsid w:val="00BC7FD2"/>
    <w:rsid w:val="00BD0DE8"/>
    <w:rsid w:val="00BD1091"/>
    <w:rsid w:val="00BD13A7"/>
    <w:rsid w:val="00BD26E3"/>
    <w:rsid w:val="00BD34E1"/>
    <w:rsid w:val="00BD55F5"/>
    <w:rsid w:val="00BD656F"/>
    <w:rsid w:val="00BD7F74"/>
    <w:rsid w:val="00BE1AA0"/>
    <w:rsid w:val="00BE334D"/>
    <w:rsid w:val="00BE7CAF"/>
    <w:rsid w:val="00BF0177"/>
    <w:rsid w:val="00BF0EC4"/>
    <w:rsid w:val="00BF461D"/>
    <w:rsid w:val="00BF6709"/>
    <w:rsid w:val="00C0083B"/>
    <w:rsid w:val="00C00CD7"/>
    <w:rsid w:val="00C021CB"/>
    <w:rsid w:val="00C038D4"/>
    <w:rsid w:val="00C03AE7"/>
    <w:rsid w:val="00C03E55"/>
    <w:rsid w:val="00C04473"/>
    <w:rsid w:val="00C044F1"/>
    <w:rsid w:val="00C0479E"/>
    <w:rsid w:val="00C059F4"/>
    <w:rsid w:val="00C05D9D"/>
    <w:rsid w:val="00C06AA4"/>
    <w:rsid w:val="00C06ED1"/>
    <w:rsid w:val="00C072C9"/>
    <w:rsid w:val="00C0778B"/>
    <w:rsid w:val="00C121C8"/>
    <w:rsid w:val="00C12FA8"/>
    <w:rsid w:val="00C14674"/>
    <w:rsid w:val="00C168F0"/>
    <w:rsid w:val="00C20268"/>
    <w:rsid w:val="00C219F1"/>
    <w:rsid w:val="00C23C8F"/>
    <w:rsid w:val="00C261D1"/>
    <w:rsid w:val="00C26BE2"/>
    <w:rsid w:val="00C2756F"/>
    <w:rsid w:val="00C30D42"/>
    <w:rsid w:val="00C33125"/>
    <w:rsid w:val="00C33282"/>
    <w:rsid w:val="00C34683"/>
    <w:rsid w:val="00C35592"/>
    <w:rsid w:val="00C356AF"/>
    <w:rsid w:val="00C35837"/>
    <w:rsid w:val="00C35AC3"/>
    <w:rsid w:val="00C367E7"/>
    <w:rsid w:val="00C37612"/>
    <w:rsid w:val="00C37C47"/>
    <w:rsid w:val="00C404E2"/>
    <w:rsid w:val="00C41927"/>
    <w:rsid w:val="00C4296F"/>
    <w:rsid w:val="00C439D6"/>
    <w:rsid w:val="00C43DB5"/>
    <w:rsid w:val="00C43FD9"/>
    <w:rsid w:val="00C44D22"/>
    <w:rsid w:val="00C44EB2"/>
    <w:rsid w:val="00C46691"/>
    <w:rsid w:val="00C46C93"/>
    <w:rsid w:val="00C47B97"/>
    <w:rsid w:val="00C47E8F"/>
    <w:rsid w:val="00C501AC"/>
    <w:rsid w:val="00C50715"/>
    <w:rsid w:val="00C5464C"/>
    <w:rsid w:val="00C54CC8"/>
    <w:rsid w:val="00C57425"/>
    <w:rsid w:val="00C57BC4"/>
    <w:rsid w:val="00C60915"/>
    <w:rsid w:val="00C6176D"/>
    <w:rsid w:val="00C61831"/>
    <w:rsid w:val="00C61CC1"/>
    <w:rsid w:val="00C6390F"/>
    <w:rsid w:val="00C66F88"/>
    <w:rsid w:val="00C675B5"/>
    <w:rsid w:val="00C67640"/>
    <w:rsid w:val="00C70F15"/>
    <w:rsid w:val="00C71E7E"/>
    <w:rsid w:val="00C767CD"/>
    <w:rsid w:val="00C77A6D"/>
    <w:rsid w:val="00C80D87"/>
    <w:rsid w:val="00C8164D"/>
    <w:rsid w:val="00C819E8"/>
    <w:rsid w:val="00C835A3"/>
    <w:rsid w:val="00C84E9C"/>
    <w:rsid w:val="00C86300"/>
    <w:rsid w:val="00C86AF6"/>
    <w:rsid w:val="00C926FA"/>
    <w:rsid w:val="00C929AE"/>
    <w:rsid w:val="00C9513C"/>
    <w:rsid w:val="00C95AA5"/>
    <w:rsid w:val="00C964B8"/>
    <w:rsid w:val="00C96BCE"/>
    <w:rsid w:val="00C976CC"/>
    <w:rsid w:val="00C97892"/>
    <w:rsid w:val="00CA045D"/>
    <w:rsid w:val="00CA1333"/>
    <w:rsid w:val="00CA2E29"/>
    <w:rsid w:val="00CA57F2"/>
    <w:rsid w:val="00CA6FCE"/>
    <w:rsid w:val="00CA79F3"/>
    <w:rsid w:val="00CB0BC0"/>
    <w:rsid w:val="00CB1C19"/>
    <w:rsid w:val="00CB3DFF"/>
    <w:rsid w:val="00CB421D"/>
    <w:rsid w:val="00CB4C05"/>
    <w:rsid w:val="00CB5006"/>
    <w:rsid w:val="00CB544D"/>
    <w:rsid w:val="00CC047E"/>
    <w:rsid w:val="00CC1411"/>
    <w:rsid w:val="00CC1E8B"/>
    <w:rsid w:val="00CC1ED8"/>
    <w:rsid w:val="00CC3CA0"/>
    <w:rsid w:val="00CC5876"/>
    <w:rsid w:val="00CD133B"/>
    <w:rsid w:val="00CD303F"/>
    <w:rsid w:val="00CD42E0"/>
    <w:rsid w:val="00CD4AF7"/>
    <w:rsid w:val="00CD4C1C"/>
    <w:rsid w:val="00CD508F"/>
    <w:rsid w:val="00CD661F"/>
    <w:rsid w:val="00CE3517"/>
    <w:rsid w:val="00CE3CDF"/>
    <w:rsid w:val="00CE4DCA"/>
    <w:rsid w:val="00CE6C4C"/>
    <w:rsid w:val="00CE6F44"/>
    <w:rsid w:val="00CE7DF3"/>
    <w:rsid w:val="00CF3E6A"/>
    <w:rsid w:val="00CF4705"/>
    <w:rsid w:val="00CF4C0C"/>
    <w:rsid w:val="00CF7988"/>
    <w:rsid w:val="00D01670"/>
    <w:rsid w:val="00D02A74"/>
    <w:rsid w:val="00D0430B"/>
    <w:rsid w:val="00D05C26"/>
    <w:rsid w:val="00D062AC"/>
    <w:rsid w:val="00D06FAE"/>
    <w:rsid w:val="00D108A1"/>
    <w:rsid w:val="00D120EF"/>
    <w:rsid w:val="00D12513"/>
    <w:rsid w:val="00D152E7"/>
    <w:rsid w:val="00D157EA"/>
    <w:rsid w:val="00D20AC0"/>
    <w:rsid w:val="00D20B32"/>
    <w:rsid w:val="00D2126D"/>
    <w:rsid w:val="00D2129F"/>
    <w:rsid w:val="00D21F91"/>
    <w:rsid w:val="00D22D04"/>
    <w:rsid w:val="00D23081"/>
    <w:rsid w:val="00D239AC"/>
    <w:rsid w:val="00D239B0"/>
    <w:rsid w:val="00D23FA6"/>
    <w:rsid w:val="00D241F7"/>
    <w:rsid w:val="00D25680"/>
    <w:rsid w:val="00D25FBD"/>
    <w:rsid w:val="00D33027"/>
    <w:rsid w:val="00D33F7A"/>
    <w:rsid w:val="00D35812"/>
    <w:rsid w:val="00D3599E"/>
    <w:rsid w:val="00D35AD5"/>
    <w:rsid w:val="00D35C37"/>
    <w:rsid w:val="00D37759"/>
    <w:rsid w:val="00D3796C"/>
    <w:rsid w:val="00D40009"/>
    <w:rsid w:val="00D41754"/>
    <w:rsid w:val="00D41E35"/>
    <w:rsid w:val="00D44360"/>
    <w:rsid w:val="00D4595F"/>
    <w:rsid w:val="00D5191A"/>
    <w:rsid w:val="00D51DA4"/>
    <w:rsid w:val="00D5351D"/>
    <w:rsid w:val="00D53948"/>
    <w:rsid w:val="00D547F5"/>
    <w:rsid w:val="00D549B9"/>
    <w:rsid w:val="00D557EE"/>
    <w:rsid w:val="00D56058"/>
    <w:rsid w:val="00D56182"/>
    <w:rsid w:val="00D57F4B"/>
    <w:rsid w:val="00D62E8C"/>
    <w:rsid w:val="00D63D89"/>
    <w:rsid w:val="00D653B5"/>
    <w:rsid w:val="00D656AD"/>
    <w:rsid w:val="00D65FBF"/>
    <w:rsid w:val="00D66172"/>
    <w:rsid w:val="00D66824"/>
    <w:rsid w:val="00D71136"/>
    <w:rsid w:val="00D712AC"/>
    <w:rsid w:val="00D72ADD"/>
    <w:rsid w:val="00D73702"/>
    <w:rsid w:val="00D76E91"/>
    <w:rsid w:val="00D811F0"/>
    <w:rsid w:val="00D822FC"/>
    <w:rsid w:val="00D849AA"/>
    <w:rsid w:val="00D84F71"/>
    <w:rsid w:val="00D86367"/>
    <w:rsid w:val="00D86B80"/>
    <w:rsid w:val="00D872D1"/>
    <w:rsid w:val="00D925A3"/>
    <w:rsid w:val="00D974ED"/>
    <w:rsid w:val="00DA04D8"/>
    <w:rsid w:val="00DA2078"/>
    <w:rsid w:val="00DA2A09"/>
    <w:rsid w:val="00DA2D4B"/>
    <w:rsid w:val="00DA390D"/>
    <w:rsid w:val="00DA3C29"/>
    <w:rsid w:val="00DA6122"/>
    <w:rsid w:val="00DA6841"/>
    <w:rsid w:val="00DA6BE5"/>
    <w:rsid w:val="00DB000A"/>
    <w:rsid w:val="00DB4809"/>
    <w:rsid w:val="00DB5E8F"/>
    <w:rsid w:val="00DC3E99"/>
    <w:rsid w:val="00DC50BB"/>
    <w:rsid w:val="00DC607D"/>
    <w:rsid w:val="00DC79B8"/>
    <w:rsid w:val="00DC7C3E"/>
    <w:rsid w:val="00DD03A9"/>
    <w:rsid w:val="00DD22D1"/>
    <w:rsid w:val="00DD331C"/>
    <w:rsid w:val="00DD3A1A"/>
    <w:rsid w:val="00DD5274"/>
    <w:rsid w:val="00DD5EA1"/>
    <w:rsid w:val="00DD6843"/>
    <w:rsid w:val="00DD74D3"/>
    <w:rsid w:val="00DE0CAB"/>
    <w:rsid w:val="00DE30E0"/>
    <w:rsid w:val="00DE35B8"/>
    <w:rsid w:val="00DE3F3D"/>
    <w:rsid w:val="00DE49EB"/>
    <w:rsid w:val="00DF1EFB"/>
    <w:rsid w:val="00DF5510"/>
    <w:rsid w:val="00DF58E2"/>
    <w:rsid w:val="00DF634E"/>
    <w:rsid w:val="00DF6C03"/>
    <w:rsid w:val="00E01673"/>
    <w:rsid w:val="00E03C13"/>
    <w:rsid w:val="00E04E2B"/>
    <w:rsid w:val="00E04EC8"/>
    <w:rsid w:val="00E06451"/>
    <w:rsid w:val="00E07AA9"/>
    <w:rsid w:val="00E101B0"/>
    <w:rsid w:val="00E10964"/>
    <w:rsid w:val="00E1186F"/>
    <w:rsid w:val="00E11D3A"/>
    <w:rsid w:val="00E121F5"/>
    <w:rsid w:val="00E1287D"/>
    <w:rsid w:val="00E132E7"/>
    <w:rsid w:val="00E14AA0"/>
    <w:rsid w:val="00E14CE0"/>
    <w:rsid w:val="00E22BCE"/>
    <w:rsid w:val="00E252FB"/>
    <w:rsid w:val="00E25828"/>
    <w:rsid w:val="00E258D8"/>
    <w:rsid w:val="00E25992"/>
    <w:rsid w:val="00E30109"/>
    <w:rsid w:val="00E326FF"/>
    <w:rsid w:val="00E34055"/>
    <w:rsid w:val="00E34B8E"/>
    <w:rsid w:val="00E35321"/>
    <w:rsid w:val="00E361B0"/>
    <w:rsid w:val="00E36B1C"/>
    <w:rsid w:val="00E37C15"/>
    <w:rsid w:val="00E41563"/>
    <w:rsid w:val="00E41FF7"/>
    <w:rsid w:val="00E42249"/>
    <w:rsid w:val="00E46657"/>
    <w:rsid w:val="00E466D8"/>
    <w:rsid w:val="00E50536"/>
    <w:rsid w:val="00E50FA4"/>
    <w:rsid w:val="00E5231F"/>
    <w:rsid w:val="00E574A1"/>
    <w:rsid w:val="00E602E9"/>
    <w:rsid w:val="00E622DE"/>
    <w:rsid w:val="00E62DB8"/>
    <w:rsid w:val="00E62F4D"/>
    <w:rsid w:val="00E63010"/>
    <w:rsid w:val="00E6588E"/>
    <w:rsid w:val="00E665C4"/>
    <w:rsid w:val="00E6722B"/>
    <w:rsid w:val="00E677EF"/>
    <w:rsid w:val="00E70857"/>
    <w:rsid w:val="00E70E23"/>
    <w:rsid w:val="00E70E9B"/>
    <w:rsid w:val="00E7159B"/>
    <w:rsid w:val="00E71F44"/>
    <w:rsid w:val="00E72225"/>
    <w:rsid w:val="00E74489"/>
    <w:rsid w:val="00E75E5D"/>
    <w:rsid w:val="00E77292"/>
    <w:rsid w:val="00E8145C"/>
    <w:rsid w:val="00E82934"/>
    <w:rsid w:val="00E837BD"/>
    <w:rsid w:val="00E859DF"/>
    <w:rsid w:val="00E87041"/>
    <w:rsid w:val="00E87110"/>
    <w:rsid w:val="00E87225"/>
    <w:rsid w:val="00E91C82"/>
    <w:rsid w:val="00E92950"/>
    <w:rsid w:val="00E93D26"/>
    <w:rsid w:val="00E95201"/>
    <w:rsid w:val="00E95979"/>
    <w:rsid w:val="00E95EA1"/>
    <w:rsid w:val="00E9640D"/>
    <w:rsid w:val="00E9693D"/>
    <w:rsid w:val="00E97F6F"/>
    <w:rsid w:val="00EA15E6"/>
    <w:rsid w:val="00EA1807"/>
    <w:rsid w:val="00EA320F"/>
    <w:rsid w:val="00EA4062"/>
    <w:rsid w:val="00EA4947"/>
    <w:rsid w:val="00EA54AE"/>
    <w:rsid w:val="00EA5BFB"/>
    <w:rsid w:val="00EB19E7"/>
    <w:rsid w:val="00EB1DAE"/>
    <w:rsid w:val="00EB2734"/>
    <w:rsid w:val="00EB53E5"/>
    <w:rsid w:val="00EB55CF"/>
    <w:rsid w:val="00EB6CCA"/>
    <w:rsid w:val="00EB7026"/>
    <w:rsid w:val="00EB726E"/>
    <w:rsid w:val="00EB7B37"/>
    <w:rsid w:val="00EC09CD"/>
    <w:rsid w:val="00EC0C41"/>
    <w:rsid w:val="00EC11F0"/>
    <w:rsid w:val="00EC1594"/>
    <w:rsid w:val="00EC1C8C"/>
    <w:rsid w:val="00EC45F7"/>
    <w:rsid w:val="00EC4B74"/>
    <w:rsid w:val="00EC4DF9"/>
    <w:rsid w:val="00EC7629"/>
    <w:rsid w:val="00ED04E7"/>
    <w:rsid w:val="00ED0886"/>
    <w:rsid w:val="00ED2521"/>
    <w:rsid w:val="00ED268D"/>
    <w:rsid w:val="00ED2C85"/>
    <w:rsid w:val="00ED2FB9"/>
    <w:rsid w:val="00ED6E2D"/>
    <w:rsid w:val="00EE0C7D"/>
    <w:rsid w:val="00EE456B"/>
    <w:rsid w:val="00EE7717"/>
    <w:rsid w:val="00EF039B"/>
    <w:rsid w:val="00EF08EC"/>
    <w:rsid w:val="00EF0C69"/>
    <w:rsid w:val="00EF35BF"/>
    <w:rsid w:val="00EF381C"/>
    <w:rsid w:val="00EF3EEA"/>
    <w:rsid w:val="00EF63C8"/>
    <w:rsid w:val="00F00C37"/>
    <w:rsid w:val="00F0155E"/>
    <w:rsid w:val="00F034AC"/>
    <w:rsid w:val="00F068C0"/>
    <w:rsid w:val="00F11493"/>
    <w:rsid w:val="00F11C8B"/>
    <w:rsid w:val="00F11E46"/>
    <w:rsid w:val="00F12A7B"/>
    <w:rsid w:val="00F14BA3"/>
    <w:rsid w:val="00F15A9C"/>
    <w:rsid w:val="00F160D2"/>
    <w:rsid w:val="00F175F5"/>
    <w:rsid w:val="00F20507"/>
    <w:rsid w:val="00F23732"/>
    <w:rsid w:val="00F304C5"/>
    <w:rsid w:val="00F3174B"/>
    <w:rsid w:val="00F351E2"/>
    <w:rsid w:val="00F36193"/>
    <w:rsid w:val="00F41C5A"/>
    <w:rsid w:val="00F4376D"/>
    <w:rsid w:val="00F46EAF"/>
    <w:rsid w:val="00F4748D"/>
    <w:rsid w:val="00F47DBD"/>
    <w:rsid w:val="00F51CDD"/>
    <w:rsid w:val="00F52DB6"/>
    <w:rsid w:val="00F53772"/>
    <w:rsid w:val="00F53841"/>
    <w:rsid w:val="00F53872"/>
    <w:rsid w:val="00F53B21"/>
    <w:rsid w:val="00F5470F"/>
    <w:rsid w:val="00F55B82"/>
    <w:rsid w:val="00F5689C"/>
    <w:rsid w:val="00F612B3"/>
    <w:rsid w:val="00F62731"/>
    <w:rsid w:val="00F62BEE"/>
    <w:rsid w:val="00F64639"/>
    <w:rsid w:val="00F6495D"/>
    <w:rsid w:val="00F64B5E"/>
    <w:rsid w:val="00F653FF"/>
    <w:rsid w:val="00F65B23"/>
    <w:rsid w:val="00F65C15"/>
    <w:rsid w:val="00F65FE3"/>
    <w:rsid w:val="00F7064A"/>
    <w:rsid w:val="00F715AF"/>
    <w:rsid w:val="00F72F06"/>
    <w:rsid w:val="00F73492"/>
    <w:rsid w:val="00F747AD"/>
    <w:rsid w:val="00F7497F"/>
    <w:rsid w:val="00F766AF"/>
    <w:rsid w:val="00F83472"/>
    <w:rsid w:val="00F83F48"/>
    <w:rsid w:val="00F848CB"/>
    <w:rsid w:val="00F84A07"/>
    <w:rsid w:val="00F859D6"/>
    <w:rsid w:val="00F86FB8"/>
    <w:rsid w:val="00F87201"/>
    <w:rsid w:val="00F87F11"/>
    <w:rsid w:val="00F901EE"/>
    <w:rsid w:val="00F909FD"/>
    <w:rsid w:val="00F940D8"/>
    <w:rsid w:val="00F942CA"/>
    <w:rsid w:val="00F9452C"/>
    <w:rsid w:val="00F9705C"/>
    <w:rsid w:val="00F976F4"/>
    <w:rsid w:val="00FA0F40"/>
    <w:rsid w:val="00FA222A"/>
    <w:rsid w:val="00FA28C2"/>
    <w:rsid w:val="00FA2953"/>
    <w:rsid w:val="00FA43A9"/>
    <w:rsid w:val="00FA4A39"/>
    <w:rsid w:val="00FA640E"/>
    <w:rsid w:val="00FA66F9"/>
    <w:rsid w:val="00FA7820"/>
    <w:rsid w:val="00FB0222"/>
    <w:rsid w:val="00FB0CE8"/>
    <w:rsid w:val="00FB2C23"/>
    <w:rsid w:val="00FB2CC0"/>
    <w:rsid w:val="00FB2D1C"/>
    <w:rsid w:val="00FB2E7A"/>
    <w:rsid w:val="00FB2F77"/>
    <w:rsid w:val="00FB3E46"/>
    <w:rsid w:val="00FB7206"/>
    <w:rsid w:val="00FB7AF5"/>
    <w:rsid w:val="00FC0514"/>
    <w:rsid w:val="00FC1D72"/>
    <w:rsid w:val="00FC2571"/>
    <w:rsid w:val="00FC3CBC"/>
    <w:rsid w:val="00FC6CF1"/>
    <w:rsid w:val="00FD0ED4"/>
    <w:rsid w:val="00FD1986"/>
    <w:rsid w:val="00FD4011"/>
    <w:rsid w:val="00FD56EC"/>
    <w:rsid w:val="00FD63C8"/>
    <w:rsid w:val="00FD6600"/>
    <w:rsid w:val="00FD68CE"/>
    <w:rsid w:val="00FD7509"/>
    <w:rsid w:val="00FE0C92"/>
    <w:rsid w:val="00FE32A6"/>
    <w:rsid w:val="00FE444F"/>
    <w:rsid w:val="00FE5577"/>
    <w:rsid w:val="00FE68BD"/>
    <w:rsid w:val="00FF0B8C"/>
    <w:rsid w:val="00FF249A"/>
    <w:rsid w:val="00FF322E"/>
    <w:rsid w:val="00FF34CA"/>
    <w:rsid w:val="00FF371C"/>
    <w:rsid w:val="00FF394E"/>
    <w:rsid w:val="00FF5C07"/>
    <w:rsid w:val="00FF62A9"/>
    <w:rsid w:val="00FF6493"/>
    <w:rsid w:val="00FF64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4BE9616"/>
  <w15:docId w15:val="{CA76067D-ACFB-48F2-8332-ACD079F9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67"/>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EBA_Footnote Text,Footnote Text Char Char,Footnote,Fußnote,FSR footnote,lábléc Car Car Car,Fodnotetekst Tegn Tegn Tegn Tegn Tegn Tegn Tegn Char Char,Fodnotetekst Tegn Tegn Tegn Tegn Tegn Tegn Tegn Char Char Char Char,fn,lábléc,ft,text,f,Ch"/>
    <w:basedOn w:val="body"/>
    <w:link w:val="FootnoteTextChar"/>
    <w:autoRedefine/>
    <w:uiPriority w:val="99"/>
    <w:qFormat/>
    <w:rsid w:val="00E1287D"/>
    <w:pPr>
      <w:spacing w:before="80" w:after="0" w:line="200" w:lineRule="exact"/>
      <w:ind w:left="567" w:hanging="567"/>
    </w:pPr>
    <w:rPr>
      <w:sz w:val="18"/>
      <w:szCs w:val="18"/>
    </w:rPr>
  </w:style>
  <w:style w:type="character" w:customStyle="1" w:styleId="FootnoteTextChar">
    <w:name w:val="Footnote Text Char"/>
    <w:aliases w:val="EBA_Footnote Text Char,Footnote Text Char Char Char,Footnote Char,Fußnote Char,FSR footnote Char,lábléc Car Car Car Char,Fodnotetekst Tegn Tegn Tegn Tegn Tegn Tegn Tegn Char Char Char,fn Char,lábléc Char,ft Char,text Char,f Char"/>
    <w:basedOn w:val="DefaultParagraphFont"/>
    <w:link w:val="FootnoteText"/>
    <w:uiPriority w:val="99"/>
    <w:rsid w:val="0063605D"/>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Címsor 5 Char1,Ref"/>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link w:val="AnnexetitreChar"/>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character" w:styleId="Emphasis">
    <w:name w:val="Emphasis"/>
    <w:basedOn w:val="DefaultParagraphFont"/>
    <w:uiPriority w:val="20"/>
    <w:qFormat/>
    <w:rsid w:val="001F70D8"/>
    <w:rPr>
      <w:i/>
      <w:iCs/>
    </w:rPr>
  </w:style>
  <w:style w:type="paragraph" w:styleId="NormalWeb">
    <w:name w:val="Normal (Web)"/>
    <w:basedOn w:val="Normal"/>
    <w:uiPriority w:val="99"/>
    <w:unhideWhenUsed/>
    <w:rsid w:val="008846FA"/>
    <w:pPr>
      <w:spacing w:before="100" w:beforeAutospacing="1" w:after="100" w:afterAutospacing="1"/>
    </w:pPr>
    <w:rPr>
      <w:rFonts w:ascii="Times New Roman" w:eastAsia="Times New Roman" w:hAnsi="Times New Roman" w:cs="Times New Roman"/>
      <w:sz w:val="24"/>
      <w:lang w:val="en-GB" w:eastAsia="en-GB"/>
    </w:rPr>
  </w:style>
  <w:style w:type="paragraph" w:styleId="Revision">
    <w:name w:val="Revision"/>
    <w:hidden/>
    <w:uiPriority w:val="99"/>
    <w:semiHidden/>
    <w:rsid w:val="003D53CA"/>
    <w:rPr>
      <w:sz w:val="22"/>
    </w:rPr>
  </w:style>
  <w:style w:type="character" w:styleId="FollowedHyperlink">
    <w:name w:val="FollowedHyperlink"/>
    <w:basedOn w:val="DefaultParagraphFont"/>
    <w:uiPriority w:val="99"/>
    <w:semiHidden/>
    <w:unhideWhenUsed/>
    <w:rsid w:val="00D2129F"/>
    <w:rPr>
      <w:color w:val="800080" w:themeColor="followedHyperlink"/>
      <w:u w:val="single"/>
    </w:rPr>
  </w:style>
  <w:style w:type="paragraph" w:customStyle="1" w:styleId="FooterCoverPage">
    <w:name w:val="Footer Cover Page"/>
    <w:basedOn w:val="Normal"/>
    <w:link w:val="FooterCoverPageChar"/>
    <w:rsid w:val="00642A33"/>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AnnexetitreChar">
    <w:name w:val="Annexe titre Char"/>
    <w:basedOn w:val="DefaultParagraphFont"/>
    <w:link w:val="Annexetitre"/>
    <w:rsid w:val="00642A33"/>
    <w:rPr>
      <w:rFonts w:ascii="Times New Roman" w:eastAsia="Times New Roman" w:hAnsi="Times New Roman" w:cs="Times New Roman"/>
      <w:b/>
      <w:u w:val="single"/>
      <w:lang w:val="en-GB"/>
    </w:rPr>
  </w:style>
  <w:style w:type="character" w:customStyle="1" w:styleId="FooterCoverPageChar">
    <w:name w:val="Footer Cover Page Char"/>
    <w:basedOn w:val="AnnexetitreChar"/>
    <w:link w:val="FooterCoverPage"/>
    <w:rsid w:val="00642A33"/>
    <w:rPr>
      <w:rFonts w:ascii="Times New Roman" w:eastAsia="Times New Roman" w:hAnsi="Times New Roman" w:cs="Times New Roman"/>
      <w:b w:val="0"/>
      <w:u w:val="single"/>
      <w:lang w:val="en-GB"/>
    </w:rPr>
  </w:style>
  <w:style w:type="paragraph" w:customStyle="1" w:styleId="FooterSensitivity">
    <w:name w:val="Footer Sensitivity"/>
    <w:basedOn w:val="Normal"/>
    <w:link w:val="FooterSensitivityChar"/>
    <w:rsid w:val="00642A33"/>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character" w:customStyle="1" w:styleId="FooterSensitivityChar">
    <w:name w:val="Footer Sensitivity Char"/>
    <w:basedOn w:val="AnnexetitreChar"/>
    <w:link w:val="FooterSensitivity"/>
    <w:rsid w:val="00642A33"/>
    <w:rPr>
      <w:rFonts w:ascii="Times New Roman" w:eastAsia="Times New Roman" w:hAnsi="Times New Roman" w:cs="Times New Roman"/>
      <w:b/>
      <w:sz w:val="32"/>
      <w:u w:val="single"/>
      <w:lang w:val="en-GB"/>
    </w:rPr>
  </w:style>
  <w:style w:type="paragraph" w:customStyle="1" w:styleId="HeaderCoverPage">
    <w:name w:val="Header Cover Page"/>
    <w:basedOn w:val="Normal"/>
    <w:link w:val="HeaderCoverPageChar"/>
    <w:rsid w:val="00642A33"/>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AnnexetitreChar"/>
    <w:link w:val="HeaderCoverPage"/>
    <w:rsid w:val="00642A33"/>
    <w:rPr>
      <w:rFonts w:ascii="Times New Roman" w:eastAsia="Times New Roman" w:hAnsi="Times New Roman" w:cs="Times New Roman"/>
      <w:b w:val="0"/>
      <w:u w:val="single"/>
      <w:lang w:val="en-GB"/>
    </w:rPr>
  </w:style>
  <w:style w:type="paragraph" w:customStyle="1" w:styleId="HeaderSensitivity">
    <w:name w:val="Header Sensitivity"/>
    <w:basedOn w:val="Normal"/>
    <w:link w:val="HeaderSensitivityChar"/>
    <w:rsid w:val="00642A33"/>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AnnexetitreChar"/>
    <w:link w:val="HeaderSensitivity"/>
    <w:rsid w:val="00642A33"/>
    <w:rPr>
      <w:rFonts w:ascii="Times New Roman" w:eastAsia="Times New Roman" w:hAnsi="Times New Roman" w:cs="Times New Roman"/>
      <w:b/>
      <w:sz w:val="32"/>
      <w:u w:val="single"/>
      <w:lang w:val="en-GB"/>
    </w:rPr>
  </w:style>
  <w:style w:type="paragraph" w:customStyle="1" w:styleId="HeaderSensitivityRight">
    <w:name w:val="Header Sensitivity Right"/>
    <w:basedOn w:val="Normal"/>
    <w:link w:val="HeaderSensitivityRightChar"/>
    <w:rsid w:val="00642A33"/>
    <w:pPr>
      <w:spacing w:after="120"/>
      <w:jc w:val="right"/>
    </w:pPr>
    <w:rPr>
      <w:rFonts w:ascii="Times New Roman" w:hAnsi="Times New Roman" w:cs="Times New Roman"/>
      <w:sz w:val="28"/>
    </w:rPr>
  </w:style>
  <w:style w:type="character" w:customStyle="1" w:styleId="HeaderSensitivityRightChar">
    <w:name w:val="Header Sensitivity Right Char"/>
    <w:basedOn w:val="AnnexetitreChar"/>
    <w:link w:val="HeaderSensitivityRight"/>
    <w:rsid w:val="00642A33"/>
    <w:rPr>
      <w:rFonts w:ascii="Times New Roman" w:eastAsia="Times New Roman" w:hAnsi="Times New Roman" w:cs="Times New Roman"/>
      <w:b w:val="0"/>
      <w:sz w:val="28"/>
      <w:u w:val="single"/>
      <w:lang w:val="en-GB"/>
    </w:rPr>
  </w:style>
  <w:style w:type="paragraph" w:customStyle="1" w:styleId="norm">
    <w:name w:val="norm"/>
    <w:basedOn w:val="Normal"/>
    <w:rsid w:val="009A51C8"/>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2A56D2"/>
    <w:rPr>
      <w:b/>
      <w:bCs/>
    </w:rPr>
  </w:style>
  <w:style w:type="paragraph" w:customStyle="1" w:styleId="Point2">
    <w:name w:val="Point 2"/>
    <w:basedOn w:val="Normal"/>
    <w:rsid w:val="00866549"/>
    <w:pPr>
      <w:spacing w:before="120" w:after="120"/>
      <w:ind w:left="1984" w:hanging="567"/>
      <w:jc w:val="both"/>
    </w:pPr>
    <w:rPr>
      <w:rFonts w:ascii="Times New Roman" w:eastAsiaTheme="minorHAnsi" w:hAnsi="Times New Roman" w:cs="Times New Roman"/>
      <w:sz w:val="24"/>
      <w:szCs w:val="22"/>
      <w:lang w:val="en-GB"/>
    </w:rPr>
  </w:style>
  <w:style w:type="paragraph" w:customStyle="1" w:styleId="NumPar1">
    <w:name w:val="NumPar 1"/>
    <w:basedOn w:val="Normal"/>
    <w:next w:val="Normal"/>
    <w:rsid w:val="00866549"/>
    <w:pPr>
      <w:numPr>
        <w:numId w:val="54"/>
      </w:numPr>
      <w:spacing w:before="120" w:after="120"/>
      <w:jc w:val="both"/>
    </w:pPr>
    <w:rPr>
      <w:rFonts w:ascii="Times New Roman" w:eastAsiaTheme="minorHAnsi" w:hAnsi="Times New Roman" w:cs="Times New Roman"/>
      <w:sz w:val="24"/>
      <w:szCs w:val="22"/>
      <w:lang w:val="en-GB"/>
    </w:rPr>
  </w:style>
  <w:style w:type="paragraph" w:customStyle="1" w:styleId="NumPar2">
    <w:name w:val="NumPar 2"/>
    <w:basedOn w:val="Normal"/>
    <w:next w:val="Normal"/>
    <w:rsid w:val="00866549"/>
    <w:pPr>
      <w:numPr>
        <w:ilvl w:val="1"/>
        <w:numId w:val="54"/>
      </w:numPr>
      <w:spacing w:before="120" w:after="120"/>
      <w:jc w:val="both"/>
    </w:pPr>
    <w:rPr>
      <w:rFonts w:ascii="Times New Roman" w:eastAsiaTheme="minorHAnsi" w:hAnsi="Times New Roman" w:cs="Times New Roman"/>
      <w:sz w:val="24"/>
      <w:szCs w:val="22"/>
      <w:lang w:val="en-GB"/>
    </w:rPr>
  </w:style>
  <w:style w:type="paragraph" w:customStyle="1" w:styleId="NumPar3">
    <w:name w:val="NumPar 3"/>
    <w:basedOn w:val="Normal"/>
    <w:next w:val="Normal"/>
    <w:rsid w:val="00866549"/>
    <w:pPr>
      <w:numPr>
        <w:ilvl w:val="2"/>
        <w:numId w:val="54"/>
      </w:numPr>
      <w:spacing w:before="120" w:after="120"/>
      <w:jc w:val="both"/>
    </w:pPr>
    <w:rPr>
      <w:rFonts w:ascii="Times New Roman" w:eastAsiaTheme="minorHAnsi" w:hAnsi="Times New Roman" w:cs="Times New Roman"/>
      <w:sz w:val="24"/>
      <w:szCs w:val="22"/>
      <w:lang w:val="en-GB"/>
    </w:rPr>
  </w:style>
  <w:style w:type="paragraph" w:customStyle="1" w:styleId="NumPar4">
    <w:name w:val="NumPar 4"/>
    <w:basedOn w:val="Normal"/>
    <w:next w:val="Normal"/>
    <w:rsid w:val="00866549"/>
    <w:pPr>
      <w:numPr>
        <w:ilvl w:val="3"/>
        <w:numId w:val="54"/>
      </w:numPr>
      <w:spacing w:before="120" w:after="120"/>
      <w:jc w:val="both"/>
    </w:pPr>
    <w:rPr>
      <w:rFonts w:ascii="Times New Roman" w:eastAsiaTheme="minorHAnsi" w:hAnsi="Times New Roman" w:cs="Times New Roman"/>
      <w:sz w:val="24"/>
      <w:szCs w:val="22"/>
      <w:lang w:val="en-GB"/>
    </w:rPr>
  </w:style>
  <w:style w:type="paragraph" w:customStyle="1" w:styleId="Point0number">
    <w:name w:val="Point 0 (number)"/>
    <w:basedOn w:val="Normal"/>
    <w:rsid w:val="00866549"/>
    <w:pPr>
      <w:numPr>
        <w:numId w:val="53"/>
      </w:numPr>
      <w:spacing w:before="120" w:after="120"/>
      <w:jc w:val="both"/>
    </w:pPr>
    <w:rPr>
      <w:rFonts w:ascii="Times New Roman" w:eastAsiaTheme="minorHAnsi" w:hAnsi="Times New Roman" w:cs="Times New Roman"/>
      <w:sz w:val="24"/>
      <w:szCs w:val="22"/>
      <w:lang w:val="en-GB"/>
    </w:rPr>
  </w:style>
  <w:style w:type="paragraph" w:customStyle="1" w:styleId="Point1number">
    <w:name w:val="Point 1 (number)"/>
    <w:basedOn w:val="Normal"/>
    <w:rsid w:val="00866549"/>
    <w:pPr>
      <w:numPr>
        <w:ilvl w:val="2"/>
        <w:numId w:val="53"/>
      </w:numPr>
      <w:spacing w:before="120" w:after="120"/>
      <w:jc w:val="both"/>
    </w:pPr>
    <w:rPr>
      <w:rFonts w:ascii="Times New Roman" w:eastAsiaTheme="minorHAnsi" w:hAnsi="Times New Roman" w:cs="Times New Roman"/>
      <w:sz w:val="24"/>
      <w:szCs w:val="22"/>
      <w:lang w:val="en-GB"/>
    </w:rPr>
  </w:style>
  <w:style w:type="paragraph" w:customStyle="1" w:styleId="Point2number">
    <w:name w:val="Point 2 (number)"/>
    <w:basedOn w:val="Normal"/>
    <w:rsid w:val="00866549"/>
    <w:pPr>
      <w:spacing w:before="120" w:after="120"/>
      <w:jc w:val="both"/>
    </w:pPr>
    <w:rPr>
      <w:rFonts w:ascii="Times New Roman" w:eastAsiaTheme="minorHAnsi" w:hAnsi="Times New Roman" w:cs="Times New Roman"/>
      <w:sz w:val="24"/>
      <w:szCs w:val="22"/>
      <w:lang w:val="en-GB"/>
    </w:rPr>
  </w:style>
  <w:style w:type="paragraph" w:customStyle="1" w:styleId="Point3number">
    <w:name w:val="Point 3 (number)"/>
    <w:basedOn w:val="Normal"/>
    <w:rsid w:val="00866549"/>
    <w:pPr>
      <w:numPr>
        <w:ilvl w:val="6"/>
        <w:numId w:val="53"/>
      </w:numPr>
      <w:spacing w:before="120" w:after="120"/>
      <w:jc w:val="both"/>
    </w:pPr>
    <w:rPr>
      <w:rFonts w:ascii="Times New Roman" w:eastAsiaTheme="minorHAnsi" w:hAnsi="Times New Roman" w:cs="Times New Roman"/>
      <w:sz w:val="24"/>
      <w:szCs w:val="22"/>
      <w:lang w:val="en-GB"/>
    </w:rPr>
  </w:style>
  <w:style w:type="paragraph" w:customStyle="1" w:styleId="Point0letter">
    <w:name w:val="Point 0 (letter)"/>
    <w:basedOn w:val="Normal"/>
    <w:rsid w:val="00866549"/>
    <w:pPr>
      <w:numPr>
        <w:ilvl w:val="1"/>
        <w:numId w:val="53"/>
      </w:numPr>
      <w:spacing w:before="120" w:after="120"/>
      <w:jc w:val="both"/>
    </w:pPr>
    <w:rPr>
      <w:rFonts w:ascii="Times New Roman" w:eastAsiaTheme="minorHAnsi" w:hAnsi="Times New Roman" w:cs="Times New Roman"/>
      <w:sz w:val="24"/>
      <w:szCs w:val="22"/>
      <w:lang w:val="en-GB"/>
    </w:rPr>
  </w:style>
  <w:style w:type="paragraph" w:customStyle="1" w:styleId="Point1letter">
    <w:name w:val="Point 1 (letter)"/>
    <w:basedOn w:val="Normal"/>
    <w:rsid w:val="00866549"/>
    <w:pPr>
      <w:numPr>
        <w:ilvl w:val="3"/>
        <w:numId w:val="53"/>
      </w:numPr>
      <w:spacing w:before="120" w:after="120"/>
      <w:jc w:val="both"/>
    </w:pPr>
    <w:rPr>
      <w:rFonts w:ascii="Times New Roman" w:eastAsiaTheme="minorHAnsi" w:hAnsi="Times New Roman" w:cs="Times New Roman"/>
      <w:sz w:val="24"/>
      <w:szCs w:val="22"/>
      <w:lang w:val="en-GB"/>
    </w:rPr>
  </w:style>
  <w:style w:type="paragraph" w:customStyle="1" w:styleId="Point2letter">
    <w:name w:val="Point 2 (letter)"/>
    <w:basedOn w:val="Normal"/>
    <w:rsid w:val="00866549"/>
    <w:pPr>
      <w:numPr>
        <w:ilvl w:val="5"/>
        <w:numId w:val="53"/>
      </w:numPr>
      <w:spacing w:before="120" w:after="120"/>
      <w:jc w:val="both"/>
    </w:pPr>
    <w:rPr>
      <w:rFonts w:ascii="Times New Roman" w:eastAsiaTheme="minorHAnsi" w:hAnsi="Times New Roman" w:cs="Times New Roman"/>
      <w:sz w:val="24"/>
      <w:szCs w:val="22"/>
      <w:lang w:val="en-GB"/>
    </w:rPr>
  </w:style>
  <w:style w:type="paragraph" w:customStyle="1" w:styleId="Point3letter">
    <w:name w:val="Point 3 (letter)"/>
    <w:basedOn w:val="Normal"/>
    <w:rsid w:val="00866549"/>
    <w:pPr>
      <w:numPr>
        <w:ilvl w:val="7"/>
        <w:numId w:val="53"/>
      </w:numPr>
      <w:spacing w:before="120" w:after="120"/>
      <w:jc w:val="both"/>
    </w:pPr>
    <w:rPr>
      <w:rFonts w:ascii="Times New Roman" w:eastAsiaTheme="minorHAnsi" w:hAnsi="Times New Roman" w:cs="Times New Roman"/>
      <w:sz w:val="24"/>
      <w:szCs w:val="22"/>
      <w:lang w:val="en-GB"/>
    </w:rPr>
  </w:style>
  <w:style w:type="paragraph" w:customStyle="1" w:styleId="Point4letter">
    <w:name w:val="Point 4 (letter)"/>
    <w:basedOn w:val="Normal"/>
    <w:rsid w:val="00866549"/>
    <w:pPr>
      <w:numPr>
        <w:ilvl w:val="8"/>
        <w:numId w:val="53"/>
      </w:numPr>
      <w:spacing w:before="120" w:after="120"/>
      <w:jc w:val="both"/>
    </w:pPr>
    <w:rPr>
      <w:rFonts w:ascii="Times New Roman" w:eastAsiaTheme="minorHAnsi" w:hAnsi="Times New Roman" w:cs="Times New Roman"/>
      <w:sz w:val="24"/>
      <w:szCs w:val="22"/>
      <w:lang w:val="en-GB"/>
    </w:rPr>
  </w:style>
  <w:style w:type="paragraph" w:styleId="EndnoteText">
    <w:name w:val="endnote text"/>
    <w:basedOn w:val="Normal"/>
    <w:link w:val="EndnoteTextChar"/>
    <w:uiPriority w:val="99"/>
    <w:semiHidden/>
    <w:unhideWhenUsed/>
    <w:rsid w:val="002404A4"/>
    <w:rPr>
      <w:sz w:val="20"/>
      <w:szCs w:val="20"/>
    </w:rPr>
  </w:style>
  <w:style w:type="character" w:customStyle="1" w:styleId="EndnoteTextChar">
    <w:name w:val="Endnote Text Char"/>
    <w:basedOn w:val="DefaultParagraphFont"/>
    <w:link w:val="EndnoteText"/>
    <w:uiPriority w:val="99"/>
    <w:semiHidden/>
    <w:rsid w:val="002404A4"/>
    <w:rPr>
      <w:sz w:val="20"/>
      <w:szCs w:val="20"/>
    </w:rPr>
  </w:style>
  <w:style w:type="character" w:styleId="EndnoteReference">
    <w:name w:val="endnote reference"/>
    <w:basedOn w:val="DefaultParagraphFont"/>
    <w:uiPriority w:val="99"/>
    <w:semiHidden/>
    <w:unhideWhenUsed/>
    <w:rsid w:val="00240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821">
      <w:bodyDiv w:val="1"/>
      <w:marLeft w:val="0"/>
      <w:marRight w:val="0"/>
      <w:marTop w:val="0"/>
      <w:marBottom w:val="0"/>
      <w:divBdr>
        <w:top w:val="none" w:sz="0" w:space="0" w:color="auto"/>
        <w:left w:val="none" w:sz="0" w:space="0" w:color="auto"/>
        <w:bottom w:val="none" w:sz="0" w:space="0" w:color="auto"/>
        <w:right w:val="none" w:sz="0" w:space="0" w:color="auto"/>
      </w:divBdr>
    </w:div>
    <w:div w:id="30351900">
      <w:bodyDiv w:val="1"/>
      <w:marLeft w:val="0"/>
      <w:marRight w:val="0"/>
      <w:marTop w:val="0"/>
      <w:marBottom w:val="0"/>
      <w:divBdr>
        <w:top w:val="none" w:sz="0" w:space="0" w:color="auto"/>
        <w:left w:val="none" w:sz="0" w:space="0" w:color="auto"/>
        <w:bottom w:val="none" w:sz="0" w:space="0" w:color="auto"/>
        <w:right w:val="none" w:sz="0" w:space="0" w:color="auto"/>
      </w:divBdr>
    </w:div>
    <w:div w:id="43145018">
      <w:bodyDiv w:val="1"/>
      <w:marLeft w:val="0"/>
      <w:marRight w:val="0"/>
      <w:marTop w:val="0"/>
      <w:marBottom w:val="0"/>
      <w:divBdr>
        <w:top w:val="none" w:sz="0" w:space="0" w:color="auto"/>
        <w:left w:val="none" w:sz="0" w:space="0" w:color="auto"/>
        <w:bottom w:val="none" w:sz="0" w:space="0" w:color="auto"/>
        <w:right w:val="none" w:sz="0" w:space="0" w:color="auto"/>
      </w:divBdr>
    </w:div>
    <w:div w:id="219025567">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57519510">
      <w:bodyDiv w:val="1"/>
      <w:marLeft w:val="0"/>
      <w:marRight w:val="0"/>
      <w:marTop w:val="0"/>
      <w:marBottom w:val="0"/>
      <w:divBdr>
        <w:top w:val="none" w:sz="0" w:space="0" w:color="auto"/>
        <w:left w:val="none" w:sz="0" w:space="0" w:color="auto"/>
        <w:bottom w:val="none" w:sz="0" w:space="0" w:color="auto"/>
        <w:right w:val="none" w:sz="0" w:space="0" w:color="auto"/>
      </w:divBdr>
    </w:div>
    <w:div w:id="346717657">
      <w:bodyDiv w:val="1"/>
      <w:marLeft w:val="0"/>
      <w:marRight w:val="0"/>
      <w:marTop w:val="0"/>
      <w:marBottom w:val="0"/>
      <w:divBdr>
        <w:top w:val="none" w:sz="0" w:space="0" w:color="auto"/>
        <w:left w:val="none" w:sz="0" w:space="0" w:color="auto"/>
        <w:bottom w:val="none" w:sz="0" w:space="0" w:color="auto"/>
        <w:right w:val="none" w:sz="0" w:space="0" w:color="auto"/>
      </w:divBdr>
    </w:div>
    <w:div w:id="377512406">
      <w:bodyDiv w:val="1"/>
      <w:marLeft w:val="0"/>
      <w:marRight w:val="0"/>
      <w:marTop w:val="0"/>
      <w:marBottom w:val="0"/>
      <w:divBdr>
        <w:top w:val="none" w:sz="0" w:space="0" w:color="auto"/>
        <w:left w:val="none" w:sz="0" w:space="0" w:color="auto"/>
        <w:bottom w:val="none" w:sz="0" w:space="0" w:color="auto"/>
        <w:right w:val="none" w:sz="0" w:space="0" w:color="auto"/>
      </w:divBdr>
    </w:div>
    <w:div w:id="424426201">
      <w:bodyDiv w:val="1"/>
      <w:marLeft w:val="0"/>
      <w:marRight w:val="0"/>
      <w:marTop w:val="0"/>
      <w:marBottom w:val="0"/>
      <w:divBdr>
        <w:top w:val="none" w:sz="0" w:space="0" w:color="auto"/>
        <w:left w:val="none" w:sz="0" w:space="0" w:color="auto"/>
        <w:bottom w:val="none" w:sz="0" w:space="0" w:color="auto"/>
        <w:right w:val="none" w:sz="0" w:space="0" w:color="auto"/>
      </w:divBdr>
    </w:div>
    <w:div w:id="435296068">
      <w:bodyDiv w:val="1"/>
      <w:marLeft w:val="0"/>
      <w:marRight w:val="0"/>
      <w:marTop w:val="0"/>
      <w:marBottom w:val="0"/>
      <w:divBdr>
        <w:top w:val="none" w:sz="0" w:space="0" w:color="auto"/>
        <w:left w:val="none" w:sz="0" w:space="0" w:color="auto"/>
        <w:bottom w:val="none" w:sz="0" w:space="0" w:color="auto"/>
        <w:right w:val="none" w:sz="0" w:space="0" w:color="auto"/>
      </w:divBdr>
    </w:div>
    <w:div w:id="446701829">
      <w:bodyDiv w:val="1"/>
      <w:marLeft w:val="0"/>
      <w:marRight w:val="0"/>
      <w:marTop w:val="0"/>
      <w:marBottom w:val="0"/>
      <w:divBdr>
        <w:top w:val="none" w:sz="0" w:space="0" w:color="auto"/>
        <w:left w:val="none" w:sz="0" w:space="0" w:color="auto"/>
        <w:bottom w:val="none" w:sz="0" w:space="0" w:color="auto"/>
        <w:right w:val="none" w:sz="0" w:space="0" w:color="auto"/>
      </w:divBdr>
    </w:div>
    <w:div w:id="504397303">
      <w:bodyDiv w:val="1"/>
      <w:marLeft w:val="0"/>
      <w:marRight w:val="0"/>
      <w:marTop w:val="0"/>
      <w:marBottom w:val="0"/>
      <w:divBdr>
        <w:top w:val="none" w:sz="0" w:space="0" w:color="auto"/>
        <w:left w:val="none" w:sz="0" w:space="0" w:color="auto"/>
        <w:bottom w:val="none" w:sz="0" w:space="0" w:color="auto"/>
        <w:right w:val="none" w:sz="0" w:space="0" w:color="auto"/>
      </w:divBdr>
    </w:div>
    <w:div w:id="530537160">
      <w:bodyDiv w:val="1"/>
      <w:marLeft w:val="0"/>
      <w:marRight w:val="0"/>
      <w:marTop w:val="0"/>
      <w:marBottom w:val="0"/>
      <w:divBdr>
        <w:top w:val="none" w:sz="0" w:space="0" w:color="auto"/>
        <w:left w:val="none" w:sz="0" w:space="0" w:color="auto"/>
        <w:bottom w:val="none" w:sz="0" w:space="0" w:color="auto"/>
        <w:right w:val="none" w:sz="0" w:space="0" w:color="auto"/>
      </w:divBdr>
    </w:div>
    <w:div w:id="601567326">
      <w:bodyDiv w:val="1"/>
      <w:marLeft w:val="0"/>
      <w:marRight w:val="0"/>
      <w:marTop w:val="0"/>
      <w:marBottom w:val="0"/>
      <w:divBdr>
        <w:top w:val="none" w:sz="0" w:space="0" w:color="auto"/>
        <w:left w:val="none" w:sz="0" w:space="0" w:color="auto"/>
        <w:bottom w:val="none" w:sz="0" w:space="0" w:color="auto"/>
        <w:right w:val="none" w:sz="0" w:space="0" w:color="auto"/>
      </w:divBdr>
      <w:divsChild>
        <w:div w:id="1978906">
          <w:marLeft w:val="0"/>
          <w:marRight w:val="0"/>
          <w:marTop w:val="0"/>
          <w:marBottom w:val="0"/>
          <w:divBdr>
            <w:top w:val="none" w:sz="0" w:space="0" w:color="auto"/>
            <w:left w:val="none" w:sz="0" w:space="0" w:color="auto"/>
            <w:bottom w:val="none" w:sz="0" w:space="0" w:color="auto"/>
            <w:right w:val="none" w:sz="0" w:space="0" w:color="auto"/>
          </w:divBdr>
          <w:divsChild>
            <w:div w:id="4455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4955">
      <w:bodyDiv w:val="1"/>
      <w:marLeft w:val="0"/>
      <w:marRight w:val="0"/>
      <w:marTop w:val="0"/>
      <w:marBottom w:val="0"/>
      <w:divBdr>
        <w:top w:val="none" w:sz="0" w:space="0" w:color="auto"/>
        <w:left w:val="none" w:sz="0" w:space="0" w:color="auto"/>
        <w:bottom w:val="none" w:sz="0" w:space="0" w:color="auto"/>
        <w:right w:val="none" w:sz="0" w:space="0" w:color="auto"/>
      </w:divBdr>
    </w:div>
    <w:div w:id="724909316">
      <w:bodyDiv w:val="1"/>
      <w:marLeft w:val="0"/>
      <w:marRight w:val="0"/>
      <w:marTop w:val="0"/>
      <w:marBottom w:val="0"/>
      <w:divBdr>
        <w:top w:val="none" w:sz="0" w:space="0" w:color="auto"/>
        <w:left w:val="none" w:sz="0" w:space="0" w:color="auto"/>
        <w:bottom w:val="none" w:sz="0" w:space="0" w:color="auto"/>
        <w:right w:val="none" w:sz="0" w:space="0" w:color="auto"/>
      </w:divBdr>
    </w:div>
    <w:div w:id="728503011">
      <w:bodyDiv w:val="1"/>
      <w:marLeft w:val="0"/>
      <w:marRight w:val="0"/>
      <w:marTop w:val="0"/>
      <w:marBottom w:val="0"/>
      <w:divBdr>
        <w:top w:val="none" w:sz="0" w:space="0" w:color="auto"/>
        <w:left w:val="none" w:sz="0" w:space="0" w:color="auto"/>
        <w:bottom w:val="none" w:sz="0" w:space="0" w:color="auto"/>
        <w:right w:val="none" w:sz="0" w:space="0" w:color="auto"/>
      </w:divBdr>
    </w:div>
    <w:div w:id="758910110">
      <w:bodyDiv w:val="1"/>
      <w:marLeft w:val="0"/>
      <w:marRight w:val="0"/>
      <w:marTop w:val="0"/>
      <w:marBottom w:val="0"/>
      <w:divBdr>
        <w:top w:val="none" w:sz="0" w:space="0" w:color="auto"/>
        <w:left w:val="none" w:sz="0" w:space="0" w:color="auto"/>
        <w:bottom w:val="none" w:sz="0" w:space="0" w:color="auto"/>
        <w:right w:val="none" w:sz="0" w:space="0" w:color="auto"/>
      </w:divBdr>
    </w:div>
    <w:div w:id="1008218460">
      <w:bodyDiv w:val="1"/>
      <w:marLeft w:val="0"/>
      <w:marRight w:val="0"/>
      <w:marTop w:val="0"/>
      <w:marBottom w:val="0"/>
      <w:divBdr>
        <w:top w:val="none" w:sz="0" w:space="0" w:color="auto"/>
        <w:left w:val="none" w:sz="0" w:space="0" w:color="auto"/>
        <w:bottom w:val="none" w:sz="0" w:space="0" w:color="auto"/>
        <w:right w:val="none" w:sz="0" w:space="0" w:color="auto"/>
      </w:divBdr>
    </w:div>
    <w:div w:id="1107582723">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84115704">
      <w:bodyDiv w:val="1"/>
      <w:marLeft w:val="0"/>
      <w:marRight w:val="0"/>
      <w:marTop w:val="0"/>
      <w:marBottom w:val="0"/>
      <w:divBdr>
        <w:top w:val="none" w:sz="0" w:space="0" w:color="auto"/>
        <w:left w:val="none" w:sz="0" w:space="0" w:color="auto"/>
        <w:bottom w:val="none" w:sz="0" w:space="0" w:color="auto"/>
        <w:right w:val="none" w:sz="0" w:space="0" w:color="auto"/>
      </w:divBdr>
    </w:div>
    <w:div w:id="1295058617">
      <w:bodyDiv w:val="1"/>
      <w:marLeft w:val="0"/>
      <w:marRight w:val="0"/>
      <w:marTop w:val="0"/>
      <w:marBottom w:val="0"/>
      <w:divBdr>
        <w:top w:val="none" w:sz="0" w:space="0" w:color="auto"/>
        <w:left w:val="none" w:sz="0" w:space="0" w:color="auto"/>
        <w:bottom w:val="none" w:sz="0" w:space="0" w:color="auto"/>
        <w:right w:val="none" w:sz="0" w:space="0" w:color="auto"/>
      </w:divBdr>
    </w:div>
    <w:div w:id="1331565322">
      <w:bodyDiv w:val="1"/>
      <w:marLeft w:val="0"/>
      <w:marRight w:val="0"/>
      <w:marTop w:val="0"/>
      <w:marBottom w:val="0"/>
      <w:divBdr>
        <w:top w:val="none" w:sz="0" w:space="0" w:color="auto"/>
        <w:left w:val="none" w:sz="0" w:space="0" w:color="auto"/>
        <w:bottom w:val="none" w:sz="0" w:space="0" w:color="auto"/>
        <w:right w:val="none" w:sz="0" w:space="0" w:color="auto"/>
      </w:divBdr>
    </w:div>
    <w:div w:id="1360280261">
      <w:bodyDiv w:val="1"/>
      <w:marLeft w:val="0"/>
      <w:marRight w:val="0"/>
      <w:marTop w:val="0"/>
      <w:marBottom w:val="0"/>
      <w:divBdr>
        <w:top w:val="none" w:sz="0" w:space="0" w:color="auto"/>
        <w:left w:val="none" w:sz="0" w:space="0" w:color="auto"/>
        <w:bottom w:val="none" w:sz="0" w:space="0" w:color="auto"/>
        <w:right w:val="none" w:sz="0" w:space="0" w:color="auto"/>
      </w:divBdr>
    </w:div>
    <w:div w:id="1362322115">
      <w:bodyDiv w:val="1"/>
      <w:marLeft w:val="0"/>
      <w:marRight w:val="0"/>
      <w:marTop w:val="0"/>
      <w:marBottom w:val="0"/>
      <w:divBdr>
        <w:top w:val="none" w:sz="0" w:space="0" w:color="auto"/>
        <w:left w:val="none" w:sz="0" w:space="0" w:color="auto"/>
        <w:bottom w:val="none" w:sz="0" w:space="0" w:color="auto"/>
        <w:right w:val="none" w:sz="0" w:space="0" w:color="auto"/>
      </w:divBdr>
    </w:div>
    <w:div w:id="1376347283">
      <w:bodyDiv w:val="1"/>
      <w:marLeft w:val="0"/>
      <w:marRight w:val="0"/>
      <w:marTop w:val="0"/>
      <w:marBottom w:val="0"/>
      <w:divBdr>
        <w:top w:val="none" w:sz="0" w:space="0" w:color="auto"/>
        <w:left w:val="none" w:sz="0" w:space="0" w:color="auto"/>
        <w:bottom w:val="none" w:sz="0" w:space="0" w:color="auto"/>
        <w:right w:val="none" w:sz="0" w:space="0" w:color="auto"/>
      </w:divBdr>
    </w:div>
    <w:div w:id="1416248026">
      <w:bodyDiv w:val="1"/>
      <w:marLeft w:val="0"/>
      <w:marRight w:val="0"/>
      <w:marTop w:val="0"/>
      <w:marBottom w:val="0"/>
      <w:divBdr>
        <w:top w:val="none" w:sz="0" w:space="0" w:color="auto"/>
        <w:left w:val="none" w:sz="0" w:space="0" w:color="auto"/>
        <w:bottom w:val="none" w:sz="0" w:space="0" w:color="auto"/>
        <w:right w:val="none" w:sz="0" w:space="0" w:color="auto"/>
      </w:divBdr>
    </w:div>
    <w:div w:id="1449660216">
      <w:bodyDiv w:val="1"/>
      <w:marLeft w:val="0"/>
      <w:marRight w:val="0"/>
      <w:marTop w:val="0"/>
      <w:marBottom w:val="0"/>
      <w:divBdr>
        <w:top w:val="none" w:sz="0" w:space="0" w:color="auto"/>
        <w:left w:val="none" w:sz="0" w:space="0" w:color="auto"/>
        <w:bottom w:val="none" w:sz="0" w:space="0" w:color="auto"/>
        <w:right w:val="none" w:sz="0" w:space="0" w:color="auto"/>
      </w:divBdr>
      <w:divsChild>
        <w:div w:id="1013191775">
          <w:marLeft w:val="0"/>
          <w:marRight w:val="0"/>
          <w:marTop w:val="120"/>
          <w:marBottom w:val="0"/>
          <w:divBdr>
            <w:top w:val="none" w:sz="0" w:space="0" w:color="auto"/>
            <w:left w:val="none" w:sz="0" w:space="0" w:color="auto"/>
            <w:bottom w:val="none" w:sz="0" w:space="0" w:color="auto"/>
            <w:right w:val="none" w:sz="0" w:space="0" w:color="auto"/>
          </w:divBdr>
        </w:div>
        <w:div w:id="20061241">
          <w:marLeft w:val="0"/>
          <w:marRight w:val="0"/>
          <w:marTop w:val="0"/>
          <w:marBottom w:val="0"/>
          <w:divBdr>
            <w:top w:val="none" w:sz="0" w:space="0" w:color="auto"/>
            <w:left w:val="none" w:sz="0" w:space="0" w:color="auto"/>
            <w:bottom w:val="none" w:sz="0" w:space="0" w:color="auto"/>
            <w:right w:val="none" w:sz="0" w:space="0" w:color="auto"/>
          </w:divBdr>
        </w:div>
      </w:divsChild>
    </w:div>
    <w:div w:id="1540316265">
      <w:bodyDiv w:val="1"/>
      <w:marLeft w:val="0"/>
      <w:marRight w:val="0"/>
      <w:marTop w:val="0"/>
      <w:marBottom w:val="0"/>
      <w:divBdr>
        <w:top w:val="none" w:sz="0" w:space="0" w:color="auto"/>
        <w:left w:val="none" w:sz="0" w:space="0" w:color="auto"/>
        <w:bottom w:val="none" w:sz="0" w:space="0" w:color="auto"/>
        <w:right w:val="none" w:sz="0" w:space="0" w:color="auto"/>
      </w:divBdr>
    </w:div>
    <w:div w:id="1634169327">
      <w:bodyDiv w:val="1"/>
      <w:marLeft w:val="0"/>
      <w:marRight w:val="0"/>
      <w:marTop w:val="0"/>
      <w:marBottom w:val="0"/>
      <w:divBdr>
        <w:top w:val="none" w:sz="0" w:space="0" w:color="auto"/>
        <w:left w:val="none" w:sz="0" w:space="0" w:color="auto"/>
        <w:bottom w:val="none" w:sz="0" w:space="0" w:color="auto"/>
        <w:right w:val="none" w:sz="0" w:space="0" w:color="auto"/>
      </w:divBdr>
    </w:div>
    <w:div w:id="1759138381">
      <w:bodyDiv w:val="1"/>
      <w:marLeft w:val="0"/>
      <w:marRight w:val="0"/>
      <w:marTop w:val="0"/>
      <w:marBottom w:val="0"/>
      <w:divBdr>
        <w:top w:val="none" w:sz="0" w:space="0" w:color="auto"/>
        <w:left w:val="none" w:sz="0" w:space="0" w:color="auto"/>
        <w:bottom w:val="none" w:sz="0" w:space="0" w:color="auto"/>
        <w:right w:val="none" w:sz="0" w:space="0" w:color="auto"/>
      </w:divBdr>
    </w:div>
    <w:div w:id="1760826901">
      <w:bodyDiv w:val="1"/>
      <w:marLeft w:val="0"/>
      <w:marRight w:val="0"/>
      <w:marTop w:val="0"/>
      <w:marBottom w:val="0"/>
      <w:divBdr>
        <w:top w:val="none" w:sz="0" w:space="0" w:color="auto"/>
        <w:left w:val="none" w:sz="0" w:space="0" w:color="auto"/>
        <w:bottom w:val="none" w:sz="0" w:space="0" w:color="auto"/>
        <w:right w:val="none" w:sz="0" w:space="0" w:color="auto"/>
      </w:divBdr>
    </w:div>
    <w:div w:id="1849100711">
      <w:bodyDiv w:val="1"/>
      <w:marLeft w:val="0"/>
      <w:marRight w:val="0"/>
      <w:marTop w:val="0"/>
      <w:marBottom w:val="0"/>
      <w:divBdr>
        <w:top w:val="none" w:sz="0" w:space="0" w:color="auto"/>
        <w:left w:val="none" w:sz="0" w:space="0" w:color="auto"/>
        <w:bottom w:val="none" w:sz="0" w:space="0" w:color="auto"/>
        <w:right w:val="none" w:sz="0" w:space="0" w:color="auto"/>
      </w:divBdr>
      <w:divsChild>
        <w:div w:id="1943949073">
          <w:marLeft w:val="0"/>
          <w:marRight w:val="0"/>
          <w:marTop w:val="0"/>
          <w:marBottom w:val="0"/>
          <w:divBdr>
            <w:top w:val="none" w:sz="0" w:space="0" w:color="auto"/>
            <w:left w:val="none" w:sz="0" w:space="0" w:color="auto"/>
            <w:bottom w:val="none" w:sz="0" w:space="0" w:color="auto"/>
            <w:right w:val="none" w:sz="0" w:space="0" w:color="auto"/>
          </w:divBdr>
          <w:divsChild>
            <w:div w:id="14122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567">
      <w:bodyDiv w:val="1"/>
      <w:marLeft w:val="0"/>
      <w:marRight w:val="0"/>
      <w:marTop w:val="0"/>
      <w:marBottom w:val="0"/>
      <w:divBdr>
        <w:top w:val="none" w:sz="0" w:space="0" w:color="auto"/>
        <w:left w:val="none" w:sz="0" w:space="0" w:color="auto"/>
        <w:bottom w:val="none" w:sz="0" w:space="0" w:color="auto"/>
        <w:right w:val="none" w:sz="0" w:space="0" w:color="auto"/>
      </w:divBdr>
    </w:div>
    <w:div w:id="2029410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tcfd.org/recommendations/" TargetMode="External"/><Relationship Id="rId13" Type="http://schemas.openxmlformats.org/officeDocument/2006/relationships/hyperlink" Target="https://www.iea.org/reports/world-energy-mode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arbonaccountingfinancials.com/standar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pri.org" TargetMode="External"/><Relationship Id="rId5" Type="http://schemas.openxmlformats.org/officeDocument/2006/relationships/webSettings" Target="webSettings.xml"/><Relationship Id="rId15" Type="http://schemas.openxmlformats.org/officeDocument/2006/relationships/hyperlink" Target="https://www.unepfi.org/publications/banking-publications/charting-a-new-climate/" TargetMode="External"/><Relationship Id="rId23" Type="http://schemas.openxmlformats.org/officeDocument/2006/relationships/theme" Target="theme/theme1.xml"/><Relationship Id="rId10" Type="http://schemas.openxmlformats.org/officeDocument/2006/relationships/hyperlink" Target="https://www.globalreporting.org/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nepfi.org" TargetMode="External"/><Relationship Id="rId14" Type="http://schemas.openxmlformats.org/officeDocument/2006/relationships/hyperlink" Target="https://iea.blob.core.windows.net/assets/deebef5d-0c34-4539-9d0c-10b13d840027/NetZeroby2050-ARoadmapfortheGlobalEnergySector_CORR.pdf" TargetMode="External"/><Relationship Id="rId22" Type="http://schemas.openxmlformats.org/officeDocument/2006/relationships/fontTable" Target="fontTable.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41AB-80B6-4455-A8D4-F1A8BBA8E32C}">
  <ds:schemaRefs>
    <ds:schemaRef ds:uri="http://schemas.openxmlformats.org/officeDocument/2006/bibliography"/>
  </ds:schemaRefs>
</ds:datastoreItem>
</file>

<file path=docMetadata/LabelInfo.xml><?xml version="1.0" encoding="utf-8"?>
<clbl:labelList xmlns:clbl="http://schemas.microsoft.com/office/2020/mipLabelMetadata">
  <clbl:label id="{5c7eb9de-735b-4a68-8fe4-c9c62709b012}" enabled="1" method="Standard" siteId="{3bacb4ff-f1a2-4c92-b96c-e99fec826b68}" contentBits="1" removed="0"/>
</clbl:labelList>
</file>

<file path=docProps/app.xml><?xml version="1.0" encoding="utf-8"?>
<Properties xmlns="http://schemas.openxmlformats.org/officeDocument/2006/extended-properties" xmlns:vt="http://schemas.openxmlformats.org/officeDocument/2006/docPropsVTypes">
  <Template>Normal</Template>
  <TotalTime>6</TotalTime>
  <Pages>47</Pages>
  <Words>19237</Words>
  <Characters>106577</Characters>
  <Application>Microsoft Office Word</Application>
  <DocSecurity>0</DocSecurity>
  <Lines>2049</Lines>
  <Paragraphs>1123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RULLI Edoardo (FISMA)</dc:creator>
  <cp:lastModifiedBy>Andreas Buerger</cp:lastModifiedBy>
  <cp:revision>15</cp:revision>
  <dcterms:created xsi:type="dcterms:W3CDTF">2022-11-17T09:22:00Z</dcterms:created>
  <dcterms:modified xsi:type="dcterms:W3CDTF">2023-03-06T16:15:00Z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Red</vt:lpwstr>
  </property>
  <property fmtid="{D5CDD505-2E9C-101B-9397-08002B2CF9AE}" pid="3" name="Level of sensitivity">
    <vt:lpwstr>Standard treatment</vt:lpwstr>
  </property>
  <property fmtid="{D5CDD505-2E9C-101B-9397-08002B2CF9AE}" pid="4" name="Last edited using">
    <vt:lpwstr>LW 8.0, Build 20210915</vt:lpwstr>
  </property>
  <property fmtid="{D5CDD505-2E9C-101B-9397-08002B2CF9AE}" pid="5" name="First annex">
    <vt:lpwstr>2</vt:lpwstr>
  </property>
  <property fmtid="{D5CDD505-2E9C-101B-9397-08002B2CF9AE}" pid="6" name="Last annex">
    <vt:lpwstr>2</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CPTemplateID">
    <vt:lpwstr>CP-038</vt:lpwstr>
  </property>
  <property fmtid="{D5CDD505-2E9C-101B-9397-08002B2CF9AE}" pid="11" name="MSIP_Label_5c7eb9de-735b-4a68-8fe4-c9c62709b012_Enabled">
    <vt:lpwstr>true</vt:lpwstr>
  </property>
  <property fmtid="{D5CDD505-2E9C-101B-9397-08002B2CF9AE}" pid="12" name="MSIP_Label_5c7eb9de-735b-4a68-8fe4-c9c62709b012_SetDate">
    <vt:lpwstr>2023-03-06T16:15:58Z</vt:lpwstr>
  </property>
  <property fmtid="{D5CDD505-2E9C-101B-9397-08002B2CF9AE}" pid="13" name="MSIP_Label_5c7eb9de-735b-4a68-8fe4-c9c62709b012_Method">
    <vt:lpwstr>Standard</vt:lpwstr>
  </property>
  <property fmtid="{D5CDD505-2E9C-101B-9397-08002B2CF9AE}" pid="14" name="MSIP_Label_5c7eb9de-735b-4a68-8fe4-c9c62709b012_Name">
    <vt:lpwstr>EBA Regular Use</vt:lpwstr>
  </property>
  <property fmtid="{D5CDD505-2E9C-101B-9397-08002B2CF9AE}" pid="15" name="MSIP_Label_5c7eb9de-735b-4a68-8fe4-c9c62709b012_SiteId">
    <vt:lpwstr>3bacb4ff-f1a2-4c92-b96c-e99fec826b68</vt:lpwstr>
  </property>
  <property fmtid="{D5CDD505-2E9C-101B-9397-08002B2CF9AE}" pid="16" name="MSIP_Label_5c7eb9de-735b-4a68-8fe4-c9c62709b012_ActionId">
    <vt:lpwstr>4a98591f-aab5-4df8-94e6-41e0da1582c5</vt:lpwstr>
  </property>
  <property fmtid="{D5CDD505-2E9C-101B-9397-08002B2CF9AE}" pid="17" name="MSIP_Label_5c7eb9de-735b-4a68-8fe4-c9c62709b012_ContentBits">
    <vt:lpwstr>1</vt:lpwstr>
  </property>
</Properties>
</file>