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D6C" w:rsidRPr="007F4CC8" w:rsidRDefault="00C04D6C" w:rsidP="00C04D6C">
      <w:pPr>
        <w:pStyle w:val="Annexetitre"/>
      </w:pPr>
      <w:r w:rsidRPr="007F4CC8">
        <w:t>ANNEX VI – Instructions for disclosure of information on the scope of application of the regulatory framework</w:t>
      </w:r>
    </w:p>
    <w:p w:rsidR="00C04D6C" w:rsidRPr="007F4CC8" w:rsidRDefault="00C04D6C" w:rsidP="00C04D6C">
      <w:pPr>
        <w:rPr>
          <w:rFonts w:ascii="Times New Roman" w:hAnsi="Times New Roman" w:cs="Times New Roman"/>
          <w:b/>
          <w:sz w:val="24"/>
        </w:rPr>
      </w:pPr>
    </w:p>
    <w:p w:rsidR="00C04D6C" w:rsidRPr="007F4CC8" w:rsidRDefault="00C04D6C" w:rsidP="00C04D6C">
      <w:pPr>
        <w:rPr>
          <w:rFonts w:ascii="Times New Roman" w:hAnsi="Times New Roman" w:cs="Times New Roman"/>
          <w:b/>
          <w:sz w:val="24"/>
        </w:rPr>
      </w:pPr>
      <w:r w:rsidRPr="007F4CC8">
        <w:rPr>
          <w:rFonts w:ascii="Times New Roman" w:hAnsi="Times New Roman" w:cs="Times New Roman"/>
          <w:b/>
          <w:sz w:val="24"/>
        </w:rPr>
        <w:t>Template EU</w:t>
      </w:r>
      <w:r>
        <w:rPr>
          <w:rFonts w:ascii="Times New Roman" w:hAnsi="Times New Roman" w:cs="Times New Roman"/>
          <w:b/>
          <w:sz w:val="24"/>
        </w:rPr>
        <w:t xml:space="preserve"> </w:t>
      </w:r>
      <w:r w:rsidRPr="007F4CC8">
        <w:rPr>
          <w:rFonts w:ascii="Times New Roman" w:hAnsi="Times New Roman" w:cs="Times New Roman"/>
          <w:b/>
          <w:sz w:val="24"/>
        </w:rPr>
        <w:t xml:space="preserve">LI1 - Differences between </w:t>
      </w:r>
      <w:r>
        <w:rPr>
          <w:rFonts w:ascii="Times New Roman" w:hAnsi="Times New Roman" w:cs="Times New Roman"/>
          <w:b/>
          <w:sz w:val="24"/>
        </w:rPr>
        <w:t xml:space="preserve">the accounting scope </w:t>
      </w:r>
      <w:r w:rsidRPr="007F4CC8">
        <w:rPr>
          <w:rFonts w:ascii="Times New Roman" w:hAnsi="Times New Roman" w:cs="Times New Roman"/>
          <w:b/>
          <w:sz w:val="24"/>
        </w:rPr>
        <w:t xml:space="preserve">and </w:t>
      </w:r>
      <w:r>
        <w:rPr>
          <w:rFonts w:ascii="Times New Roman" w:hAnsi="Times New Roman" w:cs="Times New Roman"/>
          <w:b/>
          <w:sz w:val="24"/>
        </w:rPr>
        <w:t>the scope of prudential</w:t>
      </w:r>
      <w:r w:rsidRPr="007F4CC8">
        <w:rPr>
          <w:rFonts w:ascii="Times New Roman" w:hAnsi="Times New Roman" w:cs="Times New Roman"/>
          <w:b/>
          <w:sz w:val="24"/>
        </w:rPr>
        <w:t xml:space="preserve"> consolidation and mapping of financial statement categories with regulatory risk categories.</w:t>
      </w:r>
      <w:r w:rsidRPr="007F4CC8">
        <w:rPr>
          <w:rFonts w:ascii="Times New Roman" w:hAnsi="Times New Roman" w:cs="Times New Roman"/>
          <w:sz w:val="24"/>
        </w:rPr>
        <w:t xml:space="preserve"> Flexible format.</w:t>
      </w:r>
    </w:p>
    <w:p w:rsidR="00C04D6C" w:rsidRPr="007F4CC8" w:rsidRDefault="00C04D6C" w:rsidP="00C04D6C">
      <w:pPr>
        <w:rPr>
          <w:rFonts w:ascii="Times New Roman" w:hAnsi="Times New Roman" w:cs="Times New Roman"/>
          <w:b/>
          <w:sz w:val="24"/>
        </w:rPr>
      </w:pPr>
    </w:p>
    <w:p w:rsidR="00C04D6C" w:rsidRPr="007F4CC8" w:rsidRDefault="00C04D6C" w:rsidP="00C04D6C">
      <w:pPr>
        <w:pStyle w:val="ListParagraph"/>
        <w:numPr>
          <w:ilvl w:val="0"/>
          <w:numId w:val="1"/>
        </w:numPr>
        <w:spacing w:before="120" w:after="120"/>
        <w:ind w:left="425" w:hanging="357"/>
        <w:jc w:val="both"/>
        <w:rPr>
          <w:rFonts w:ascii="Times New Roman" w:hAnsi="Times New Roman"/>
          <w:sz w:val="24"/>
        </w:rPr>
      </w:pPr>
      <w:r w:rsidRPr="007F4CC8">
        <w:rPr>
          <w:rFonts w:ascii="Times New Roman" w:hAnsi="Times New Roman"/>
          <w:sz w:val="24"/>
        </w:rPr>
        <w:t>Institutions shall disclose the information referred to in point (c) of Article 436 of Regulation (EU) 575/2013</w:t>
      </w:r>
      <w:r w:rsidRPr="007F4CC8">
        <w:rPr>
          <w:rStyle w:val="FootnoteReference"/>
        </w:rPr>
        <w:footnoteReference w:id="1"/>
      </w:r>
      <w:r w:rsidRPr="007F4CC8">
        <w:rPr>
          <w:rFonts w:ascii="Times New Roman" w:hAnsi="Times New Roman"/>
          <w:sz w:val="24"/>
        </w:rPr>
        <w:t xml:space="preserve"> (“CRR") by following the instructions provided below in this Annex to complete</w:t>
      </w:r>
      <w:r>
        <w:rPr>
          <w:rFonts w:ascii="Times New Roman" w:hAnsi="Times New Roman"/>
          <w:sz w:val="24"/>
        </w:rPr>
        <w:t xml:space="preserve"> template EU </w:t>
      </w:r>
      <w:r w:rsidRPr="007F4CC8">
        <w:rPr>
          <w:rFonts w:ascii="Times New Roman" w:hAnsi="Times New Roman"/>
          <w:sz w:val="24"/>
        </w:rPr>
        <w:t>LI1 which is presented in Annex V to this Implementing Regulation.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C04D6C" w:rsidRPr="007F4CC8" w:rsidTr="00D819DE">
        <w:trPr>
          <w:trHeight w:val="7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4D6C" w:rsidRPr="007F4CC8" w:rsidRDefault="00C04D6C" w:rsidP="00D819DE">
            <w:pPr>
              <w:pStyle w:val="TableTitle"/>
              <w:spacing w:before="0" w:after="0"/>
              <w:jc w:val="left"/>
              <w:rPr>
                <w:rFonts w:ascii="Times New Roman" w:hAnsi="Times New Roman"/>
                <w:noProof w:val="0"/>
                <w:sz w:val="24"/>
                <w:szCs w:val="24"/>
              </w:rPr>
            </w:pPr>
            <w:r w:rsidRPr="007F4CC8">
              <w:rPr>
                <w:rFonts w:ascii="Times New Roman" w:hAnsi="Times New Roman"/>
                <w:noProof w:val="0"/>
                <w:sz w:val="24"/>
                <w:szCs w:val="24"/>
              </w:rPr>
              <w:t>Legal references and instructions</w:t>
            </w:r>
          </w:p>
        </w:tc>
      </w:tr>
      <w:tr w:rsidR="00C04D6C" w:rsidRPr="007F4CC8" w:rsidTr="00D819DE">
        <w:trPr>
          <w:trHeight w:val="238"/>
        </w:trPr>
        <w:tc>
          <w:tcPr>
            <w:tcW w:w="1384" w:type="dxa"/>
            <w:tcBorders>
              <w:bottom w:val="single" w:sz="4" w:space="0" w:color="auto"/>
            </w:tcBorders>
            <w:shd w:val="clear" w:color="auto" w:fill="D9D9D9" w:themeFill="background1" w:themeFillShade="D9"/>
          </w:tcPr>
          <w:p w:rsidR="00C04D6C" w:rsidRPr="007F4CC8" w:rsidRDefault="00C04D6C" w:rsidP="00D819DE">
            <w:pPr>
              <w:autoSpaceDE w:val="0"/>
              <w:autoSpaceDN w:val="0"/>
              <w:adjustRightInd w:val="0"/>
              <w:rPr>
                <w:rFonts w:ascii="Times New Roman" w:hAnsi="Times New Roman" w:cs="Times New Roman"/>
                <w:b/>
                <w:sz w:val="24"/>
              </w:rPr>
            </w:pPr>
            <w:r w:rsidRPr="007F4CC8">
              <w:rPr>
                <w:rFonts w:ascii="Times New Roman" w:hAnsi="Times New Roman" w:cs="Times New Roman"/>
                <w:b/>
                <w:sz w:val="24"/>
              </w:rPr>
              <w:t>Row number</w:t>
            </w:r>
          </w:p>
        </w:tc>
        <w:tc>
          <w:tcPr>
            <w:tcW w:w="7655" w:type="dxa"/>
            <w:tcBorders>
              <w:bottom w:val="single" w:sz="4" w:space="0" w:color="auto"/>
            </w:tcBorders>
            <w:shd w:val="clear" w:color="auto" w:fill="D9D9D9" w:themeFill="background1" w:themeFillShade="D9"/>
          </w:tcPr>
          <w:p w:rsidR="00C04D6C" w:rsidRPr="007F4CC8" w:rsidRDefault="00C04D6C" w:rsidP="00D819DE">
            <w:pPr>
              <w:autoSpaceDE w:val="0"/>
              <w:autoSpaceDN w:val="0"/>
              <w:adjustRightInd w:val="0"/>
              <w:rPr>
                <w:rFonts w:ascii="Times New Roman" w:hAnsi="Times New Roman" w:cs="Times New Roman"/>
                <w:color w:val="000000"/>
                <w:sz w:val="24"/>
              </w:rPr>
            </w:pPr>
            <w:r w:rsidRPr="007F4CC8">
              <w:rPr>
                <w:rFonts w:ascii="Times New Roman" w:hAnsi="Times New Roman" w:cs="Times New Roman"/>
                <w:b/>
                <w:sz w:val="24"/>
              </w:rPr>
              <w:t>Explanation</w:t>
            </w:r>
          </w:p>
        </w:tc>
      </w:tr>
      <w:tr w:rsidR="00C04D6C" w:rsidRPr="007F4CC8" w:rsidTr="00D819DE">
        <w:trPr>
          <w:trHeight w:val="238"/>
        </w:trPr>
        <w:tc>
          <w:tcPr>
            <w:tcW w:w="1384" w:type="dxa"/>
            <w:tcBorders>
              <w:top w:val="single" w:sz="4" w:space="0" w:color="auto"/>
              <w:bottom w:val="single" w:sz="4" w:space="0" w:color="auto"/>
            </w:tcBorders>
            <w:shd w:val="clear" w:color="auto" w:fill="FFFFFF" w:themeFill="background1"/>
            <w:vAlign w:val="center"/>
          </w:tcPr>
          <w:p w:rsidR="00C04D6C" w:rsidRPr="007F4CC8" w:rsidRDefault="00C04D6C" w:rsidP="00D819DE">
            <w:pPr>
              <w:spacing w:before="60" w:after="120"/>
              <w:rPr>
                <w:rFonts w:ascii="Times New Roman" w:hAnsi="Times New Roman" w:cs="Times New Roman"/>
                <w:sz w:val="24"/>
              </w:rPr>
            </w:pPr>
            <w:r w:rsidRPr="007F4CC8">
              <w:rPr>
                <w:rFonts w:ascii="Times New Roman" w:hAnsi="Times New Roman" w:cs="Times New Roman"/>
                <w:sz w:val="24"/>
              </w:rPr>
              <w:t>1 to XXX</w:t>
            </w:r>
          </w:p>
        </w:tc>
        <w:tc>
          <w:tcPr>
            <w:tcW w:w="7655" w:type="dxa"/>
            <w:tcBorders>
              <w:top w:val="single" w:sz="4" w:space="0" w:color="auto"/>
              <w:bottom w:val="single" w:sz="4" w:space="0" w:color="auto"/>
            </w:tcBorders>
            <w:shd w:val="clear" w:color="auto" w:fill="FFFFFF" w:themeFill="background1"/>
            <w:vAlign w:val="center"/>
          </w:tcPr>
          <w:p w:rsidR="00C04D6C" w:rsidRPr="007F4CC8" w:rsidRDefault="00C04D6C" w:rsidP="00D819DE">
            <w:pPr>
              <w:spacing w:before="60" w:after="120"/>
              <w:jc w:val="both"/>
              <w:rPr>
                <w:rFonts w:ascii="Times New Roman" w:eastAsia="Times New Roman" w:hAnsi="Times New Roman" w:cs="Times New Roman"/>
                <w:b/>
                <w:sz w:val="24"/>
              </w:rPr>
            </w:pPr>
            <w:r w:rsidRPr="007F4CC8">
              <w:rPr>
                <w:rFonts w:ascii="Times New Roman" w:eastAsia="Times New Roman" w:hAnsi="Times New Roman" w:cs="Times New Roman"/>
                <w:b/>
                <w:sz w:val="24"/>
              </w:rPr>
              <w:t xml:space="preserve">Total Assets </w:t>
            </w:r>
          </w:p>
          <w:p w:rsidR="00C04D6C" w:rsidRPr="007F4CC8" w:rsidRDefault="00C04D6C" w:rsidP="00D819DE">
            <w:pPr>
              <w:spacing w:before="6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 xml:space="preserve">The row structure shall be the same as the row structure of the balance sheet used in the latest available financial reporting of the institution. </w:t>
            </w:r>
          </w:p>
          <w:p w:rsidR="00C04D6C" w:rsidRPr="007F4CC8" w:rsidRDefault="00C04D6C" w:rsidP="00D819DE">
            <w:pPr>
              <w:spacing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‘Financial reporting’ refers to the annual individual or consolidated financial statements defined in Articles 4 and 24 of Directive (EU) 2013/34</w:t>
            </w:r>
            <w:r w:rsidRPr="007F4CC8">
              <w:rPr>
                <w:rStyle w:val="FootnoteReference"/>
                <w:rFonts w:eastAsia="Times New Roman" w:cs="Times New Roman"/>
              </w:rPr>
              <w:footnoteReference w:id="2"/>
            </w:r>
            <w:r w:rsidRPr="007F4CC8">
              <w:rPr>
                <w:rFonts w:ascii="Times New Roman" w:eastAsia="Times New Roman" w:hAnsi="Times New Roman" w:cs="Times New Roman"/>
                <w:sz w:val="24"/>
              </w:rPr>
              <w:t>, as well as (when applicable) to the financial statements in the meaning of the international accounting standards as endorsed in the EU in the application of Regulation (EC) 1606/2002</w:t>
            </w:r>
            <w:r w:rsidRPr="007F4CC8">
              <w:rPr>
                <w:rStyle w:val="FootnoteReference"/>
                <w:rFonts w:eastAsia="Times New Roman" w:cs="Times New Roman"/>
              </w:rPr>
              <w:footnoteReference w:id="3"/>
            </w:r>
            <w:r w:rsidRPr="007F4CC8">
              <w:rPr>
                <w:rFonts w:ascii="Times New Roman" w:eastAsia="Times New Roman" w:hAnsi="Times New Roman" w:cs="Times New Roman"/>
                <w:sz w:val="24"/>
              </w:rPr>
              <w:t>.</w:t>
            </w:r>
          </w:p>
        </w:tc>
      </w:tr>
      <w:tr w:rsidR="00C04D6C" w:rsidRPr="007F4CC8" w:rsidTr="00D819DE">
        <w:trPr>
          <w:trHeight w:val="818"/>
        </w:trPr>
        <w:tc>
          <w:tcPr>
            <w:tcW w:w="1384" w:type="dxa"/>
            <w:tcBorders>
              <w:top w:val="single" w:sz="4" w:space="0" w:color="auto"/>
              <w:bottom w:val="single" w:sz="4" w:space="0" w:color="auto"/>
            </w:tcBorders>
            <w:shd w:val="clear" w:color="auto" w:fill="FFFFFF" w:themeFill="background1"/>
            <w:vAlign w:val="center"/>
          </w:tcPr>
          <w:p w:rsidR="00C04D6C" w:rsidRPr="007F4CC8" w:rsidRDefault="00C04D6C" w:rsidP="00D819DE">
            <w:pPr>
              <w:spacing w:before="60" w:after="120"/>
              <w:rPr>
                <w:rFonts w:ascii="Times New Roman" w:hAnsi="Times New Roman" w:cs="Times New Roman"/>
                <w:sz w:val="24"/>
              </w:rPr>
            </w:pPr>
            <w:r w:rsidRPr="007F4CC8">
              <w:rPr>
                <w:rFonts w:ascii="Times New Roman" w:hAnsi="Times New Roman" w:cs="Times New Roman"/>
                <w:sz w:val="24"/>
              </w:rPr>
              <w:t>1 to XXX</w:t>
            </w:r>
          </w:p>
        </w:tc>
        <w:tc>
          <w:tcPr>
            <w:tcW w:w="7655" w:type="dxa"/>
            <w:tcBorders>
              <w:top w:val="single" w:sz="4" w:space="0" w:color="auto"/>
              <w:bottom w:val="single" w:sz="4" w:space="0" w:color="auto"/>
            </w:tcBorders>
            <w:shd w:val="clear" w:color="auto" w:fill="FFFFFF" w:themeFill="background1"/>
            <w:vAlign w:val="center"/>
          </w:tcPr>
          <w:p w:rsidR="00C04D6C" w:rsidRPr="007F4CC8" w:rsidRDefault="00C04D6C" w:rsidP="00D819DE">
            <w:pPr>
              <w:spacing w:before="60" w:after="120"/>
              <w:jc w:val="both"/>
              <w:rPr>
                <w:rFonts w:ascii="Times New Roman" w:eastAsia="Times New Roman" w:hAnsi="Times New Roman" w:cs="Times New Roman"/>
                <w:b/>
                <w:sz w:val="24"/>
              </w:rPr>
            </w:pPr>
            <w:r w:rsidRPr="007F4CC8">
              <w:rPr>
                <w:rFonts w:ascii="Times New Roman" w:eastAsia="Times New Roman" w:hAnsi="Times New Roman" w:cs="Times New Roman"/>
                <w:b/>
                <w:sz w:val="24"/>
              </w:rPr>
              <w:t>Total Liabilities</w:t>
            </w:r>
          </w:p>
          <w:p w:rsidR="00C04D6C" w:rsidRPr="007F4CC8" w:rsidRDefault="00C04D6C" w:rsidP="00D819DE">
            <w:pPr>
              <w:spacing w:before="6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 xml:space="preserve">The row structure shall be the same as the row structure of the balance sheet used in the latest available financial reporting of the institution. </w:t>
            </w:r>
          </w:p>
          <w:p w:rsidR="00C04D6C" w:rsidRPr="007F4CC8" w:rsidRDefault="00C04D6C" w:rsidP="00D819DE">
            <w:pPr>
              <w:spacing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‘Financial reporting’ refers to the annual individual or consolidated financial statements defined in Articles 4 and 24 of Directive (EU) 2013/34/EU, as well as (when applicable) to the financial statements in the meaning of the international accounting standards as endorsed in the EU in the application of Regulation (EC) 1606/2002.</w:t>
            </w:r>
          </w:p>
        </w:tc>
      </w:tr>
    </w:tbl>
    <w:p w:rsidR="00C04D6C" w:rsidRPr="007F4CC8" w:rsidRDefault="00C04D6C" w:rsidP="00C04D6C">
      <w:pPr>
        <w:rPr>
          <w:rFonts w:ascii="Times New Roman" w:hAnsi="Times New Roman" w:cs="Times New Roman"/>
          <w:sz w:val="24"/>
        </w:rPr>
      </w:pPr>
    </w:p>
    <w:p w:rsidR="00C04D6C" w:rsidRPr="007F4CC8" w:rsidRDefault="00C04D6C" w:rsidP="00C04D6C">
      <w:pPr>
        <w:spacing w:after="120"/>
        <w:jc w:val="both"/>
        <w:rPr>
          <w:rFonts w:ascii="Times New Roman" w:hAnsi="Times New Roman" w:cs="Times New Roman"/>
          <w:b/>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C04D6C" w:rsidRPr="007F4CC8" w:rsidTr="00D819DE">
        <w:trPr>
          <w:trHeight w:val="7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4D6C" w:rsidRPr="007F4CC8" w:rsidRDefault="00C04D6C" w:rsidP="00D819DE">
            <w:pPr>
              <w:pStyle w:val="TableTitle"/>
              <w:spacing w:before="0" w:after="0"/>
              <w:jc w:val="left"/>
              <w:rPr>
                <w:rFonts w:ascii="Times New Roman" w:hAnsi="Times New Roman"/>
                <w:noProof w:val="0"/>
                <w:sz w:val="24"/>
                <w:szCs w:val="24"/>
              </w:rPr>
            </w:pPr>
            <w:r w:rsidRPr="007F4CC8">
              <w:rPr>
                <w:rFonts w:ascii="Times New Roman" w:hAnsi="Times New Roman"/>
                <w:noProof w:val="0"/>
                <w:sz w:val="24"/>
                <w:szCs w:val="24"/>
              </w:rPr>
              <w:t>Legal references and instructions</w:t>
            </w:r>
          </w:p>
        </w:tc>
      </w:tr>
      <w:tr w:rsidR="00C04D6C" w:rsidRPr="007F4CC8" w:rsidTr="00D819DE">
        <w:trPr>
          <w:trHeight w:val="238"/>
        </w:trPr>
        <w:tc>
          <w:tcPr>
            <w:tcW w:w="1384" w:type="dxa"/>
            <w:tcBorders>
              <w:bottom w:val="nil"/>
            </w:tcBorders>
            <w:shd w:val="clear" w:color="auto" w:fill="D9D9D9" w:themeFill="background1" w:themeFillShade="D9"/>
          </w:tcPr>
          <w:p w:rsidR="00C04D6C" w:rsidRPr="007F4CC8" w:rsidRDefault="00C04D6C" w:rsidP="00D819DE">
            <w:pPr>
              <w:autoSpaceDE w:val="0"/>
              <w:autoSpaceDN w:val="0"/>
              <w:adjustRightInd w:val="0"/>
              <w:rPr>
                <w:rFonts w:ascii="Times New Roman" w:hAnsi="Times New Roman" w:cs="Times New Roman"/>
                <w:b/>
                <w:sz w:val="24"/>
              </w:rPr>
            </w:pPr>
            <w:r w:rsidRPr="007F4CC8">
              <w:rPr>
                <w:rFonts w:ascii="Times New Roman" w:hAnsi="Times New Roman" w:cs="Times New Roman"/>
                <w:b/>
                <w:sz w:val="24"/>
              </w:rPr>
              <w:t>Column reference</w:t>
            </w:r>
          </w:p>
        </w:tc>
        <w:tc>
          <w:tcPr>
            <w:tcW w:w="7655" w:type="dxa"/>
            <w:tcBorders>
              <w:bottom w:val="nil"/>
            </w:tcBorders>
            <w:shd w:val="clear" w:color="auto" w:fill="D9D9D9" w:themeFill="background1" w:themeFillShade="D9"/>
          </w:tcPr>
          <w:p w:rsidR="00C04D6C" w:rsidRPr="007F4CC8" w:rsidRDefault="00C04D6C" w:rsidP="00D819DE">
            <w:pPr>
              <w:autoSpaceDE w:val="0"/>
              <w:autoSpaceDN w:val="0"/>
              <w:adjustRightInd w:val="0"/>
              <w:rPr>
                <w:rFonts w:ascii="Times New Roman" w:hAnsi="Times New Roman" w:cs="Times New Roman"/>
                <w:color w:val="000000"/>
                <w:sz w:val="24"/>
              </w:rPr>
            </w:pPr>
            <w:r w:rsidRPr="007F4CC8">
              <w:rPr>
                <w:rFonts w:ascii="Times New Roman" w:hAnsi="Times New Roman" w:cs="Times New Roman"/>
                <w:b/>
                <w:sz w:val="24"/>
              </w:rPr>
              <w:t>Explanation</w:t>
            </w:r>
          </w:p>
        </w:tc>
      </w:tr>
      <w:tr w:rsidR="00C04D6C" w:rsidRPr="007F4CC8" w:rsidTr="00D819DE">
        <w:trPr>
          <w:trHeight w:val="238"/>
        </w:trPr>
        <w:tc>
          <w:tcPr>
            <w:tcW w:w="1384" w:type="dxa"/>
            <w:shd w:val="clear" w:color="auto" w:fill="FFFFFF" w:themeFill="background1"/>
          </w:tcPr>
          <w:p w:rsidR="00C04D6C" w:rsidRPr="007F4CC8" w:rsidRDefault="00C04D6C" w:rsidP="00D819DE">
            <w:pPr>
              <w:autoSpaceDE w:val="0"/>
              <w:autoSpaceDN w:val="0"/>
              <w:adjustRightInd w:val="0"/>
              <w:spacing w:before="60"/>
              <w:jc w:val="center"/>
              <w:rPr>
                <w:rFonts w:ascii="Times New Roman" w:hAnsi="Times New Roman" w:cs="Times New Roman"/>
                <w:b/>
                <w:sz w:val="24"/>
              </w:rPr>
            </w:pPr>
            <w:r w:rsidRPr="007F4CC8">
              <w:rPr>
                <w:rFonts w:ascii="Times New Roman" w:hAnsi="Times New Roman" w:cs="Times New Roman"/>
                <w:b/>
                <w:sz w:val="24"/>
              </w:rPr>
              <w:lastRenderedPageBreak/>
              <w:t>a</w:t>
            </w:r>
          </w:p>
        </w:tc>
        <w:tc>
          <w:tcPr>
            <w:tcW w:w="7655" w:type="dxa"/>
            <w:shd w:val="clear" w:color="auto" w:fill="FFFFFF" w:themeFill="background1"/>
          </w:tcPr>
          <w:p w:rsidR="00C04D6C" w:rsidRPr="007F4CC8" w:rsidRDefault="00C04D6C" w:rsidP="00D819DE">
            <w:pPr>
              <w:spacing w:before="60" w:after="120"/>
              <w:jc w:val="both"/>
              <w:rPr>
                <w:rFonts w:ascii="Times New Roman" w:eastAsia="Times New Roman" w:hAnsi="Times New Roman" w:cs="Times New Roman"/>
                <w:b/>
                <w:sz w:val="24"/>
              </w:rPr>
            </w:pPr>
            <w:r w:rsidRPr="007F4CC8">
              <w:rPr>
                <w:rFonts w:ascii="Times New Roman" w:eastAsia="Times New Roman" w:hAnsi="Times New Roman" w:cs="Times New Roman"/>
                <w:b/>
                <w:sz w:val="24"/>
              </w:rPr>
              <w:t>Carrying values as reported in published financial statements</w:t>
            </w:r>
          </w:p>
          <w:p w:rsidR="00C04D6C" w:rsidRPr="007F4CC8" w:rsidRDefault="00C04D6C" w:rsidP="00D819DE">
            <w:pPr>
              <w:spacing w:before="60" w:after="120"/>
              <w:jc w:val="both"/>
              <w:rPr>
                <w:rFonts w:ascii="Times New Roman" w:hAnsi="Times New Roman" w:cs="Times New Roman"/>
                <w:sz w:val="24"/>
              </w:rPr>
            </w:pPr>
            <w:r w:rsidRPr="007F4CC8">
              <w:rPr>
                <w:rFonts w:ascii="Times New Roman" w:eastAsia="Times New Roman" w:hAnsi="Times New Roman" w:cs="Times New Roman"/>
                <w:sz w:val="24"/>
              </w:rPr>
              <w:t>Amount reported on the assets side and the liabilities side of the balance sheet established following the consolidation requirements in the applicable accounting framework, including frameworks based on Directive (EU) 2013/34/EU and with Directive (EEC) 86/635</w:t>
            </w:r>
            <w:r w:rsidRPr="007F4CC8">
              <w:rPr>
                <w:rStyle w:val="FootnoteReference"/>
                <w:rFonts w:eastAsia="Times New Roman" w:cs="Times New Roman"/>
              </w:rPr>
              <w:footnoteReference w:id="4"/>
            </w:r>
            <w:r w:rsidRPr="007F4CC8">
              <w:rPr>
                <w:rFonts w:ascii="Times New Roman" w:eastAsia="Times New Roman" w:hAnsi="Times New Roman" w:cs="Times New Roman"/>
                <w:sz w:val="24"/>
              </w:rPr>
              <w:t xml:space="preserve">, or the international accounting standards as endorsed in the EU </w:t>
            </w:r>
          </w:p>
        </w:tc>
      </w:tr>
      <w:tr w:rsidR="00C04D6C" w:rsidRPr="007F4CC8" w:rsidTr="00D819DE">
        <w:trPr>
          <w:trHeight w:val="238"/>
        </w:trPr>
        <w:tc>
          <w:tcPr>
            <w:tcW w:w="1384" w:type="dxa"/>
            <w:shd w:val="clear" w:color="auto" w:fill="FFFFFF" w:themeFill="background1"/>
          </w:tcPr>
          <w:p w:rsidR="00C04D6C" w:rsidRPr="007F4CC8" w:rsidRDefault="00C04D6C" w:rsidP="00D819DE">
            <w:pPr>
              <w:autoSpaceDE w:val="0"/>
              <w:autoSpaceDN w:val="0"/>
              <w:adjustRightInd w:val="0"/>
              <w:spacing w:before="60" w:after="120"/>
              <w:jc w:val="center"/>
              <w:rPr>
                <w:rFonts w:ascii="Times New Roman" w:hAnsi="Times New Roman" w:cs="Times New Roman"/>
                <w:b/>
                <w:sz w:val="24"/>
              </w:rPr>
            </w:pPr>
            <w:r w:rsidRPr="007F4CC8">
              <w:rPr>
                <w:rFonts w:ascii="Times New Roman" w:hAnsi="Times New Roman" w:cs="Times New Roman"/>
                <w:b/>
                <w:sz w:val="24"/>
              </w:rPr>
              <w:t>b</w:t>
            </w:r>
          </w:p>
        </w:tc>
        <w:tc>
          <w:tcPr>
            <w:tcW w:w="7655" w:type="dxa"/>
            <w:shd w:val="clear" w:color="auto" w:fill="FFFFFF" w:themeFill="background1"/>
          </w:tcPr>
          <w:p w:rsidR="00C04D6C" w:rsidRPr="007F4CC8" w:rsidRDefault="00C04D6C" w:rsidP="00D819DE">
            <w:pPr>
              <w:spacing w:before="60" w:after="120"/>
              <w:jc w:val="both"/>
              <w:rPr>
                <w:rFonts w:ascii="Times New Roman" w:eastAsia="Times New Roman" w:hAnsi="Times New Roman" w:cs="Times New Roman"/>
                <w:b/>
                <w:sz w:val="24"/>
              </w:rPr>
            </w:pPr>
            <w:r w:rsidRPr="007F4CC8">
              <w:rPr>
                <w:rFonts w:ascii="Times New Roman" w:eastAsia="Times New Roman" w:hAnsi="Times New Roman" w:cs="Times New Roman"/>
                <w:b/>
                <w:sz w:val="24"/>
              </w:rPr>
              <w:t xml:space="preserve">Carrying values under the </w:t>
            </w:r>
            <w:r>
              <w:rPr>
                <w:rFonts w:ascii="Times New Roman" w:eastAsia="Times New Roman" w:hAnsi="Times New Roman" w:cs="Times New Roman"/>
                <w:b/>
                <w:sz w:val="24"/>
              </w:rPr>
              <w:t>scope of prudential consolidation</w:t>
            </w:r>
            <w:r w:rsidRPr="007F4CC8">
              <w:rPr>
                <w:rFonts w:ascii="Times New Roman" w:eastAsia="Times New Roman" w:hAnsi="Times New Roman" w:cs="Times New Roman"/>
                <w:b/>
                <w:sz w:val="24"/>
              </w:rPr>
              <w:t xml:space="preserve"> </w:t>
            </w:r>
          </w:p>
          <w:p w:rsidR="00C04D6C" w:rsidRPr="007F4CC8" w:rsidRDefault="00C04D6C" w:rsidP="00D819DE">
            <w:pPr>
              <w:jc w:val="both"/>
              <w:rPr>
                <w:rFonts w:ascii="Times New Roman" w:hAnsi="Times New Roman" w:cs="Times New Roman"/>
                <w:sz w:val="24"/>
              </w:rPr>
            </w:pPr>
            <w:r w:rsidRPr="007F4CC8">
              <w:rPr>
                <w:rFonts w:ascii="Times New Roman" w:eastAsia="Times New Roman" w:hAnsi="Times New Roman" w:cs="Times New Roman"/>
                <w:sz w:val="24"/>
              </w:rPr>
              <w:t xml:space="preserve">Amount reported on the assets side and the liabilities side of the balance sheet established following the regulatory consolidation requirements in Sections 2 and 3 of Title II of Part One </w:t>
            </w:r>
            <w:r w:rsidRPr="007F4CC8">
              <w:rPr>
                <w:rFonts w:ascii="Times New Roman" w:hAnsi="Times New Roman" w:cs="Times New Roman"/>
                <w:sz w:val="24"/>
              </w:rPr>
              <w:t>CRR</w:t>
            </w:r>
          </w:p>
          <w:p w:rsidR="00C04D6C" w:rsidRPr="007F4CC8" w:rsidRDefault="00C04D6C" w:rsidP="00D819DE">
            <w:pPr>
              <w:spacing w:before="60" w:after="120"/>
              <w:jc w:val="both"/>
              <w:rPr>
                <w:rFonts w:ascii="Times New Roman" w:hAnsi="Times New Roman" w:cs="Times New Roman"/>
                <w:b/>
                <w:sz w:val="24"/>
              </w:rPr>
            </w:pPr>
            <w:r w:rsidRPr="007F4CC8">
              <w:rPr>
                <w:rFonts w:ascii="Times New Roman" w:eastAsia="Times New Roman" w:hAnsi="Times New Roman" w:cs="Times New Roman"/>
                <w:sz w:val="24"/>
              </w:rPr>
              <w:t xml:space="preserve">If the scope of accounting consolidation and the </w:t>
            </w:r>
            <w:r>
              <w:rPr>
                <w:rFonts w:ascii="Times New Roman" w:eastAsia="Times New Roman" w:hAnsi="Times New Roman" w:cs="Times New Roman"/>
                <w:sz w:val="24"/>
              </w:rPr>
              <w:t>scope of prudential consolidation</w:t>
            </w:r>
            <w:r w:rsidRPr="007F4CC8">
              <w:rPr>
                <w:rFonts w:ascii="Times New Roman" w:eastAsia="Times New Roman" w:hAnsi="Times New Roman" w:cs="Times New Roman"/>
                <w:sz w:val="24"/>
              </w:rPr>
              <w:t xml:space="preserve"> are exactly the same, columns (a) and (b) </w:t>
            </w:r>
            <w:r w:rsidRPr="007F4CC8">
              <w:rPr>
                <w:rFonts w:ascii="Times New Roman" w:hAnsi="Times New Roman" w:cs="Times New Roman"/>
                <w:sz w:val="24"/>
              </w:rPr>
              <w:t>of this template</w:t>
            </w:r>
            <w:r w:rsidRPr="007F4CC8">
              <w:rPr>
                <w:rFonts w:ascii="Times New Roman" w:eastAsia="Times New Roman" w:hAnsi="Times New Roman" w:cs="Times New Roman"/>
                <w:sz w:val="24"/>
              </w:rPr>
              <w:t xml:space="preserve"> shall be merged.</w:t>
            </w:r>
          </w:p>
        </w:tc>
      </w:tr>
      <w:tr w:rsidR="00C04D6C" w:rsidRPr="007F4CC8" w:rsidTr="00D819DE">
        <w:trPr>
          <w:trHeight w:val="238"/>
        </w:trPr>
        <w:tc>
          <w:tcPr>
            <w:tcW w:w="1384" w:type="dxa"/>
            <w:shd w:val="clear" w:color="auto" w:fill="FFFFFF" w:themeFill="background1"/>
          </w:tcPr>
          <w:p w:rsidR="00C04D6C" w:rsidRPr="007F4CC8" w:rsidRDefault="00C04D6C" w:rsidP="00D819DE">
            <w:pPr>
              <w:autoSpaceDE w:val="0"/>
              <w:autoSpaceDN w:val="0"/>
              <w:adjustRightInd w:val="0"/>
              <w:spacing w:before="60" w:after="120"/>
              <w:jc w:val="center"/>
              <w:rPr>
                <w:rFonts w:ascii="Times New Roman" w:hAnsi="Times New Roman" w:cs="Times New Roman"/>
                <w:b/>
                <w:sz w:val="24"/>
              </w:rPr>
            </w:pPr>
            <w:r w:rsidRPr="007F4CC8">
              <w:rPr>
                <w:rFonts w:ascii="Times New Roman" w:hAnsi="Times New Roman" w:cs="Times New Roman"/>
                <w:b/>
                <w:sz w:val="24"/>
              </w:rPr>
              <w:t>c</w:t>
            </w:r>
          </w:p>
        </w:tc>
        <w:tc>
          <w:tcPr>
            <w:tcW w:w="7655" w:type="dxa"/>
            <w:shd w:val="clear" w:color="auto" w:fill="FFFFFF" w:themeFill="background1"/>
          </w:tcPr>
          <w:p w:rsidR="00C04D6C" w:rsidRPr="007F4CC8" w:rsidRDefault="00C04D6C" w:rsidP="00D819DE">
            <w:pPr>
              <w:spacing w:before="60" w:after="120"/>
              <w:jc w:val="both"/>
              <w:rPr>
                <w:rFonts w:ascii="Times New Roman" w:eastAsia="Times New Roman" w:hAnsi="Times New Roman" w:cs="Times New Roman"/>
                <w:b/>
                <w:sz w:val="24"/>
              </w:rPr>
            </w:pPr>
            <w:r w:rsidRPr="007F4CC8">
              <w:rPr>
                <w:rFonts w:ascii="Times New Roman" w:eastAsia="Times New Roman" w:hAnsi="Times New Roman" w:cs="Times New Roman"/>
                <w:b/>
                <w:sz w:val="24"/>
              </w:rPr>
              <w:t>Carrying values of items subject to credit risk framework</w:t>
            </w:r>
          </w:p>
          <w:p w:rsidR="00C04D6C" w:rsidRPr="007F4CC8" w:rsidRDefault="00C04D6C" w:rsidP="00D819DE">
            <w:pPr>
              <w:spacing w:before="60" w:after="120"/>
              <w:jc w:val="both"/>
              <w:rPr>
                <w:rFonts w:ascii="Times New Roman" w:hAnsi="Times New Roman" w:cs="Times New Roman"/>
                <w:b/>
                <w:sz w:val="24"/>
              </w:rPr>
            </w:pPr>
            <w:r w:rsidRPr="007F4CC8">
              <w:rPr>
                <w:rFonts w:ascii="Times New Roman" w:eastAsia="Times New Roman" w:hAnsi="Times New Roman" w:cs="Times New Roman"/>
                <w:sz w:val="24"/>
              </w:rPr>
              <w:t xml:space="preserve">Carrying amounts under the </w:t>
            </w:r>
            <w:r>
              <w:rPr>
                <w:rFonts w:ascii="Times New Roman" w:eastAsia="Times New Roman" w:hAnsi="Times New Roman" w:cs="Times New Roman"/>
                <w:sz w:val="24"/>
              </w:rPr>
              <w:t>scope of prudential consolidation</w:t>
            </w:r>
            <w:r w:rsidRPr="007F4CC8">
              <w:rPr>
                <w:rFonts w:ascii="Times New Roman" w:eastAsia="Times New Roman" w:hAnsi="Times New Roman" w:cs="Times New Roman"/>
                <w:sz w:val="24"/>
              </w:rPr>
              <w:t xml:space="preserve"> of items (other than off-balance-sheet items) to which Chapters 2 and 3 of Title II of Part Three </w:t>
            </w:r>
            <w:r w:rsidRPr="007F4CC8">
              <w:rPr>
                <w:rFonts w:ascii="Times New Roman" w:hAnsi="Times New Roman" w:cs="Times New Roman"/>
                <w:sz w:val="24"/>
              </w:rPr>
              <w:t>CRR</w:t>
            </w:r>
            <w:r w:rsidRPr="007F4CC8">
              <w:rPr>
                <w:rFonts w:ascii="Times New Roman" w:eastAsia="Times New Roman" w:hAnsi="Times New Roman" w:cs="Times New Roman"/>
                <w:sz w:val="24"/>
              </w:rPr>
              <w:t xml:space="preserve"> applies</w:t>
            </w:r>
          </w:p>
        </w:tc>
      </w:tr>
      <w:tr w:rsidR="00C04D6C" w:rsidRPr="007F4CC8" w:rsidTr="00D819DE">
        <w:trPr>
          <w:trHeight w:val="238"/>
        </w:trPr>
        <w:tc>
          <w:tcPr>
            <w:tcW w:w="1384" w:type="dxa"/>
            <w:shd w:val="clear" w:color="auto" w:fill="FFFFFF" w:themeFill="background1"/>
          </w:tcPr>
          <w:p w:rsidR="00C04D6C" w:rsidRPr="007F4CC8" w:rsidRDefault="00C04D6C" w:rsidP="00D819DE">
            <w:pPr>
              <w:autoSpaceDE w:val="0"/>
              <w:autoSpaceDN w:val="0"/>
              <w:adjustRightInd w:val="0"/>
              <w:spacing w:before="60"/>
              <w:jc w:val="center"/>
              <w:rPr>
                <w:rFonts w:ascii="Times New Roman" w:hAnsi="Times New Roman" w:cs="Times New Roman"/>
                <w:b/>
                <w:sz w:val="24"/>
              </w:rPr>
            </w:pPr>
            <w:r w:rsidRPr="007F4CC8">
              <w:rPr>
                <w:rFonts w:ascii="Times New Roman" w:hAnsi="Times New Roman" w:cs="Times New Roman"/>
                <w:b/>
                <w:sz w:val="24"/>
              </w:rPr>
              <w:t>d</w:t>
            </w:r>
          </w:p>
        </w:tc>
        <w:tc>
          <w:tcPr>
            <w:tcW w:w="7655" w:type="dxa"/>
            <w:shd w:val="clear" w:color="auto" w:fill="FFFFFF" w:themeFill="background1"/>
          </w:tcPr>
          <w:p w:rsidR="00C04D6C" w:rsidRPr="007F4CC8" w:rsidRDefault="00C04D6C" w:rsidP="00D819DE">
            <w:pPr>
              <w:spacing w:before="60" w:after="120"/>
              <w:ind w:left="34"/>
              <w:jc w:val="both"/>
              <w:rPr>
                <w:rFonts w:ascii="Times New Roman" w:eastAsia="Times New Roman" w:hAnsi="Times New Roman" w:cs="Times New Roman"/>
                <w:b/>
                <w:sz w:val="24"/>
              </w:rPr>
            </w:pPr>
            <w:r w:rsidRPr="007F4CC8">
              <w:rPr>
                <w:rFonts w:ascii="Times New Roman" w:eastAsia="Times New Roman" w:hAnsi="Times New Roman" w:cs="Times New Roman"/>
                <w:b/>
                <w:sz w:val="24"/>
              </w:rPr>
              <w:t>Carrying values of items subject to counterparty credit risk framework</w:t>
            </w:r>
          </w:p>
          <w:p w:rsidR="00C04D6C" w:rsidRPr="007F4CC8" w:rsidRDefault="00C04D6C" w:rsidP="00D819DE">
            <w:pPr>
              <w:spacing w:before="60" w:after="120"/>
              <w:ind w:left="34"/>
              <w:jc w:val="both"/>
              <w:rPr>
                <w:rFonts w:ascii="Times New Roman" w:hAnsi="Times New Roman" w:cs="Times New Roman"/>
                <w:b/>
                <w:sz w:val="24"/>
              </w:rPr>
            </w:pPr>
            <w:r w:rsidRPr="007F4CC8">
              <w:rPr>
                <w:rFonts w:ascii="Times New Roman" w:eastAsia="Times New Roman" w:hAnsi="Times New Roman" w:cs="Times New Roman"/>
                <w:sz w:val="24"/>
              </w:rPr>
              <w:t xml:space="preserve">Carrying amounts under the </w:t>
            </w:r>
            <w:r>
              <w:rPr>
                <w:rFonts w:ascii="Times New Roman" w:eastAsia="Times New Roman" w:hAnsi="Times New Roman" w:cs="Times New Roman"/>
                <w:sz w:val="24"/>
              </w:rPr>
              <w:t>scope of prudential consolidation</w:t>
            </w:r>
            <w:r w:rsidRPr="007F4CC8">
              <w:rPr>
                <w:rFonts w:ascii="Times New Roman" w:eastAsia="Times New Roman" w:hAnsi="Times New Roman" w:cs="Times New Roman"/>
                <w:sz w:val="24"/>
              </w:rPr>
              <w:t xml:space="preserve"> of items (other than off-balance-sheet items) to which</w:t>
            </w:r>
            <w:r w:rsidRPr="007F4CC8">
              <w:rPr>
                <w:rFonts w:ascii="Times New Roman" w:hAnsi="Times New Roman" w:cs="Times New Roman"/>
                <w:sz w:val="24"/>
              </w:rPr>
              <w:t xml:space="preserve"> Chapter 6 of Title II of </w:t>
            </w:r>
            <w:r w:rsidRPr="007F4CC8">
              <w:rPr>
                <w:rFonts w:ascii="Times New Roman" w:eastAsia="Times New Roman" w:hAnsi="Times New Roman" w:cs="Times New Roman"/>
                <w:sz w:val="24"/>
              </w:rPr>
              <w:t xml:space="preserve">Part Three </w:t>
            </w:r>
            <w:r w:rsidRPr="007F4CC8">
              <w:rPr>
                <w:rFonts w:ascii="Times New Roman" w:hAnsi="Times New Roman" w:cs="Times New Roman"/>
                <w:sz w:val="24"/>
              </w:rPr>
              <w:t>CRR</w:t>
            </w:r>
            <w:r w:rsidRPr="007F4CC8">
              <w:rPr>
                <w:rFonts w:ascii="Times New Roman" w:eastAsia="Times New Roman" w:hAnsi="Times New Roman" w:cs="Times New Roman"/>
                <w:sz w:val="24"/>
              </w:rPr>
              <w:t xml:space="preserve"> applies</w:t>
            </w:r>
          </w:p>
        </w:tc>
      </w:tr>
      <w:tr w:rsidR="00C04D6C" w:rsidRPr="007F4CC8" w:rsidTr="00D819DE">
        <w:trPr>
          <w:trHeight w:val="238"/>
        </w:trPr>
        <w:tc>
          <w:tcPr>
            <w:tcW w:w="1384" w:type="dxa"/>
            <w:shd w:val="clear" w:color="auto" w:fill="FFFFFF" w:themeFill="background1"/>
          </w:tcPr>
          <w:p w:rsidR="00C04D6C" w:rsidRPr="007F4CC8" w:rsidRDefault="00C04D6C" w:rsidP="00D819DE">
            <w:pPr>
              <w:autoSpaceDE w:val="0"/>
              <w:autoSpaceDN w:val="0"/>
              <w:adjustRightInd w:val="0"/>
              <w:spacing w:before="60" w:after="120"/>
              <w:jc w:val="center"/>
              <w:rPr>
                <w:rFonts w:ascii="Times New Roman" w:hAnsi="Times New Roman" w:cs="Times New Roman"/>
                <w:b/>
                <w:sz w:val="24"/>
              </w:rPr>
            </w:pPr>
            <w:r w:rsidRPr="007F4CC8">
              <w:rPr>
                <w:rFonts w:ascii="Times New Roman" w:hAnsi="Times New Roman" w:cs="Times New Roman"/>
                <w:b/>
                <w:sz w:val="24"/>
              </w:rPr>
              <w:t>e</w:t>
            </w:r>
          </w:p>
        </w:tc>
        <w:tc>
          <w:tcPr>
            <w:tcW w:w="7655" w:type="dxa"/>
            <w:shd w:val="clear" w:color="auto" w:fill="FFFFFF" w:themeFill="background1"/>
          </w:tcPr>
          <w:p w:rsidR="00C04D6C" w:rsidRPr="007F4CC8" w:rsidRDefault="00C04D6C" w:rsidP="00D819DE">
            <w:pPr>
              <w:spacing w:before="60" w:after="120"/>
              <w:ind w:left="34"/>
              <w:jc w:val="both"/>
              <w:rPr>
                <w:rFonts w:ascii="Times New Roman" w:eastAsia="Times New Roman" w:hAnsi="Times New Roman" w:cs="Times New Roman"/>
                <w:sz w:val="24"/>
              </w:rPr>
            </w:pPr>
            <w:r w:rsidRPr="007F4CC8">
              <w:rPr>
                <w:rFonts w:ascii="Times New Roman" w:eastAsia="Times New Roman" w:hAnsi="Times New Roman" w:cs="Times New Roman"/>
                <w:b/>
                <w:sz w:val="24"/>
              </w:rPr>
              <w:t xml:space="preserve">Carrying values of items subject to the securitisation framework </w:t>
            </w:r>
          </w:p>
          <w:p w:rsidR="00C04D6C" w:rsidRPr="007F4CC8" w:rsidRDefault="00C04D6C" w:rsidP="00D819DE">
            <w:pPr>
              <w:spacing w:before="60" w:after="120"/>
              <w:ind w:left="34"/>
              <w:jc w:val="both"/>
              <w:rPr>
                <w:rFonts w:ascii="Times New Roman" w:eastAsia="Times New Roman" w:hAnsi="Times New Roman" w:cs="Times New Roman"/>
                <w:sz w:val="24"/>
              </w:rPr>
            </w:pPr>
            <w:r w:rsidRPr="007F4CC8">
              <w:rPr>
                <w:rFonts w:ascii="Times New Roman" w:eastAsia="Times New Roman" w:hAnsi="Times New Roman" w:cs="Times New Roman"/>
                <w:sz w:val="24"/>
              </w:rPr>
              <w:t xml:space="preserve">Carrying amounts under the </w:t>
            </w:r>
            <w:r>
              <w:rPr>
                <w:rFonts w:ascii="Times New Roman" w:eastAsia="Times New Roman" w:hAnsi="Times New Roman" w:cs="Times New Roman"/>
                <w:sz w:val="24"/>
              </w:rPr>
              <w:t>scope of prudential consolidation</w:t>
            </w:r>
            <w:r w:rsidRPr="007F4CC8">
              <w:rPr>
                <w:rFonts w:ascii="Times New Roman" w:eastAsia="Times New Roman" w:hAnsi="Times New Roman" w:cs="Times New Roman"/>
                <w:sz w:val="24"/>
              </w:rPr>
              <w:t xml:space="preserve"> of items (other than off-balance-sheet items) from the non-trading book to which Chapter 5 of Title II of Part Three </w:t>
            </w:r>
            <w:r w:rsidRPr="007F4CC8">
              <w:rPr>
                <w:rFonts w:ascii="Times New Roman" w:hAnsi="Times New Roman" w:cs="Times New Roman"/>
                <w:sz w:val="24"/>
              </w:rPr>
              <w:t>CRR</w:t>
            </w:r>
            <w:r w:rsidRPr="007F4CC8">
              <w:rPr>
                <w:rFonts w:ascii="Times New Roman" w:eastAsia="Times New Roman" w:hAnsi="Times New Roman" w:cs="Times New Roman"/>
                <w:sz w:val="24"/>
              </w:rPr>
              <w:t xml:space="preserve"> applies</w:t>
            </w:r>
          </w:p>
        </w:tc>
      </w:tr>
      <w:tr w:rsidR="00C04D6C" w:rsidRPr="007F4CC8" w:rsidTr="00D819DE">
        <w:trPr>
          <w:trHeight w:val="238"/>
        </w:trPr>
        <w:tc>
          <w:tcPr>
            <w:tcW w:w="1384" w:type="dxa"/>
            <w:shd w:val="clear" w:color="auto" w:fill="FFFFFF" w:themeFill="background1"/>
          </w:tcPr>
          <w:p w:rsidR="00C04D6C" w:rsidRPr="007F4CC8" w:rsidRDefault="00C04D6C" w:rsidP="00D819DE">
            <w:pPr>
              <w:autoSpaceDE w:val="0"/>
              <w:autoSpaceDN w:val="0"/>
              <w:adjustRightInd w:val="0"/>
              <w:spacing w:before="60" w:after="120"/>
              <w:jc w:val="center"/>
              <w:rPr>
                <w:rFonts w:ascii="Times New Roman" w:hAnsi="Times New Roman" w:cs="Times New Roman"/>
                <w:b/>
                <w:sz w:val="24"/>
              </w:rPr>
            </w:pPr>
            <w:r w:rsidRPr="007F4CC8">
              <w:rPr>
                <w:rFonts w:ascii="Times New Roman" w:hAnsi="Times New Roman" w:cs="Times New Roman"/>
                <w:b/>
                <w:sz w:val="24"/>
              </w:rPr>
              <w:t>f</w:t>
            </w:r>
          </w:p>
        </w:tc>
        <w:tc>
          <w:tcPr>
            <w:tcW w:w="7655" w:type="dxa"/>
            <w:shd w:val="clear" w:color="auto" w:fill="FFFFFF" w:themeFill="background1"/>
          </w:tcPr>
          <w:p w:rsidR="00C04D6C" w:rsidRPr="007F4CC8" w:rsidRDefault="00C04D6C" w:rsidP="00D819DE">
            <w:pPr>
              <w:spacing w:before="60" w:after="120"/>
              <w:ind w:left="34"/>
              <w:jc w:val="both"/>
              <w:rPr>
                <w:rFonts w:ascii="Times New Roman" w:eastAsia="Times New Roman" w:hAnsi="Times New Roman" w:cs="Times New Roman"/>
                <w:sz w:val="24"/>
              </w:rPr>
            </w:pPr>
            <w:r w:rsidRPr="007F4CC8">
              <w:rPr>
                <w:rFonts w:ascii="Times New Roman" w:eastAsia="Times New Roman" w:hAnsi="Times New Roman" w:cs="Times New Roman"/>
                <w:b/>
                <w:sz w:val="24"/>
              </w:rPr>
              <w:t>Carrying values of items subject to the market risk framework</w:t>
            </w:r>
          </w:p>
          <w:p w:rsidR="00C04D6C" w:rsidRPr="007F4CC8" w:rsidRDefault="00C04D6C" w:rsidP="00D819DE">
            <w:pPr>
              <w:spacing w:before="60" w:after="120"/>
              <w:ind w:left="34"/>
              <w:jc w:val="both"/>
              <w:rPr>
                <w:rFonts w:ascii="Times New Roman" w:hAnsi="Times New Roman" w:cs="Times New Roman"/>
                <w:b/>
                <w:sz w:val="24"/>
              </w:rPr>
            </w:pPr>
            <w:r w:rsidRPr="007F4CC8">
              <w:rPr>
                <w:rFonts w:ascii="Times New Roman" w:eastAsia="Times New Roman" w:hAnsi="Times New Roman" w:cs="Times New Roman"/>
                <w:sz w:val="24"/>
              </w:rPr>
              <w:t xml:space="preserve">Carrying amounts under the </w:t>
            </w:r>
            <w:r>
              <w:rPr>
                <w:rFonts w:ascii="Times New Roman" w:eastAsia="Times New Roman" w:hAnsi="Times New Roman" w:cs="Times New Roman"/>
                <w:sz w:val="24"/>
              </w:rPr>
              <w:t>scope of prudential consolidation</w:t>
            </w:r>
            <w:r w:rsidRPr="007F4CC8">
              <w:rPr>
                <w:rFonts w:ascii="Times New Roman" w:eastAsia="Times New Roman" w:hAnsi="Times New Roman" w:cs="Times New Roman"/>
                <w:sz w:val="24"/>
              </w:rPr>
              <w:t xml:space="preserve"> of items (other than off-balance-sheet items)</w:t>
            </w:r>
            <w:r w:rsidRPr="007F4CC8">
              <w:rPr>
                <w:rFonts w:ascii="Times New Roman" w:hAnsi="Times New Roman" w:cs="Times New Roman"/>
                <w:sz w:val="24"/>
              </w:rPr>
              <w:t xml:space="preserve"> </w:t>
            </w:r>
            <w:r w:rsidRPr="007F4CC8">
              <w:rPr>
                <w:rFonts w:ascii="Times New Roman" w:eastAsia="Times New Roman" w:hAnsi="Times New Roman" w:cs="Times New Roman"/>
                <w:sz w:val="24"/>
              </w:rPr>
              <w:t xml:space="preserve">to which Title IV of Part Three </w:t>
            </w:r>
            <w:r w:rsidRPr="007F4CC8">
              <w:rPr>
                <w:rFonts w:ascii="Times New Roman" w:hAnsi="Times New Roman" w:cs="Times New Roman"/>
                <w:sz w:val="24"/>
              </w:rPr>
              <w:t>CRR</w:t>
            </w:r>
            <w:r w:rsidRPr="007F4CC8">
              <w:rPr>
                <w:rFonts w:ascii="Times New Roman" w:eastAsia="Times New Roman" w:hAnsi="Times New Roman" w:cs="Times New Roman"/>
                <w:sz w:val="24"/>
              </w:rPr>
              <w:t xml:space="preserve"> applies. Items corresponding to securitisation positions in the trading book -to which the requirements in Title IV of Part Three </w:t>
            </w:r>
            <w:r w:rsidRPr="007F4CC8">
              <w:rPr>
                <w:rFonts w:ascii="Times New Roman" w:hAnsi="Times New Roman" w:cs="Times New Roman"/>
                <w:sz w:val="24"/>
              </w:rPr>
              <w:t xml:space="preserve">CRR </w:t>
            </w:r>
            <w:r w:rsidRPr="007F4CC8">
              <w:rPr>
                <w:rFonts w:ascii="Times New Roman" w:eastAsia="Times New Roman" w:hAnsi="Times New Roman" w:cs="Times New Roman"/>
                <w:sz w:val="24"/>
              </w:rPr>
              <w:t>shall be included in this column.</w:t>
            </w:r>
          </w:p>
        </w:tc>
      </w:tr>
      <w:tr w:rsidR="00C04D6C" w:rsidRPr="007F4CC8" w:rsidTr="00D819DE">
        <w:trPr>
          <w:trHeight w:val="238"/>
        </w:trPr>
        <w:tc>
          <w:tcPr>
            <w:tcW w:w="1384" w:type="dxa"/>
            <w:shd w:val="clear" w:color="auto" w:fill="FFFFFF" w:themeFill="background1"/>
          </w:tcPr>
          <w:p w:rsidR="00C04D6C" w:rsidRPr="007F4CC8" w:rsidRDefault="00C04D6C" w:rsidP="00D819DE">
            <w:pPr>
              <w:autoSpaceDE w:val="0"/>
              <w:autoSpaceDN w:val="0"/>
              <w:adjustRightInd w:val="0"/>
              <w:spacing w:before="60" w:after="120"/>
              <w:jc w:val="center"/>
              <w:rPr>
                <w:rFonts w:ascii="Times New Roman" w:hAnsi="Times New Roman" w:cs="Times New Roman"/>
                <w:b/>
                <w:sz w:val="24"/>
              </w:rPr>
            </w:pPr>
            <w:r w:rsidRPr="007F4CC8">
              <w:rPr>
                <w:rFonts w:ascii="Times New Roman" w:hAnsi="Times New Roman" w:cs="Times New Roman"/>
                <w:b/>
                <w:sz w:val="24"/>
              </w:rPr>
              <w:t>g</w:t>
            </w:r>
          </w:p>
        </w:tc>
        <w:tc>
          <w:tcPr>
            <w:tcW w:w="7655" w:type="dxa"/>
            <w:shd w:val="clear" w:color="auto" w:fill="FFFFFF" w:themeFill="background1"/>
          </w:tcPr>
          <w:p w:rsidR="00C04D6C" w:rsidRPr="007F4CC8" w:rsidRDefault="00C04D6C" w:rsidP="00D819DE">
            <w:pPr>
              <w:spacing w:before="60" w:after="120"/>
              <w:ind w:left="34"/>
              <w:jc w:val="both"/>
              <w:rPr>
                <w:rFonts w:ascii="Times New Roman" w:eastAsia="Times New Roman" w:hAnsi="Times New Roman" w:cs="Times New Roman"/>
                <w:sz w:val="24"/>
              </w:rPr>
            </w:pPr>
            <w:r w:rsidRPr="007F4CC8">
              <w:rPr>
                <w:rFonts w:ascii="Times New Roman" w:eastAsia="Times New Roman" w:hAnsi="Times New Roman" w:cs="Times New Roman"/>
                <w:b/>
                <w:sz w:val="24"/>
              </w:rPr>
              <w:t>Carrying values of items not subject to own funds requirements or subject to deduction from own funds</w:t>
            </w:r>
          </w:p>
          <w:p w:rsidR="00C04D6C" w:rsidRPr="007F4CC8" w:rsidRDefault="00C04D6C" w:rsidP="00D819DE">
            <w:pPr>
              <w:spacing w:before="60" w:after="120"/>
              <w:ind w:left="34"/>
              <w:jc w:val="both"/>
              <w:rPr>
                <w:rFonts w:ascii="Times New Roman" w:eastAsia="Times New Roman" w:hAnsi="Times New Roman" w:cs="Times New Roman"/>
                <w:sz w:val="24"/>
              </w:rPr>
            </w:pPr>
            <w:r w:rsidRPr="007F4CC8">
              <w:rPr>
                <w:rFonts w:ascii="Times New Roman" w:eastAsia="Times New Roman" w:hAnsi="Times New Roman" w:cs="Times New Roman"/>
                <w:sz w:val="24"/>
              </w:rPr>
              <w:t xml:space="preserve">Carrying amounts under the </w:t>
            </w:r>
            <w:r>
              <w:rPr>
                <w:rFonts w:ascii="Times New Roman" w:eastAsia="Times New Roman" w:hAnsi="Times New Roman" w:cs="Times New Roman"/>
                <w:sz w:val="24"/>
              </w:rPr>
              <w:t>scope of prudential consolidation</w:t>
            </w:r>
            <w:r w:rsidRPr="007F4CC8">
              <w:rPr>
                <w:rFonts w:ascii="Times New Roman" w:eastAsia="Times New Roman" w:hAnsi="Times New Roman" w:cs="Times New Roman"/>
                <w:sz w:val="24"/>
              </w:rPr>
              <w:t xml:space="preserve"> of items (other than off-balance-sheet items)</w:t>
            </w:r>
            <w:r w:rsidRPr="007F4CC8">
              <w:rPr>
                <w:rFonts w:ascii="Times New Roman" w:hAnsi="Times New Roman" w:cs="Times New Roman"/>
                <w:sz w:val="24"/>
              </w:rPr>
              <w:t xml:space="preserve"> </w:t>
            </w:r>
            <w:r w:rsidRPr="007F4CC8">
              <w:rPr>
                <w:rFonts w:ascii="Times New Roman" w:eastAsia="Times New Roman" w:hAnsi="Times New Roman" w:cs="Times New Roman"/>
                <w:sz w:val="24"/>
              </w:rPr>
              <w:t xml:space="preserve">not subject to own funds requirements in accordance with </w:t>
            </w:r>
            <w:r w:rsidRPr="007F4CC8">
              <w:rPr>
                <w:rFonts w:ascii="Times New Roman" w:hAnsi="Times New Roman" w:cs="Times New Roman"/>
                <w:sz w:val="24"/>
              </w:rPr>
              <w:t>CRR; c</w:t>
            </w:r>
            <w:r w:rsidRPr="007F4CC8">
              <w:rPr>
                <w:rFonts w:ascii="Times New Roman" w:eastAsia="Times New Roman" w:hAnsi="Times New Roman" w:cs="Times New Roman"/>
                <w:sz w:val="24"/>
              </w:rPr>
              <w:t xml:space="preserve">arrying amounts under the </w:t>
            </w:r>
            <w:r>
              <w:rPr>
                <w:rFonts w:ascii="Times New Roman" w:eastAsia="Times New Roman" w:hAnsi="Times New Roman" w:cs="Times New Roman"/>
                <w:sz w:val="24"/>
              </w:rPr>
              <w:t>scope of prudential consolidation</w:t>
            </w:r>
            <w:r w:rsidRPr="007F4CC8">
              <w:rPr>
                <w:rFonts w:ascii="Times New Roman" w:eastAsia="Times New Roman" w:hAnsi="Times New Roman" w:cs="Times New Roman"/>
                <w:sz w:val="24"/>
              </w:rPr>
              <w:t xml:space="preserve"> of items (other than off-balance-sheet items) that are subject to deductions from own funds in accordance with Part Two </w:t>
            </w:r>
            <w:r w:rsidRPr="007F4CC8">
              <w:rPr>
                <w:rFonts w:ascii="Times New Roman" w:hAnsi="Times New Roman" w:cs="Times New Roman"/>
                <w:sz w:val="24"/>
              </w:rPr>
              <w:t>CRR</w:t>
            </w:r>
          </w:p>
          <w:p w:rsidR="00C04D6C" w:rsidRPr="007F4CC8" w:rsidRDefault="00C04D6C" w:rsidP="00D819DE">
            <w:pPr>
              <w:spacing w:before="60" w:after="120"/>
              <w:ind w:left="34"/>
              <w:jc w:val="both"/>
              <w:rPr>
                <w:rFonts w:ascii="Times New Roman" w:eastAsia="Times New Roman" w:hAnsi="Times New Roman" w:cs="Times New Roman"/>
                <w:sz w:val="24"/>
              </w:rPr>
            </w:pPr>
            <w:r w:rsidRPr="007F4CC8">
              <w:rPr>
                <w:rFonts w:ascii="Times New Roman" w:eastAsia="Times New Roman" w:hAnsi="Times New Roman" w:cs="Times New Roman"/>
                <w:sz w:val="24"/>
              </w:rPr>
              <w:lastRenderedPageBreak/>
              <w:t xml:space="preserve">Deducted items may include, for instance, the items listed in Articles 37, 38, 39, and 41 </w:t>
            </w:r>
            <w:r w:rsidRPr="007F4CC8">
              <w:rPr>
                <w:rFonts w:ascii="Times New Roman" w:hAnsi="Times New Roman" w:cs="Times New Roman"/>
                <w:sz w:val="24"/>
              </w:rPr>
              <w:t>CRR</w:t>
            </w:r>
            <w:r w:rsidRPr="007F4CC8">
              <w:rPr>
                <w:rFonts w:ascii="Times New Roman" w:eastAsia="Times New Roman" w:hAnsi="Times New Roman" w:cs="Times New Roman"/>
                <w:sz w:val="24"/>
              </w:rPr>
              <w:t xml:space="preserve">. </w:t>
            </w:r>
          </w:p>
          <w:p w:rsidR="00C04D6C" w:rsidRPr="007F4CC8" w:rsidRDefault="00C04D6C" w:rsidP="00D819DE">
            <w:pPr>
              <w:spacing w:before="60" w:after="120"/>
              <w:ind w:left="34"/>
              <w:jc w:val="both"/>
              <w:rPr>
                <w:rFonts w:ascii="Times New Roman" w:eastAsia="Times New Roman" w:hAnsi="Times New Roman" w:cs="Times New Roman"/>
                <w:sz w:val="24"/>
              </w:rPr>
            </w:pPr>
            <w:r w:rsidRPr="007F4CC8">
              <w:rPr>
                <w:rFonts w:ascii="Times New Roman" w:eastAsia="Times New Roman" w:hAnsi="Times New Roman" w:cs="Times New Roman"/>
                <w:sz w:val="24"/>
              </w:rPr>
              <w:t xml:space="preserve">The amounts for assets shall be the amounts actually deducted from own funds, taking into account any netting with liabilities allowed by (and any threshold for) deduction applicable as per the relevant articles in Part Two </w:t>
            </w:r>
            <w:r w:rsidRPr="007F4CC8">
              <w:rPr>
                <w:rFonts w:ascii="Times New Roman" w:hAnsi="Times New Roman" w:cs="Times New Roman"/>
                <w:sz w:val="24"/>
              </w:rPr>
              <w:t>CRR</w:t>
            </w:r>
            <w:r w:rsidRPr="007F4CC8">
              <w:rPr>
                <w:rFonts w:ascii="Times New Roman" w:eastAsia="Times New Roman" w:hAnsi="Times New Roman" w:cs="Times New Roman"/>
                <w:sz w:val="24"/>
              </w:rPr>
              <w:t>.</w:t>
            </w:r>
          </w:p>
          <w:p w:rsidR="00C04D6C" w:rsidRPr="007F4CC8" w:rsidRDefault="00C04D6C" w:rsidP="00D819DE">
            <w:pPr>
              <w:spacing w:before="6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 xml:space="preserve">When the items listed in point (k) Article 36(1) and in Article 48 CRR are 1 250% risk-weighted instead of being deducted, they shall not be disclosed in column (g) </w:t>
            </w:r>
            <w:r w:rsidRPr="007F4CC8">
              <w:rPr>
                <w:rFonts w:ascii="Times New Roman" w:hAnsi="Times New Roman" w:cs="Times New Roman"/>
                <w:sz w:val="24"/>
              </w:rPr>
              <w:t>of this template</w:t>
            </w:r>
            <w:r w:rsidRPr="007F4CC8">
              <w:rPr>
                <w:rFonts w:ascii="Times New Roman" w:eastAsia="Times New Roman" w:hAnsi="Times New Roman" w:cs="Times New Roman"/>
                <w:sz w:val="24"/>
              </w:rPr>
              <w:t xml:space="preserve"> but in the other appropriate columns of template </w:t>
            </w:r>
            <w:r>
              <w:rPr>
                <w:rFonts w:ascii="Times New Roman" w:eastAsia="Times New Roman" w:hAnsi="Times New Roman" w:cs="Times New Roman"/>
                <w:sz w:val="24"/>
              </w:rPr>
              <w:t>EU L</w:t>
            </w:r>
            <w:r w:rsidRPr="007F4CC8">
              <w:rPr>
                <w:rFonts w:ascii="Times New Roman" w:eastAsia="Times New Roman" w:hAnsi="Times New Roman" w:cs="Times New Roman"/>
                <w:sz w:val="24"/>
              </w:rPr>
              <w:t xml:space="preserve">I1. This also applies to any other item that is 1 250% risk-weighted in accordance with the requirements in </w:t>
            </w:r>
            <w:r w:rsidRPr="007F4CC8">
              <w:rPr>
                <w:rFonts w:ascii="Times New Roman" w:hAnsi="Times New Roman" w:cs="Times New Roman"/>
                <w:sz w:val="24"/>
              </w:rPr>
              <w:t>CRR</w:t>
            </w:r>
            <w:r w:rsidRPr="007F4CC8">
              <w:rPr>
                <w:rFonts w:ascii="Times New Roman" w:eastAsia="Times New Roman" w:hAnsi="Times New Roman" w:cs="Times New Roman"/>
                <w:sz w:val="24"/>
              </w:rPr>
              <w:t>.</w:t>
            </w:r>
          </w:p>
          <w:p w:rsidR="00C04D6C" w:rsidRPr="007F4CC8" w:rsidRDefault="00C04D6C" w:rsidP="00D819DE">
            <w:pPr>
              <w:spacing w:before="60" w:after="120"/>
              <w:jc w:val="both"/>
              <w:rPr>
                <w:rFonts w:ascii="Times New Roman" w:hAnsi="Times New Roman" w:cs="Times New Roman"/>
                <w:b/>
                <w:sz w:val="24"/>
              </w:rPr>
            </w:pPr>
            <w:r w:rsidRPr="007F4CC8">
              <w:rPr>
                <w:rFonts w:ascii="Times New Roman" w:eastAsia="Times New Roman" w:hAnsi="Times New Roman" w:cs="Times New Roman"/>
                <w:sz w:val="24"/>
              </w:rPr>
              <w:t>The amounts for liabilities shall be the amount of liabilities that m</w:t>
            </w:r>
            <w:r>
              <w:rPr>
                <w:rFonts w:ascii="Times New Roman" w:eastAsia="Times New Roman" w:hAnsi="Times New Roman" w:cs="Times New Roman"/>
                <w:sz w:val="24"/>
              </w:rPr>
              <w:t xml:space="preserve">ust be </w:t>
            </w:r>
            <w:r w:rsidRPr="007F4CC8">
              <w:rPr>
                <w:rFonts w:ascii="Times New Roman" w:eastAsia="Times New Roman" w:hAnsi="Times New Roman" w:cs="Times New Roman"/>
                <w:sz w:val="24"/>
              </w:rPr>
              <w:t xml:space="preserve">taken into consideration for the determination of the amount of assets to be deducted from own funds as per the relevant articles in Part Two </w:t>
            </w:r>
            <w:r w:rsidRPr="007F4CC8">
              <w:rPr>
                <w:rFonts w:ascii="Times New Roman" w:hAnsi="Times New Roman" w:cs="Times New Roman"/>
                <w:sz w:val="24"/>
              </w:rPr>
              <w:t>CRR</w:t>
            </w:r>
            <w:r w:rsidRPr="007F4CC8">
              <w:rPr>
                <w:rFonts w:ascii="Times New Roman" w:eastAsia="Times New Roman" w:hAnsi="Times New Roman" w:cs="Times New Roman"/>
                <w:sz w:val="24"/>
              </w:rPr>
              <w:t>. In addition, all liabilities other than those that (</w:t>
            </w:r>
            <w:proofErr w:type="spellStart"/>
            <w:r w:rsidRPr="007F4CC8">
              <w:rPr>
                <w:rFonts w:ascii="Times New Roman" w:eastAsia="Times New Roman" w:hAnsi="Times New Roman" w:cs="Times New Roman"/>
                <w:sz w:val="24"/>
              </w:rPr>
              <w:t>i</w:t>
            </w:r>
            <w:proofErr w:type="spellEnd"/>
            <w:r w:rsidRPr="007F4CC8">
              <w:rPr>
                <w:rFonts w:ascii="Times New Roman" w:eastAsia="Times New Roman" w:hAnsi="Times New Roman" w:cs="Times New Roman"/>
                <w:sz w:val="24"/>
              </w:rPr>
              <w:t xml:space="preserve">) are relevant for the application of requirements in Chapter 4 of Title II of Part Three </w:t>
            </w:r>
            <w:r w:rsidRPr="007F4CC8">
              <w:rPr>
                <w:rFonts w:ascii="Times New Roman" w:hAnsi="Times New Roman" w:cs="Times New Roman"/>
                <w:sz w:val="24"/>
              </w:rPr>
              <w:t>CRR</w:t>
            </w:r>
            <w:r w:rsidRPr="007F4CC8">
              <w:rPr>
                <w:rFonts w:ascii="Times New Roman" w:eastAsia="Times New Roman" w:hAnsi="Times New Roman" w:cs="Times New Roman"/>
                <w:sz w:val="24"/>
              </w:rPr>
              <w:t>, or (ii) that are relevant for the application of requirements in Chapter 6 of Title II of Part Three CRR and in Title IV of Part Three CRR shall be disclosed in this column.</w:t>
            </w:r>
          </w:p>
        </w:tc>
      </w:tr>
      <w:tr w:rsidR="00C04D6C" w:rsidRPr="007F4CC8" w:rsidTr="00D819DE">
        <w:trPr>
          <w:trHeight w:val="238"/>
        </w:trPr>
        <w:tc>
          <w:tcPr>
            <w:tcW w:w="1384" w:type="dxa"/>
            <w:shd w:val="clear" w:color="auto" w:fill="FFFFFF" w:themeFill="background1"/>
          </w:tcPr>
          <w:p w:rsidR="00C04D6C" w:rsidRPr="007F4CC8" w:rsidRDefault="00C04D6C" w:rsidP="00D819DE">
            <w:pPr>
              <w:autoSpaceDE w:val="0"/>
              <w:autoSpaceDN w:val="0"/>
              <w:adjustRightInd w:val="0"/>
              <w:spacing w:before="60" w:after="120"/>
              <w:jc w:val="center"/>
              <w:rPr>
                <w:rFonts w:ascii="Times New Roman" w:hAnsi="Times New Roman" w:cs="Times New Roman"/>
                <w:b/>
                <w:sz w:val="24"/>
              </w:rPr>
            </w:pPr>
            <w:r w:rsidRPr="007F4CC8">
              <w:rPr>
                <w:rFonts w:ascii="Times New Roman" w:hAnsi="Times New Roman" w:cs="Times New Roman"/>
                <w:b/>
                <w:sz w:val="24"/>
              </w:rPr>
              <w:lastRenderedPageBreak/>
              <w:t>all</w:t>
            </w:r>
          </w:p>
        </w:tc>
        <w:tc>
          <w:tcPr>
            <w:tcW w:w="7655" w:type="dxa"/>
            <w:shd w:val="clear" w:color="auto" w:fill="FFFFFF" w:themeFill="background1"/>
          </w:tcPr>
          <w:p w:rsidR="00C04D6C" w:rsidRPr="007F4CC8" w:rsidRDefault="00C04D6C" w:rsidP="00D819DE">
            <w:pPr>
              <w:spacing w:before="60" w:after="120"/>
              <w:ind w:left="34"/>
              <w:jc w:val="both"/>
              <w:rPr>
                <w:rFonts w:ascii="Times New Roman" w:eastAsia="Times New Roman" w:hAnsi="Times New Roman" w:cs="Times New Roman"/>
                <w:b/>
                <w:color w:val="000000" w:themeColor="text1"/>
                <w:sz w:val="24"/>
              </w:rPr>
            </w:pPr>
            <w:r w:rsidRPr="007F4CC8">
              <w:rPr>
                <w:rFonts w:ascii="Times New Roman" w:eastAsia="Times New Roman" w:hAnsi="Times New Roman" w:cs="Times New Roman"/>
                <w:sz w:val="24"/>
              </w:rPr>
              <w:t xml:space="preserve">Where a single item attracts capital requirements in accordance with more than one risk framework, values shall be disclosed in all columns corresponding to the capital requirements they relate to. As a consequence, the sum of amounts in columns (c) to (g) </w:t>
            </w:r>
            <w:r w:rsidRPr="007F4CC8">
              <w:rPr>
                <w:rFonts w:ascii="Times New Roman" w:hAnsi="Times New Roman" w:cs="Times New Roman"/>
                <w:sz w:val="24"/>
              </w:rPr>
              <w:t>of this template</w:t>
            </w:r>
            <w:r w:rsidRPr="007F4CC8">
              <w:rPr>
                <w:rFonts w:ascii="Times New Roman" w:eastAsia="Times New Roman" w:hAnsi="Times New Roman" w:cs="Times New Roman"/>
                <w:sz w:val="24"/>
              </w:rPr>
              <w:t xml:space="preserve"> may be greater than the amount in column (b) </w:t>
            </w:r>
            <w:r w:rsidRPr="007F4CC8">
              <w:rPr>
                <w:rFonts w:ascii="Times New Roman" w:hAnsi="Times New Roman" w:cs="Times New Roman"/>
                <w:sz w:val="24"/>
              </w:rPr>
              <w:t>of this template</w:t>
            </w:r>
            <w:r w:rsidRPr="007F4CC8">
              <w:rPr>
                <w:rFonts w:ascii="Times New Roman" w:eastAsia="Times New Roman" w:hAnsi="Times New Roman" w:cs="Times New Roman"/>
                <w:sz w:val="24"/>
              </w:rPr>
              <w:t>.</w:t>
            </w:r>
            <w:r w:rsidRPr="007F4CC8">
              <w:rPr>
                <w:rFonts w:ascii="Times New Roman" w:eastAsia="Times New Roman" w:hAnsi="Times New Roman" w:cs="Times New Roman"/>
                <w:sz w:val="24"/>
                <w:lang w:eastAsia="en-GB"/>
              </w:rPr>
              <w:t xml:space="preserve"> Institutions shall provide qualitative explanations on assets and liabilities that are subject to capital requirements for more than one risk framework listed in Part Three </w:t>
            </w:r>
            <w:r w:rsidRPr="007F4CC8">
              <w:rPr>
                <w:rFonts w:ascii="Times New Roman" w:hAnsi="Times New Roman" w:cs="Times New Roman"/>
                <w:sz w:val="24"/>
              </w:rPr>
              <w:t>CRR</w:t>
            </w:r>
            <w:r w:rsidRPr="007F4CC8">
              <w:rPr>
                <w:rFonts w:ascii="Times New Roman" w:eastAsia="Times New Roman" w:hAnsi="Times New Roman" w:cs="Times New Roman"/>
                <w:sz w:val="24"/>
                <w:lang w:eastAsia="en-GB"/>
              </w:rPr>
              <w:t>.</w:t>
            </w:r>
          </w:p>
        </w:tc>
      </w:tr>
    </w:tbl>
    <w:p w:rsidR="00C04D6C" w:rsidRPr="007F4CC8" w:rsidRDefault="00C04D6C" w:rsidP="00C04D6C">
      <w:pPr>
        <w:spacing w:after="120"/>
        <w:jc w:val="both"/>
        <w:rPr>
          <w:rFonts w:ascii="Times New Roman" w:hAnsi="Times New Roman" w:cs="Times New Roman"/>
          <w:b/>
          <w:sz w:val="24"/>
        </w:rPr>
      </w:pPr>
    </w:p>
    <w:p w:rsidR="00C04D6C" w:rsidRPr="007F4CC8" w:rsidRDefault="00C04D6C" w:rsidP="00C04D6C">
      <w:pPr>
        <w:spacing w:after="120"/>
        <w:jc w:val="both"/>
        <w:rPr>
          <w:rFonts w:ascii="Times New Roman" w:hAnsi="Times New Roman" w:cs="Times New Roman"/>
          <w:b/>
          <w:sz w:val="24"/>
        </w:rPr>
      </w:pPr>
      <w:r>
        <w:rPr>
          <w:rFonts w:ascii="Times New Roman" w:hAnsi="Times New Roman" w:cs="Times New Roman"/>
          <w:b/>
          <w:sz w:val="24"/>
        </w:rPr>
        <w:t xml:space="preserve">Template EU </w:t>
      </w:r>
      <w:r w:rsidRPr="007F4CC8">
        <w:rPr>
          <w:rFonts w:ascii="Times New Roman" w:hAnsi="Times New Roman" w:cs="Times New Roman"/>
          <w:b/>
          <w:sz w:val="24"/>
        </w:rPr>
        <w:t xml:space="preserve">LI2 - Main sources of differences between regulatory exposure amounts and carrying values in financial statements. </w:t>
      </w:r>
      <w:r w:rsidRPr="007F4CC8">
        <w:rPr>
          <w:rFonts w:ascii="Times New Roman" w:hAnsi="Times New Roman" w:cs="Times New Roman"/>
          <w:sz w:val="24"/>
        </w:rPr>
        <w:t>Fixed format.</w:t>
      </w:r>
      <w:r w:rsidRPr="007F4CC8">
        <w:rPr>
          <w:rFonts w:ascii="Times New Roman" w:hAnsi="Times New Roman" w:cs="Times New Roman"/>
          <w:b/>
          <w:sz w:val="24"/>
        </w:rPr>
        <w:t xml:space="preserve"> </w:t>
      </w:r>
    </w:p>
    <w:p w:rsidR="00C04D6C" w:rsidRPr="007F4CC8" w:rsidRDefault="00C04D6C" w:rsidP="00C04D6C">
      <w:pPr>
        <w:pStyle w:val="ListParagraph"/>
        <w:numPr>
          <w:ilvl w:val="0"/>
          <w:numId w:val="1"/>
        </w:numPr>
        <w:spacing w:before="120" w:after="120"/>
        <w:ind w:left="425" w:hanging="357"/>
        <w:jc w:val="both"/>
        <w:rPr>
          <w:rFonts w:ascii="Times New Roman" w:hAnsi="Times New Roman"/>
          <w:color w:val="000000" w:themeColor="text1"/>
          <w:sz w:val="24"/>
        </w:rPr>
      </w:pPr>
      <w:r w:rsidRPr="007F4CC8">
        <w:rPr>
          <w:rFonts w:ascii="Times New Roman" w:hAnsi="Times New Roman"/>
          <w:sz w:val="24"/>
        </w:rPr>
        <w:t>Institutions</w:t>
      </w:r>
      <w:r w:rsidRPr="007F4CC8">
        <w:rPr>
          <w:rFonts w:ascii="Times New Roman" w:hAnsi="Times New Roman"/>
          <w:color w:val="000000" w:themeColor="text1"/>
          <w:sz w:val="24"/>
        </w:rPr>
        <w:t xml:space="preserve"> shall disclose the information referred to in point (d) of Article 436 CRR</w:t>
      </w:r>
      <w:r w:rsidRPr="007F4CC8">
        <w:rPr>
          <w:rFonts w:ascii="Times New Roman" w:hAnsi="Times New Roman"/>
          <w:sz w:val="24"/>
        </w:rPr>
        <w:t xml:space="preserve"> by following the instructions provided below in this Annex to complete</w:t>
      </w:r>
      <w:r>
        <w:rPr>
          <w:rFonts w:ascii="Times New Roman" w:hAnsi="Times New Roman"/>
          <w:sz w:val="24"/>
        </w:rPr>
        <w:t xml:space="preserve"> template EU </w:t>
      </w:r>
      <w:r w:rsidRPr="007F4CC8">
        <w:rPr>
          <w:rFonts w:ascii="Times New Roman" w:hAnsi="Times New Roman"/>
          <w:sz w:val="24"/>
        </w:rPr>
        <w:t>LI2 which is presented in Annex V to this Implementing Regulation</w:t>
      </w:r>
      <w:r w:rsidRPr="007F4CC8">
        <w:rPr>
          <w:rFonts w:ascii="Times New Roman" w:hAnsi="Times New Roman"/>
          <w:color w:val="000000" w:themeColor="text1"/>
          <w:sz w:val="24"/>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C04D6C" w:rsidRPr="007F4CC8" w:rsidTr="00D819D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4D6C" w:rsidRPr="007F4CC8" w:rsidRDefault="00C04D6C" w:rsidP="00D819DE">
            <w:pPr>
              <w:rPr>
                <w:rFonts w:ascii="Times New Roman" w:hAnsi="Times New Roman" w:cs="Times New Roman"/>
                <w:b/>
                <w:sz w:val="24"/>
                <w:highlight w:val="yellow"/>
              </w:rPr>
            </w:pPr>
            <w:r w:rsidRPr="007F4CC8">
              <w:rPr>
                <w:rFonts w:ascii="Times New Roman" w:hAnsi="Times New Roman" w:cs="Times New Roman"/>
                <w:b/>
                <w:sz w:val="24"/>
              </w:rPr>
              <w:t>Legal references and instructions</w:t>
            </w:r>
          </w:p>
        </w:tc>
      </w:tr>
      <w:tr w:rsidR="00C04D6C" w:rsidRPr="007F4CC8" w:rsidTr="00D819DE">
        <w:trPr>
          <w:trHeight w:val="238"/>
        </w:trPr>
        <w:tc>
          <w:tcPr>
            <w:tcW w:w="1384" w:type="dxa"/>
            <w:shd w:val="clear" w:color="auto" w:fill="D9D9D9" w:themeFill="background1" w:themeFillShade="D9"/>
          </w:tcPr>
          <w:p w:rsidR="00C04D6C" w:rsidRPr="007F4CC8" w:rsidRDefault="00C04D6C" w:rsidP="00D819DE">
            <w:pPr>
              <w:autoSpaceDE w:val="0"/>
              <w:autoSpaceDN w:val="0"/>
              <w:adjustRightInd w:val="0"/>
              <w:rPr>
                <w:rFonts w:ascii="Times New Roman" w:hAnsi="Times New Roman" w:cs="Times New Roman"/>
                <w:b/>
                <w:sz w:val="24"/>
              </w:rPr>
            </w:pPr>
            <w:r w:rsidRPr="007F4CC8">
              <w:rPr>
                <w:rFonts w:ascii="Times New Roman" w:hAnsi="Times New Roman" w:cs="Times New Roman"/>
                <w:b/>
                <w:sz w:val="24"/>
              </w:rPr>
              <w:t>Row number</w:t>
            </w:r>
          </w:p>
        </w:tc>
        <w:tc>
          <w:tcPr>
            <w:tcW w:w="7655" w:type="dxa"/>
            <w:shd w:val="clear" w:color="auto" w:fill="D9D9D9" w:themeFill="background1" w:themeFillShade="D9"/>
          </w:tcPr>
          <w:p w:rsidR="00C04D6C" w:rsidRPr="007F4CC8" w:rsidRDefault="00C04D6C" w:rsidP="00D819DE">
            <w:pPr>
              <w:autoSpaceDE w:val="0"/>
              <w:autoSpaceDN w:val="0"/>
              <w:adjustRightInd w:val="0"/>
              <w:rPr>
                <w:rFonts w:ascii="Times New Roman" w:hAnsi="Times New Roman" w:cs="Times New Roman"/>
                <w:color w:val="000000"/>
                <w:sz w:val="24"/>
              </w:rPr>
            </w:pPr>
            <w:r w:rsidRPr="007F4CC8">
              <w:rPr>
                <w:rFonts w:ascii="Times New Roman" w:hAnsi="Times New Roman" w:cs="Times New Roman"/>
                <w:b/>
                <w:sz w:val="24"/>
              </w:rPr>
              <w:t>Explanation</w:t>
            </w:r>
          </w:p>
        </w:tc>
      </w:tr>
      <w:tr w:rsidR="00C04D6C" w:rsidRPr="007F4CC8" w:rsidTr="00D819DE">
        <w:trPr>
          <w:trHeight w:val="238"/>
        </w:trPr>
        <w:tc>
          <w:tcPr>
            <w:tcW w:w="1384" w:type="dxa"/>
            <w:shd w:val="clear" w:color="auto" w:fill="FFFFFF" w:themeFill="background1"/>
          </w:tcPr>
          <w:p w:rsidR="00C04D6C" w:rsidRPr="007F4CC8" w:rsidRDefault="00C04D6C" w:rsidP="00D819DE">
            <w:pPr>
              <w:autoSpaceDE w:val="0"/>
              <w:autoSpaceDN w:val="0"/>
              <w:adjustRightInd w:val="0"/>
              <w:spacing w:before="60" w:after="120"/>
              <w:jc w:val="center"/>
              <w:rPr>
                <w:rFonts w:ascii="Times New Roman" w:hAnsi="Times New Roman" w:cs="Times New Roman"/>
                <w:sz w:val="24"/>
              </w:rPr>
            </w:pPr>
            <w:r w:rsidRPr="007F4CC8">
              <w:rPr>
                <w:rFonts w:ascii="Times New Roman" w:eastAsia="Times New Roman" w:hAnsi="Times New Roman" w:cs="Times New Roman"/>
                <w:sz w:val="24"/>
              </w:rPr>
              <w:t>1</w:t>
            </w:r>
          </w:p>
        </w:tc>
        <w:tc>
          <w:tcPr>
            <w:tcW w:w="7655" w:type="dxa"/>
            <w:shd w:val="clear" w:color="auto" w:fill="FFFFFF" w:themeFill="background1"/>
          </w:tcPr>
          <w:p w:rsidR="00C04D6C" w:rsidRPr="007F4CC8" w:rsidRDefault="00C04D6C" w:rsidP="00D819DE">
            <w:pPr>
              <w:spacing w:before="60" w:after="120"/>
              <w:jc w:val="both"/>
              <w:rPr>
                <w:rFonts w:ascii="Times New Roman" w:eastAsia="Times New Roman" w:hAnsi="Times New Roman" w:cs="Times New Roman"/>
                <w:b/>
                <w:sz w:val="24"/>
              </w:rPr>
            </w:pPr>
            <w:r w:rsidRPr="007F4CC8">
              <w:rPr>
                <w:rFonts w:ascii="Times New Roman" w:eastAsia="Times New Roman" w:hAnsi="Times New Roman" w:cs="Times New Roman"/>
                <w:b/>
                <w:sz w:val="24"/>
              </w:rPr>
              <w:t xml:space="preserve">Assets carrying value amount under the </w:t>
            </w:r>
            <w:r>
              <w:rPr>
                <w:rFonts w:ascii="Times New Roman" w:eastAsia="Times New Roman" w:hAnsi="Times New Roman" w:cs="Times New Roman"/>
                <w:b/>
                <w:sz w:val="24"/>
              </w:rPr>
              <w:t>scope of prudential consolidation</w:t>
            </w:r>
          </w:p>
          <w:p w:rsidR="00C04D6C" w:rsidRPr="007F4CC8" w:rsidRDefault="00C04D6C" w:rsidP="00D819DE">
            <w:pPr>
              <w:spacing w:before="60" w:after="120"/>
              <w:jc w:val="both"/>
              <w:rPr>
                <w:rFonts w:ascii="Times New Roman" w:hAnsi="Times New Roman" w:cs="Times New Roman"/>
                <w:b/>
                <w:sz w:val="24"/>
              </w:rPr>
            </w:pPr>
            <w:r w:rsidRPr="007F4CC8">
              <w:rPr>
                <w:rFonts w:ascii="Times New Roman" w:eastAsia="Times New Roman" w:hAnsi="Times New Roman" w:cs="Times New Roman"/>
                <w:sz w:val="24"/>
              </w:rPr>
              <w:t xml:space="preserve">Amounts in columns (b) to (e) </w:t>
            </w:r>
            <w:r w:rsidRPr="007F4CC8">
              <w:rPr>
                <w:rFonts w:ascii="Times New Roman" w:hAnsi="Times New Roman" w:cs="Times New Roman"/>
                <w:sz w:val="24"/>
              </w:rPr>
              <w:t>of this template</w:t>
            </w:r>
            <w:r w:rsidRPr="007F4CC8">
              <w:rPr>
                <w:rFonts w:ascii="Times New Roman" w:eastAsia="Times New Roman" w:hAnsi="Times New Roman" w:cs="Times New Roman"/>
                <w:sz w:val="24"/>
              </w:rPr>
              <w:t xml:space="preserve"> shall be the same as the amounts in co</w:t>
            </w:r>
            <w:r>
              <w:rPr>
                <w:rFonts w:ascii="Times New Roman" w:eastAsia="Times New Roman" w:hAnsi="Times New Roman" w:cs="Times New Roman"/>
                <w:sz w:val="24"/>
              </w:rPr>
              <w:t xml:space="preserve">lumns (c) to (f) of template EU </w:t>
            </w:r>
            <w:r w:rsidRPr="007F4CC8">
              <w:rPr>
                <w:rFonts w:ascii="Times New Roman" w:eastAsia="Times New Roman" w:hAnsi="Times New Roman" w:cs="Times New Roman"/>
                <w:sz w:val="24"/>
              </w:rPr>
              <w:t xml:space="preserve">LI1. </w:t>
            </w:r>
          </w:p>
        </w:tc>
      </w:tr>
      <w:tr w:rsidR="00C04D6C" w:rsidRPr="007F4CC8" w:rsidTr="00D819DE">
        <w:trPr>
          <w:trHeight w:val="238"/>
        </w:trPr>
        <w:tc>
          <w:tcPr>
            <w:tcW w:w="1384" w:type="dxa"/>
            <w:shd w:val="clear" w:color="auto" w:fill="FFFFFF" w:themeFill="background1"/>
          </w:tcPr>
          <w:p w:rsidR="00C04D6C" w:rsidRPr="007F4CC8" w:rsidRDefault="00C04D6C" w:rsidP="00D819DE">
            <w:pPr>
              <w:autoSpaceDE w:val="0"/>
              <w:autoSpaceDN w:val="0"/>
              <w:adjustRightInd w:val="0"/>
              <w:spacing w:before="60" w:after="120"/>
              <w:jc w:val="center"/>
              <w:rPr>
                <w:rFonts w:ascii="Times New Roman" w:hAnsi="Times New Roman" w:cs="Times New Roman"/>
                <w:sz w:val="24"/>
              </w:rPr>
            </w:pPr>
            <w:r w:rsidRPr="007F4CC8">
              <w:rPr>
                <w:rFonts w:ascii="Times New Roman" w:hAnsi="Times New Roman" w:cs="Times New Roman"/>
                <w:sz w:val="24"/>
              </w:rPr>
              <w:t>2</w:t>
            </w:r>
          </w:p>
        </w:tc>
        <w:tc>
          <w:tcPr>
            <w:tcW w:w="7655" w:type="dxa"/>
            <w:shd w:val="clear" w:color="auto" w:fill="FFFFFF" w:themeFill="background1"/>
          </w:tcPr>
          <w:p w:rsidR="00C04D6C" w:rsidRPr="007F4CC8" w:rsidRDefault="00C04D6C" w:rsidP="00D819DE">
            <w:pPr>
              <w:autoSpaceDE w:val="0"/>
              <w:autoSpaceDN w:val="0"/>
              <w:adjustRightInd w:val="0"/>
              <w:spacing w:before="60" w:after="120"/>
              <w:rPr>
                <w:rFonts w:ascii="Times New Roman" w:hAnsi="Times New Roman" w:cs="Times New Roman"/>
                <w:b/>
                <w:sz w:val="24"/>
              </w:rPr>
            </w:pPr>
            <w:r w:rsidRPr="007F4CC8">
              <w:rPr>
                <w:rFonts w:ascii="Times New Roman" w:hAnsi="Times New Roman" w:cs="Times New Roman"/>
                <w:b/>
                <w:sz w:val="24"/>
              </w:rPr>
              <w:t xml:space="preserve">Liabilities carrying value amount under the </w:t>
            </w:r>
            <w:r>
              <w:rPr>
                <w:rFonts w:ascii="Times New Roman" w:hAnsi="Times New Roman" w:cs="Times New Roman"/>
                <w:b/>
                <w:sz w:val="24"/>
              </w:rPr>
              <w:t>scope of prudential consolidation</w:t>
            </w:r>
          </w:p>
          <w:p w:rsidR="00C04D6C" w:rsidRPr="007F4CC8" w:rsidRDefault="00C04D6C" w:rsidP="00D819DE">
            <w:pPr>
              <w:autoSpaceDE w:val="0"/>
              <w:autoSpaceDN w:val="0"/>
              <w:adjustRightInd w:val="0"/>
              <w:spacing w:before="60" w:after="120"/>
              <w:jc w:val="both"/>
              <w:rPr>
                <w:rFonts w:ascii="Times New Roman" w:hAnsi="Times New Roman" w:cs="Times New Roman"/>
                <w:b/>
                <w:sz w:val="24"/>
              </w:rPr>
            </w:pPr>
            <w:r w:rsidRPr="007F4CC8">
              <w:rPr>
                <w:rFonts w:ascii="Times New Roman" w:eastAsia="Times New Roman" w:hAnsi="Times New Roman" w:cs="Times New Roman"/>
                <w:sz w:val="24"/>
              </w:rPr>
              <w:t xml:space="preserve">Amounts in columns (b) to (e) </w:t>
            </w:r>
            <w:r w:rsidRPr="007F4CC8">
              <w:rPr>
                <w:rFonts w:ascii="Times New Roman" w:hAnsi="Times New Roman" w:cs="Times New Roman"/>
                <w:sz w:val="24"/>
              </w:rPr>
              <w:t>of this template</w:t>
            </w:r>
            <w:r w:rsidRPr="007F4CC8">
              <w:rPr>
                <w:rFonts w:ascii="Times New Roman" w:eastAsia="Times New Roman" w:hAnsi="Times New Roman" w:cs="Times New Roman"/>
                <w:sz w:val="24"/>
              </w:rPr>
              <w:t xml:space="preserve"> shall be the same as the amounts in co</w:t>
            </w:r>
            <w:r>
              <w:rPr>
                <w:rFonts w:ascii="Times New Roman" w:eastAsia="Times New Roman" w:hAnsi="Times New Roman" w:cs="Times New Roman"/>
                <w:sz w:val="24"/>
              </w:rPr>
              <w:t xml:space="preserve">lumns (c) to (f) of template EU </w:t>
            </w:r>
            <w:r w:rsidRPr="007F4CC8">
              <w:rPr>
                <w:rFonts w:ascii="Times New Roman" w:eastAsia="Times New Roman" w:hAnsi="Times New Roman" w:cs="Times New Roman"/>
                <w:sz w:val="24"/>
              </w:rPr>
              <w:t>LI1.</w:t>
            </w:r>
          </w:p>
        </w:tc>
      </w:tr>
      <w:tr w:rsidR="00C04D6C" w:rsidRPr="007F4CC8" w:rsidTr="00D819DE">
        <w:trPr>
          <w:trHeight w:val="238"/>
        </w:trPr>
        <w:tc>
          <w:tcPr>
            <w:tcW w:w="1384" w:type="dxa"/>
            <w:shd w:val="clear" w:color="auto" w:fill="FFFFFF" w:themeFill="background1"/>
          </w:tcPr>
          <w:p w:rsidR="00C04D6C" w:rsidRPr="007F4CC8" w:rsidRDefault="00C04D6C" w:rsidP="00D819DE">
            <w:pPr>
              <w:autoSpaceDE w:val="0"/>
              <w:autoSpaceDN w:val="0"/>
              <w:adjustRightInd w:val="0"/>
              <w:spacing w:before="60" w:after="120"/>
              <w:jc w:val="center"/>
              <w:rPr>
                <w:rFonts w:ascii="Times New Roman" w:hAnsi="Times New Roman" w:cs="Times New Roman"/>
                <w:sz w:val="24"/>
              </w:rPr>
            </w:pPr>
            <w:r w:rsidRPr="007F4CC8">
              <w:rPr>
                <w:rFonts w:ascii="Times New Roman" w:hAnsi="Times New Roman" w:cs="Times New Roman"/>
                <w:sz w:val="24"/>
              </w:rPr>
              <w:t>3</w:t>
            </w:r>
          </w:p>
        </w:tc>
        <w:tc>
          <w:tcPr>
            <w:tcW w:w="7655" w:type="dxa"/>
            <w:shd w:val="clear" w:color="auto" w:fill="FFFFFF" w:themeFill="background1"/>
          </w:tcPr>
          <w:p w:rsidR="00C04D6C" w:rsidRPr="007F4CC8" w:rsidRDefault="00C04D6C" w:rsidP="00D819DE">
            <w:pPr>
              <w:spacing w:before="60" w:after="120"/>
              <w:jc w:val="both"/>
              <w:rPr>
                <w:rFonts w:ascii="Times New Roman" w:eastAsia="Times New Roman" w:hAnsi="Times New Roman" w:cs="Times New Roman"/>
                <w:b/>
                <w:sz w:val="24"/>
              </w:rPr>
            </w:pPr>
            <w:r w:rsidRPr="007F4CC8">
              <w:rPr>
                <w:rFonts w:ascii="Times New Roman" w:eastAsia="Times New Roman" w:hAnsi="Times New Roman" w:cs="Times New Roman"/>
                <w:b/>
                <w:sz w:val="24"/>
              </w:rPr>
              <w:t xml:space="preserve">Total net amount under </w:t>
            </w:r>
            <w:r>
              <w:rPr>
                <w:rFonts w:ascii="Times New Roman" w:eastAsia="Times New Roman" w:hAnsi="Times New Roman" w:cs="Times New Roman"/>
                <w:b/>
                <w:sz w:val="24"/>
              </w:rPr>
              <w:t>scope of prudential consolidation</w:t>
            </w:r>
            <w:r w:rsidRPr="007F4CC8">
              <w:rPr>
                <w:rFonts w:ascii="Times New Roman" w:eastAsia="Times New Roman" w:hAnsi="Times New Roman" w:cs="Times New Roman"/>
                <w:b/>
                <w:sz w:val="24"/>
              </w:rPr>
              <w:t xml:space="preserve"> </w:t>
            </w:r>
          </w:p>
          <w:p w:rsidR="00C04D6C" w:rsidRPr="007F4CC8" w:rsidRDefault="00C04D6C" w:rsidP="00D819DE">
            <w:pPr>
              <w:spacing w:before="6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lastRenderedPageBreak/>
              <w:t xml:space="preserve">Amount after on-balance-sheet netting between assets and liabilities under the </w:t>
            </w:r>
            <w:r>
              <w:rPr>
                <w:rFonts w:ascii="Times New Roman" w:eastAsia="Times New Roman" w:hAnsi="Times New Roman" w:cs="Times New Roman"/>
                <w:sz w:val="24"/>
              </w:rPr>
              <w:t>scope of prudential consolidation</w:t>
            </w:r>
            <w:r w:rsidRPr="007F4CC8">
              <w:rPr>
                <w:rFonts w:ascii="Times New Roman" w:eastAsia="Times New Roman" w:hAnsi="Times New Roman" w:cs="Times New Roman"/>
                <w:sz w:val="24"/>
              </w:rPr>
              <w:t>, regardless of the eligibility of those assets and liabilities of the specific netting rules in the application of Chapters 4 and 5 of Title II of Part Three CRR and of Title IV of Part Three CRR</w:t>
            </w:r>
          </w:p>
          <w:p w:rsidR="00C04D6C" w:rsidRPr="007F4CC8" w:rsidRDefault="00C04D6C" w:rsidP="00D819DE">
            <w:pPr>
              <w:spacing w:before="60" w:after="120"/>
              <w:jc w:val="both"/>
              <w:rPr>
                <w:rFonts w:ascii="Times New Roman" w:eastAsia="Times New Roman" w:hAnsi="Times New Roman" w:cs="Times New Roman"/>
                <w:color w:val="A8D08D" w:themeColor="accent6" w:themeTint="99"/>
                <w:sz w:val="24"/>
              </w:rPr>
            </w:pPr>
            <w:r w:rsidRPr="007F4CC8">
              <w:rPr>
                <w:rFonts w:ascii="Times New Roman" w:eastAsia="Times New Roman" w:hAnsi="Times New Roman" w:cs="Times New Roman"/>
                <w:sz w:val="24"/>
              </w:rPr>
              <w:t xml:space="preserve">The amount in this row shall be equal to the value in row 1 deducted by the value in row 2 </w:t>
            </w:r>
            <w:r w:rsidRPr="007F4CC8">
              <w:rPr>
                <w:rFonts w:ascii="Times New Roman" w:hAnsi="Times New Roman" w:cs="Times New Roman"/>
                <w:sz w:val="24"/>
              </w:rPr>
              <w:t>of this template</w:t>
            </w:r>
            <w:r w:rsidRPr="007F4CC8">
              <w:rPr>
                <w:rFonts w:ascii="Times New Roman" w:eastAsia="Times New Roman" w:hAnsi="Times New Roman" w:cs="Times New Roman"/>
                <w:sz w:val="24"/>
              </w:rPr>
              <w:t>.</w:t>
            </w:r>
          </w:p>
        </w:tc>
      </w:tr>
      <w:tr w:rsidR="00C04D6C" w:rsidRPr="007F4CC8" w:rsidTr="00D819DE">
        <w:trPr>
          <w:trHeight w:val="238"/>
        </w:trPr>
        <w:tc>
          <w:tcPr>
            <w:tcW w:w="1384" w:type="dxa"/>
            <w:shd w:val="clear" w:color="auto" w:fill="FFFFFF" w:themeFill="background1"/>
          </w:tcPr>
          <w:p w:rsidR="00C04D6C" w:rsidRPr="007F4CC8" w:rsidRDefault="00C04D6C" w:rsidP="00D819DE">
            <w:pPr>
              <w:autoSpaceDE w:val="0"/>
              <w:autoSpaceDN w:val="0"/>
              <w:adjustRightInd w:val="0"/>
              <w:spacing w:before="60" w:after="120"/>
              <w:jc w:val="center"/>
              <w:rPr>
                <w:rFonts w:ascii="Times New Roman" w:hAnsi="Times New Roman" w:cs="Times New Roman"/>
                <w:sz w:val="24"/>
              </w:rPr>
            </w:pPr>
            <w:r w:rsidRPr="007F4CC8">
              <w:rPr>
                <w:rFonts w:ascii="Times New Roman" w:hAnsi="Times New Roman" w:cs="Times New Roman"/>
                <w:sz w:val="24"/>
              </w:rPr>
              <w:lastRenderedPageBreak/>
              <w:t>4</w:t>
            </w:r>
          </w:p>
        </w:tc>
        <w:tc>
          <w:tcPr>
            <w:tcW w:w="7655" w:type="dxa"/>
            <w:shd w:val="clear" w:color="auto" w:fill="FFFFFF" w:themeFill="background1"/>
          </w:tcPr>
          <w:p w:rsidR="00C04D6C" w:rsidRPr="007F4CC8" w:rsidRDefault="00C04D6C" w:rsidP="00D819DE">
            <w:pPr>
              <w:spacing w:before="60" w:after="120"/>
              <w:jc w:val="both"/>
              <w:rPr>
                <w:rFonts w:ascii="Times New Roman" w:eastAsia="Times New Roman" w:hAnsi="Times New Roman" w:cs="Times New Roman"/>
                <w:b/>
                <w:sz w:val="24"/>
              </w:rPr>
            </w:pPr>
            <w:r w:rsidRPr="007F4CC8">
              <w:rPr>
                <w:rFonts w:ascii="Times New Roman" w:eastAsia="Times New Roman" w:hAnsi="Times New Roman" w:cs="Times New Roman"/>
                <w:b/>
                <w:sz w:val="24"/>
              </w:rPr>
              <w:t>Off-balance-sheet amounts</w:t>
            </w:r>
          </w:p>
          <w:p w:rsidR="00C04D6C" w:rsidRPr="007F4CC8" w:rsidRDefault="00C04D6C" w:rsidP="00D819DE">
            <w:pPr>
              <w:spacing w:before="6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Include off-balance-sheet original exposures</w:t>
            </w:r>
            <w:r w:rsidRPr="007F4CC8">
              <w:rPr>
                <w:rFonts w:ascii="Times New Roman" w:eastAsia="PMingLiU" w:hAnsi="Times New Roman" w:cs="Times New Roman"/>
                <w:sz w:val="24"/>
                <w:lang w:eastAsia="zh-TW"/>
              </w:rPr>
              <w:t>,</w:t>
            </w:r>
            <w:r w:rsidRPr="007F4CC8">
              <w:rPr>
                <w:rFonts w:ascii="Times New Roman" w:eastAsia="Times New Roman" w:hAnsi="Times New Roman" w:cs="Times New Roman"/>
                <w:sz w:val="24"/>
              </w:rPr>
              <w:t xml:space="preserve"> prior to the use of a conversion factor</w:t>
            </w:r>
            <w:r w:rsidRPr="007F4CC8">
              <w:rPr>
                <w:rFonts w:ascii="Times New Roman" w:eastAsia="PMingLiU" w:hAnsi="Times New Roman" w:cs="Times New Roman"/>
                <w:sz w:val="24"/>
                <w:lang w:eastAsia="zh-TW"/>
              </w:rPr>
              <w:t>, where relevant,</w:t>
            </w:r>
            <w:r w:rsidRPr="007F4CC8">
              <w:rPr>
                <w:rFonts w:ascii="Times New Roman" w:eastAsia="Times New Roman" w:hAnsi="Times New Roman" w:cs="Times New Roman"/>
                <w:sz w:val="24"/>
              </w:rPr>
              <w:t xml:space="preserve"> from the established off-balance-sheet statement</w:t>
            </w:r>
            <w:r w:rsidRPr="007F4CC8">
              <w:rPr>
                <w:rFonts w:ascii="Times New Roman" w:eastAsia="PMingLiU" w:hAnsi="Times New Roman" w:cs="Times New Roman"/>
                <w:sz w:val="24"/>
                <w:lang w:eastAsia="zh-TW"/>
              </w:rPr>
              <w:t>,</w:t>
            </w:r>
            <w:r w:rsidRPr="007F4CC8">
              <w:rPr>
                <w:rFonts w:ascii="Times New Roman" w:eastAsia="Times New Roman" w:hAnsi="Times New Roman" w:cs="Times New Roman"/>
                <w:sz w:val="24"/>
              </w:rPr>
              <w:t xml:space="preserve"> following the </w:t>
            </w:r>
            <w:r>
              <w:rPr>
                <w:rFonts w:ascii="Times New Roman" w:eastAsia="Times New Roman" w:hAnsi="Times New Roman" w:cs="Times New Roman"/>
                <w:sz w:val="24"/>
              </w:rPr>
              <w:t>scope of prudential consolidation</w:t>
            </w:r>
            <w:r w:rsidRPr="007F4CC8">
              <w:rPr>
                <w:rFonts w:ascii="Times New Roman" w:eastAsia="Times New Roman" w:hAnsi="Times New Roman" w:cs="Times New Roman"/>
                <w:sz w:val="24"/>
              </w:rPr>
              <w:t xml:space="preserve"> in column (a) to (d) </w:t>
            </w:r>
            <w:r w:rsidRPr="007F4CC8">
              <w:rPr>
                <w:rFonts w:ascii="Times New Roman" w:hAnsi="Times New Roman" w:cs="Times New Roman"/>
                <w:sz w:val="24"/>
              </w:rPr>
              <w:t>of this template</w:t>
            </w:r>
            <w:r w:rsidRPr="007F4CC8">
              <w:rPr>
                <w:rFonts w:ascii="Times New Roman" w:eastAsia="Times New Roman" w:hAnsi="Times New Roman" w:cs="Times New Roman"/>
                <w:sz w:val="24"/>
              </w:rPr>
              <w:t xml:space="preserve">. </w:t>
            </w:r>
          </w:p>
        </w:tc>
      </w:tr>
      <w:tr w:rsidR="00C04D6C" w:rsidRPr="007F4CC8" w:rsidTr="00D819DE">
        <w:trPr>
          <w:trHeight w:val="238"/>
        </w:trPr>
        <w:tc>
          <w:tcPr>
            <w:tcW w:w="1384" w:type="dxa"/>
            <w:shd w:val="clear" w:color="auto" w:fill="FFFFFF" w:themeFill="background1"/>
          </w:tcPr>
          <w:p w:rsidR="00C04D6C" w:rsidRPr="007F4CC8" w:rsidRDefault="00C04D6C" w:rsidP="00D819DE">
            <w:pPr>
              <w:autoSpaceDE w:val="0"/>
              <w:autoSpaceDN w:val="0"/>
              <w:adjustRightInd w:val="0"/>
              <w:spacing w:before="60" w:after="120"/>
              <w:jc w:val="center"/>
              <w:rPr>
                <w:rFonts w:ascii="Times New Roman" w:hAnsi="Times New Roman" w:cs="Times New Roman"/>
                <w:sz w:val="24"/>
              </w:rPr>
            </w:pPr>
            <w:r w:rsidRPr="007F4CC8">
              <w:rPr>
                <w:rFonts w:ascii="Times New Roman" w:hAnsi="Times New Roman" w:cs="Times New Roman"/>
                <w:sz w:val="24"/>
              </w:rPr>
              <w:t>5</w:t>
            </w:r>
          </w:p>
        </w:tc>
        <w:tc>
          <w:tcPr>
            <w:tcW w:w="7655" w:type="dxa"/>
            <w:shd w:val="clear" w:color="auto" w:fill="FFFFFF" w:themeFill="background1"/>
          </w:tcPr>
          <w:p w:rsidR="00C04D6C" w:rsidRPr="007F4CC8" w:rsidRDefault="00C04D6C" w:rsidP="00D819DE">
            <w:pPr>
              <w:spacing w:before="60" w:after="120"/>
              <w:jc w:val="both"/>
              <w:rPr>
                <w:rFonts w:ascii="Times New Roman" w:eastAsia="Times New Roman" w:hAnsi="Times New Roman" w:cs="Times New Roman"/>
                <w:b/>
                <w:i/>
                <w:sz w:val="24"/>
              </w:rPr>
            </w:pPr>
            <w:r w:rsidRPr="007F4CC8">
              <w:rPr>
                <w:rFonts w:ascii="Times New Roman" w:eastAsia="Times New Roman" w:hAnsi="Times New Roman" w:cs="Times New Roman"/>
                <w:b/>
                <w:i/>
                <w:sz w:val="24"/>
              </w:rPr>
              <w:t>Differences in valuations</w:t>
            </w:r>
          </w:p>
          <w:p w:rsidR="00C04D6C" w:rsidRPr="007F4CC8" w:rsidRDefault="00C04D6C" w:rsidP="00D819DE">
            <w:pPr>
              <w:spacing w:before="6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Impact of the carrying amount of value adjustments in accordance with Article 34 of Chapter 2 of Title I of Part Two CRR and with Article 105 of Chapter 3 of Title I of Part Three CRR</w:t>
            </w:r>
            <w:r w:rsidRPr="007F4CC8">
              <w:rPr>
                <w:rFonts w:ascii="Times New Roman" w:hAnsi="Times New Roman" w:cs="Times New Roman"/>
                <w:sz w:val="24"/>
              </w:rPr>
              <w:t xml:space="preserve"> </w:t>
            </w:r>
            <w:r w:rsidRPr="007F4CC8">
              <w:rPr>
                <w:rFonts w:ascii="Times New Roman" w:eastAsia="Times New Roman" w:hAnsi="Times New Roman" w:cs="Times New Roman"/>
                <w:sz w:val="24"/>
              </w:rPr>
              <w:t>on trading book and non-trading book exposures measured at fair value in accordance with the applicable accounting framework</w:t>
            </w:r>
          </w:p>
          <w:p w:rsidR="00C04D6C" w:rsidRPr="007F4CC8" w:rsidRDefault="00C04D6C" w:rsidP="00D819DE">
            <w:pPr>
              <w:spacing w:before="60" w:after="120"/>
              <w:jc w:val="both"/>
              <w:rPr>
                <w:rFonts w:ascii="Times New Roman" w:eastAsia="Times New Roman" w:hAnsi="Times New Roman" w:cs="Times New Roman"/>
                <w:b/>
                <w:sz w:val="24"/>
              </w:rPr>
            </w:pPr>
            <w:r w:rsidRPr="007F4CC8">
              <w:rPr>
                <w:rFonts w:ascii="Times New Roman" w:eastAsia="Times New Roman" w:hAnsi="Times New Roman" w:cs="Times New Roman"/>
                <w:sz w:val="24"/>
              </w:rPr>
              <w:t xml:space="preserve">This amount shall be consistent with the amount in row 7 of </w:t>
            </w:r>
            <w:r>
              <w:rPr>
                <w:rFonts w:ascii="Times New Roman" w:eastAsia="Times New Roman" w:hAnsi="Times New Roman" w:cs="Times New Roman"/>
                <w:sz w:val="24"/>
              </w:rPr>
              <w:t xml:space="preserve">template EU </w:t>
            </w:r>
            <w:r w:rsidRPr="007F4CC8">
              <w:rPr>
                <w:rFonts w:ascii="Times New Roman" w:eastAsia="Times New Roman" w:hAnsi="Times New Roman" w:cs="Times New Roman"/>
                <w:sz w:val="24"/>
              </w:rPr>
              <w:t xml:space="preserve">CC1 as well as with the amount in row 12 column (f) of </w:t>
            </w:r>
            <w:r>
              <w:rPr>
                <w:rFonts w:ascii="Times New Roman" w:eastAsia="Times New Roman" w:hAnsi="Times New Roman" w:cs="Times New Roman"/>
                <w:sz w:val="24"/>
              </w:rPr>
              <w:t xml:space="preserve">template EU </w:t>
            </w:r>
            <w:r w:rsidRPr="007F4CC8">
              <w:rPr>
                <w:rFonts w:ascii="Times New Roman" w:eastAsia="Times New Roman" w:hAnsi="Times New Roman" w:cs="Times New Roman"/>
                <w:sz w:val="24"/>
              </w:rPr>
              <w:t>PV1.</w:t>
            </w:r>
          </w:p>
        </w:tc>
      </w:tr>
      <w:tr w:rsidR="00C04D6C" w:rsidRPr="007F4CC8" w:rsidTr="00D819DE">
        <w:trPr>
          <w:trHeight w:val="238"/>
        </w:trPr>
        <w:tc>
          <w:tcPr>
            <w:tcW w:w="1384" w:type="dxa"/>
            <w:shd w:val="clear" w:color="auto" w:fill="FFFFFF" w:themeFill="background1"/>
          </w:tcPr>
          <w:p w:rsidR="00C04D6C" w:rsidRPr="007F4CC8" w:rsidRDefault="00C04D6C" w:rsidP="00D819DE">
            <w:pPr>
              <w:autoSpaceDE w:val="0"/>
              <w:autoSpaceDN w:val="0"/>
              <w:adjustRightInd w:val="0"/>
              <w:spacing w:before="60" w:after="120"/>
              <w:jc w:val="center"/>
              <w:rPr>
                <w:rFonts w:ascii="Times New Roman" w:hAnsi="Times New Roman" w:cs="Times New Roman"/>
                <w:sz w:val="24"/>
              </w:rPr>
            </w:pPr>
            <w:r w:rsidRPr="007F4CC8">
              <w:rPr>
                <w:rFonts w:ascii="Times New Roman" w:hAnsi="Times New Roman" w:cs="Times New Roman"/>
                <w:sz w:val="24"/>
              </w:rPr>
              <w:t>6</w:t>
            </w:r>
          </w:p>
        </w:tc>
        <w:tc>
          <w:tcPr>
            <w:tcW w:w="7655" w:type="dxa"/>
            <w:shd w:val="clear" w:color="auto" w:fill="FFFFFF" w:themeFill="background1"/>
          </w:tcPr>
          <w:p w:rsidR="00C04D6C" w:rsidRPr="007F4CC8" w:rsidRDefault="00C04D6C" w:rsidP="00D819DE">
            <w:pPr>
              <w:spacing w:before="60" w:after="120"/>
              <w:jc w:val="both"/>
              <w:rPr>
                <w:rFonts w:ascii="Times New Roman" w:eastAsia="Times New Roman" w:hAnsi="Times New Roman" w:cs="Times New Roman"/>
                <w:b/>
                <w:i/>
                <w:sz w:val="24"/>
              </w:rPr>
            </w:pPr>
            <w:r w:rsidRPr="007F4CC8">
              <w:rPr>
                <w:rFonts w:ascii="Times New Roman" w:eastAsia="Times New Roman" w:hAnsi="Times New Roman" w:cs="Times New Roman"/>
                <w:b/>
                <w:i/>
                <w:sz w:val="24"/>
              </w:rPr>
              <w:t>Differences due to different netting rules, other than those already included in row 2 of this template</w:t>
            </w:r>
          </w:p>
          <w:p w:rsidR="00C04D6C" w:rsidRPr="007F4CC8" w:rsidRDefault="00C04D6C" w:rsidP="00D819DE">
            <w:pPr>
              <w:spacing w:before="60" w:after="120"/>
              <w:jc w:val="both"/>
              <w:rPr>
                <w:rFonts w:ascii="Times New Roman" w:eastAsia="Times New Roman" w:hAnsi="Times New Roman" w:cs="Times New Roman"/>
                <w:i/>
                <w:sz w:val="24"/>
              </w:rPr>
            </w:pPr>
            <w:r w:rsidRPr="007F4CC8">
              <w:rPr>
                <w:rFonts w:ascii="Times New Roman" w:eastAsia="Times New Roman" w:hAnsi="Times New Roman" w:cs="Times New Roman"/>
                <w:sz w:val="24"/>
              </w:rPr>
              <w:t xml:space="preserve">This item refers to the net on-balance-sheet and off-balance-sheet exposure amounts after the application of the specific netting rules in Chapters 4 and 5 of Title II of Part Three CRR and in Title IV of Part Three CRR. The impact of the application of the netting rules can be negative (in case more exposures have to be netted than the use of on-balance-sheet netting in row 2 </w:t>
            </w:r>
            <w:r w:rsidRPr="007F4CC8">
              <w:rPr>
                <w:rFonts w:ascii="Times New Roman" w:hAnsi="Times New Roman" w:cs="Times New Roman"/>
                <w:sz w:val="24"/>
              </w:rPr>
              <w:t>of this template</w:t>
            </w:r>
            <w:r w:rsidRPr="007F4CC8">
              <w:rPr>
                <w:rFonts w:ascii="Times New Roman" w:eastAsia="Times New Roman" w:hAnsi="Times New Roman" w:cs="Times New Roman"/>
                <w:sz w:val="24"/>
              </w:rPr>
              <w:t xml:space="preserve">) or positive (in the case of the application of netting rules in the </w:t>
            </w:r>
            <w:r w:rsidRPr="007F4CC8">
              <w:rPr>
                <w:rFonts w:ascii="Times New Roman" w:hAnsi="Times New Roman" w:cs="Times New Roman"/>
                <w:sz w:val="24"/>
              </w:rPr>
              <w:t>CRR</w:t>
            </w:r>
            <w:r w:rsidRPr="007F4CC8">
              <w:rPr>
                <w:rFonts w:ascii="Times New Roman" w:eastAsia="Times New Roman" w:hAnsi="Times New Roman" w:cs="Times New Roman"/>
                <w:sz w:val="24"/>
              </w:rPr>
              <w:t xml:space="preserve"> leading to a lower amount being netted out than on-balance-sheet netting in row 2 </w:t>
            </w:r>
            <w:r w:rsidRPr="007F4CC8">
              <w:rPr>
                <w:rFonts w:ascii="Times New Roman" w:hAnsi="Times New Roman" w:cs="Times New Roman"/>
                <w:sz w:val="24"/>
              </w:rPr>
              <w:t>of this template</w:t>
            </w:r>
            <w:r w:rsidRPr="007F4CC8">
              <w:rPr>
                <w:rFonts w:ascii="Times New Roman" w:eastAsia="Times New Roman" w:hAnsi="Times New Roman" w:cs="Times New Roman"/>
                <w:sz w:val="24"/>
              </w:rPr>
              <w:t>).</w:t>
            </w:r>
          </w:p>
        </w:tc>
      </w:tr>
      <w:tr w:rsidR="00C04D6C" w:rsidRPr="007F4CC8" w:rsidTr="00D819DE">
        <w:trPr>
          <w:trHeight w:val="238"/>
        </w:trPr>
        <w:tc>
          <w:tcPr>
            <w:tcW w:w="1384" w:type="dxa"/>
            <w:shd w:val="clear" w:color="auto" w:fill="FFFFFF" w:themeFill="background1"/>
          </w:tcPr>
          <w:p w:rsidR="00C04D6C" w:rsidRPr="007F4CC8" w:rsidRDefault="00C04D6C" w:rsidP="00D819DE">
            <w:pPr>
              <w:autoSpaceDE w:val="0"/>
              <w:autoSpaceDN w:val="0"/>
              <w:adjustRightInd w:val="0"/>
              <w:spacing w:before="60" w:after="120"/>
              <w:jc w:val="center"/>
              <w:rPr>
                <w:rFonts w:ascii="Times New Roman" w:hAnsi="Times New Roman" w:cs="Times New Roman"/>
                <w:sz w:val="24"/>
              </w:rPr>
            </w:pPr>
            <w:r w:rsidRPr="007F4CC8">
              <w:rPr>
                <w:rFonts w:ascii="Times New Roman" w:hAnsi="Times New Roman" w:cs="Times New Roman"/>
                <w:sz w:val="24"/>
              </w:rPr>
              <w:t>7</w:t>
            </w:r>
          </w:p>
        </w:tc>
        <w:tc>
          <w:tcPr>
            <w:tcW w:w="7655" w:type="dxa"/>
            <w:shd w:val="clear" w:color="auto" w:fill="FFFFFF" w:themeFill="background1"/>
          </w:tcPr>
          <w:p w:rsidR="00C04D6C" w:rsidRPr="007F4CC8" w:rsidRDefault="00C04D6C" w:rsidP="00D819DE">
            <w:pPr>
              <w:spacing w:before="60" w:after="120"/>
              <w:jc w:val="both"/>
              <w:rPr>
                <w:rFonts w:ascii="Times New Roman" w:eastAsia="Times New Roman" w:hAnsi="Times New Roman" w:cs="Times New Roman"/>
                <w:b/>
                <w:i/>
                <w:sz w:val="24"/>
              </w:rPr>
            </w:pPr>
            <w:r w:rsidRPr="007F4CC8">
              <w:rPr>
                <w:rFonts w:ascii="Times New Roman" w:eastAsia="Times New Roman" w:hAnsi="Times New Roman" w:cs="Times New Roman"/>
                <w:b/>
                <w:i/>
                <w:sz w:val="24"/>
              </w:rPr>
              <w:t>Differences due to consideration of provisions</w:t>
            </w:r>
          </w:p>
          <w:p w:rsidR="00C04D6C" w:rsidRPr="007F4CC8" w:rsidRDefault="00C04D6C" w:rsidP="00D819DE">
            <w:pPr>
              <w:spacing w:before="60" w:after="120"/>
              <w:jc w:val="both"/>
              <w:rPr>
                <w:rFonts w:ascii="Times New Roman" w:eastAsia="Times New Roman" w:hAnsi="Times New Roman" w:cs="Times New Roman"/>
                <w:b/>
                <w:sz w:val="24"/>
              </w:rPr>
            </w:pPr>
            <w:r w:rsidRPr="007F4CC8">
              <w:rPr>
                <w:rFonts w:ascii="Times New Roman" w:eastAsia="Times New Roman" w:hAnsi="Times New Roman" w:cs="Times New Roman"/>
                <w:sz w:val="24"/>
              </w:rPr>
              <w:t>Re-integration in the exposure value of specific and general credit risk adjustments (as defined in the Commission Delegated Regulation (EU) 183/2014</w:t>
            </w:r>
            <w:r w:rsidRPr="007F4CC8">
              <w:rPr>
                <w:rStyle w:val="FootnoteReference"/>
                <w:rFonts w:eastAsia="Times New Roman" w:cs="Times New Roman"/>
              </w:rPr>
              <w:footnoteReference w:id="5"/>
            </w:r>
            <w:r w:rsidRPr="007F4CC8">
              <w:rPr>
                <w:rFonts w:ascii="Times New Roman" w:eastAsia="Times New Roman" w:hAnsi="Times New Roman" w:cs="Times New Roman"/>
                <w:sz w:val="24"/>
              </w:rPr>
              <w:t xml:space="preserve">) that have been deducted in accordance with the applicable accounting framework from the carrying amount of exposures under Chapter 3 of Title II of Part Three </w:t>
            </w:r>
            <w:r w:rsidRPr="007F4CC8">
              <w:rPr>
                <w:rFonts w:ascii="Times New Roman" w:hAnsi="Times New Roman" w:cs="Times New Roman"/>
                <w:sz w:val="24"/>
              </w:rPr>
              <w:t xml:space="preserve">CRR </w:t>
            </w:r>
            <w:r w:rsidRPr="007F4CC8">
              <w:rPr>
                <w:rFonts w:ascii="Times New Roman" w:eastAsia="Times New Roman" w:hAnsi="Times New Roman" w:cs="Times New Roman"/>
                <w:sz w:val="24"/>
              </w:rPr>
              <w:t xml:space="preserve">for risk-weighting purposes. Regarding exposures risk-weighted in accordance with Chapter 2 of Title II of Part Three </w:t>
            </w:r>
            <w:r w:rsidRPr="007F4CC8">
              <w:rPr>
                <w:rFonts w:ascii="Times New Roman" w:hAnsi="Times New Roman" w:cs="Times New Roman"/>
                <w:sz w:val="24"/>
              </w:rPr>
              <w:t>CRR</w:t>
            </w:r>
            <w:r w:rsidRPr="007F4CC8">
              <w:rPr>
                <w:rFonts w:ascii="Times New Roman" w:eastAsia="Times New Roman" w:hAnsi="Times New Roman" w:cs="Times New Roman"/>
                <w:sz w:val="24"/>
              </w:rPr>
              <w:t xml:space="preserve">, when the carrying amount in the financial statements under the </w:t>
            </w:r>
            <w:r>
              <w:rPr>
                <w:rFonts w:ascii="Times New Roman" w:eastAsia="Times New Roman" w:hAnsi="Times New Roman" w:cs="Times New Roman"/>
                <w:sz w:val="24"/>
              </w:rPr>
              <w:t>scope of prudential consolidation</w:t>
            </w:r>
            <w:r w:rsidRPr="007F4CC8">
              <w:rPr>
                <w:rFonts w:ascii="Times New Roman" w:eastAsia="Times New Roman" w:hAnsi="Times New Roman" w:cs="Times New Roman"/>
                <w:sz w:val="24"/>
              </w:rPr>
              <w:t xml:space="preserve"> has been reduced by elements qualifying as general credit risk adjustments under the aforementioned delegated regulation, these elements shall be re-integrated in the exposure value. </w:t>
            </w:r>
          </w:p>
        </w:tc>
      </w:tr>
      <w:tr w:rsidR="00C04D6C" w:rsidRPr="007F4CC8" w:rsidTr="00D819DE">
        <w:trPr>
          <w:trHeight w:val="238"/>
        </w:trPr>
        <w:tc>
          <w:tcPr>
            <w:tcW w:w="1384" w:type="dxa"/>
            <w:shd w:val="clear" w:color="auto" w:fill="FFFFFF" w:themeFill="background1"/>
          </w:tcPr>
          <w:p w:rsidR="00C04D6C" w:rsidRPr="007F4CC8" w:rsidRDefault="00C04D6C" w:rsidP="00D819DE">
            <w:pPr>
              <w:autoSpaceDE w:val="0"/>
              <w:autoSpaceDN w:val="0"/>
              <w:adjustRightInd w:val="0"/>
              <w:spacing w:before="60" w:after="120"/>
              <w:jc w:val="center"/>
              <w:rPr>
                <w:rFonts w:ascii="Times New Roman" w:hAnsi="Times New Roman" w:cs="Times New Roman"/>
                <w:sz w:val="24"/>
              </w:rPr>
            </w:pPr>
            <w:r w:rsidRPr="007F4CC8">
              <w:rPr>
                <w:rFonts w:ascii="Times New Roman" w:hAnsi="Times New Roman" w:cs="Times New Roman"/>
                <w:sz w:val="24"/>
              </w:rPr>
              <w:lastRenderedPageBreak/>
              <w:t>8</w:t>
            </w:r>
          </w:p>
        </w:tc>
        <w:tc>
          <w:tcPr>
            <w:tcW w:w="7655" w:type="dxa"/>
            <w:shd w:val="clear" w:color="auto" w:fill="FFFFFF" w:themeFill="background1"/>
          </w:tcPr>
          <w:p w:rsidR="00C04D6C" w:rsidRPr="007F4CC8" w:rsidRDefault="00C04D6C" w:rsidP="00D819DE">
            <w:pPr>
              <w:jc w:val="both"/>
              <w:rPr>
                <w:rFonts w:ascii="Times New Roman" w:eastAsia="Times New Roman" w:hAnsi="Times New Roman" w:cs="Times New Roman"/>
                <w:b/>
                <w:i/>
                <w:sz w:val="24"/>
              </w:rPr>
            </w:pPr>
            <w:r w:rsidRPr="007F4CC8">
              <w:rPr>
                <w:rFonts w:ascii="Times New Roman" w:eastAsia="Times New Roman" w:hAnsi="Times New Roman" w:cs="Times New Roman"/>
                <w:b/>
                <w:i/>
                <w:sz w:val="24"/>
              </w:rPr>
              <w:t>Differences due to the use of credit risk mitigation techniques</w:t>
            </w:r>
            <w:r w:rsidRPr="007F4CC8" w:rsidDel="00F84726">
              <w:rPr>
                <w:rFonts w:ascii="Times New Roman" w:eastAsia="Times New Roman" w:hAnsi="Times New Roman" w:cs="Times New Roman"/>
                <w:b/>
                <w:i/>
                <w:sz w:val="24"/>
              </w:rPr>
              <w:t xml:space="preserve"> </w:t>
            </w:r>
          </w:p>
          <w:p w:rsidR="00C04D6C" w:rsidRPr="007F4CC8" w:rsidRDefault="00C04D6C" w:rsidP="00D819DE">
            <w:pPr>
              <w:jc w:val="both"/>
              <w:rPr>
                <w:rFonts w:ascii="Times New Roman" w:eastAsia="Times New Roman" w:hAnsi="Times New Roman" w:cs="Times New Roman"/>
                <w:b/>
                <w:i/>
                <w:sz w:val="24"/>
              </w:rPr>
            </w:pPr>
          </w:p>
          <w:p w:rsidR="00C04D6C" w:rsidRPr="007F4CC8" w:rsidRDefault="00C04D6C" w:rsidP="00D819DE">
            <w:pPr>
              <w:spacing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 xml:space="preserve">Impact on the exposure value under the </w:t>
            </w:r>
            <w:r>
              <w:rPr>
                <w:rFonts w:ascii="Times New Roman" w:eastAsia="Times New Roman" w:hAnsi="Times New Roman" w:cs="Times New Roman"/>
                <w:sz w:val="24"/>
              </w:rPr>
              <w:t>scope of prudential consolidation</w:t>
            </w:r>
            <w:r w:rsidRPr="007F4CC8">
              <w:rPr>
                <w:rFonts w:ascii="Times New Roman" w:eastAsia="Times New Roman" w:hAnsi="Times New Roman" w:cs="Times New Roman"/>
                <w:sz w:val="24"/>
              </w:rPr>
              <w:t xml:space="preserve"> of the application of credit risk mitigation techniques as defined in the CRR. </w:t>
            </w:r>
          </w:p>
        </w:tc>
      </w:tr>
      <w:tr w:rsidR="00C04D6C" w:rsidRPr="007F4CC8" w:rsidTr="00D819DE">
        <w:trPr>
          <w:trHeight w:val="238"/>
        </w:trPr>
        <w:tc>
          <w:tcPr>
            <w:tcW w:w="1384" w:type="dxa"/>
            <w:shd w:val="clear" w:color="auto" w:fill="FFFFFF" w:themeFill="background1"/>
          </w:tcPr>
          <w:p w:rsidR="00C04D6C" w:rsidRPr="007F4CC8" w:rsidRDefault="00C04D6C" w:rsidP="00D819DE">
            <w:pPr>
              <w:autoSpaceDE w:val="0"/>
              <w:autoSpaceDN w:val="0"/>
              <w:adjustRightInd w:val="0"/>
              <w:spacing w:before="60" w:after="120"/>
              <w:jc w:val="center"/>
              <w:rPr>
                <w:rFonts w:ascii="Times New Roman" w:hAnsi="Times New Roman" w:cs="Times New Roman"/>
                <w:sz w:val="24"/>
              </w:rPr>
            </w:pPr>
            <w:r w:rsidRPr="007F4CC8">
              <w:rPr>
                <w:rFonts w:ascii="Times New Roman" w:hAnsi="Times New Roman" w:cs="Times New Roman"/>
                <w:sz w:val="24"/>
              </w:rPr>
              <w:t>9</w:t>
            </w:r>
          </w:p>
        </w:tc>
        <w:tc>
          <w:tcPr>
            <w:tcW w:w="7655" w:type="dxa"/>
            <w:shd w:val="clear" w:color="auto" w:fill="FFFFFF" w:themeFill="background1"/>
          </w:tcPr>
          <w:p w:rsidR="00C04D6C" w:rsidRPr="007F4CC8" w:rsidRDefault="00C04D6C" w:rsidP="00D819DE">
            <w:pPr>
              <w:jc w:val="both"/>
              <w:rPr>
                <w:rFonts w:ascii="Times New Roman" w:eastAsia="Times New Roman" w:hAnsi="Times New Roman" w:cs="Times New Roman"/>
                <w:b/>
                <w:i/>
                <w:sz w:val="24"/>
              </w:rPr>
            </w:pPr>
            <w:r w:rsidRPr="007F4CC8">
              <w:rPr>
                <w:rFonts w:ascii="Times New Roman" w:eastAsia="Times New Roman" w:hAnsi="Times New Roman" w:cs="Times New Roman"/>
                <w:b/>
                <w:i/>
                <w:sz w:val="24"/>
              </w:rPr>
              <w:t>Differences due to credit conversion factors</w:t>
            </w:r>
          </w:p>
          <w:p w:rsidR="00C04D6C" w:rsidRPr="007F4CC8" w:rsidRDefault="00C04D6C" w:rsidP="00D819DE">
            <w:pPr>
              <w:jc w:val="both"/>
              <w:rPr>
                <w:rFonts w:ascii="Times New Roman" w:eastAsia="Times New Roman" w:hAnsi="Times New Roman" w:cs="Times New Roman"/>
                <w:b/>
                <w:i/>
                <w:sz w:val="24"/>
              </w:rPr>
            </w:pPr>
          </w:p>
          <w:p w:rsidR="00C04D6C" w:rsidRPr="007F4CC8" w:rsidRDefault="00C04D6C" w:rsidP="00D819DE">
            <w:pPr>
              <w:spacing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 xml:space="preserve">Impact on the exposure value of off-balance sheet exposures under the </w:t>
            </w:r>
            <w:r>
              <w:rPr>
                <w:rFonts w:ascii="Times New Roman" w:eastAsia="Times New Roman" w:hAnsi="Times New Roman" w:cs="Times New Roman"/>
                <w:sz w:val="24"/>
              </w:rPr>
              <w:t>scope of prudential consolidation</w:t>
            </w:r>
            <w:r w:rsidRPr="007F4CC8">
              <w:rPr>
                <w:rFonts w:ascii="Times New Roman" w:eastAsia="Times New Roman" w:hAnsi="Times New Roman" w:cs="Times New Roman"/>
                <w:sz w:val="24"/>
              </w:rPr>
              <w:t xml:space="preserve"> of the application of the relevant conversion factors in accordance with CRR</w:t>
            </w:r>
          </w:p>
          <w:p w:rsidR="00C04D6C" w:rsidRPr="007F4CC8" w:rsidRDefault="00C04D6C" w:rsidP="00D819DE">
            <w:pPr>
              <w:spacing w:after="120"/>
              <w:jc w:val="both"/>
              <w:rPr>
                <w:rFonts w:ascii="Times New Roman" w:eastAsia="Times New Roman" w:hAnsi="Times New Roman" w:cs="Times New Roman"/>
                <w:b/>
                <w:sz w:val="24"/>
              </w:rPr>
            </w:pPr>
            <w:r w:rsidRPr="007F4CC8">
              <w:rPr>
                <w:rFonts w:ascii="Times New Roman" w:eastAsia="Times New Roman" w:hAnsi="Times New Roman" w:cs="Times New Roman"/>
                <w:sz w:val="24"/>
              </w:rPr>
              <w:t xml:space="preserve">The conversion factor for off-balance-sheet items to be risk-weighted in the application of Title II of Part Three </w:t>
            </w:r>
            <w:r w:rsidRPr="007F4CC8">
              <w:rPr>
                <w:rFonts w:ascii="Times New Roman" w:hAnsi="Times New Roman" w:cs="Times New Roman"/>
                <w:sz w:val="24"/>
              </w:rPr>
              <w:t xml:space="preserve">CRR </w:t>
            </w:r>
            <w:r w:rsidRPr="007F4CC8">
              <w:rPr>
                <w:rFonts w:ascii="Times New Roman" w:eastAsia="Times New Roman" w:hAnsi="Times New Roman" w:cs="Times New Roman"/>
                <w:sz w:val="24"/>
              </w:rPr>
              <w:t>shall be determined in accordance with Articles 111, 166, 167 and 182 (as applicable for credit risk), and in Article 246 CRR (as applicable for securitisation risk).</w:t>
            </w:r>
          </w:p>
        </w:tc>
      </w:tr>
      <w:tr w:rsidR="00C04D6C" w:rsidRPr="007F4CC8" w:rsidTr="00D819DE">
        <w:trPr>
          <w:trHeight w:val="238"/>
        </w:trPr>
        <w:tc>
          <w:tcPr>
            <w:tcW w:w="1384" w:type="dxa"/>
            <w:shd w:val="clear" w:color="auto" w:fill="FFFFFF" w:themeFill="background1"/>
          </w:tcPr>
          <w:p w:rsidR="00C04D6C" w:rsidRPr="007F4CC8" w:rsidRDefault="00C04D6C" w:rsidP="00D819DE">
            <w:pPr>
              <w:autoSpaceDE w:val="0"/>
              <w:autoSpaceDN w:val="0"/>
              <w:adjustRightInd w:val="0"/>
              <w:spacing w:before="60" w:after="120"/>
              <w:jc w:val="center"/>
              <w:rPr>
                <w:rFonts w:ascii="Times New Roman" w:hAnsi="Times New Roman" w:cs="Times New Roman"/>
                <w:sz w:val="24"/>
              </w:rPr>
            </w:pPr>
            <w:r w:rsidRPr="007F4CC8">
              <w:rPr>
                <w:rFonts w:ascii="Times New Roman" w:hAnsi="Times New Roman" w:cs="Times New Roman"/>
                <w:sz w:val="24"/>
              </w:rPr>
              <w:t>10</w:t>
            </w:r>
          </w:p>
        </w:tc>
        <w:tc>
          <w:tcPr>
            <w:tcW w:w="7655" w:type="dxa"/>
            <w:shd w:val="clear" w:color="auto" w:fill="FFFFFF" w:themeFill="background1"/>
          </w:tcPr>
          <w:p w:rsidR="00C04D6C" w:rsidRPr="007F4CC8" w:rsidRDefault="00C04D6C" w:rsidP="00D819DE">
            <w:pPr>
              <w:spacing w:after="240"/>
              <w:jc w:val="both"/>
              <w:rPr>
                <w:rFonts w:ascii="Times New Roman" w:eastAsia="Times New Roman" w:hAnsi="Times New Roman" w:cs="Times New Roman"/>
                <w:b/>
                <w:i/>
                <w:sz w:val="24"/>
              </w:rPr>
            </w:pPr>
            <w:r w:rsidRPr="007F4CC8">
              <w:rPr>
                <w:rFonts w:ascii="Times New Roman" w:eastAsia="Times New Roman" w:hAnsi="Times New Roman" w:cs="Times New Roman"/>
                <w:b/>
                <w:i/>
                <w:sz w:val="24"/>
              </w:rPr>
              <w:t>Differences due to Securitisation with risk transfer</w:t>
            </w:r>
          </w:p>
          <w:p w:rsidR="00C04D6C" w:rsidRPr="007F4CC8" w:rsidRDefault="00C04D6C" w:rsidP="00D819DE">
            <w:pPr>
              <w:spacing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Impact on the exposure value of securitised exposures of the use of securitised transactions to transfer credit risk to third parties in accordance with the CRR</w:t>
            </w:r>
          </w:p>
        </w:tc>
      </w:tr>
      <w:tr w:rsidR="00C04D6C" w:rsidRPr="007F4CC8" w:rsidTr="00D819DE">
        <w:trPr>
          <w:trHeight w:val="238"/>
        </w:trPr>
        <w:tc>
          <w:tcPr>
            <w:tcW w:w="1384" w:type="dxa"/>
            <w:shd w:val="clear" w:color="auto" w:fill="FFFFFF" w:themeFill="background1"/>
          </w:tcPr>
          <w:p w:rsidR="00C04D6C" w:rsidRPr="007F4CC8" w:rsidRDefault="00C04D6C" w:rsidP="00D819DE">
            <w:pPr>
              <w:autoSpaceDE w:val="0"/>
              <w:autoSpaceDN w:val="0"/>
              <w:adjustRightInd w:val="0"/>
              <w:spacing w:before="60" w:after="120"/>
              <w:jc w:val="center"/>
              <w:rPr>
                <w:rFonts w:ascii="Times New Roman" w:hAnsi="Times New Roman" w:cs="Times New Roman"/>
                <w:sz w:val="24"/>
              </w:rPr>
            </w:pPr>
            <w:r w:rsidRPr="007F4CC8">
              <w:rPr>
                <w:rFonts w:ascii="Times New Roman" w:hAnsi="Times New Roman" w:cs="Times New Roman"/>
                <w:sz w:val="24"/>
              </w:rPr>
              <w:t>11</w:t>
            </w:r>
          </w:p>
        </w:tc>
        <w:tc>
          <w:tcPr>
            <w:tcW w:w="7655" w:type="dxa"/>
            <w:shd w:val="clear" w:color="auto" w:fill="FFFFFF" w:themeFill="background1"/>
          </w:tcPr>
          <w:p w:rsidR="00C04D6C" w:rsidRPr="007F4CC8" w:rsidRDefault="00C04D6C" w:rsidP="00D819DE">
            <w:pPr>
              <w:spacing w:before="60" w:after="120"/>
              <w:jc w:val="both"/>
              <w:rPr>
                <w:rFonts w:ascii="Times New Roman" w:eastAsia="Times New Roman" w:hAnsi="Times New Roman" w:cs="Times New Roman"/>
                <w:b/>
                <w:i/>
                <w:sz w:val="24"/>
                <w:lang w:eastAsia="en-GB"/>
              </w:rPr>
            </w:pPr>
            <w:r w:rsidRPr="007F4CC8">
              <w:rPr>
                <w:rFonts w:ascii="Times New Roman" w:eastAsia="Times New Roman" w:hAnsi="Times New Roman" w:cs="Times New Roman"/>
                <w:b/>
                <w:i/>
                <w:sz w:val="24"/>
                <w:lang w:eastAsia="en-GB"/>
              </w:rPr>
              <w:t xml:space="preserve">Other differences </w:t>
            </w:r>
            <w:r w:rsidRPr="007F4CC8">
              <w:rPr>
                <w:rFonts w:ascii="Times New Roman" w:eastAsia="Times New Roman" w:hAnsi="Times New Roman" w:cs="Times New Roman"/>
                <w:i/>
                <w:sz w:val="24"/>
                <w:lang w:eastAsia="en-GB"/>
              </w:rPr>
              <w:t>(if relevant)</w:t>
            </w:r>
          </w:p>
          <w:p w:rsidR="00C04D6C" w:rsidRPr="007F4CC8" w:rsidRDefault="00C04D6C" w:rsidP="00D819DE">
            <w:pPr>
              <w:spacing w:before="60" w:after="120"/>
              <w:jc w:val="both"/>
              <w:rPr>
                <w:rFonts w:ascii="Times New Roman" w:eastAsia="Times New Roman" w:hAnsi="Times New Roman" w:cs="Times New Roman"/>
                <w:sz w:val="24"/>
                <w:lang w:eastAsia="en-GB"/>
              </w:rPr>
            </w:pPr>
            <w:r w:rsidRPr="007F4CC8">
              <w:rPr>
                <w:rFonts w:ascii="Times New Roman" w:eastAsia="Times New Roman" w:hAnsi="Times New Roman" w:cs="Times New Roman"/>
                <w:sz w:val="24"/>
                <w:lang w:eastAsia="en-GB"/>
              </w:rPr>
              <w:t>Other meaningful drivers for differences between financial statements’ carrying values under the regulatory scope of application and the exposure amounts considered for regulatory purposes</w:t>
            </w:r>
          </w:p>
          <w:p w:rsidR="00C04D6C" w:rsidRPr="007F4CC8" w:rsidRDefault="00C04D6C" w:rsidP="00D819DE">
            <w:pPr>
              <w:spacing w:before="60" w:after="120"/>
              <w:jc w:val="both"/>
              <w:rPr>
                <w:rFonts w:ascii="Times New Roman" w:eastAsia="Times New Roman" w:hAnsi="Times New Roman" w:cs="Times New Roman"/>
                <w:b/>
                <w:i/>
                <w:sz w:val="24"/>
              </w:rPr>
            </w:pPr>
            <w:r w:rsidRPr="007F4CC8">
              <w:rPr>
                <w:rFonts w:ascii="Times New Roman" w:eastAsia="Times New Roman" w:hAnsi="Times New Roman" w:cs="Times New Roman"/>
                <w:sz w:val="24"/>
                <w:lang w:eastAsia="en-GB"/>
              </w:rPr>
              <w:t>Institutions shall complement the quantitative disclosures included in this row with qualitative explanations on the main drivers o</w:t>
            </w:r>
            <w:r>
              <w:rPr>
                <w:rFonts w:ascii="Times New Roman" w:eastAsia="Times New Roman" w:hAnsi="Times New Roman" w:cs="Times New Roman"/>
                <w:sz w:val="24"/>
                <w:lang w:eastAsia="en-GB"/>
              </w:rPr>
              <w:t xml:space="preserve">f these differences in table EU </w:t>
            </w:r>
            <w:r w:rsidRPr="007F4CC8">
              <w:rPr>
                <w:rFonts w:ascii="Times New Roman" w:eastAsia="Times New Roman" w:hAnsi="Times New Roman" w:cs="Times New Roman"/>
                <w:sz w:val="24"/>
                <w:lang w:eastAsia="en-GB"/>
              </w:rPr>
              <w:t>LIA.</w:t>
            </w:r>
          </w:p>
        </w:tc>
      </w:tr>
      <w:tr w:rsidR="00C04D6C" w:rsidRPr="007F4CC8" w:rsidTr="00D819DE">
        <w:trPr>
          <w:trHeight w:val="238"/>
        </w:trPr>
        <w:tc>
          <w:tcPr>
            <w:tcW w:w="1384" w:type="dxa"/>
            <w:shd w:val="clear" w:color="auto" w:fill="FFFFFF" w:themeFill="background1"/>
          </w:tcPr>
          <w:p w:rsidR="00C04D6C" w:rsidRPr="007F4CC8" w:rsidRDefault="00C04D6C" w:rsidP="00D819DE">
            <w:pPr>
              <w:autoSpaceDE w:val="0"/>
              <w:autoSpaceDN w:val="0"/>
              <w:adjustRightInd w:val="0"/>
              <w:spacing w:before="60" w:after="120"/>
              <w:jc w:val="center"/>
              <w:rPr>
                <w:rFonts w:ascii="Times New Roman" w:hAnsi="Times New Roman" w:cs="Times New Roman"/>
                <w:sz w:val="24"/>
              </w:rPr>
            </w:pPr>
            <w:r w:rsidRPr="007F4CC8">
              <w:rPr>
                <w:rFonts w:ascii="Times New Roman" w:hAnsi="Times New Roman" w:cs="Times New Roman"/>
                <w:sz w:val="24"/>
              </w:rPr>
              <w:t>12</w:t>
            </w:r>
          </w:p>
        </w:tc>
        <w:tc>
          <w:tcPr>
            <w:tcW w:w="7655" w:type="dxa"/>
            <w:shd w:val="clear" w:color="auto" w:fill="FFFFFF" w:themeFill="background1"/>
          </w:tcPr>
          <w:p w:rsidR="00C04D6C" w:rsidRPr="007F4CC8" w:rsidRDefault="00C04D6C" w:rsidP="00D819DE">
            <w:pPr>
              <w:spacing w:before="60" w:after="120"/>
              <w:jc w:val="both"/>
              <w:rPr>
                <w:rFonts w:ascii="Times New Roman" w:eastAsia="Times New Roman" w:hAnsi="Times New Roman" w:cs="Times New Roman"/>
                <w:b/>
                <w:sz w:val="24"/>
              </w:rPr>
            </w:pPr>
            <w:r w:rsidRPr="007F4CC8">
              <w:rPr>
                <w:rFonts w:ascii="Times New Roman" w:eastAsia="Times New Roman" w:hAnsi="Times New Roman" w:cs="Times New Roman"/>
                <w:b/>
                <w:sz w:val="24"/>
              </w:rPr>
              <w:t>Exposure amounts considered for regulatory purposes</w:t>
            </w:r>
          </w:p>
          <w:p w:rsidR="00C04D6C" w:rsidRPr="007F4CC8" w:rsidRDefault="00C04D6C" w:rsidP="00D819DE">
            <w:pPr>
              <w:spacing w:before="6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Aggregate amount considered as a starting point of the RW</w:t>
            </w:r>
            <w:r>
              <w:rPr>
                <w:rFonts w:ascii="Times New Roman" w:eastAsia="Times New Roman" w:hAnsi="Times New Roman" w:cs="Times New Roman"/>
                <w:sz w:val="24"/>
              </w:rPr>
              <w:t>E</w:t>
            </w:r>
            <w:r w:rsidRPr="007F4CC8">
              <w:rPr>
                <w:rFonts w:ascii="Times New Roman" w:eastAsia="Times New Roman" w:hAnsi="Times New Roman" w:cs="Times New Roman"/>
                <w:sz w:val="24"/>
              </w:rPr>
              <w:t>A calculation after the application of CRM methods other than netting in Chapter 4 of Title II of Part Three CRR</w:t>
            </w:r>
            <w:r w:rsidRPr="007F4CC8">
              <w:rPr>
                <w:rFonts w:ascii="Times New Roman" w:hAnsi="Times New Roman" w:cs="Times New Roman"/>
                <w:sz w:val="24"/>
              </w:rPr>
              <w:t xml:space="preserve"> </w:t>
            </w:r>
            <w:r w:rsidRPr="007F4CC8">
              <w:rPr>
                <w:rFonts w:ascii="Times New Roman" w:eastAsia="Times New Roman" w:hAnsi="Times New Roman" w:cs="Times New Roman"/>
                <w:sz w:val="24"/>
              </w:rPr>
              <w:t>and after the application of netting requirements in Chapters 4 and 5 of Title II of Part Three CRR and in Title IV of Part Three CRR of the same regulation for each of the risk categories</w:t>
            </w:r>
          </w:p>
          <w:p w:rsidR="00C04D6C" w:rsidRPr="007F4CC8" w:rsidRDefault="00C04D6C" w:rsidP="00D819DE">
            <w:pPr>
              <w:spacing w:before="6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In case the Standardised Approach (SA) is applied, this is the value after specific credit adjustments, additional value adjustments in accordance with Articles 34 and 110 CRR and other own funds reductions related to the asset item. For off-balance sheet items listed in Annex I to this Implementing Regulation, the exposure value shall be the nominal value after reduction of specific credit risk adjustments, multiplied with the applicable percentage mentioned in points (a) and (d) of Article 111(1) CRR.</w:t>
            </w:r>
          </w:p>
          <w:p w:rsidR="00C04D6C" w:rsidRPr="007F4CC8" w:rsidRDefault="00C04D6C" w:rsidP="00D819DE">
            <w:pPr>
              <w:spacing w:before="6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For the IRB approach, the disclosed value shall be the exposure value within the meaning of Articles 166, 167 and 168 CRR.</w:t>
            </w:r>
          </w:p>
          <w:p w:rsidR="00C04D6C" w:rsidRPr="007F4CC8" w:rsidRDefault="00C04D6C" w:rsidP="00D819DE">
            <w:pPr>
              <w:spacing w:before="6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 xml:space="preserve">Thus, the carrying values as reported in the financial statements under the </w:t>
            </w:r>
            <w:r>
              <w:rPr>
                <w:rFonts w:ascii="Times New Roman" w:eastAsia="Times New Roman" w:hAnsi="Times New Roman" w:cs="Times New Roman"/>
                <w:sz w:val="24"/>
              </w:rPr>
              <w:t>scope of prudential consolidation</w:t>
            </w:r>
            <w:r w:rsidRPr="007F4CC8">
              <w:rPr>
                <w:rFonts w:ascii="Times New Roman" w:eastAsia="Times New Roman" w:hAnsi="Times New Roman" w:cs="Times New Roman"/>
                <w:sz w:val="24"/>
              </w:rPr>
              <w:t xml:space="preserve"> shall be disclosed in the corresponding rows 1 to 3 </w:t>
            </w:r>
            <w:r w:rsidRPr="007F4CC8">
              <w:rPr>
                <w:rFonts w:ascii="Times New Roman" w:hAnsi="Times New Roman" w:cs="Times New Roman"/>
                <w:sz w:val="24"/>
              </w:rPr>
              <w:t>of this template</w:t>
            </w:r>
            <w:r w:rsidRPr="007F4CC8">
              <w:rPr>
                <w:rFonts w:ascii="Times New Roman" w:eastAsia="Times New Roman" w:hAnsi="Times New Roman" w:cs="Times New Roman"/>
                <w:sz w:val="24"/>
              </w:rPr>
              <w:t xml:space="preserve">, while the off-balance-sheet original exposures shall be disclosed in row 4 </w:t>
            </w:r>
            <w:r w:rsidRPr="007F4CC8">
              <w:rPr>
                <w:rFonts w:ascii="Times New Roman" w:hAnsi="Times New Roman" w:cs="Times New Roman"/>
                <w:sz w:val="24"/>
              </w:rPr>
              <w:t>of this template</w:t>
            </w:r>
            <w:r w:rsidRPr="007F4CC8">
              <w:rPr>
                <w:rFonts w:ascii="Times New Roman" w:eastAsia="Times New Roman" w:hAnsi="Times New Roman" w:cs="Times New Roman"/>
                <w:sz w:val="24"/>
              </w:rPr>
              <w:t xml:space="preserve">. Any specific regulatory addition or reduction concerning these amounts is to be included in rows 5 to 11 </w:t>
            </w:r>
            <w:r w:rsidRPr="007F4CC8">
              <w:rPr>
                <w:rFonts w:ascii="Times New Roman" w:hAnsi="Times New Roman" w:cs="Times New Roman"/>
                <w:sz w:val="24"/>
              </w:rPr>
              <w:t>of this template</w:t>
            </w:r>
            <w:r w:rsidRPr="007F4CC8">
              <w:rPr>
                <w:rFonts w:ascii="Times New Roman" w:eastAsia="Times New Roman" w:hAnsi="Times New Roman" w:cs="Times New Roman"/>
                <w:sz w:val="24"/>
              </w:rPr>
              <w:t xml:space="preserve"> to explain how to reconcile these amounts with the exposure amount </w:t>
            </w:r>
            <w:r w:rsidRPr="007F4CC8">
              <w:rPr>
                <w:rFonts w:ascii="Times New Roman" w:eastAsia="Times New Roman" w:hAnsi="Times New Roman" w:cs="Times New Roman"/>
                <w:sz w:val="24"/>
              </w:rPr>
              <w:lastRenderedPageBreak/>
              <w:t xml:space="preserve">for regulatory </w:t>
            </w:r>
            <w:r>
              <w:rPr>
                <w:rFonts w:ascii="Times New Roman" w:eastAsia="Times New Roman" w:hAnsi="Times New Roman" w:cs="Times New Roman"/>
                <w:sz w:val="24"/>
              </w:rPr>
              <w:t xml:space="preserve">purposes as the </w:t>
            </w:r>
            <w:r w:rsidRPr="007F4CC8">
              <w:rPr>
                <w:rFonts w:ascii="Times New Roman" w:eastAsia="Times New Roman" w:hAnsi="Times New Roman" w:cs="Times New Roman"/>
                <w:sz w:val="24"/>
              </w:rPr>
              <w:t>starting point of the RW</w:t>
            </w:r>
            <w:r>
              <w:rPr>
                <w:rFonts w:ascii="Times New Roman" w:eastAsia="Times New Roman" w:hAnsi="Times New Roman" w:cs="Times New Roman"/>
                <w:sz w:val="24"/>
              </w:rPr>
              <w:t>E</w:t>
            </w:r>
            <w:r w:rsidRPr="007F4CC8">
              <w:rPr>
                <w:rFonts w:ascii="Times New Roman" w:eastAsia="Times New Roman" w:hAnsi="Times New Roman" w:cs="Times New Roman"/>
                <w:sz w:val="24"/>
              </w:rPr>
              <w:t xml:space="preserve">A calculation in accordance with each of the frameworks mentioned in columns (b) to (e) </w:t>
            </w:r>
            <w:r w:rsidRPr="007F4CC8">
              <w:rPr>
                <w:rFonts w:ascii="Times New Roman" w:hAnsi="Times New Roman" w:cs="Times New Roman"/>
                <w:sz w:val="24"/>
              </w:rPr>
              <w:t>of this template</w:t>
            </w:r>
            <w:r w:rsidRPr="007F4CC8">
              <w:rPr>
                <w:rFonts w:ascii="Times New Roman" w:eastAsia="Times New Roman" w:hAnsi="Times New Roman" w:cs="Times New Roman"/>
                <w:sz w:val="24"/>
              </w:rPr>
              <w:t xml:space="preserve">. This means that in particular for credit risk, the exposure amounts considered for regulatory purposes to be disclosed in row 12 </w:t>
            </w:r>
            <w:r w:rsidRPr="007F4CC8">
              <w:rPr>
                <w:rFonts w:ascii="Times New Roman" w:hAnsi="Times New Roman" w:cs="Times New Roman"/>
                <w:sz w:val="24"/>
              </w:rPr>
              <w:t>of this template</w:t>
            </w:r>
            <w:r w:rsidRPr="007F4CC8">
              <w:rPr>
                <w:rFonts w:ascii="Times New Roman" w:eastAsia="Times New Roman" w:hAnsi="Times New Roman" w:cs="Times New Roman"/>
                <w:sz w:val="24"/>
              </w:rPr>
              <w:t xml:space="preserve"> will be different from the carrying values as reported in the financial statements under the </w:t>
            </w:r>
            <w:r>
              <w:rPr>
                <w:rFonts w:ascii="Times New Roman" w:eastAsia="Times New Roman" w:hAnsi="Times New Roman" w:cs="Times New Roman"/>
                <w:sz w:val="24"/>
              </w:rPr>
              <w:t>scope of prudential consolidation</w:t>
            </w:r>
            <w:r w:rsidRPr="007F4CC8">
              <w:rPr>
                <w:rFonts w:ascii="Times New Roman" w:eastAsia="Times New Roman" w:hAnsi="Times New Roman" w:cs="Times New Roman"/>
                <w:sz w:val="24"/>
              </w:rPr>
              <w:t>, due to the particular regulatory treatment of accounting provisions for the calculation of the RW</w:t>
            </w:r>
            <w:r>
              <w:rPr>
                <w:rFonts w:ascii="Times New Roman" w:eastAsia="Times New Roman" w:hAnsi="Times New Roman" w:cs="Times New Roman"/>
                <w:sz w:val="24"/>
              </w:rPr>
              <w:t>E</w:t>
            </w:r>
            <w:r w:rsidRPr="007F4CC8">
              <w:rPr>
                <w:rFonts w:ascii="Times New Roman" w:eastAsia="Times New Roman" w:hAnsi="Times New Roman" w:cs="Times New Roman"/>
                <w:sz w:val="24"/>
              </w:rPr>
              <w:t>As.</w:t>
            </w:r>
          </w:p>
        </w:tc>
      </w:tr>
    </w:tbl>
    <w:p w:rsidR="00C04D6C" w:rsidRPr="007F4CC8" w:rsidRDefault="00C04D6C" w:rsidP="00C04D6C">
      <w:pPr>
        <w:jc w:val="both"/>
        <w:rPr>
          <w:rFonts w:ascii="Times New Roman" w:hAnsi="Times New Roman" w:cs="Times New Roman"/>
          <w:sz w:val="24"/>
        </w:rPr>
      </w:pPr>
    </w:p>
    <w:p w:rsidR="00C04D6C" w:rsidRPr="007F4CC8" w:rsidRDefault="00C04D6C" w:rsidP="00C04D6C">
      <w:pPr>
        <w:jc w:val="both"/>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C04D6C" w:rsidRPr="007F4CC8" w:rsidTr="00D819DE">
        <w:trPr>
          <w:trHeight w:val="238"/>
        </w:trPr>
        <w:tc>
          <w:tcPr>
            <w:tcW w:w="9039" w:type="dxa"/>
            <w:gridSpan w:val="2"/>
            <w:shd w:val="clear" w:color="auto" w:fill="D9D9D9" w:themeFill="background1" w:themeFillShade="D9"/>
          </w:tcPr>
          <w:p w:rsidR="00C04D6C" w:rsidRPr="007F4CC8" w:rsidRDefault="00C04D6C" w:rsidP="00D819DE">
            <w:pPr>
              <w:autoSpaceDE w:val="0"/>
              <w:autoSpaceDN w:val="0"/>
              <w:adjustRightInd w:val="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C04D6C" w:rsidRPr="007F4CC8" w:rsidTr="00D819DE">
        <w:trPr>
          <w:trHeight w:val="238"/>
        </w:trPr>
        <w:tc>
          <w:tcPr>
            <w:tcW w:w="1384" w:type="dxa"/>
            <w:tcBorders>
              <w:bottom w:val="single" w:sz="4" w:space="0" w:color="auto"/>
            </w:tcBorders>
            <w:shd w:val="clear" w:color="auto" w:fill="D9D9D9" w:themeFill="background1" w:themeFillShade="D9"/>
          </w:tcPr>
          <w:p w:rsidR="00C04D6C" w:rsidRPr="007F4CC8" w:rsidRDefault="00C04D6C" w:rsidP="00D819DE">
            <w:pPr>
              <w:autoSpaceDE w:val="0"/>
              <w:autoSpaceDN w:val="0"/>
              <w:adjustRightInd w:val="0"/>
              <w:spacing w:before="60" w:after="120"/>
              <w:rPr>
                <w:rFonts w:ascii="Times New Roman" w:hAnsi="Times New Roman" w:cs="Times New Roman"/>
                <w:b/>
                <w:sz w:val="24"/>
              </w:rPr>
            </w:pPr>
            <w:r w:rsidRPr="007F4CC8">
              <w:rPr>
                <w:rFonts w:ascii="Times New Roman" w:hAnsi="Times New Roman" w:cs="Times New Roman"/>
                <w:b/>
                <w:sz w:val="24"/>
              </w:rPr>
              <w:t>Column reference</w:t>
            </w:r>
          </w:p>
        </w:tc>
        <w:tc>
          <w:tcPr>
            <w:tcW w:w="7655" w:type="dxa"/>
            <w:tcBorders>
              <w:bottom w:val="single" w:sz="4" w:space="0" w:color="auto"/>
            </w:tcBorders>
            <w:shd w:val="clear" w:color="auto" w:fill="D9D9D9" w:themeFill="background1" w:themeFillShade="D9"/>
          </w:tcPr>
          <w:p w:rsidR="00C04D6C" w:rsidRPr="007F4CC8" w:rsidRDefault="00C04D6C" w:rsidP="00D819DE">
            <w:pPr>
              <w:autoSpaceDE w:val="0"/>
              <w:autoSpaceDN w:val="0"/>
              <w:adjustRightInd w:val="0"/>
              <w:spacing w:before="60" w:after="120"/>
              <w:rPr>
                <w:rFonts w:ascii="Times New Roman" w:hAnsi="Times New Roman" w:cs="Times New Roman"/>
                <w:color w:val="000000"/>
                <w:sz w:val="24"/>
              </w:rPr>
            </w:pPr>
            <w:r w:rsidRPr="007F4CC8">
              <w:rPr>
                <w:rFonts w:ascii="Times New Roman" w:hAnsi="Times New Roman" w:cs="Times New Roman"/>
                <w:b/>
                <w:sz w:val="24"/>
              </w:rPr>
              <w:t>Explanation</w:t>
            </w:r>
          </w:p>
        </w:tc>
      </w:tr>
      <w:tr w:rsidR="00C04D6C" w:rsidRPr="007F4CC8" w:rsidTr="00D819DE">
        <w:trPr>
          <w:trHeight w:val="238"/>
        </w:trPr>
        <w:tc>
          <w:tcPr>
            <w:tcW w:w="1384" w:type="dxa"/>
            <w:tcBorders>
              <w:bottom w:val="single" w:sz="4" w:space="0" w:color="auto"/>
            </w:tcBorders>
            <w:shd w:val="clear" w:color="auto" w:fill="FFFFFF" w:themeFill="background1"/>
          </w:tcPr>
          <w:p w:rsidR="00C04D6C" w:rsidRPr="007F4CC8" w:rsidRDefault="00C04D6C" w:rsidP="00D819DE">
            <w:pPr>
              <w:autoSpaceDE w:val="0"/>
              <w:autoSpaceDN w:val="0"/>
              <w:adjustRightInd w:val="0"/>
              <w:spacing w:before="60" w:after="120"/>
              <w:jc w:val="center"/>
              <w:rPr>
                <w:rFonts w:ascii="Times New Roman" w:hAnsi="Times New Roman" w:cs="Times New Roman"/>
                <w:b/>
                <w:sz w:val="24"/>
              </w:rPr>
            </w:pPr>
            <w:r w:rsidRPr="007F4CC8">
              <w:rPr>
                <w:rFonts w:ascii="Times New Roman" w:hAnsi="Times New Roman" w:cs="Times New Roman"/>
                <w:b/>
                <w:sz w:val="24"/>
              </w:rPr>
              <w:t>a</w:t>
            </w:r>
          </w:p>
        </w:tc>
        <w:tc>
          <w:tcPr>
            <w:tcW w:w="7655" w:type="dxa"/>
            <w:tcBorders>
              <w:bottom w:val="single" w:sz="4" w:space="0" w:color="auto"/>
            </w:tcBorders>
            <w:shd w:val="clear" w:color="auto" w:fill="FFFFFF" w:themeFill="background1"/>
          </w:tcPr>
          <w:p w:rsidR="00C04D6C" w:rsidRPr="007F4CC8" w:rsidRDefault="00C04D6C" w:rsidP="00D819DE">
            <w:pPr>
              <w:spacing w:before="60" w:after="120"/>
              <w:jc w:val="both"/>
              <w:rPr>
                <w:rFonts w:ascii="Times New Roman" w:hAnsi="Times New Roman"/>
                <w:b/>
                <w:sz w:val="24"/>
              </w:rPr>
            </w:pPr>
            <w:r w:rsidRPr="007F4CC8">
              <w:rPr>
                <w:rFonts w:ascii="Times New Roman" w:hAnsi="Times New Roman"/>
                <w:b/>
                <w:sz w:val="24"/>
              </w:rPr>
              <w:t>Total</w:t>
            </w:r>
          </w:p>
          <w:p w:rsidR="00C04D6C" w:rsidRPr="007F4CC8" w:rsidRDefault="00C04D6C" w:rsidP="00D819DE">
            <w:pPr>
              <w:spacing w:before="6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Total in Column (a) of template EU</w:t>
            </w:r>
            <w:r>
              <w:rPr>
                <w:rFonts w:ascii="Times New Roman" w:eastAsia="Times New Roman" w:hAnsi="Times New Roman" w:cs="Times New Roman"/>
                <w:sz w:val="24"/>
              </w:rPr>
              <w:t xml:space="preserve"> </w:t>
            </w:r>
            <w:r w:rsidRPr="007F4CC8">
              <w:rPr>
                <w:rFonts w:ascii="Times New Roman" w:eastAsia="Times New Roman" w:hAnsi="Times New Roman" w:cs="Times New Roman"/>
                <w:sz w:val="24"/>
              </w:rPr>
              <w:t>LI2 = Amoun</w:t>
            </w:r>
            <w:r>
              <w:rPr>
                <w:rFonts w:ascii="Times New Roman" w:eastAsia="Times New Roman" w:hAnsi="Times New Roman" w:cs="Times New Roman"/>
                <w:sz w:val="24"/>
              </w:rPr>
              <w:t xml:space="preserve">ts in Column (b) of template EU </w:t>
            </w:r>
            <w:r w:rsidRPr="007F4CC8">
              <w:rPr>
                <w:rFonts w:ascii="Times New Roman" w:eastAsia="Times New Roman" w:hAnsi="Times New Roman" w:cs="Times New Roman"/>
                <w:sz w:val="24"/>
              </w:rPr>
              <w:t>LI1 – Amounts in Column (g) of template EU</w:t>
            </w:r>
            <w:r>
              <w:rPr>
                <w:rFonts w:ascii="Times New Roman" w:eastAsia="Times New Roman" w:hAnsi="Times New Roman" w:cs="Times New Roman"/>
                <w:sz w:val="24"/>
              </w:rPr>
              <w:t xml:space="preserve"> </w:t>
            </w:r>
            <w:r w:rsidRPr="007F4CC8">
              <w:rPr>
                <w:rFonts w:ascii="Times New Roman" w:eastAsia="Times New Roman" w:hAnsi="Times New Roman" w:cs="Times New Roman"/>
                <w:sz w:val="24"/>
              </w:rPr>
              <w:t>LI1.</w:t>
            </w:r>
          </w:p>
        </w:tc>
      </w:tr>
      <w:tr w:rsidR="00C04D6C" w:rsidRPr="007F4CC8" w:rsidTr="00D819DE">
        <w:trPr>
          <w:trHeight w:val="238"/>
        </w:trPr>
        <w:tc>
          <w:tcPr>
            <w:tcW w:w="1384" w:type="dxa"/>
            <w:tcBorders>
              <w:bottom w:val="single" w:sz="4" w:space="0" w:color="auto"/>
            </w:tcBorders>
            <w:shd w:val="clear" w:color="auto" w:fill="FFFFFF" w:themeFill="background1"/>
          </w:tcPr>
          <w:p w:rsidR="00C04D6C" w:rsidRPr="007F4CC8" w:rsidRDefault="00C04D6C" w:rsidP="00D819DE">
            <w:pPr>
              <w:autoSpaceDE w:val="0"/>
              <w:autoSpaceDN w:val="0"/>
              <w:adjustRightInd w:val="0"/>
              <w:spacing w:before="60" w:after="120"/>
              <w:jc w:val="center"/>
              <w:rPr>
                <w:rFonts w:ascii="Times New Roman" w:hAnsi="Times New Roman" w:cs="Times New Roman"/>
                <w:b/>
                <w:sz w:val="24"/>
              </w:rPr>
            </w:pPr>
          </w:p>
        </w:tc>
        <w:tc>
          <w:tcPr>
            <w:tcW w:w="7655" w:type="dxa"/>
            <w:tcBorders>
              <w:bottom w:val="single" w:sz="4" w:space="0" w:color="auto"/>
            </w:tcBorders>
            <w:shd w:val="clear" w:color="auto" w:fill="FFFFFF" w:themeFill="background1"/>
          </w:tcPr>
          <w:p w:rsidR="00C04D6C" w:rsidRPr="007F4CC8" w:rsidRDefault="00C04D6C" w:rsidP="00D819DE">
            <w:pPr>
              <w:spacing w:before="6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 xml:space="preserve">The breakdown of columns in the regulatory risk categories (b) to (e) corresponds to the breakdown listed in Part Three </w:t>
            </w:r>
            <w:r w:rsidRPr="007F4CC8">
              <w:rPr>
                <w:rFonts w:ascii="Times New Roman" w:hAnsi="Times New Roman" w:cs="Times New Roman"/>
                <w:sz w:val="24"/>
              </w:rPr>
              <w:t>CRR</w:t>
            </w:r>
            <w:r w:rsidRPr="007F4CC8">
              <w:rPr>
                <w:rFonts w:ascii="Times New Roman" w:eastAsia="Times New Roman" w:hAnsi="Times New Roman" w:cs="Times New Roman"/>
                <w:sz w:val="24"/>
              </w:rPr>
              <w:t xml:space="preserve">: </w:t>
            </w:r>
          </w:p>
        </w:tc>
      </w:tr>
      <w:tr w:rsidR="00C04D6C" w:rsidRPr="007F4CC8" w:rsidTr="00D819DE">
        <w:trPr>
          <w:trHeight w:val="238"/>
        </w:trPr>
        <w:tc>
          <w:tcPr>
            <w:tcW w:w="1384" w:type="dxa"/>
            <w:tcBorders>
              <w:top w:val="single" w:sz="4" w:space="0" w:color="auto"/>
              <w:bottom w:val="single" w:sz="4" w:space="0" w:color="auto"/>
            </w:tcBorders>
            <w:shd w:val="clear" w:color="auto" w:fill="FFFFFF" w:themeFill="background1"/>
          </w:tcPr>
          <w:p w:rsidR="00C04D6C" w:rsidRPr="007F4CC8" w:rsidRDefault="00C04D6C" w:rsidP="00D819DE">
            <w:pPr>
              <w:autoSpaceDE w:val="0"/>
              <w:autoSpaceDN w:val="0"/>
              <w:adjustRightInd w:val="0"/>
              <w:spacing w:before="60" w:after="120"/>
              <w:jc w:val="center"/>
              <w:rPr>
                <w:rFonts w:ascii="Times New Roman" w:hAnsi="Times New Roman" w:cs="Times New Roman"/>
                <w:b/>
                <w:sz w:val="24"/>
              </w:rPr>
            </w:pPr>
            <w:r w:rsidRPr="007F4CC8">
              <w:rPr>
                <w:rFonts w:ascii="Times New Roman" w:hAnsi="Times New Roman" w:cs="Times New Roman"/>
                <w:b/>
                <w:sz w:val="24"/>
              </w:rPr>
              <w:t>b</w:t>
            </w:r>
          </w:p>
        </w:tc>
        <w:tc>
          <w:tcPr>
            <w:tcW w:w="7655" w:type="dxa"/>
            <w:tcBorders>
              <w:top w:val="single" w:sz="4" w:space="0" w:color="auto"/>
              <w:bottom w:val="single" w:sz="4" w:space="0" w:color="auto"/>
            </w:tcBorders>
            <w:shd w:val="clear" w:color="auto" w:fill="FFFFFF" w:themeFill="background1"/>
          </w:tcPr>
          <w:p w:rsidR="00C04D6C" w:rsidRPr="007F4CC8" w:rsidRDefault="00C04D6C" w:rsidP="00D819DE">
            <w:pPr>
              <w:spacing w:before="60" w:after="120"/>
              <w:jc w:val="both"/>
              <w:rPr>
                <w:rFonts w:ascii="Times New Roman" w:eastAsia="Times New Roman" w:hAnsi="Times New Roman" w:cs="Times New Roman"/>
                <w:b/>
                <w:sz w:val="24"/>
              </w:rPr>
            </w:pPr>
            <w:r w:rsidRPr="007F4CC8">
              <w:rPr>
                <w:rFonts w:ascii="Times New Roman" w:eastAsia="Times New Roman" w:hAnsi="Times New Roman" w:cs="Times New Roman"/>
                <w:b/>
                <w:sz w:val="24"/>
              </w:rPr>
              <w:t>Credit risk framework</w:t>
            </w:r>
          </w:p>
          <w:p w:rsidR="00C04D6C" w:rsidRPr="007F4CC8" w:rsidRDefault="00C04D6C" w:rsidP="00D819DE">
            <w:pPr>
              <w:spacing w:before="60" w:after="120"/>
              <w:jc w:val="both"/>
              <w:rPr>
                <w:rFonts w:ascii="Times New Roman" w:hAnsi="Times New Roman" w:cs="Times New Roman"/>
                <w:sz w:val="24"/>
              </w:rPr>
            </w:pPr>
            <w:r w:rsidRPr="007F4CC8">
              <w:rPr>
                <w:rFonts w:ascii="Times New Roman" w:eastAsia="Times New Roman" w:hAnsi="Times New Roman" w:cs="Times New Roman"/>
                <w:sz w:val="24"/>
              </w:rPr>
              <w:t xml:space="preserve">Exposures in Title II of Part Three </w:t>
            </w:r>
            <w:r w:rsidRPr="007F4CC8">
              <w:rPr>
                <w:rFonts w:ascii="Times New Roman" w:hAnsi="Times New Roman" w:cs="Times New Roman"/>
                <w:sz w:val="24"/>
              </w:rPr>
              <w:t>CRR</w:t>
            </w:r>
          </w:p>
          <w:p w:rsidR="00C04D6C" w:rsidRPr="007F4CC8" w:rsidRDefault="00C04D6C" w:rsidP="00D819DE">
            <w:pPr>
              <w:spacing w:before="60" w:after="120"/>
              <w:jc w:val="both"/>
              <w:rPr>
                <w:rFonts w:ascii="Times New Roman" w:eastAsia="Times New Roman" w:hAnsi="Times New Roman" w:cs="Times New Roman"/>
                <w:sz w:val="24"/>
              </w:rPr>
            </w:pPr>
            <w:r w:rsidRPr="007F4CC8">
              <w:rPr>
                <w:rFonts w:ascii="Times New Roman" w:hAnsi="Times New Roman" w:cs="Times New Roman"/>
                <w:sz w:val="24"/>
              </w:rPr>
              <w:t xml:space="preserve">Exposures </w:t>
            </w:r>
            <w:r w:rsidRPr="007F4CC8">
              <w:rPr>
                <w:rFonts w:ascii="Times New Roman" w:eastAsia="Times New Roman" w:hAnsi="Times New Roman" w:cs="Times New Roman"/>
                <w:sz w:val="24"/>
              </w:rPr>
              <w:t xml:space="preserve">under the credit risk framework shall correspond either to the exposure amount applied in the credit risk standardised approach (see Article 111 of Chapter 2 of Title II of Part Three </w:t>
            </w:r>
            <w:r w:rsidRPr="007F4CC8">
              <w:rPr>
                <w:rFonts w:ascii="Times New Roman" w:hAnsi="Times New Roman" w:cs="Times New Roman"/>
                <w:sz w:val="24"/>
              </w:rPr>
              <w:t>CRR)</w:t>
            </w:r>
            <w:r w:rsidRPr="007F4CC8">
              <w:rPr>
                <w:rFonts w:ascii="Times New Roman" w:eastAsia="Times New Roman" w:hAnsi="Times New Roman" w:cs="Times New Roman"/>
                <w:sz w:val="24"/>
              </w:rPr>
              <w:t xml:space="preserve"> or to the exposures at default (EAD) in the credit risk – IRB approach (see Articles 166, 167 and 168 in Chapter 3 of Title II of Part Three </w:t>
            </w:r>
            <w:r w:rsidRPr="007F4CC8">
              <w:rPr>
                <w:rFonts w:ascii="Times New Roman" w:hAnsi="Times New Roman" w:cs="Times New Roman"/>
                <w:sz w:val="24"/>
              </w:rPr>
              <w:t>CRR</w:t>
            </w:r>
            <w:r w:rsidRPr="007F4CC8">
              <w:rPr>
                <w:rFonts w:ascii="Times New Roman" w:eastAsia="Times New Roman" w:hAnsi="Times New Roman" w:cs="Times New Roman"/>
                <w:sz w:val="24"/>
              </w:rPr>
              <w:t xml:space="preserve">). </w:t>
            </w:r>
          </w:p>
        </w:tc>
      </w:tr>
      <w:tr w:rsidR="00C04D6C" w:rsidRPr="007F4CC8" w:rsidTr="00D819DE">
        <w:trPr>
          <w:trHeight w:val="238"/>
        </w:trPr>
        <w:tc>
          <w:tcPr>
            <w:tcW w:w="1384" w:type="dxa"/>
            <w:tcBorders>
              <w:top w:val="single" w:sz="4" w:space="0" w:color="auto"/>
              <w:bottom w:val="single" w:sz="4" w:space="0" w:color="auto"/>
            </w:tcBorders>
            <w:shd w:val="clear" w:color="auto" w:fill="FFFFFF" w:themeFill="background1"/>
          </w:tcPr>
          <w:p w:rsidR="00C04D6C" w:rsidRPr="007F4CC8" w:rsidRDefault="00C04D6C" w:rsidP="00D819DE">
            <w:pPr>
              <w:autoSpaceDE w:val="0"/>
              <w:autoSpaceDN w:val="0"/>
              <w:adjustRightInd w:val="0"/>
              <w:spacing w:before="60" w:after="120"/>
              <w:jc w:val="center"/>
              <w:rPr>
                <w:rFonts w:ascii="Times New Roman" w:hAnsi="Times New Roman" w:cs="Times New Roman"/>
                <w:b/>
                <w:sz w:val="24"/>
              </w:rPr>
            </w:pPr>
            <w:r w:rsidRPr="007F4CC8">
              <w:rPr>
                <w:rFonts w:ascii="Times New Roman" w:hAnsi="Times New Roman" w:cs="Times New Roman"/>
                <w:b/>
                <w:sz w:val="24"/>
              </w:rPr>
              <w:t>c</w:t>
            </w:r>
          </w:p>
        </w:tc>
        <w:tc>
          <w:tcPr>
            <w:tcW w:w="7655" w:type="dxa"/>
            <w:tcBorders>
              <w:top w:val="single" w:sz="4" w:space="0" w:color="auto"/>
              <w:bottom w:val="single" w:sz="4" w:space="0" w:color="auto"/>
            </w:tcBorders>
            <w:shd w:val="clear" w:color="auto" w:fill="FFFFFF" w:themeFill="background1"/>
          </w:tcPr>
          <w:p w:rsidR="00C04D6C" w:rsidRPr="007F4CC8" w:rsidRDefault="00C04D6C" w:rsidP="00D819DE">
            <w:pPr>
              <w:spacing w:before="60" w:after="120"/>
              <w:jc w:val="both"/>
              <w:rPr>
                <w:rFonts w:ascii="Times New Roman" w:eastAsia="Times New Roman" w:hAnsi="Times New Roman" w:cs="Times New Roman"/>
                <w:b/>
                <w:sz w:val="24"/>
              </w:rPr>
            </w:pPr>
            <w:r w:rsidRPr="007F4CC8">
              <w:rPr>
                <w:rFonts w:ascii="Times New Roman" w:eastAsia="Times New Roman" w:hAnsi="Times New Roman" w:cs="Times New Roman"/>
                <w:b/>
                <w:sz w:val="24"/>
              </w:rPr>
              <w:t xml:space="preserve">Securitisation framework </w:t>
            </w:r>
          </w:p>
          <w:p w:rsidR="00C04D6C" w:rsidRPr="007F4CC8" w:rsidRDefault="00C04D6C" w:rsidP="00D819DE">
            <w:pPr>
              <w:spacing w:before="60" w:after="120"/>
              <w:jc w:val="both"/>
              <w:rPr>
                <w:rFonts w:ascii="Times New Roman" w:eastAsia="Times New Roman" w:hAnsi="Times New Roman" w:cs="Times New Roman"/>
                <w:color w:val="A8D08D" w:themeColor="accent6" w:themeTint="99"/>
                <w:sz w:val="24"/>
              </w:rPr>
            </w:pPr>
            <w:r w:rsidRPr="007F4CC8">
              <w:rPr>
                <w:rFonts w:ascii="Times New Roman" w:eastAsia="Times New Roman" w:hAnsi="Times New Roman" w:cs="Times New Roman"/>
                <w:sz w:val="24"/>
              </w:rPr>
              <w:t xml:space="preserve">Exposures from the non-trading book given in Chapter 5 of Title II of Part Three </w:t>
            </w:r>
            <w:r w:rsidRPr="007F4CC8">
              <w:rPr>
                <w:rFonts w:ascii="Times New Roman" w:hAnsi="Times New Roman" w:cs="Times New Roman"/>
                <w:sz w:val="24"/>
              </w:rPr>
              <w:t>CRR</w:t>
            </w:r>
          </w:p>
          <w:p w:rsidR="00C04D6C" w:rsidRPr="007F4CC8" w:rsidRDefault="00C04D6C" w:rsidP="00D819DE">
            <w:pPr>
              <w:spacing w:before="60" w:after="120"/>
              <w:jc w:val="both"/>
              <w:rPr>
                <w:rFonts w:ascii="Times New Roman" w:eastAsia="Times New Roman" w:hAnsi="Times New Roman" w:cs="Times New Roman"/>
                <w:b/>
                <w:sz w:val="24"/>
              </w:rPr>
            </w:pPr>
            <w:r w:rsidRPr="007F4CC8">
              <w:rPr>
                <w:rFonts w:ascii="Times New Roman" w:eastAsia="Times New Roman" w:hAnsi="Times New Roman" w:cs="Times New Roman"/>
                <w:sz w:val="24"/>
              </w:rPr>
              <w:t>Securitisation exposures shall be determined in accordance with Article 246 of Chapter 5 of Title II of Part Three CRR</w:t>
            </w:r>
            <w:r w:rsidRPr="007F4CC8">
              <w:rPr>
                <w:rFonts w:ascii="Times New Roman" w:hAnsi="Times New Roman" w:cs="Times New Roman"/>
                <w:sz w:val="24"/>
              </w:rPr>
              <w:t>.</w:t>
            </w:r>
          </w:p>
        </w:tc>
      </w:tr>
      <w:tr w:rsidR="00C04D6C" w:rsidRPr="007F4CC8" w:rsidTr="00D819DE">
        <w:trPr>
          <w:trHeight w:val="238"/>
        </w:trPr>
        <w:tc>
          <w:tcPr>
            <w:tcW w:w="1384" w:type="dxa"/>
            <w:tcBorders>
              <w:top w:val="single" w:sz="4" w:space="0" w:color="auto"/>
              <w:bottom w:val="single" w:sz="4" w:space="0" w:color="auto"/>
            </w:tcBorders>
            <w:shd w:val="clear" w:color="auto" w:fill="FFFFFF" w:themeFill="background1"/>
          </w:tcPr>
          <w:p w:rsidR="00C04D6C" w:rsidRPr="007F4CC8" w:rsidRDefault="00C04D6C" w:rsidP="00D819DE">
            <w:pPr>
              <w:autoSpaceDE w:val="0"/>
              <w:autoSpaceDN w:val="0"/>
              <w:adjustRightInd w:val="0"/>
              <w:spacing w:before="60" w:after="120"/>
              <w:jc w:val="center"/>
              <w:rPr>
                <w:rFonts w:ascii="Times New Roman" w:hAnsi="Times New Roman" w:cs="Times New Roman"/>
                <w:b/>
                <w:sz w:val="24"/>
              </w:rPr>
            </w:pPr>
            <w:r w:rsidRPr="007F4CC8">
              <w:rPr>
                <w:rFonts w:ascii="Times New Roman" w:hAnsi="Times New Roman" w:cs="Times New Roman"/>
                <w:b/>
                <w:sz w:val="24"/>
              </w:rPr>
              <w:t>d</w:t>
            </w:r>
          </w:p>
        </w:tc>
        <w:tc>
          <w:tcPr>
            <w:tcW w:w="7655" w:type="dxa"/>
            <w:tcBorders>
              <w:top w:val="single" w:sz="4" w:space="0" w:color="auto"/>
              <w:bottom w:val="single" w:sz="4" w:space="0" w:color="auto"/>
            </w:tcBorders>
            <w:shd w:val="clear" w:color="auto" w:fill="FFFFFF" w:themeFill="background1"/>
          </w:tcPr>
          <w:p w:rsidR="00C04D6C" w:rsidRPr="007F4CC8" w:rsidRDefault="00C04D6C" w:rsidP="00D819DE">
            <w:pPr>
              <w:spacing w:before="60" w:after="120"/>
              <w:jc w:val="both"/>
              <w:rPr>
                <w:rFonts w:ascii="Times New Roman" w:eastAsia="Times New Roman" w:hAnsi="Times New Roman" w:cs="Times New Roman"/>
                <w:b/>
                <w:sz w:val="24"/>
              </w:rPr>
            </w:pPr>
            <w:r w:rsidRPr="007F4CC8">
              <w:rPr>
                <w:rFonts w:ascii="Times New Roman" w:eastAsia="Times New Roman" w:hAnsi="Times New Roman" w:cs="Times New Roman"/>
                <w:b/>
                <w:sz w:val="24"/>
              </w:rPr>
              <w:t>Counterparty Credit Risk framework (CCR)</w:t>
            </w:r>
          </w:p>
          <w:p w:rsidR="00C04D6C" w:rsidRPr="007F4CC8" w:rsidRDefault="00C04D6C" w:rsidP="00D819DE">
            <w:pPr>
              <w:spacing w:before="60" w:after="120"/>
              <w:jc w:val="both"/>
              <w:rPr>
                <w:rFonts w:ascii="Times New Roman" w:hAnsi="Times New Roman"/>
                <w:b/>
                <w:sz w:val="24"/>
              </w:rPr>
            </w:pPr>
            <w:r w:rsidRPr="007F4CC8">
              <w:rPr>
                <w:rFonts w:ascii="Times New Roman" w:eastAsia="Times New Roman" w:hAnsi="Times New Roman" w:cs="Times New Roman"/>
                <w:sz w:val="24"/>
              </w:rPr>
              <w:t xml:space="preserve">Exposures considered in Chapter 6 of Title II of Part Three </w:t>
            </w:r>
            <w:r w:rsidRPr="007F4CC8">
              <w:rPr>
                <w:rFonts w:ascii="Times New Roman" w:hAnsi="Times New Roman" w:cs="Times New Roman"/>
                <w:sz w:val="24"/>
              </w:rPr>
              <w:t>CRR</w:t>
            </w:r>
          </w:p>
        </w:tc>
      </w:tr>
      <w:tr w:rsidR="00C04D6C" w:rsidRPr="007F4CC8" w:rsidTr="00D819DE">
        <w:trPr>
          <w:trHeight w:val="238"/>
        </w:trPr>
        <w:tc>
          <w:tcPr>
            <w:tcW w:w="1384" w:type="dxa"/>
            <w:tcBorders>
              <w:top w:val="single" w:sz="4" w:space="0" w:color="auto"/>
              <w:bottom w:val="single" w:sz="4" w:space="0" w:color="auto"/>
            </w:tcBorders>
            <w:shd w:val="clear" w:color="auto" w:fill="FFFFFF" w:themeFill="background1"/>
          </w:tcPr>
          <w:p w:rsidR="00C04D6C" w:rsidRPr="007F4CC8" w:rsidRDefault="00C04D6C" w:rsidP="00D819DE">
            <w:pPr>
              <w:autoSpaceDE w:val="0"/>
              <w:autoSpaceDN w:val="0"/>
              <w:adjustRightInd w:val="0"/>
              <w:spacing w:before="60" w:after="120"/>
              <w:jc w:val="center"/>
              <w:rPr>
                <w:rFonts w:ascii="Times New Roman" w:hAnsi="Times New Roman" w:cs="Times New Roman"/>
                <w:b/>
                <w:sz w:val="24"/>
              </w:rPr>
            </w:pPr>
            <w:r w:rsidRPr="007F4CC8">
              <w:rPr>
                <w:rFonts w:ascii="Times New Roman" w:hAnsi="Times New Roman" w:cs="Times New Roman"/>
                <w:b/>
                <w:sz w:val="24"/>
              </w:rPr>
              <w:t>e</w:t>
            </w:r>
          </w:p>
        </w:tc>
        <w:tc>
          <w:tcPr>
            <w:tcW w:w="7655" w:type="dxa"/>
            <w:tcBorders>
              <w:top w:val="single" w:sz="4" w:space="0" w:color="auto"/>
              <w:bottom w:val="single" w:sz="4" w:space="0" w:color="auto"/>
            </w:tcBorders>
            <w:shd w:val="clear" w:color="auto" w:fill="FFFFFF" w:themeFill="background1"/>
          </w:tcPr>
          <w:p w:rsidR="00C04D6C" w:rsidRPr="007F4CC8" w:rsidRDefault="00C04D6C" w:rsidP="00D819DE">
            <w:pPr>
              <w:spacing w:before="60" w:after="120"/>
              <w:jc w:val="both"/>
              <w:rPr>
                <w:rFonts w:ascii="Times New Roman" w:eastAsia="Times New Roman" w:hAnsi="Times New Roman" w:cs="Times New Roman"/>
                <w:b/>
                <w:sz w:val="24"/>
              </w:rPr>
            </w:pPr>
            <w:r w:rsidRPr="007F4CC8">
              <w:rPr>
                <w:rFonts w:ascii="Times New Roman" w:eastAsia="Times New Roman" w:hAnsi="Times New Roman" w:cs="Times New Roman"/>
                <w:b/>
                <w:sz w:val="24"/>
              </w:rPr>
              <w:t>Market risk framework</w:t>
            </w:r>
          </w:p>
          <w:p w:rsidR="00C04D6C" w:rsidRPr="007F4CC8" w:rsidRDefault="00C04D6C" w:rsidP="00D819DE">
            <w:pPr>
              <w:spacing w:before="60" w:after="120"/>
              <w:jc w:val="both"/>
              <w:rPr>
                <w:rFonts w:ascii="Times New Roman" w:hAnsi="Times New Roman"/>
                <w:sz w:val="24"/>
              </w:rPr>
            </w:pPr>
            <w:r w:rsidRPr="007F4CC8">
              <w:rPr>
                <w:rFonts w:ascii="Times New Roman" w:eastAsia="Times New Roman" w:hAnsi="Times New Roman" w:cs="Times New Roman"/>
                <w:sz w:val="24"/>
              </w:rPr>
              <w:t xml:space="preserve">Market risk exposures corresponding to positions subject to the market risk framework in Title IV of Part Three </w:t>
            </w:r>
            <w:r w:rsidRPr="007F4CC8">
              <w:rPr>
                <w:rFonts w:ascii="Times New Roman" w:hAnsi="Times New Roman" w:cs="Times New Roman"/>
                <w:sz w:val="24"/>
              </w:rPr>
              <w:t>CRR</w:t>
            </w:r>
          </w:p>
          <w:p w:rsidR="00C04D6C" w:rsidRPr="007F4CC8" w:rsidRDefault="00C04D6C" w:rsidP="00D819DE">
            <w:pPr>
              <w:spacing w:before="6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 xml:space="preserve">Only rows 1 to 3 and 12 </w:t>
            </w:r>
            <w:r w:rsidRPr="007F4CC8">
              <w:rPr>
                <w:rFonts w:ascii="Times New Roman" w:hAnsi="Times New Roman" w:cs="Times New Roman"/>
                <w:sz w:val="24"/>
              </w:rPr>
              <w:t>of this template</w:t>
            </w:r>
            <w:r w:rsidRPr="007F4CC8">
              <w:rPr>
                <w:rFonts w:ascii="Times New Roman" w:eastAsia="Times New Roman" w:hAnsi="Times New Roman" w:cs="Times New Roman"/>
                <w:sz w:val="24"/>
              </w:rPr>
              <w:t xml:space="preserve"> shall be disclosed regarding this column.</w:t>
            </w:r>
          </w:p>
        </w:tc>
      </w:tr>
      <w:tr w:rsidR="00C04D6C" w:rsidRPr="007F4CC8" w:rsidTr="00D819DE">
        <w:trPr>
          <w:trHeight w:val="238"/>
        </w:trPr>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rsidR="00C04D6C" w:rsidRPr="007F4CC8" w:rsidRDefault="00C04D6C" w:rsidP="00D819DE">
            <w:pPr>
              <w:autoSpaceDE w:val="0"/>
              <w:autoSpaceDN w:val="0"/>
              <w:adjustRightInd w:val="0"/>
              <w:spacing w:before="60" w:after="120"/>
              <w:jc w:val="center"/>
              <w:rPr>
                <w:rFonts w:ascii="Times New Roman" w:hAnsi="Times New Roman" w:cs="Times New Roman"/>
                <w:sz w:val="24"/>
              </w:rPr>
            </w:pPr>
            <w:r w:rsidRPr="007F4CC8">
              <w:rPr>
                <w:rFonts w:ascii="Times New Roman" w:hAnsi="Times New Roman" w:cs="Times New Roman"/>
                <w:sz w:val="24"/>
              </w:rPr>
              <w:t>all</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C04D6C" w:rsidRPr="007F4CC8" w:rsidRDefault="00C04D6C" w:rsidP="00D819DE">
            <w:pPr>
              <w:spacing w:before="6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 xml:space="preserve">Where a single item is subject to capital requirements in accordance with more than one risk framework, it shall be disclosed in all the relevant columns corresponding to the capital requirements. As a consequence, the sum of amounts in columns (b) to (e) </w:t>
            </w:r>
            <w:r w:rsidRPr="007F4CC8">
              <w:rPr>
                <w:rFonts w:ascii="Times New Roman" w:hAnsi="Times New Roman" w:cs="Times New Roman"/>
                <w:sz w:val="24"/>
              </w:rPr>
              <w:t>of this template</w:t>
            </w:r>
            <w:r w:rsidRPr="007F4CC8">
              <w:rPr>
                <w:rFonts w:ascii="Times New Roman" w:eastAsia="Times New Roman" w:hAnsi="Times New Roman" w:cs="Times New Roman"/>
                <w:sz w:val="24"/>
              </w:rPr>
              <w:t xml:space="preserve"> may be greater than the amount </w:t>
            </w:r>
            <w:r w:rsidRPr="007F4CC8">
              <w:rPr>
                <w:rFonts w:ascii="Times New Roman" w:eastAsia="Times New Roman" w:hAnsi="Times New Roman" w:cs="Times New Roman"/>
                <w:sz w:val="24"/>
              </w:rPr>
              <w:lastRenderedPageBreak/>
              <w:t xml:space="preserve">in column (a) </w:t>
            </w:r>
            <w:r w:rsidRPr="007F4CC8">
              <w:rPr>
                <w:rFonts w:ascii="Times New Roman" w:hAnsi="Times New Roman" w:cs="Times New Roman"/>
                <w:sz w:val="24"/>
              </w:rPr>
              <w:t>of this template</w:t>
            </w:r>
            <w:r w:rsidRPr="007F4CC8">
              <w:rPr>
                <w:rFonts w:ascii="Times New Roman" w:eastAsia="Times New Roman" w:hAnsi="Times New Roman" w:cs="Times New Roman"/>
                <w:sz w:val="24"/>
              </w:rPr>
              <w:t>. Institutions shall provide qualitative explanations on assets and liabilities that are subject to capital requirements for more than one risk framework listed in Part Three CRR.</w:t>
            </w:r>
          </w:p>
        </w:tc>
      </w:tr>
    </w:tbl>
    <w:p w:rsidR="00C04D6C" w:rsidRPr="007F4CC8" w:rsidRDefault="00C04D6C" w:rsidP="00C04D6C">
      <w:pPr>
        <w:jc w:val="both"/>
        <w:rPr>
          <w:rFonts w:ascii="Times New Roman" w:hAnsi="Times New Roman" w:cs="Times New Roman"/>
          <w:sz w:val="24"/>
        </w:rPr>
      </w:pPr>
    </w:p>
    <w:p w:rsidR="00C04D6C" w:rsidRPr="007F4CC8" w:rsidRDefault="00C04D6C" w:rsidP="00C04D6C">
      <w:pPr>
        <w:jc w:val="both"/>
        <w:rPr>
          <w:rFonts w:ascii="Times New Roman" w:hAnsi="Times New Roman" w:cs="Times New Roman"/>
          <w:b/>
          <w:sz w:val="24"/>
        </w:rPr>
      </w:pPr>
      <w:r w:rsidRPr="007F4CC8">
        <w:rPr>
          <w:rFonts w:ascii="Times New Roman" w:hAnsi="Times New Roman" w:cs="Times New Roman"/>
          <w:b/>
          <w:sz w:val="24"/>
        </w:rPr>
        <w:t>Template EU</w:t>
      </w:r>
      <w:r>
        <w:rPr>
          <w:rFonts w:ascii="Times New Roman" w:hAnsi="Times New Roman" w:cs="Times New Roman"/>
          <w:b/>
          <w:sz w:val="24"/>
        </w:rPr>
        <w:t xml:space="preserve"> </w:t>
      </w:r>
      <w:r w:rsidRPr="007F4CC8">
        <w:rPr>
          <w:rFonts w:ascii="Times New Roman" w:hAnsi="Times New Roman" w:cs="Times New Roman"/>
          <w:b/>
          <w:sz w:val="24"/>
        </w:rPr>
        <w:t>LI3 - Outline of the differences in the scopes of consolidation (entity by entity)</w:t>
      </w:r>
    </w:p>
    <w:p w:rsidR="00C04D6C" w:rsidRPr="007F4CC8" w:rsidRDefault="00C04D6C" w:rsidP="00C04D6C">
      <w:pPr>
        <w:pStyle w:val="ListParagraph"/>
        <w:numPr>
          <w:ilvl w:val="0"/>
          <w:numId w:val="1"/>
        </w:numPr>
        <w:spacing w:before="120" w:after="120"/>
        <w:ind w:left="432"/>
        <w:jc w:val="both"/>
        <w:rPr>
          <w:rFonts w:ascii="Times New Roman" w:hAnsi="Times New Roman"/>
          <w:color w:val="000000" w:themeColor="text1"/>
          <w:sz w:val="24"/>
        </w:rPr>
      </w:pPr>
      <w:r w:rsidRPr="007F4CC8">
        <w:rPr>
          <w:rFonts w:ascii="Times New Roman" w:hAnsi="Times New Roman"/>
          <w:color w:val="000000" w:themeColor="text1"/>
          <w:sz w:val="24"/>
        </w:rPr>
        <w:t xml:space="preserve">Institutions shall </w:t>
      </w:r>
      <w:r w:rsidRPr="007F4CC8">
        <w:rPr>
          <w:rFonts w:ascii="Times New Roman" w:hAnsi="Times New Roman"/>
          <w:sz w:val="24"/>
        </w:rPr>
        <w:t xml:space="preserve">disclose the information referred to in </w:t>
      </w:r>
      <w:r w:rsidRPr="007F4CC8">
        <w:rPr>
          <w:rFonts w:ascii="Times New Roman" w:hAnsi="Times New Roman"/>
          <w:color w:val="000000" w:themeColor="text1"/>
          <w:sz w:val="24"/>
        </w:rPr>
        <w:t>point (b) of Article 436 CRR</w:t>
      </w:r>
      <w:r w:rsidRPr="007F4CC8">
        <w:rPr>
          <w:rFonts w:ascii="Times New Roman" w:hAnsi="Times New Roman"/>
          <w:sz w:val="24"/>
        </w:rPr>
        <w:t xml:space="preserve"> by following the instructions provided below in this Annex to complete template EU</w:t>
      </w:r>
      <w:r>
        <w:rPr>
          <w:rFonts w:ascii="Times New Roman" w:hAnsi="Times New Roman"/>
          <w:sz w:val="24"/>
        </w:rPr>
        <w:t xml:space="preserve"> </w:t>
      </w:r>
      <w:r w:rsidRPr="007F4CC8">
        <w:rPr>
          <w:rFonts w:ascii="Times New Roman" w:hAnsi="Times New Roman"/>
          <w:sz w:val="24"/>
        </w:rPr>
        <w:t>LI3 which is presented in Annex V to this Implementing Regulation</w:t>
      </w:r>
      <w:r w:rsidRPr="007F4CC8">
        <w:rPr>
          <w:rFonts w:ascii="Times New Roman" w:hAnsi="Times New Roman"/>
          <w:color w:val="000000" w:themeColor="text1"/>
          <w:sz w:val="24"/>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C04D6C" w:rsidRPr="007F4CC8" w:rsidTr="00D819D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4D6C" w:rsidRPr="007F4CC8" w:rsidRDefault="00C04D6C" w:rsidP="00D819DE">
            <w:pPr>
              <w:rPr>
                <w:rFonts w:ascii="Times New Roman" w:hAnsi="Times New Roman" w:cs="Times New Roman"/>
                <w:b/>
                <w:sz w:val="24"/>
                <w:highlight w:val="yellow"/>
              </w:rPr>
            </w:pPr>
            <w:r w:rsidRPr="007F4CC8">
              <w:rPr>
                <w:rFonts w:ascii="Times New Roman" w:hAnsi="Times New Roman" w:cs="Times New Roman"/>
                <w:b/>
                <w:sz w:val="24"/>
              </w:rPr>
              <w:t>Legal references and instructions</w:t>
            </w:r>
          </w:p>
        </w:tc>
      </w:tr>
      <w:tr w:rsidR="00C04D6C" w:rsidRPr="007F4CC8" w:rsidTr="00D819DE">
        <w:trPr>
          <w:trHeight w:val="238"/>
        </w:trPr>
        <w:tc>
          <w:tcPr>
            <w:tcW w:w="1384" w:type="dxa"/>
            <w:shd w:val="clear" w:color="auto" w:fill="D9D9D9" w:themeFill="background1" w:themeFillShade="D9"/>
          </w:tcPr>
          <w:p w:rsidR="00C04D6C" w:rsidRPr="007F4CC8" w:rsidRDefault="00C04D6C" w:rsidP="00D819DE">
            <w:pPr>
              <w:autoSpaceDE w:val="0"/>
              <w:autoSpaceDN w:val="0"/>
              <w:adjustRightInd w:val="0"/>
              <w:jc w:val="center"/>
              <w:rPr>
                <w:rFonts w:ascii="Times New Roman" w:hAnsi="Times New Roman" w:cs="Times New Roman"/>
                <w:b/>
                <w:sz w:val="24"/>
              </w:rPr>
            </w:pPr>
            <w:r w:rsidRPr="007F4CC8">
              <w:rPr>
                <w:rFonts w:ascii="Times New Roman" w:hAnsi="Times New Roman" w:cs="Times New Roman"/>
                <w:b/>
                <w:sz w:val="24"/>
              </w:rPr>
              <w:t>Row number</w:t>
            </w:r>
          </w:p>
        </w:tc>
        <w:tc>
          <w:tcPr>
            <w:tcW w:w="7655" w:type="dxa"/>
            <w:shd w:val="clear" w:color="auto" w:fill="D9D9D9" w:themeFill="background1" w:themeFillShade="D9"/>
          </w:tcPr>
          <w:p w:rsidR="00C04D6C" w:rsidRPr="007F4CC8" w:rsidRDefault="00C04D6C" w:rsidP="00D819DE">
            <w:pPr>
              <w:autoSpaceDE w:val="0"/>
              <w:autoSpaceDN w:val="0"/>
              <w:adjustRightInd w:val="0"/>
              <w:rPr>
                <w:rFonts w:ascii="Times New Roman" w:hAnsi="Times New Roman" w:cs="Times New Roman"/>
                <w:color w:val="000000"/>
                <w:sz w:val="24"/>
              </w:rPr>
            </w:pPr>
            <w:r w:rsidRPr="007F4CC8">
              <w:rPr>
                <w:rFonts w:ascii="Times New Roman" w:hAnsi="Times New Roman" w:cs="Times New Roman"/>
                <w:b/>
                <w:sz w:val="24"/>
              </w:rPr>
              <w:t>Explanation</w:t>
            </w:r>
          </w:p>
        </w:tc>
      </w:tr>
      <w:tr w:rsidR="00C04D6C" w:rsidRPr="007F4CC8" w:rsidTr="00D819DE">
        <w:trPr>
          <w:trHeight w:val="238"/>
        </w:trPr>
        <w:tc>
          <w:tcPr>
            <w:tcW w:w="1384" w:type="dxa"/>
            <w:shd w:val="clear" w:color="auto" w:fill="FFFFFF" w:themeFill="background1"/>
          </w:tcPr>
          <w:p w:rsidR="00C04D6C" w:rsidRPr="007F4CC8" w:rsidRDefault="00C04D6C" w:rsidP="00D819DE">
            <w:pPr>
              <w:autoSpaceDE w:val="0"/>
              <w:autoSpaceDN w:val="0"/>
              <w:adjustRightInd w:val="0"/>
              <w:spacing w:before="60" w:after="120"/>
              <w:jc w:val="both"/>
              <w:rPr>
                <w:rFonts w:ascii="Times New Roman" w:hAnsi="Times New Roman" w:cs="Times New Roman"/>
                <w:b/>
                <w:sz w:val="24"/>
              </w:rPr>
            </w:pPr>
          </w:p>
        </w:tc>
        <w:tc>
          <w:tcPr>
            <w:tcW w:w="7655" w:type="dxa"/>
            <w:shd w:val="clear" w:color="auto" w:fill="FFFFFF" w:themeFill="background1"/>
          </w:tcPr>
          <w:p w:rsidR="00C04D6C" w:rsidRPr="007F4CC8" w:rsidRDefault="00C04D6C" w:rsidP="00D819DE">
            <w:pPr>
              <w:autoSpaceDE w:val="0"/>
              <w:autoSpaceDN w:val="0"/>
              <w:adjustRightInd w:val="0"/>
              <w:spacing w:before="60" w:after="120"/>
              <w:jc w:val="both"/>
              <w:rPr>
                <w:rFonts w:ascii="Times New Roman" w:hAnsi="Times New Roman" w:cs="Times New Roman"/>
                <w:b/>
                <w:sz w:val="24"/>
              </w:rPr>
            </w:pPr>
            <w:r w:rsidRPr="007F4CC8">
              <w:rPr>
                <w:rFonts w:ascii="Times New Roman" w:eastAsia="Times New Roman" w:hAnsi="Times New Roman" w:cs="Times New Roman"/>
                <w:sz w:val="24"/>
                <w:lang w:eastAsia="en-GB"/>
              </w:rPr>
              <w:t xml:space="preserve">The rows are flexible. </w:t>
            </w:r>
            <w:r w:rsidRPr="007F4CC8">
              <w:rPr>
                <w:rFonts w:ascii="Times New Roman" w:hAnsi="Times New Roman" w:cs="Times New Roman"/>
                <w:sz w:val="24"/>
              </w:rPr>
              <w:t>Disclosures shall be provided for entities included within the accounting and the regulatory scopes of consolidation as defined in accordance with the applicable accounting framework and Sections 2 and 3 of Title II of Part One CRR, for which the method of the accounting consolidation is different from the method of the regulatory consolidation. One row per entity.</w:t>
            </w:r>
          </w:p>
        </w:tc>
      </w:tr>
    </w:tbl>
    <w:p w:rsidR="00C04D6C" w:rsidRPr="007F4CC8" w:rsidRDefault="00C04D6C" w:rsidP="00C04D6C">
      <w:pPr>
        <w:rPr>
          <w:rFonts w:ascii="Times New Roman" w:hAnsi="Times New Roman" w:cs="Times New Roman"/>
          <w:sz w:val="24"/>
        </w:rPr>
      </w:pPr>
    </w:p>
    <w:p w:rsidR="00C04D6C" w:rsidRPr="007F4CC8" w:rsidRDefault="00C04D6C" w:rsidP="00C04D6C">
      <w:pPr>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C04D6C" w:rsidRPr="007F4CC8" w:rsidTr="00D819D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4D6C" w:rsidRPr="007F4CC8" w:rsidRDefault="00C04D6C" w:rsidP="00D819DE">
            <w:pPr>
              <w:rPr>
                <w:rFonts w:ascii="Times New Roman" w:hAnsi="Times New Roman" w:cs="Times New Roman"/>
                <w:b/>
                <w:sz w:val="24"/>
                <w:highlight w:val="yellow"/>
              </w:rPr>
            </w:pPr>
            <w:r w:rsidRPr="007F4CC8">
              <w:rPr>
                <w:rFonts w:ascii="Times New Roman" w:hAnsi="Times New Roman" w:cs="Times New Roman"/>
                <w:b/>
                <w:sz w:val="24"/>
              </w:rPr>
              <w:t>Legal references and instructions</w:t>
            </w:r>
          </w:p>
        </w:tc>
      </w:tr>
      <w:tr w:rsidR="00C04D6C" w:rsidRPr="007F4CC8" w:rsidTr="00D819DE">
        <w:trPr>
          <w:trHeight w:val="238"/>
        </w:trPr>
        <w:tc>
          <w:tcPr>
            <w:tcW w:w="1384" w:type="dxa"/>
            <w:shd w:val="clear" w:color="auto" w:fill="D9D9D9" w:themeFill="background1" w:themeFillShade="D9"/>
          </w:tcPr>
          <w:p w:rsidR="00C04D6C" w:rsidRPr="007F4CC8" w:rsidRDefault="00C04D6C" w:rsidP="00D819DE">
            <w:pPr>
              <w:autoSpaceDE w:val="0"/>
              <w:autoSpaceDN w:val="0"/>
              <w:adjustRightInd w:val="0"/>
              <w:jc w:val="center"/>
              <w:rPr>
                <w:rFonts w:ascii="Times New Roman" w:hAnsi="Times New Roman" w:cs="Times New Roman"/>
                <w:b/>
                <w:sz w:val="24"/>
              </w:rPr>
            </w:pPr>
            <w:r w:rsidRPr="007F4CC8">
              <w:rPr>
                <w:rFonts w:ascii="Times New Roman" w:hAnsi="Times New Roman" w:cs="Times New Roman"/>
                <w:b/>
                <w:sz w:val="24"/>
              </w:rPr>
              <w:t>Column reference</w:t>
            </w:r>
          </w:p>
        </w:tc>
        <w:tc>
          <w:tcPr>
            <w:tcW w:w="7655" w:type="dxa"/>
            <w:shd w:val="clear" w:color="auto" w:fill="D9D9D9" w:themeFill="background1" w:themeFillShade="D9"/>
          </w:tcPr>
          <w:p w:rsidR="00C04D6C" w:rsidRPr="007F4CC8" w:rsidRDefault="00C04D6C" w:rsidP="00D819DE">
            <w:pPr>
              <w:autoSpaceDE w:val="0"/>
              <w:autoSpaceDN w:val="0"/>
              <w:adjustRightInd w:val="0"/>
              <w:rPr>
                <w:rFonts w:ascii="Times New Roman" w:hAnsi="Times New Roman" w:cs="Times New Roman"/>
                <w:color w:val="000000"/>
                <w:sz w:val="24"/>
              </w:rPr>
            </w:pPr>
            <w:r w:rsidRPr="007F4CC8">
              <w:rPr>
                <w:rFonts w:ascii="Times New Roman" w:hAnsi="Times New Roman" w:cs="Times New Roman"/>
                <w:b/>
                <w:sz w:val="24"/>
              </w:rPr>
              <w:t>Explanation</w:t>
            </w:r>
          </w:p>
        </w:tc>
      </w:tr>
      <w:tr w:rsidR="00C04D6C" w:rsidRPr="007F4CC8" w:rsidTr="00D819DE">
        <w:trPr>
          <w:trHeight w:val="238"/>
        </w:trPr>
        <w:tc>
          <w:tcPr>
            <w:tcW w:w="1384" w:type="dxa"/>
            <w:shd w:val="clear" w:color="auto" w:fill="auto"/>
          </w:tcPr>
          <w:p w:rsidR="00C04D6C" w:rsidRPr="007F4CC8" w:rsidRDefault="00C04D6C" w:rsidP="00D819DE">
            <w:pPr>
              <w:autoSpaceDE w:val="0"/>
              <w:autoSpaceDN w:val="0"/>
              <w:adjustRightInd w:val="0"/>
              <w:spacing w:before="60" w:after="120"/>
              <w:jc w:val="center"/>
              <w:rPr>
                <w:rFonts w:ascii="Times New Roman" w:hAnsi="Times New Roman" w:cs="Times New Roman"/>
                <w:sz w:val="24"/>
              </w:rPr>
            </w:pPr>
            <w:r w:rsidRPr="007F4CC8">
              <w:rPr>
                <w:rFonts w:ascii="Times New Roman" w:hAnsi="Times New Roman" w:cs="Times New Roman"/>
                <w:sz w:val="24"/>
              </w:rPr>
              <w:t>a</w:t>
            </w:r>
          </w:p>
        </w:tc>
        <w:tc>
          <w:tcPr>
            <w:tcW w:w="7655" w:type="dxa"/>
            <w:shd w:val="clear" w:color="auto" w:fill="auto"/>
          </w:tcPr>
          <w:p w:rsidR="00C04D6C" w:rsidRPr="007F4CC8" w:rsidRDefault="00C04D6C" w:rsidP="00D819DE">
            <w:pPr>
              <w:keepNext/>
              <w:spacing w:before="60" w:after="120"/>
              <w:jc w:val="both"/>
              <w:rPr>
                <w:rFonts w:ascii="Times New Roman" w:eastAsia="Times New Roman" w:hAnsi="Times New Roman" w:cs="Times New Roman"/>
                <w:b/>
                <w:sz w:val="24"/>
              </w:rPr>
            </w:pPr>
            <w:r w:rsidRPr="007F4CC8">
              <w:rPr>
                <w:rFonts w:ascii="Times New Roman" w:eastAsia="Times New Roman" w:hAnsi="Times New Roman" w:cs="Times New Roman"/>
                <w:b/>
                <w:sz w:val="24"/>
              </w:rPr>
              <w:t>Name of the entity</w:t>
            </w:r>
          </w:p>
          <w:p w:rsidR="00C04D6C" w:rsidRPr="007F4CC8" w:rsidRDefault="00C04D6C" w:rsidP="00D819DE">
            <w:pPr>
              <w:keepNext/>
              <w:spacing w:before="60" w:after="120"/>
              <w:jc w:val="both"/>
              <w:rPr>
                <w:rFonts w:ascii="Times New Roman" w:hAnsi="Times New Roman" w:cs="Times New Roman"/>
                <w:b/>
                <w:sz w:val="24"/>
              </w:rPr>
            </w:pPr>
            <w:r w:rsidRPr="007F4CC8">
              <w:rPr>
                <w:rFonts w:ascii="Times New Roman" w:eastAsia="Times New Roman" w:hAnsi="Times New Roman" w:cs="Times New Roman"/>
                <w:sz w:val="24"/>
              </w:rPr>
              <w:t>Commercial name of any entity included or deducted from the regulatory and accounting scope of consolidation of an institution</w:t>
            </w:r>
          </w:p>
        </w:tc>
      </w:tr>
      <w:tr w:rsidR="00C04D6C" w:rsidRPr="007F4CC8" w:rsidTr="00D819DE">
        <w:trPr>
          <w:trHeight w:val="238"/>
        </w:trPr>
        <w:tc>
          <w:tcPr>
            <w:tcW w:w="1384" w:type="dxa"/>
            <w:shd w:val="clear" w:color="auto" w:fill="auto"/>
          </w:tcPr>
          <w:p w:rsidR="00C04D6C" w:rsidRPr="007F4CC8" w:rsidRDefault="00C04D6C" w:rsidP="00D819DE">
            <w:pPr>
              <w:autoSpaceDE w:val="0"/>
              <w:autoSpaceDN w:val="0"/>
              <w:adjustRightInd w:val="0"/>
              <w:spacing w:before="60" w:after="120"/>
              <w:jc w:val="center"/>
              <w:rPr>
                <w:rFonts w:ascii="Times New Roman" w:hAnsi="Times New Roman" w:cs="Times New Roman"/>
                <w:sz w:val="24"/>
              </w:rPr>
            </w:pPr>
            <w:r w:rsidRPr="007F4CC8">
              <w:rPr>
                <w:rFonts w:ascii="Times New Roman" w:hAnsi="Times New Roman" w:cs="Times New Roman"/>
                <w:sz w:val="24"/>
              </w:rPr>
              <w:t>b</w:t>
            </w:r>
          </w:p>
        </w:tc>
        <w:tc>
          <w:tcPr>
            <w:tcW w:w="7655" w:type="dxa"/>
            <w:shd w:val="clear" w:color="auto" w:fill="auto"/>
          </w:tcPr>
          <w:p w:rsidR="00C04D6C" w:rsidRPr="007F4CC8" w:rsidRDefault="00C04D6C" w:rsidP="00D819DE">
            <w:pPr>
              <w:keepNext/>
              <w:spacing w:before="60" w:after="120"/>
              <w:jc w:val="both"/>
              <w:rPr>
                <w:rFonts w:ascii="Times New Roman" w:eastAsia="Times New Roman" w:hAnsi="Times New Roman" w:cs="Times New Roman"/>
                <w:b/>
                <w:sz w:val="24"/>
              </w:rPr>
            </w:pPr>
            <w:r w:rsidRPr="007F4CC8">
              <w:rPr>
                <w:rFonts w:ascii="Times New Roman" w:eastAsia="Times New Roman" w:hAnsi="Times New Roman" w:cs="Times New Roman"/>
                <w:b/>
                <w:sz w:val="24"/>
              </w:rPr>
              <w:t>Method of accounting consolidation</w:t>
            </w:r>
          </w:p>
          <w:p w:rsidR="00C04D6C" w:rsidRPr="007F4CC8" w:rsidRDefault="00C04D6C" w:rsidP="00D819DE">
            <w:pPr>
              <w:keepNext/>
              <w:spacing w:before="60" w:after="120"/>
              <w:jc w:val="both"/>
              <w:rPr>
                <w:rFonts w:ascii="Times New Roman" w:hAnsi="Times New Roman" w:cs="Times New Roman"/>
                <w:b/>
                <w:sz w:val="24"/>
              </w:rPr>
            </w:pPr>
            <w:r w:rsidRPr="007F4CC8">
              <w:rPr>
                <w:rFonts w:ascii="Times New Roman" w:eastAsia="Times New Roman" w:hAnsi="Times New Roman" w:cs="Times New Roman"/>
                <w:sz w:val="24"/>
              </w:rPr>
              <w:t>Consolidation method used in accordance with the applicable accounting framework</w:t>
            </w:r>
          </w:p>
        </w:tc>
      </w:tr>
      <w:tr w:rsidR="00C04D6C" w:rsidRPr="007F4CC8" w:rsidTr="00D819DE">
        <w:trPr>
          <w:trHeight w:val="238"/>
        </w:trPr>
        <w:tc>
          <w:tcPr>
            <w:tcW w:w="1384" w:type="dxa"/>
            <w:shd w:val="clear" w:color="auto" w:fill="auto"/>
          </w:tcPr>
          <w:p w:rsidR="00C04D6C" w:rsidRPr="007F4CC8" w:rsidRDefault="00C04D6C" w:rsidP="00D819DE">
            <w:pPr>
              <w:autoSpaceDE w:val="0"/>
              <w:autoSpaceDN w:val="0"/>
              <w:adjustRightInd w:val="0"/>
              <w:spacing w:before="60" w:after="120"/>
              <w:jc w:val="center"/>
              <w:rPr>
                <w:rFonts w:ascii="Times New Roman" w:hAnsi="Times New Roman" w:cs="Times New Roman"/>
                <w:sz w:val="24"/>
              </w:rPr>
            </w:pPr>
            <w:r w:rsidRPr="007F4CC8">
              <w:rPr>
                <w:rFonts w:ascii="Times New Roman" w:hAnsi="Times New Roman" w:cs="Times New Roman"/>
                <w:sz w:val="24"/>
              </w:rPr>
              <w:t>c to g</w:t>
            </w:r>
          </w:p>
        </w:tc>
        <w:tc>
          <w:tcPr>
            <w:tcW w:w="7655" w:type="dxa"/>
            <w:shd w:val="clear" w:color="auto" w:fill="auto"/>
          </w:tcPr>
          <w:p w:rsidR="00C04D6C" w:rsidRPr="007F4CC8" w:rsidRDefault="00C04D6C" w:rsidP="00D819DE">
            <w:pPr>
              <w:keepNext/>
              <w:spacing w:before="60" w:after="120"/>
              <w:jc w:val="both"/>
              <w:rPr>
                <w:rFonts w:ascii="Times New Roman" w:eastAsia="Times New Roman" w:hAnsi="Times New Roman" w:cs="Times New Roman"/>
                <w:b/>
                <w:sz w:val="24"/>
              </w:rPr>
            </w:pPr>
            <w:r w:rsidRPr="007F4CC8">
              <w:rPr>
                <w:rFonts w:ascii="Times New Roman" w:eastAsia="Times New Roman" w:hAnsi="Times New Roman" w:cs="Times New Roman"/>
                <w:b/>
                <w:sz w:val="24"/>
              </w:rPr>
              <w:t>Method of regulatory consolidation</w:t>
            </w:r>
          </w:p>
          <w:p w:rsidR="00C04D6C" w:rsidRPr="007F4CC8" w:rsidRDefault="00C04D6C" w:rsidP="00D819DE">
            <w:pPr>
              <w:keepNext/>
              <w:spacing w:before="6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 xml:space="preserve">Consolidation method implemented for the purpose of Chapter 2 of Title II of Part One </w:t>
            </w:r>
            <w:r w:rsidRPr="007F4CC8">
              <w:rPr>
                <w:rFonts w:ascii="Times New Roman" w:hAnsi="Times New Roman" w:cs="Times New Roman"/>
                <w:sz w:val="24"/>
              </w:rPr>
              <w:t>CRR</w:t>
            </w:r>
          </w:p>
          <w:p w:rsidR="00C04D6C" w:rsidRPr="007F4CC8" w:rsidRDefault="00C04D6C" w:rsidP="00D819DE">
            <w:pPr>
              <w:keepNext/>
              <w:spacing w:before="6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At a minimum, the methods listed in point (b) of Article 436 CRR shall be disclosed.</w:t>
            </w:r>
          </w:p>
          <w:p w:rsidR="00C04D6C" w:rsidRPr="007F4CC8" w:rsidRDefault="00C04D6C" w:rsidP="00D819DE">
            <w:pPr>
              <w:keepNext/>
              <w:spacing w:before="60" w:after="120"/>
              <w:jc w:val="both"/>
              <w:rPr>
                <w:rFonts w:ascii="Times New Roman" w:hAnsi="Times New Roman" w:cs="Times New Roman"/>
                <w:b/>
                <w:sz w:val="24"/>
              </w:rPr>
            </w:pPr>
            <w:r w:rsidRPr="007F4CC8">
              <w:rPr>
                <w:rFonts w:ascii="Times New Roman" w:eastAsia="Times New Roman" w:hAnsi="Times New Roman" w:cs="Times New Roman"/>
                <w:sz w:val="24"/>
                <w:lang w:eastAsia="en-GB"/>
              </w:rPr>
              <w:t xml:space="preserve">Institutions shall tick the applicable columns to identify the method of consolidation of each entity under the accounting framework and whether, under the </w:t>
            </w:r>
            <w:r>
              <w:rPr>
                <w:rFonts w:ascii="Times New Roman" w:eastAsia="Times New Roman" w:hAnsi="Times New Roman" w:cs="Times New Roman"/>
                <w:sz w:val="24"/>
                <w:lang w:eastAsia="en-GB"/>
              </w:rPr>
              <w:t>scope of prudential consolidation</w:t>
            </w:r>
            <w:r w:rsidRPr="007F4CC8">
              <w:rPr>
                <w:rFonts w:ascii="Times New Roman" w:eastAsia="Times New Roman" w:hAnsi="Times New Roman" w:cs="Times New Roman"/>
                <w:sz w:val="24"/>
                <w:lang w:eastAsia="en-GB"/>
              </w:rPr>
              <w:t>, each entity is (</w:t>
            </w:r>
            <w:proofErr w:type="spellStart"/>
            <w:r w:rsidRPr="007F4CC8">
              <w:rPr>
                <w:rFonts w:ascii="Times New Roman" w:eastAsia="Times New Roman" w:hAnsi="Times New Roman" w:cs="Times New Roman"/>
                <w:sz w:val="24"/>
                <w:lang w:eastAsia="en-GB"/>
              </w:rPr>
              <w:t>i</w:t>
            </w:r>
            <w:proofErr w:type="spellEnd"/>
            <w:r w:rsidRPr="007F4CC8">
              <w:rPr>
                <w:rFonts w:ascii="Times New Roman" w:eastAsia="Times New Roman" w:hAnsi="Times New Roman" w:cs="Times New Roman"/>
                <w:sz w:val="24"/>
                <w:lang w:eastAsia="en-GB"/>
              </w:rPr>
              <w:t>) fully consolidated; (ii) proportionally consolidated; (iii) recognised under the equity method; (iv) neither consolidated nor deducted</w:t>
            </w:r>
            <w:r w:rsidRPr="007F4CC8" w:rsidDel="006E54A2">
              <w:rPr>
                <w:rFonts w:ascii="Times New Roman" w:eastAsia="Times New Roman" w:hAnsi="Times New Roman" w:cs="Times New Roman"/>
                <w:sz w:val="24"/>
                <w:lang w:eastAsia="en-GB"/>
              </w:rPr>
              <w:t xml:space="preserve"> </w:t>
            </w:r>
            <w:r w:rsidRPr="007F4CC8">
              <w:rPr>
                <w:rFonts w:ascii="Times New Roman" w:eastAsia="Times New Roman" w:hAnsi="Times New Roman" w:cs="Times New Roman"/>
                <w:sz w:val="24"/>
                <w:lang w:eastAsia="en-GB"/>
              </w:rPr>
              <w:t>or; (v) deducted.</w:t>
            </w:r>
          </w:p>
        </w:tc>
      </w:tr>
      <w:tr w:rsidR="00C04D6C" w:rsidRPr="007F4CC8" w:rsidTr="00D819DE">
        <w:trPr>
          <w:trHeight w:val="238"/>
        </w:trPr>
        <w:tc>
          <w:tcPr>
            <w:tcW w:w="1384" w:type="dxa"/>
            <w:shd w:val="clear" w:color="auto" w:fill="auto"/>
          </w:tcPr>
          <w:p w:rsidR="00C04D6C" w:rsidRPr="007F4CC8" w:rsidRDefault="00C04D6C" w:rsidP="00D819DE">
            <w:pPr>
              <w:autoSpaceDE w:val="0"/>
              <w:autoSpaceDN w:val="0"/>
              <w:adjustRightInd w:val="0"/>
              <w:spacing w:before="60" w:after="120"/>
              <w:jc w:val="center"/>
              <w:rPr>
                <w:rFonts w:ascii="Times New Roman" w:hAnsi="Times New Roman" w:cs="Times New Roman"/>
                <w:b/>
                <w:sz w:val="24"/>
              </w:rPr>
            </w:pPr>
            <w:r w:rsidRPr="007F4CC8">
              <w:rPr>
                <w:rFonts w:ascii="Times New Roman" w:hAnsi="Times New Roman" w:cs="Times New Roman"/>
                <w:b/>
                <w:sz w:val="24"/>
              </w:rPr>
              <w:t>h</w:t>
            </w:r>
          </w:p>
        </w:tc>
        <w:tc>
          <w:tcPr>
            <w:tcW w:w="7655" w:type="dxa"/>
            <w:shd w:val="clear" w:color="auto" w:fill="auto"/>
          </w:tcPr>
          <w:p w:rsidR="00C04D6C" w:rsidRPr="007F4CC8" w:rsidRDefault="00C04D6C" w:rsidP="00D819DE">
            <w:pPr>
              <w:spacing w:before="60" w:after="120"/>
              <w:jc w:val="both"/>
              <w:rPr>
                <w:rFonts w:ascii="Times New Roman" w:eastAsia="Times New Roman" w:hAnsi="Times New Roman" w:cs="Times New Roman"/>
                <w:b/>
                <w:sz w:val="24"/>
              </w:rPr>
            </w:pPr>
            <w:r w:rsidRPr="007F4CC8">
              <w:rPr>
                <w:rFonts w:ascii="Times New Roman" w:eastAsia="Times New Roman" w:hAnsi="Times New Roman" w:cs="Times New Roman"/>
                <w:b/>
                <w:sz w:val="24"/>
              </w:rPr>
              <w:t>Description of the entity</w:t>
            </w:r>
          </w:p>
          <w:p w:rsidR="00C04D6C" w:rsidRPr="007F4CC8" w:rsidRDefault="00C04D6C" w:rsidP="00D819DE">
            <w:pPr>
              <w:spacing w:before="60"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Brief description of the entity, with (at a minimum) disclosure of its sector of activity</w:t>
            </w:r>
          </w:p>
        </w:tc>
      </w:tr>
    </w:tbl>
    <w:p w:rsidR="00C04D6C" w:rsidRPr="007F4CC8" w:rsidRDefault="00C04D6C" w:rsidP="00C04D6C">
      <w:pPr>
        <w:rPr>
          <w:rFonts w:ascii="Times New Roman" w:hAnsi="Times New Roman" w:cs="Times New Roman"/>
          <w:sz w:val="24"/>
        </w:rPr>
      </w:pPr>
    </w:p>
    <w:p w:rsidR="00C04D6C" w:rsidRPr="007F4CC8" w:rsidRDefault="00C04D6C" w:rsidP="00C04D6C">
      <w:pPr>
        <w:jc w:val="both"/>
        <w:rPr>
          <w:rFonts w:ascii="Times New Roman" w:hAnsi="Times New Roman" w:cs="Times New Roman"/>
          <w:sz w:val="24"/>
        </w:rPr>
      </w:pPr>
      <w:r>
        <w:rPr>
          <w:rFonts w:ascii="Times New Roman" w:hAnsi="Times New Roman" w:cs="Times New Roman"/>
          <w:b/>
          <w:sz w:val="24"/>
        </w:rPr>
        <w:t xml:space="preserve">Table EU </w:t>
      </w:r>
      <w:r w:rsidRPr="007F4CC8">
        <w:rPr>
          <w:rFonts w:ascii="Times New Roman" w:hAnsi="Times New Roman" w:cs="Times New Roman"/>
          <w:b/>
          <w:sz w:val="24"/>
        </w:rPr>
        <w:t xml:space="preserve">LIA - Explanations of differences between accounting and regulatory exposure amounts. </w:t>
      </w:r>
      <w:r w:rsidRPr="007F4CC8">
        <w:rPr>
          <w:rFonts w:ascii="Times New Roman" w:hAnsi="Times New Roman" w:cs="Times New Roman"/>
          <w:sz w:val="24"/>
        </w:rPr>
        <w:t>Free format text boxes for disclosure of qualitative information</w:t>
      </w:r>
    </w:p>
    <w:p w:rsidR="00C04D6C" w:rsidRPr="007F4CC8" w:rsidRDefault="00C04D6C" w:rsidP="00C04D6C">
      <w:pPr>
        <w:jc w:val="both"/>
        <w:rPr>
          <w:rFonts w:ascii="Times New Roman" w:hAnsi="Times New Roman" w:cs="Times New Roman"/>
          <w:sz w:val="24"/>
        </w:rPr>
      </w:pPr>
    </w:p>
    <w:p w:rsidR="00C04D6C" w:rsidRPr="007F4CC8" w:rsidRDefault="00C04D6C" w:rsidP="00C04D6C">
      <w:pPr>
        <w:pStyle w:val="ListParagraph"/>
        <w:numPr>
          <w:ilvl w:val="0"/>
          <w:numId w:val="1"/>
        </w:numPr>
        <w:spacing w:before="120" w:after="120"/>
        <w:ind w:left="425" w:hanging="357"/>
        <w:jc w:val="both"/>
        <w:rPr>
          <w:rFonts w:ascii="Times New Roman" w:hAnsi="Times New Roman"/>
          <w:color w:val="000000" w:themeColor="text1"/>
          <w:sz w:val="24"/>
        </w:rPr>
      </w:pPr>
      <w:r w:rsidRPr="007F4CC8">
        <w:rPr>
          <w:rFonts w:ascii="Times New Roman" w:hAnsi="Times New Roman"/>
          <w:sz w:val="24"/>
        </w:rPr>
        <w:t>Institutions</w:t>
      </w:r>
      <w:r w:rsidRPr="007F4CC8">
        <w:rPr>
          <w:rFonts w:ascii="Times New Roman" w:hAnsi="Times New Roman"/>
          <w:color w:val="000000" w:themeColor="text1"/>
          <w:sz w:val="24"/>
        </w:rPr>
        <w:t xml:space="preserve"> shall </w:t>
      </w:r>
      <w:r w:rsidRPr="007F4CC8">
        <w:rPr>
          <w:rFonts w:ascii="Times New Roman" w:hAnsi="Times New Roman"/>
          <w:sz w:val="24"/>
        </w:rPr>
        <w:t xml:space="preserve">disclose the information referred to in </w:t>
      </w:r>
      <w:r w:rsidRPr="007F4CC8">
        <w:rPr>
          <w:rFonts w:ascii="Times New Roman" w:hAnsi="Times New Roman"/>
          <w:color w:val="000000" w:themeColor="text1"/>
          <w:sz w:val="24"/>
        </w:rPr>
        <w:t>points (b) and (d) of Article 436 CRR</w:t>
      </w:r>
      <w:r w:rsidRPr="007F4CC8">
        <w:rPr>
          <w:rFonts w:ascii="Times New Roman" w:hAnsi="Times New Roman"/>
          <w:sz w:val="24"/>
        </w:rPr>
        <w:t xml:space="preserve"> by following the instructions provided below in this Annex to complete table </w:t>
      </w:r>
      <w:r>
        <w:rPr>
          <w:rFonts w:ascii="Times New Roman" w:hAnsi="Times New Roman"/>
          <w:sz w:val="24"/>
        </w:rPr>
        <w:t>EU L</w:t>
      </w:r>
      <w:r w:rsidRPr="007F4CC8">
        <w:rPr>
          <w:rFonts w:ascii="Times New Roman" w:hAnsi="Times New Roman"/>
          <w:sz w:val="24"/>
        </w:rPr>
        <w:t>IA which is presented in Annex V to this Implementing Regulation</w:t>
      </w:r>
      <w:r w:rsidRPr="007F4CC8">
        <w:rPr>
          <w:rFonts w:ascii="Times New Roman" w:hAnsi="Times New Roman"/>
          <w:color w:val="000000" w:themeColor="text1"/>
          <w:sz w:val="24"/>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C04D6C" w:rsidRPr="007F4CC8" w:rsidTr="00D819D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4D6C" w:rsidRPr="007F4CC8" w:rsidRDefault="00C04D6C" w:rsidP="00D819DE">
            <w:pPr>
              <w:rPr>
                <w:rFonts w:ascii="Times New Roman" w:hAnsi="Times New Roman" w:cs="Times New Roman"/>
                <w:b/>
                <w:sz w:val="24"/>
                <w:highlight w:val="yellow"/>
              </w:rPr>
            </w:pPr>
            <w:r w:rsidRPr="007F4CC8">
              <w:rPr>
                <w:rFonts w:ascii="Times New Roman" w:hAnsi="Times New Roman" w:cs="Times New Roman"/>
                <w:b/>
                <w:sz w:val="24"/>
              </w:rPr>
              <w:t>Legal references and instructions</w:t>
            </w:r>
          </w:p>
        </w:tc>
      </w:tr>
      <w:tr w:rsidR="00C04D6C" w:rsidRPr="007F4CC8" w:rsidTr="00D819DE">
        <w:trPr>
          <w:trHeight w:val="238"/>
        </w:trPr>
        <w:tc>
          <w:tcPr>
            <w:tcW w:w="1384" w:type="dxa"/>
            <w:tcBorders>
              <w:bottom w:val="single" w:sz="4" w:space="0" w:color="auto"/>
            </w:tcBorders>
            <w:shd w:val="clear" w:color="auto" w:fill="D9D9D9" w:themeFill="background1" w:themeFillShade="D9"/>
          </w:tcPr>
          <w:p w:rsidR="00C04D6C" w:rsidRPr="007F4CC8" w:rsidRDefault="00C04D6C" w:rsidP="00D819DE">
            <w:pPr>
              <w:autoSpaceDE w:val="0"/>
              <w:autoSpaceDN w:val="0"/>
              <w:adjustRightInd w:val="0"/>
              <w:rPr>
                <w:rFonts w:ascii="Times New Roman" w:hAnsi="Times New Roman" w:cs="Times New Roman"/>
                <w:b/>
                <w:sz w:val="24"/>
              </w:rPr>
            </w:pPr>
            <w:r w:rsidRPr="007F4CC8">
              <w:rPr>
                <w:rFonts w:ascii="Times New Roman" w:hAnsi="Times New Roman" w:cs="Times New Roman"/>
                <w:b/>
                <w:sz w:val="24"/>
              </w:rPr>
              <w:t>Row number</w:t>
            </w:r>
          </w:p>
        </w:tc>
        <w:tc>
          <w:tcPr>
            <w:tcW w:w="7655" w:type="dxa"/>
            <w:tcBorders>
              <w:bottom w:val="single" w:sz="4" w:space="0" w:color="auto"/>
            </w:tcBorders>
            <w:shd w:val="clear" w:color="auto" w:fill="D9D9D9" w:themeFill="background1" w:themeFillShade="D9"/>
          </w:tcPr>
          <w:p w:rsidR="00C04D6C" w:rsidRPr="007F4CC8" w:rsidRDefault="00C04D6C" w:rsidP="00D819DE">
            <w:pPr>
              <w:autoSpaceDE w:val="0"/>
              <w:autoSpaceDN w:val="0"/>
              <w:adjustRightInd w:val="0"/>
              <w:rPr>
                <w:rFonts w:ascii="Times New Roman" w:hAnsi="Times New Roman" w:cs="Times New Roman"/>
                <w:color w:val="000000"/>
                <w:sz w:val="24"/>
              </w:rPr>
            </w:pPr>
            <w:r w:rsidRPr="007F4CC8">
              <w:rPr>
                <w:rFonts w:ascii="Times New Roman" w:hAnsi="Times New Roman" w:cs="Times New Roman"/>
                <w:b/>
                <w:sz w:val="24"/>
              </w:rPr>
              <w:t>Explanation</w:t>
            </w:r>
          </w:p>
        </w:tc>
      </w:tr>
      <w:tr w:rsidR="00C04D6C" w:rsidRPr="007F4CC8" w:rsidTr="00D819DE">
        <w:trPr>
          <w:trHeight w:val="238"/>
        </w:trPr>
        <w:tc>
          <w:tcPr>
            <w:tcW w:w="1384" w:type="dxa"/>
            <w:tcBorders>
              <w:top w:val="nil"/>
              <w:bottom w:val="single" w:sz="4" w:space="0" w:color="auto"/>
            </w:tcBorders>
            <w:shd w:val="clear" w:color="auto" w:fill="FFFFFF" w:themeFill="background1"/>
            <w:vAlign w:val="center"/>
          </w:tcPr>
          <w:p w:rsidR="00C04D6C" w:rsidRPr="007F4CC8" w:rsidRDefault="00C04D6C" w:rsidP="00D819DE">
            <w:pPr>
              <w:spacing w:before="60" w:after="120"/>
              <w:jc w:val="center"/>
              <w:rPr>
                <w:rFonts w:ascii="Times New Roman" w:hAnsi="Times New Roman" w:cs="Times New Roman"/>
                <w:sz w:val="24"/>
              </w:rPr>
            </w:pPr>
            <w:r w:rsidRPr="007F4CC8">
              <w:rPr>
                <w:rFonts w:ascii="Times New Roman" w:hAnsi="Times New Roman" w:cs="Times New Roman"/>
                <w:sz w:val="24"/>
              </w:rPr>
              <w:t>(a)</w:t>
            </w:r>
          </w:p>
        </w:tc>
        <w:tc>
          <w:tcPr>
            <w:tcW w:w="7655" w:type="dxa"/>
            <w:tcBorders>
              <w:top w:val="nil"/>
              <w:bottom w:val="single" w:sz="4" w:space="0" w:color="auto"/>
            </w:tcBorders>
            <w:shd w:val="clear" w:color="auto" w:fill="FFFFFF" w:themeFill="background1"/>
            <w:vAlign w:val="center"/>
          </w:tcPr>
          <w:p w:rsidR="00C04D6C" w:rsidRPr="007F4CC8" w:rsidRDefault="00C04D6C" w:rsidP="00D819DE">
            <w:pPr>
              <w:spacing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Institutions shall explain and quantify the origins of any significant differences between the amounts in columns (a) and (b) in template EU</w:t>
            </w:r>
            <w:r>
              <w:rPr>
                <w:rFonts w:ascii="Times New Roman" w:eastAsia="Times New Roman" w:hAnsi="Times New Roman" w:cs="Times New Roman"/>
                <w:sz w:val="24"/>
              </w:rPr>
              <w:t xml:space="preserve"> </w:t>
            </w:r>
            <w:r w:rsidRPr="007F4CC8">
              <w:rPr>
                <w:rFonts w:ascii="Times New Roman" w:eastAsia="Times New Roman" w:hAnsi="Times New Roman" w:cs="Times New Roman"/>
                <w:sz w:val="24"/>
              </w:rPr>
              <w:t>LI1, regardless of whether the differences proceed from different consolidation rules or from the use of different accounting standards between the accounting and the regulatory consolidations.</w:t>
            </w:r>
          </w:p>
        </w:tc>
      </w:tr>
      <w:tr w:rsidR="00C04D6C" w:rsidRPr="007F4CC8" w:rsidTr="00D819DE">
        <w:trPr>
          <w:trHeight w:val="238"/>
        </w:trPr>
        <w:tc>
          <w:tcPr>
            <w:tcW w:w="1384" w:type="dxa"/>
            <w:tcBorders>
              <w:top w:val="single" w:sz="4" w:space="0" w:color="auto"/>
              <w:bottom w:val="single" w:sz="4" w:space="0" w:color="auto"/>
            </w:tcBorders>
            <w:shd w:val="clear" w:color="auto" w:fill="FFFFFF" w:themeFill="background1"/>
            <w:vAlign w:val="center"/>
          </w:tcPr>
          <w:p w:rsidR="00C04D6C" w:rsidRPr="007F4CC8" w:rsidRDefault="00C04D6C" w:rsidP="00D819DE">
            <w:pPr>
              <w:spacing w:before="60" w:after="120"/>
              <w:jc w:val="center"/>
              <w:rPr>
                <w:rFonts w:ascii="Times New Roman" w:hAnsi="Times New Roman" w:cs="Times New Roman"/>
                <w:sz w:val="24"/>
              </w:rPr>
            </w:pPr>
            <w:r w:rsidRPr="007F4CC8">
              <w:rPr>
                <w:rFonts w:ascii="Times New Roman" w:hAnsi="Times New Roman" w:cs="Times New Roman"/>
                <w:sz w:val="24"/>
              </w:rPr>
              <w:t>(b)</w:t>
            </w:r>
          </w:p>
        </w:tc>
        <w:tc>
          <w:tcPr>
            <w:tcW w:w="7655" w:type="dxa"/>
            <w:tcBorders>
              <w:top w:val="single" w:sz="4" w:space="0" w:color="auto"/>
              <w:bottom w:val="single" w:sz="4" w:space="0" w:color="auto"/>
            </w:tcBorders>
            <w:shd w:val="clear" w:color="auto" w:fill="FFFFFF" w:themeFill="background1"/>
            <w:vAlign w:val="center"/>
          </w:tcPr>
          <w:p w:rsidR="00C04D6C" w:rsidRPr="007F4CC8" w:rsidRDefault="00C04D6C" w:rsidP="00D819DE">
            <w:pPr>
              <w:spacing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 xml:space="preserve">Institutions shall explain the origins of differences between carrying values under the </w:t>
            </w:r>
            <w:r>
              <w:rPr>
                <w:rFonts w:ascii="Times New Roman" w:eastAsia="Times New Roman" w:hAnsi="Times New Roman" w:cs="Times New Roman"/>
                <w:sz w:val="24"/>
              </w:rPr>
              <w:t>scope of prudential consolidation</w:t>
            </w:r>
            <w:r w:rsidRPr="007F4CC8">
              <w:rPr>
                <w:rFonts w:ascii="Times New Roman" w:eastAsia="Times New Roman" w:hAnsi="Times New Roman" w:cs="Times New Roman"/>
                <w:sz w:val="24"/>
              </w:rPr>
              <w:t xml:space="preserve"> and amounts considered for regulatory purposes shown in template EU</w:t>
            </w:r>
            <w:r>
              <w:rPr>
                <w:rFonts w:ascii="Times New Roman" w:eastAsia="Times New Roman" w:hAnsi="Times New Roman" w:cs="Times New Roman"/>
                <w:sz w:val="24"/>
              </w:rPr>
              <w:t xml:space="preserve"> </w:t>
            </w:r>
            <w:r w:rsidRPr="007F4CC8">
              <w:rPr>
                <w:rFonts w:ascii="Times New Roman" w:eastAsia="Times New Roman" w:hAnsi="Times New Roman" w:cs="Times New Roman"/>
                <w:sz w:val="24"/>
              </w:rPr>
              <w:t>LI2.</w:t>
            </w:r>
          </w:p>
        </w:tc>
      </w:tr>
    </w:tbl>
    <w:p w:rsidR="00C04D6C" w:rsidRPr="007F4CC8" w:rsidRDefault="00C04D6C" w:rsidP="00C04D6C">
      <w:pPr>
        <w:ind w:left="360"/>
        <w:jc w:val="both"/>
        <w:rPr>
          <w:rFonts w:ascii="Times New Roman" w:hAnsi="Times New Roman" w:cs="Times New Roman"/>
          <w:sz w:val="24"/>
        </w:rPr>
      </w:pPr>
      <w:r w:rsidRPr="007F4CC8">
        <w:rPr>
          <w:rFonts w:ascii="Times New Roman" w:hAnsi="Times New Roman" w:cs="Times New Roman"/>
          <w:sz w:val="24"/>
        </w:rPr>
        <w:t xml:space="preserve"> </w:t>
      </w:r>
    </w:p>
    <w:p w:rsidR="00C04D6C" w:rsidRPr="007F4CC8" w:rsidRDefault="00C04D6C" w:rsidP="00C04D6C">
      <w:pPr>
        <w:spacing w:after="120"/>
        <w:rPr>
          <w:rFonts w:ascii="Times New Roman" w:hAnsi="Times New Roman" w:cs="Times New Roman"/>
          <w:sz w:val="24"/>
        </w:rPr>
      </w:pPr>
      <w:r w:rsidRPr="007F4CC8">
        <w:rPr>
          <w:rFonts w:ascii="Times New Roman" w:hAnsi="Times New Roman" w:cs="Times New Roman"/>
          <w:b/>
          <w:sz w:val="24"/>
        </w:rPr>
        <w:t xml:space="preserve">Table </w:t>
      </w:r>
      <w:r>
        <w:rPr>
          <w:rFonts w:ascii="Times New Roman" w:hAnsi="Times New Roman" w:cs="Times New Roman"/>
          <w:b/>
          <w:sz w:val="24"/>
        </w:rPr>
        <w:t>EU L</w:t>
      </w:r>
      <w:r w:rsidRPr="007F4CC8">
        <w:rPr>
          <w:rFonts w:ascii="Times New Roman" w:hAnsi="Times New Roman" w:cs="Times New Roman"/>
          <w:b/>
          <w:sz w:val="24"/>
        </w:rPr>
        <w:t>IB – Other qualitative information on the scope of application.</w:t>
      </w:r>
      <w:r w:rsidRPr="007F4CC8">
        <w:rPr>
          <w:rFonts w:ascii="Times New Roman" w:hAnsi="Times New Roman" w:cs="Times New Roman"/>
          <w:sz w:val="24"/>
        </w:rPr>
        <w:t xml:space="preserve"> Free format text boxes for disclosure of qualitative information</w:t>
      </w:r>
    </w:p>
    <w:p w:rsidR="00C04D6C" w:rsidRPr="007F4CC8" w:rsidRDefault="00C04D6C" w:rsidP="00C04D6C">
      <w:pPr>
        <w:pStyle w:val="ListParagraph"/>
        <w:numPr>
          <w:ilvl w:val="0"/>
          <w:numId w:val="1"/>
        </w:numPr>
        <w:spacing w:before="120" w:after="120"/>
        <w:ind w:left="425" w:hanging="357"/>
        <w:jc w:val="both"/>
        <w:rPr>
          <w:rFonts w:ascii="Times New Roman" w:hAnsi="Times New Roman"/>
          <w:sz w:val="24"/>
        </w:rPr>
      </w:pPr>
      <w:r w:rsidRPr="007F4CC8">
        <w:rPr>
          <w:rFonts w:ascii="Times New Roman" w:hAnsi="Times New Roman"/>
          <w:sz w:val="24"/>
        </w:rPr>
        <w:t xml:space="preserve">Institutions shall disclose the information referred to points (f), (g) and (h) of Article 436 CRR following the instructions provided below in this Annex to complete table </w:t>
      </w:r>
      <w:r>
        <w:rPr>
          <w:rFonts w:ascii="Times New Roman" w:hAnsi="Times New Roman"/>
          <w:sz w:val="24"/>
        </w:rPr>
        <w:t>EU L</w:t>
      </w:r>
      <w:r w:rsidRPr="007F4CC8">
        <w:rPr>
          <w:rFonts w:ascii="Times New Roman" w:hAnsi="Times New Roman"/>
          <w:sz w:val="24"/>
        </w:rPr>
        <w:t>IB which is presented in Annex V to this Implementing Regulation.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C04D6C" w:rsidRPr="007F4CC8" w:rsidTr="00D819D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4D6C" w:rsidRPr="007F4CC8" w:rsidRDefault="00C04D6C" w:rsidP="00D819DE">
            <w:pPr>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C04D6C" w:rsidRPr="007F4CC8" w:rsidTr="00D819DE">
        <w:trPr>
          <w:trHeight w:val="238"/>
        </w:trPr>
        <w:tc>
          <w:tcPr>
            <w:tcW w:w="1384" w:type="dxa"/>
            <w:shd w:val="clear" w:color="auto" w:fill="D9D9D9" w:themeFill="background1" w:themeFillShade="D9"/>
          </w:tcPr>
          <w:p w:rsidR="00C04D6C" w:rsidRPr="007F4CC8" w:rsidRDefault="00C04D6C" w:rsidP="00D819DE">
            <w:pPr>
              <w:autoSpaceDE w:val="0"/>
              <w:autoSpaceDN w:val="0"/>
              <w:adjustRightInd w:val="0"/>
              <w:rPr>
                <w:rFonts w:ascii="Times New Roman" w:hAnsi="Times New Roman" w:cs="Times New Roman"/>
                <w:b/>
                <w:sz w:val="24"/>
              </w:rPr>
            </w:pPr>
            <w:r w:rsidRPr="007F4CC8">
              <w:rPr>
                <w:rFonts w:ascii="Times New Roman" w:hAnsi="Times New Roman" w:cs="Times New Roman"/>
                <w:b/>
                <w:sz w:val="24"/>
              </w:rPr>
              <w:t>Row number</w:t>
            </w:r>
          </w:p>
        </w:tc>
        <w:tc>
          <w:tcPr>
            <w:tcW w:w="7655" w:type="dxa"/>
            <w:shd w:val="clear" w:color="auto" w:fill="D9D9D9" w:themeFill="background1" w:themeFillShade="D9"/>
          </w:tcPr>
          <w:p w:rsidR="00C04D6C" w:rsidRPr="007F4CC8" w:rsidRDefault="00C04D6C" w:rsidP="00D819DE">
            <w:pPr>
              <w:autoSpaceDE w:val="0"/>
              <w:autoSpaceDN w:val="0"/>
              <w:adjustRightInd w:val="0"/>
              <w:rPr>
                <w:rFonts w:ascii="Times New Roman" w:hAnsi="Times New Roman" w:cs="Times New Roman"/>
                <w:color w:val="000000"/>
                <w:sz w:val="24"/>
              </w:rPr>
            </w:pPr>
            <w:r w:rsidRPr="007F4CC8">
              <w:rPr>
                <w:rFonts w:ascii="Times New Roman" w:hAnsi="Times New Roman" w:cs="Times New Roman"/>
                <w:b/>
                <w:sz w:val="24"/>
              </w:rPr>
              <w:t>Explanation</w:t>
            </w:r>
          </w:p>
        </w:tc>
      </w:tr>
      <w:tr w:rsidR="00C04D6C" w:rsidRPr="007F4CC8" w:rsidTr="00D819DE">
        <w:trPr>
          <w:trHeight w:val="238"/>
        </w:trPr>
        <w:tc>
          <w:tcPr>
            <w:tcW w:w="1384" w:type="dxa"/>
            <w:shd w:val="clear" w:color="auto" w:fill="auto"/>
          </w:tcPr>
          <w:p w:rsidR="00C04D6C" w:rsidRPr="007F4CC8" w:rsidRDefault="00C04D6C" w:rsidP="00D819DE">
            <w:pPr>
              <w:autoSpaceDE w:val="0"/>
              <w:autoSpaceDN w:val="0"/>
              <w:adjustRightInd w:val="0"/>
              <w:jc w:val="center"/>
              <w:rPr>
                <w:rFonts w:ascii="Times New Roman" w:hAnsi="Times New Roman" w:cs="Times New Roman"/>
                <w:b/>
                <w:sz w:val="24"/>
              </w:rPr>
            </w:pPr>
            <w:r w:rsidRPr="007F4CC8">
              <w:rPr>
                <w:rFonts w:ascii="Times New Roman" w:hAnsi="Times New Roman" w:cs="Times New Roman"/>
                <w:sz w:val="24"/>
              </w:rPr>
              <w:t>(a)</w:t>
            </w:r>
          </w:p>
        </w:tc>
        <w:tc>
          <w:tcPr>
            <w:tcW w:w="7655" w:type="dxa"/>
            <w:shd w:val="clear" w:color="auto" w:fill="auto"/>
          </w:tcPr>
          <w:p w:rsidR="00C04D6C" w:rsidRPr="007F4CC8" w:rsidRDefault="00C04D6C" w:rsidP="00D819DE">
            <w:pPr>
              <w:autoSpaceDE w:val="0"/>
              <w:autoSpaceDN w:val="0"/>
              <w:adjustRightInd w:val="0"/>
              <w:spacing w:before="60" w:after="60"/>
              <w:jc w:val="both"/>
              <w:rPr>
                <w:rFonts w:ascii="Times New Roman" w:hAnsi="Times New Roman" w:cs="Times New Roman"/>
                <w:b/>
                <w:sz w:val="24"/>
              </w:rPr>
            </w:pPr>
            <w:r w:rsidRPr="007F4CC8">
              <w:rPr>
                <w:rFonts w:ascii="Times New Roman" w:eastAsia="Times New Roman" w:hAnsi="Times New Roman" w:cs="Times New Roman"/>
                <w:sz w:val="24"/>
                <w:lang w:eastAsia="en-GB"/>
              </w:rPr>
              <w:t>Institutions shall disclose any current or expected material practical or legal impediment to the prompt transfer of own funds or to the repayment of liabilities between the parent undertaking and its subsidiaries.</w:t>
            </w:r>
          </w:p>
        </w:tc>
      </w:tr>
      <w:tr w:rsidR="00C04D6C" w:rsidRPr="007F4CC8" w:rsidTr="00D819DE">
        <w:trPr>
          <w:trHeight w:val="238"/>
        </w:trPr>
        <w:tc>
          <w:tcPr>
            <w:tcW w:w="1384" w:type="dxa"/>
            <w:shd w:val="clear" w:color="auto" w:fill="auto"/>
          </w:tcPr>
          <w:p w:rsidR="00C04D6C" w:rsidRPr="007F4CC8" w:rsidRDefault="00C04D6C" w:rsidP="00D819DE">
            <w:pPr>
              <w:autoSpaceDE w:val="0"/>
              <w:autoSpaceDN w:val="0"/>
              <w:adjustRightInd w:val="0"/>
              <w:jc w:val="center"/>
              <w:rPr>
                <w:rFonts w:ascii="Times New Roman" w:hAnsi="Times New Roman" w:cs="Times New Roman"/>
                <w:b/>
                <w:sz w:val="24"/>
              </w:rPr>
            </w:pPr>
            <w:r w:rsidRPr="007F4CC8">
              <w:rPr>
                <w:rFonts w:ascii="Times New Roman" w:hAnsi="Times New Roman" w:cs="Times New Roman"/>
                <w:sz w:val="24"/>
              </w:rPr>
              <w:t>(b)</w:t>
            </w:r>
          </w:p>
        </w:tc>
        <w:tc>
          <w:tcPr>
            <w:tcW w:w="7655" w:type="dxa"/>
            <w:shd w:val="clear" w:color="auto" w:fill="auto"/>
          </w:tcPr>
          <w:p w:rsidR="00C04D6C" w:rsidRPr="007F4CC8" w:rsidRDefault="00C04D6C" w:rsidP="00D819DE">
            <w:pPr>
              <w:autoSpaceDE w:val="0"/>
              <w:autoSpaceDN w:val="0"/>
              <w:adjustRightInd w:val="0"/>
              <w:spacing w:before="60" w:after="60"/>
              <w:jc w:val="both"/>
              <w:rPr>
                <w:rFonts w:ascii="Times New Roman" w:hAnsi="Times New Roman" w:cs="Times New Roman"/>
                <w:b/>
                <w:sz w:val="24"/>
              </w:rPr>
            </w:pPr>
            <w:r w:rsidRPr="007F4CC8">
              <w:rPr>
                <w:rFonts w:ascii="Times New Roman" w:eastAsia="Times New Roman" w:hAnsi="Times New Roman" w:cs="Times New Roman"/>
                <w:sz w:val="24"/>
                <w:lang w:eastAsia="en-GB"/>
              </w:rPr>
              <w:t>Where applicable, institutions shall disclose the name or names of the subsidiaries that are not included in the consolidation.</w:t>
            </w:r>
          </w:p>
        </w:tc>
      </w:tr>
      <w:tr w:rsidR="00C04D6C" w:rsidRPr="007F4CC8" w:rsidTr="00D819DE">
        <w:trPr>
          <w:trHeight w:val="238"/>
        </w:trPr>
        <w:tc>
          <w:tcPr>
            <w:tcW w:w="1384" w:type="dxa"/>
            <w:shd w:val="clear" w:color="auto" w:fill="auto"/>
          </w:tcPr>
          <w:p w:rsidR="00C04D6C" w:rsidRPr="007F4CC8" w:rsidRDefault="00C04D6C" w:rsidP="00D819DE">
            <w:pPr>
              <w:autoSpaceDE w:val="0"/>
              <w:autoSpaceDN w:val="0"/>
              <w:adjustRightInd w:val="0"/>
              <w:jc w:val="center"/>
              <w:rPr>
                <w:rFonts w:ascii="Times New Roman" w:hAnsi="Times New Roman" w:cs="Times New Roman"/>
                <w:b/>
                <w:sz w:val="24"/>
              </w:rPr>
            </w:pPr>
            <w:r w:rsidRPr="007F4CC8">
              <w:rPr>
                <w:rFonts w:ascii="Times New Roman" w:hAnsi="Times New Roman" w:cs="Times New Roman"/>
                <w:sz w:val="24"/>
              </w:rPr>
              <w:t>(c)</w:t>
            </w:r>
          </w:p>
        </w:tc>
        <w:tc>
          <w:tcPr>
            <w:tcW w:w="7655" w:type="dxa"/>
            <w:shd w:val="clear" w:color="auto" w:fill="auto"/>
          </w:tcPr>
          <w:p w:rsidR="00C04D6C" w:rsidRPr="007F4CC8" w:rsidRDefault="00C04D6C" w:rsidP="00D819DE">
            <w:pPr>
              <w:autoSpaceDE w:val="0"/>
              <w:autoSpaceDN w:val="0"/>
              <w:adjustRightInd w:val="0"/>
              <w:spacing w:before="60" w:after="60"/>
              <w:jc w:val="both"/>
              <w:rPr>
                <w:rFonts w:ascii="Times New Roman" w:hAnsi="Times New Roman" w:cs="Times New Roman"/>
                <w:b/>
                <w:sz w:val="24"/>
              </w:rPr>
            </w:pPr>
            <w:r w:rsidRPr="007F4CC8">
              <w:rPr>
                <w:rFonts w:ascii="Times New Roman" w:eastAsia="Times New Roman" w:hAnsi="Times New Roman" w:cs="Times New Roman"/>
                <w:sz w:val="24"/>
                <w:lang w:eastAsia="en-GB"/>
              </w:rPr>
              <w:t>Where applicable, institutions shall disclose the circumstances under which use is made of the derogation referred to in Article 7 CRR or the individual consolidation method laid down in Article 9 CRR.</w:t>
            </w:r>
          </w:p>
        </w:tc>
      </w:tr>
      <w:tr w:rsidR="00C04D6C" w:rsidRPr="007F4CC8" w:rsidTr="00D819DE">
        <w:trPr>
          <w:trHeight w:val="238"/>
        </w:trPr>
        <w:tc>
          <w:tcPr>
            <w:tcW w:w="1384" w:type="dxa"/>
            <w:tcBorders>
              <w:bottom w:val="single" w:sz="4" w:space="0" w:color="auto"/>
            </w:tcBorders>
            <w:shd w:val="clear" w:color="auto" w:fill="auto"/>
          </w:tcPr>
          <w:p w:rsidR="00C04D6C" w:rsidRPr="007F4CC8" w:rsidRDefault="00C04D6C" w:rsidP="00D819DE">
            <w:pPr>
              <w:autoSpaceDE w:val="0"/>
              <w:autoSpaceDN w:val="0"/>
              <w:adjustRightInd w:val="0"/>
              <w:jc w:val="center"/>
              <w:rPr>
                <w:rFonts w:ascii="Times New Roman" w:hAnsi="Times New Roman" w:cs="Times New Roman"/>
                <w:b/>
                <w:sz w:val="24"/>
              </w:rPr>
            </w:pPr>
            <w:r w:rsidRPr="007F4CC8">
              <w:rPr>
                <w:rFonts w:ascii="Times New Roman" w:hAnsi="Times New Roman" w:cs="Times New Roman"/>
                <w:sz w:val="24"/>
              </w:rPr>
              <w:t>(d)</w:t>
            </w:r>
          </w:p>
        </w:tc>
        <w:tc>
          <w:tcPr>
            <w:tcW w:w="7655" w:type="dxa"/>
            <w:tcBorders>
              <w:bottom w:val="single" w:sz="4" w:space="0" w:color="auto"/>
            </w:tcBorders>
            <w:shd w:val="clear" w:color="auto" w:fill="auto"/>
          </w:tcPr>
          <w:p w:rsidR="00C04D6C" w:rsidRPr="007F4CC8" w:rsidRDefault="00C04D6C" w:rsidP="00D819DE">
            <w:pPr>
              <w:autoSpaceDE w:val="0"/>
              <w:autoSpaceDN w:val="0"/>
              <w:adjustRightInd w:val="0"/>
              <w:spacing w:before="60" w:after="60"/>
              <w:jc w:val="both"/>
              <w:rPr>
                <w:rFonts w:ascii="Times New Roman" w:hAnsi="Times New Roman" w:cs="Times New Roman"/>
                <w:b/>
                <w:sz w:val="24"/>
              </w:rPr>
            </w:pPr>
            <w:r w:rsidRPr="007F4CC8">
              <w:rPr>
                <w:rFonts w:ascii="Times New Roman" w:eastAsia="Times New Roman" w:hAnsi="Times New Roman" w:cs="Times New Roman"/>
                <w:sz w:val="24"/>
                <w:lang w:eastAsia="en-GB"/>
              </w:rPr>
              <w:t>Where applicable, institutions shall disclose aggregate amount by which the actual own funds are less than required in all subsidiaries that are not included in the consolidation, and the name or names of those subsidiaries.</w:t>
            </w:r>
          </w:p>
        </w:tc>
      </w:tr>
    </w:tbl>
    <w:p w:rsidR="00C04D6C" w:rsidRPr="007F4CC8" w:rsidRDefault="00C04D6C" w:rsidP="00C04D6C">
      <w:pPr>
        <w:rPr>
          <w:rFonts w:ascii="Times New Roman" w:hAnsi="Times New Roman" w:cs="Times New Roman"/>
          <w:sz w:val="24"/>
        </w:rPr>
      </w:pPr>
    </w:p>
    <w:p w:rsidR="00C04D6C" w:rsidRPr="00DD0C4D" w:rsidRDefault="00C04D6C" w:rsidP="00C04D6C">
      <w:pPr>
        <w:spacing w:after="120"/>
        <w:jc w:val="both"/>
        <w:rPr>
          <w:rFonts w:ascii="Times New Roman" w:hAnsi="Times New Roman" w:cs="Times New Roman"/>
          <w:sz w:val="24"/>
          <w:lang w:val="fr-BE"/>
        </w:rPr>
      </w:pPr>
      <w:r>
        <w:rPr>
          <w:rFonts w:ascii="Times New Roman" w:hAnsi="Times New Roman" w:cs="Times New Roman"/>
          <w:b/>
          <w:sz w:val="24"/>
          <w:lang w:val="fr-BE"/>
        </w:rPr>
        <w:t xml:space="preserve">Template EU </w:t>
      </w:r>
      <w:r w:rsidRPr="00DD0C4D">
        <w:rPr>
          <w:rFonts w:ascii="Times New Roman" w:hAnsi="Times New Roman" w:cs="Times New Roman"/>
          <w:b/>
          <w:sz w:val="24"/>
          <w:lang w:val="fr-BE"/>
        </w:rPr>
        <w:t>PV1 –</w:t>
      </w:r>
      <w:r>
        <w:rPr>
          <w:rFonts w:ascii="Times New Roman" w:hAnsi="Times New Roman" w:cs="Times New Roman"/>
          <w:b/>
          <w:sz w:val="24"/>
          <w:lang w:val="fr-BE"/>
        </w:rPr>
        <w:t xml:space="preserve"> </w:t>
      </w:r>
      <w:r w:rsidRPr="00DD0C4D">
        <w:rPr>
          <w:rFonts w:ascii="Times New Roman" w:hAnsi="Times New Roman" w:cs="Times New Roman"/>
          <w:b/>
          <w:sz w:val="24"/>
          <w:lang w:val="fr-BE"/>
        </w:rPr>
        <w:t xml:space="preserve">Prudent </w:t>
      </w:r>
      <w:proofErr w:type="spellStart"/>
      <w:r w:rsidRPr="00DD0C4D">
        <w:rPr>
          <w:rFonts w:ascii="Times New Roman" w:hAnsi="Times New Roman" w:cs="Times New Roman"/>
          <w:b/>
          <w:sz w:val="24"/>
          <w:lang w:val="fr-BE"/>
        </w:rPr>
        <w:t>valuation</w:t>
      </w:r>
      <w:proofErr w:type="spellEnd"/>
      <w:r w:rsidRPr="00DD0C4D">
        <w:rPr>
          <w:rFonts w:ascii="Times New Roman" w:hAnsi="Times New Roman" w:cs="Times New Roman"/>
          <w:b/>
          <w:sz w:val="24"/>
          <w:lang w:val="fr-BE"/>
        </w:rPr>
        <w:t xml:space="preserve"> </w:t>
      </w:r>
      <w:proofErr w:type="spellStart"/>
      <w:r w:rsidRPr="00DD0C4D">
        <w:rPr>
          <w:rFonts w:ascii="Times New Roman" w:hAnsi="Times New Roman" w:cs="Times New Roman"/>
          <w:b/>
          <w:sz w:val="24"/>
          <w:lang w:val="fr-BE"/>
        </w:rPr>
        <w:t>adjustments</w:t>
      </w:r>
      <w:proofErr w:type="spellEnd"/>
      <w:r w:rsidRPr="00DD0C4D">
        <w:rPr>
          <w:rFonts w:ascii="Times New Roman" w:hAnsi="Times New Roman" w:cs="Times New Roman"/>
          <w:b/>
          <w:sz w:val="24"/>
          <w:lang w:val="fr-BE"/>
        </w:rPr>
        <w:t xml:space="preserve"> (PVA): </w:t>
      </w:r>
      <w:proofErr w:type="spellStart"/>
      <w:r w:rsidRPr="00DD0C4D">
        <w:rPr>
          <w:rFonts w:ascii="Times New Roman" w:hAnsi="Times New Roman" w:cs="Times New Roman"/>
          <w:sz w:val="24"/>
          <w:lang w:val="fr-BE"/>
        </w:rPr>
        <w:t>Fixed</w:t>
      </w:r>
      <w:proofErr w:type="spellEnd"/>
      <w:r w:rsidRPr="00DD0C4D">
        <w:rPr>
          <w:rFonts w:ascii="Times New Roman" w:hAnsi="Times New Roman" w:cs="Times New Roman"/>
          <w:sz w:val="24"/>
          <w:lang w:val="fr-BE"/>
        </w:rPr>
        <w:t xml:space="preserve"> format</w:t>
      </w:r>
    </w:p>
    <w:p w:rsidR="00C04D6C" w:rsidRPr="007F4CC8" w:rsidRDefault="00C04D6C" w:rsidP="00C04D6C">
      <w:pPr>
        <w:pStyle w:val="ListParagraph"/>
        <w:numPr>
          <w:ilvl w:val="0"/>
          <w:numId w:val="1"/>
        </w:numPr>
        <w:spacing w:before="60" w:after="120"/>
        <w:jc w:val="both"/>
        <w:rPr>
          <w:rFonts w:ascii="Times New Roman" w:hAnsi="Times New Roman"/>
          <w:sz w:val="24"/>
        </w:rPr>
      </w:pPr>
      <w:r w:rsidRPr="007F4CC8">
        <w:rPr>
          <w:rFonts w:ascii="Times New Roman" w:hAnsi="Times New Roman"/>
          <w:sz w:val="24"/>
        </w:rPr>
        <w:t xml:space="preserve">Institutions applying the core approach for the determination of the additional valuation adjustment for prudent valuation in accordance with Chapter III of the </w:t>
      </w:r>
      <w:r w:rsidRPr="007F4CC8">
        <w:rPr>
          <w:rFonts w:ascii="Times New Roman" w:hAnsi="Times New Roman"/>
          <w:bCs/>
          <w:sz w:val="24"/>
        </w:rPr>
        <w:t xml:space="preserve">Commission </w:t>
      </w:r>
      <w:r w:rsidRPr="007F4CC8">
        <w:rPr>
          <w:rFonts w:ascii="Times New Roman" w:hAnsi="Times New Roman"/>
          <w:bCs/>
          <w:sz w:val="24"/>
        </w:rPr>
        <w:lastRenderedPageBreak/>
        <w:t>Delegated Regulation (EU) 2016/101</w:t>
      </w:r>
      <w:r w:rsidRPr="007F4CC8">
        <w:rPr>
          <w:rStyle w:val="FootnoteReference"/>
          <w:rFonts w:ascii="Times New Roman" w:hAnsi="Times New Roman"/>
          <w:bCs/>
          <w:sz w:val="24"/>
          <w:szCs w:val="24"/>
        </w:rPr>
        <w:footnoteReference w:id="6"/>
      </w:r>
      <w:r w:rsidRPr="007F4CC8">
        <w:rPr>
          <w:rFonts w:ascii="Times New Roman" w:hAnsi="Times New Roman"/>
          <w:bCs/>
          <w:sz w:val="24"/>
        </w:rPr>
        <w:t xml:space="preserve"> shall </w:t>
      </w:r>
      <w:r w:rsidRPr="007F4CC8">
        <w:rPr>
          <w:rFonts w:ascii="Times New Roman" w:hAnsi="Times New Roman"/>
          <w:sz w:val="24"/>
        </w:rPr>
        <w:t xml:space="preserve">disclose the information referred to in </w:t>
      </w:r>
      <w:r w:rsidRPr="007F4CC8">
        <w:rPr>
          <w:rFonts w:ascii="Times New Roman" w:hAnsi="Times New Roman"/>
          <w:bCs/>
          <w:sz w:val="24"/>
        </w:rPr>
        <w:t xml:space="preserve">point (e) of Article 436 </w:t>
      </w:r>
      <w:r w:rsidRPr="007F4CC8">
        <w:rPr>
          <w:rFonts w:ascii="Times New Roman" w:hAnsi="Times New Roman"/>
          <w:sz w:val="24"/>
        </w:rPr>
        <w:t>CRR</w:t>
      </w:r>
      <w:r w:rsidRPr="007F4CC8">
        <w:rPr>
          <w:rFonts w:ascii="Times New Roman" w:hAnsi="Times New Roman"/>
          <w:bCs/>
          <w:sz w:val="24"/>
        </w:rPr>
        <w:t xml:space="preserve"> by following the instructions provided below in this Annex to complete </w:t>
      </w:r>
      <w:r>
        <w:rPr>
          <w:rFonts w:ascii="Times New Roman" w:hAnsi="Times New Roman"/>
          <w:bCs/>
          <w:sz w:val="24"/>
        </w:rPr>
        <w:t xml:space="preserve">template EU </w:t>
      </w:r>
      <w:r w:rsidRPr="007F4CC8">
        <w:rPr>
          <w:rFonts w:ascii="Times New Roman" w:hAnsi="Times New Roman"/>
          <w:bCs/>
          <w:sz w:val="24"/>
        </w:rPr>
        <w:t>PV1 which is presented in Annex V to this Implementing Regulation</w:t>
      </w:r>
      <w:r w:rsidRPr="007F4CC8">
        <w:rPr>
          <w:rFonts w:ascii="Times New Roman" w:hAnsi="Times New Roman"/>
          <w:sz w:val="24"/>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C04D6C" w:rsidRPr="007F4CC8" w:rsidTr="00D819D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4D6C" w:rsidRPr="007F4CC8" w:rsidRDefault="00C04D6C" w:rsidP="00D819DE">
            <w:pPr>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C04D6C" w:rsidRPr="007F4CC8" w:rsidTr="00D819DE">
        <w:trPr>
          <w:trHeight w:val="238"/>
        </w:trPr>
        <w:tc>
          <w:tcPr>
            <w:tcW w:w="1384" w:type="dxa"/>
            <w:shd w:val="clear" w:color="auto" w:fill="D9D9D9" w:themeFill="background1" w:themeFillShade="D9"/>
          </w:tcPr>
          <w:p w:rsidR="00C04D6C" w:rsidRPr="007F4CC8" w:rsidRDefault="00C04D6C" w:rsidP="00D819DE">
            <w:pPr>
              <w:autoSpaceDE w:val="0"/>
              <w:autoSpaceDN w:val="0"/>
              <w:adjustRightInd w:val="0"/>
              <w:rPr>
                <w:rFonts w:ascii="Times New Roman" w:hAnsi="Times New Roman" w:cs="Times New Roman"/>
                <w:b/>
                <w:sz w:val="24"/>
              </w:rPr>
            </w:pPr>
            <w:r w:rsidRPr="007F4CC8">
              <w:rPr>
                <w:rFonts w:ascii="Times New Roman" w:hAnsi="Times New Roman" w:cs="Times New Roman"/>
                <w:b/>
                <w:sz w:val="24"/>
              </w:rPr>
              <w:t>Row number</w:t>
            </w:r>
          </w:p>
        </w:tc>
        <w:tc>
          <w:tcPr>
            <w:tcW w:w="7655" w:type="dxa"/>
            <w:shd w:val="clear" w:color="auto" w:fill="D9D9D9" w:themeFill="background1" w:themeFillShade="D9"/>
          </w:tcPr>
          <w:p w:rsidR="00C04D6C" w:rsidRPr="007F4CC8" w:rsidRDefault="00C04D6C" w:rsidP="00D819DE">
            <w:pPr>
              <w:autoSpaceDE w:val="0"/>
              <w:autoSpaceDN w:val="0"/>
              <w:adjustRightInd w:val="0"/>
              <w:rPr>
                <w:rFonts w:ascii="Times New Roman" w:hAnsi="Times New Roman" w:cs="Times New Roman"/>
                <w:color w:val="000000"/>
                <w:sz w:val="24"/>
              </w:rPr>
            </w:pPr>
            <w:r w:rsidRPr="007F4CC8">
              <w:rPr>
                <w:rFonts w:ascii="Times New Roman" w:hAnsi="Times New Roman" w:cs="Times New Roman"/>
                <w:b/>
                <w:sz w:val="24"/>
              </w:rPr>
              <w:t>Explanation</w:t>
            </w:r>
          </w:p>
        </w:tc>
      </w:tr>
      <w:tr w:rsidR="00C04D6C" w:rsidRPr="007F4CC8" w:rsidTr="00D819DE">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rsidR="00C04D6C" w:rsidRPr="007F4CC8" w:rsidRDefault="00C04D6C" w:rsidP="00D819DE">
            <w:pPr>
              <w:autoSpaceDE w:val="0"/>
              <w:autoSpaceDN w:val="0"/>
              <w:adjustRightInd w:val="0"/>
              <w:jc w:val="center"/>
              <w:rPr>
                <w:rFonts w:ascii="Times New Roman" w:hAnsi="Times New Roman" w:cs="Times New Roman"/>
                <w:sz w:val="24"/>
              </w:rPr>
            </w:pPr>
            <w:r w:rsidRPr="007F4CC8">
              <w:rPr>
                <w:rFonts w:ascii="Times New Roman" w:hAnsi="Times New Roman" w:cs="Times New Roman"/>
                <w:sz w:val="24"/>
              </w:rPr>
              <w:t>Rows 1 to 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4D6C" w:rsidRPr="007F4CC8" w:rsidRDefault="00C04D6C" w:rsidP="00D819DE">
            <w:pPr>
              <w:spacing w:beforeLines="60" w:before="144" w:afterLines="60" w:after="144"/>
              <w:rPr>
                <w:rStyle w:val="InstructionsTabelleberschrift"/>
                <w:rFonts w:ascii="Times New Roman" w:hAnsi="Times New Roman"/>
                <w:sz w:val="24"/>
              </w:rPr>
            </w:pPr>
            <w:r w:rsidRPr="007F4CC8">
              <w:rPr>
                <w:rStyle w:val="InstructionsTabelleberschrift"/>
                <w:rFonts w:ascii="Times New Roman" w:hAnsi="Times New Roman"/>
                <w:sz w:val="24"/>
              </w:rPr>
              <w:t>Category level AVA</w:t>
            </w:r>
          </w:p>
          <w:p w:rsidR="00C04D6C" w:rsidRPr="007F4CC8" w:rsidRDefault="00C04D6C" w:rsidP="00D819DE">
            <w:pPr>
              <w:spacing w:beforeLines="60" w:before="144" w:afterLines="60" w:after="144"/>
              <w:jc w:val="both"/>
              <w:rPr>
                <w:rFonts w:ascii="Times New Roman" w:hAnsi="Times New Roman" w:cs="Times New Roman"/>
                <w:sz w:val="24"/>
              </w:rPr>
            </w:pPr>
            <w:r w:rsidRPr="007F4CC8">
              <w:rPr>
                <w:rFonts w:ascii="Times New Roman" w:hAnsi="Times New Roman" w:cs="Times New Roman"/>
                <w:sz w:val="24"/>
              </w:rPr>
              <w:t>The category level AVAs for market price uncertainty, close-out costs, model risk, concentrated positions, future administrative costs, early termination and operational risk shall be determined in accordance with Articles 9 to 11 and 14 to 17 of Commission Delegated Regulation (EU) 2016/101 respectively.</w:t>
            </w:r>
          </w:p>
          <w:p w:rsidR="00C04D6C" w:rsidRPr="007F4CC8" w:rsidRDefault="00C04D6C" w:rsidP="00D819DE">
            <w:pPr>
              <w:spacing w:beforeLines="60" w:before="144" w:afterLines="60" w:after="144"/>
              <w:jc w:val="both"/>
              <w:rPr>
                <w:rFonts w:ascii="Times New Roman" w:hAnsi="Times New Roman" w:cs="Times New Roman"/>
                <w:sz w:val="24"/>
              </w:rPr>
            </w:pPr>
            <w:r w:rsidRPr="007F4CC8">
              <w:rPr>
                <w:rFonts w:ascii="Times New Roman" w:hAnsi="Times New Roman" w:cs="Times New Roman"/>
                <w:sz w:val="24"/>
              </w:rPr>
              <w:t>For the market price uncertainty, close-out cost and model risk categories, which are subject to diversification benefit as set out under Articles 9(6), 10(7) and 11(7) of Delegated Regulation (EU) 2016/101 respectively, category level AVAs shall be disclosed in columns a to EU-e2 of this template as the straight sum of the individual AVAs before diversification benefit. Diversification benefits in accordance with Articles 9(6), 10(7) and 11(7) of Commission Delegated Regulation (EU) 2016/101 shall be included in column (f) of this template.</w:t>
            </w:r>
          </w:p>
        </w:tc>
      </w:tr>
      <w:tr w:rsidR="00C04D6C" w:rsidRPr="007F4CC8" w:rsidTr="00D819DE">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rsidR="00C04D6C" w:rsidRPr="007F4CC8" w:rsidRDefault="00C04D6C" w:rsidP="00D819DE">
            <w:pPr>
              <w:autoSpaceDE w:val="0"/>
              <w:autoSpaceDN w:val="0"/>
              <w:adjustRightInd w:val="0"/>
              <w:jc w:val="both"/>
              <w:rPr>
                <w:rFonts w:ascii="Times New Roman" w:hAnsi="Times New Roman" w:cs="Times New Roman"/>
                <w:sz w:val="24"/>
              </w:rPr>
            </w:pPr>
            <w:r w:rsidRPr="007F4CC8">
              <w:rPr>
                <w:rFonts w:ascii="Times New Roman" w:hAnsi="Times New Roman" w:cs="Times New Roman"/>
                <w:sz w:val="24"/>
              </w:rPr>
              <w:t>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4D6C" w:rsidRPr="007F4CC8" w:rsidRDefault="00C04D6C" w:rsidP="00D819DE">
            <w:pPr>
              <w:spacing w:beforeLines="60" w:before="144" w:afterLines="60" w:after="144"/>
              <w:jc w:val="both"/>
              <w:rPr>
                <w:rStyle w:val="InstructionsTabelleberschrift"/>
                <w:rFonts w:ascii="Times New Roman" w:hAnsi="Times New Roman"/>
                <w:sz w:val="24"/>
              </w:rPr>
            </w:pPr>
            <w:r w:rsidRPr="007F4CC8">
              <w:rPr>
                <w:rStyle w:val="InstructionsTabelleberschrift"/>
                <w:rFonts w:ascii="Times New Roman" w:hAnsi="Times New Roman"/>
                <w:sz w:val="24"/>
              </w:rPr>
              <w:t>Market price uncertainty</w:t>
            </w:r>
          </w:p>
          <w:p w:rsidR="00C04D6C" w:rsidRPr="007F4CC8" w:rsidRDefault="00C04D6C" w:rsidP="00D819DE">
            <w:pPr>
              <w:spacing w:beforeLines="60" w:before="144" w:afterLines="60" w:after="144"/>
              <w:jc w:val="both"/>
              <w:rPr>
                <w:rFonts w:ascii="Times New Roman" w:hAnsi="Times New Roman" w:cs="Times New Roman"/>
                <w:sz w:val="24"/>
              </w:rPr>
            </w:pPr>
            <w:r w:rsidRPr="007F4CC8">
              <w:rPr>
                <w:rFonts w:ascii="Times New Roman" w:hAnsi="Times New Roman" w:cs="Times New Roman"/>
                <w:sz w:val="24"/>
              </w:rPr>
              <w:t>Article 105(10) CRR</w:t>
            </w:r>
          </w:p>
          <w:p w:rsidR="00C04D6C" w:rsidRPr="007F4CC8" w:rsidRDefault="00C04D6C" w:rsidP="00D819DE">
            <w:pPr>
              <w:autoSpaceDE w:val="0"/>
              <w:autoSpaceDN w:val="0"/>
              <w:adjustRightInd w:val="0"/>
              <w:spacing w:after="120"/>
              <w:jc w:val="both"/>
              <w:rPr>
                <w:rFonts w:ascii="Times New Roman" w:hAnsi="Times New Roman" w:cs="Times New Roman"/>
                <w:sz w:val="24"/>
              </w:rPr>
            </w:pPr>
            <w:r w:rsidRPr="007F4CC8">
              <w:rPr>
                <w:rFonts w:ascii="Times New Roman" w:hAnsi="Times New Roman" w:cs="Times New Roman"/>
                <w:sz w:val="24"/>
              </w:rPr>
              <w:t>Market price uncertainty AVAs shall be computed in accordance with Article 9 of Commission Delegated Regulation (EU) 2016/101.</w:t>
            </w:r>
          </w:p>
        </w:tc>
      </w:tr>
      <w:tr w:rsidR="00C04D6C" w:rsidRPr="007F4CC8" w:rsidTr="00D819DE">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rsidR="00C04D6C" w:rsidRPr="007F4CC8" w:rsidRDefault="00C04D6C" w:rsidP="00D819DE">
            <w:pPr>
              <w:autoSpaceDE w:val="0"/>
              <w:autoSpaceDN w:val="0"/>
              <w:adjustRightInd w:val="0"/>
              <w:jc w:val="both"/>
              <w:rPr>
                <w:rFonts w:ascii="Times New Roman" w:hAnsi="Times New Roman" w:cs="Times New Roman"/>
                <w:sz w:val="24"/>
              </w:rPr>
            </w:pPr>
            <w:r w:rsidRPr="007F4CC8">
              <w:rPr>
                <w:rFonts w:ascii="Times New Roman" w:hAnsi="Times New Roman" w:cs="Times New Roman"/>
                <w:sz w:val="24"/>
              </w:rPr>
              <w:t>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4D6C" w:rsidRPr="007F4CC8" w:rsidRDefault="00C04D6C" w:rsidP="00D819DE">
            <w:pPr>
              <w:autoSpaceDE w:val="0"/>
              <w:autoSpaceDN w:val="0"/>
              <w:adjustRightInd w:val="0"/>
              <w:spacing w:before="60" w:after="120"/>
              <w:jc w:val="both"/>
              <w:rPr>
                <w:rFonts w:ascii="Times New Roman" w:hAnsi="Times New Roman" w:cs="Times New Roman"/>
                <w:b/>
                <w:sz w:val="24"/>
              </w:rPr>
            </w:pPr>
            <w:r w:rsidRPr="007F4CC8">
              <w:rPr>
                <w:rStyle w:val="InstructionsTabelleberschrift"/>
                <w:rFonts w:ascii="Times New Roman" w:hAnsi="Times New Roman"/>
                <w:sz w:val="24"/>
              </w:rPr>
              <w:t>Not applicable</w:t>
            </w:r>
          </w:p>
        </w:tc>
      </w:tr>
      <w:tr w:rsidR="00C04D6C" w:rsidRPr="007F4CC8" w:rsidTr="00D819DE">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rsidR="00C04D6C" w:rsidRPr="007F4CC8" w:rsidRDefault="00C04D6C" w:rsidP="00D819DE">
            <w:pPr>
              <w:autoSpaceDE w:val="0"/>
              <w:autoSpaceDN w:val="0"/>
              <w:adjustRightInd w:val="0"/>
              <w:jc w:val="both"/>
              <w:rPr>
                <w:rFonts w:ascii="Times New Roman" w:hAnsi="Times New Roman" w:cs="Times New Roman"/>
                <w:sz w:val="24"/>
              </w:rPr>
            </w:pPr>
            <w:r w:rsidRPr="007F4CC8">
              <w:rPr>
                <w:rFonts w:ascii="Times New Roman" w:hAnsi="Times New Roman" w:cs="Times New Roman"/>
                <w:sz w:val="24"/>
              </w:rPr>
              <w:t>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4D6C" w:rsidRPr="007F4CC8" w:rsidRDefault="00C04D6C" w:rsidP="00D819DE">
            <w:pPr>
              <w:spacing w:beforeLines="60" w:before="144" w:afterLines="60" w:after="144"/>
              <w:jc w:val="both"/>
              <w:rPr>
                <w:rStyle w:val="InstructionsTabelleberschrift"/>
                <w:rFonts w:ascii="Times New Roman" w:hAnsi="Times New Roman"/>
                <w:sz w:val="24"/>
              </w:rPr>
            </w:pPr>
            <w:r w:rsidRPr="007F4CC8">
              <w:rPr>
                <w:rStyle w:val="InstructionsTabelleberschrift"/>
                <w:rFonts w:ascii="Times New Roman" w:hAnsi="Times New Roman"/>
                <w:sz w:val="24"/>
              </w:rPr>
              <w:t>Close-out costs</w:t>
            </w:r>
          </w:p>
          <w:p w:rsidR="00C04D6C" w:rsidRPr="007F4CC8" w:rsidRDefault="00C04D6C" w:rsidP="00D819DE">
            <w:pPr>
              <w:spacing w:beforeLines="60" w:before="144" w:afterLines="60" w:after="144"/>
              <w:jc w:val="both"/>
              <w:rPr>
                <w:rFonts w:ascii="Times New Roman" w:hAnsi="Times New Roman" w:cs="Times New Roman"/>
                <w:sz w:val="24"/>
              </w:rPr>
            </w:pPr>
            <w:r w:rsidRPr="007F4CC8">
              <w:rPr>
                <w:rFonts w:ascii="Times New Roman" w:hAnsi="Times New Roman" w:cs="Times New Roman"/>
                <w:sz w:val="24"/>
              </w:rPr>
              <w:t>Article 105(10) CRR</w:t>
            </w:r>
          </w:p>
          <w:p w:rsidR="00C04D6C" w:rsidRPr="007F4CC8" w:rsidRDefault="00C04D6C" w:rsidP="00D819DE">
            <w:pPr>
              <w:autoSpaceDE w:val="0"/>
              <w:autoSpaceDN w:val="0"/>
              <w:adjustRightInd w:val="0"/>
              <w:spacing w:before="60" w:after="120"/>
              <w:jc w:val="both"/>
              <w:rPr>
                <w:rFonts w:ascii="Times New Roman" w:hAnsi="Times New Roman" w:cs="Times New Roman"/>
                <w:sz w:val="24"/>
              </w:rPr>
            </w:pPr>
            <w:r w:rsidRPr="007F4CC8">
              <w:rPr>
                <w:rFonts w:ascii="Times New Roman" w:hAnsi="Times New Roman" w:cs="Times New Roman"/>
                <w:sz w:val="24"/>
              </w:rPr>
              <w:t>Close-out costs AVAs shall be computed in accordance with Article 10 of Commission Delegated Regulation (EU) 2016/101</w:t>
            </w:r>
          </w:p>
        </w:tc>
      </w:tr>
      <w:tr w:rsidR="00C04D6C" w:rsidRPr="007F4CC8" w:rsidTr="00D819DE">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rsidR="00C04D6C" w:rsidRPr="007F4CC8" w:rsidRDefault="00C04D6C" w:rsidP="00D819DE">
            <w:pPr>
              <w:autoSpaceDE w:val="0"/>
              <w:autoSpaceDN w:val="0"/>
              <w:adjustRightInd w:val="0"/>
              <w:jc w:val="both"/>
              <w:rPr>
                <w:rFonts w:ascii="Times New Roman" w:hAnsi="Times New Roman" w:cs="Times New Roman"/>
                <w:sz w:val="24"/>
              </w:rPr>
            </w:pPr>
            <w:r w:rsidRPr="007F4CC8">
              <w:rPr>
                <w:rFonts w:ascii="Times New Roman" w:hAnsi="Times New Roman" w:cs="Times New Roman"/>
                <w:sz w:val="24"/>
              </w:rPr>
              <w:t>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4D6C" w:rsidRPr="007F4CC8" w:rsidRDefault="00C04D6C" w:rsidP="00D819DE">
            <w:pPr>
              <w:spacing w:beforeLines="60" w:before="144" w:afterLines="60" w:after="144"/>
              <w:jc w:val="both"/>
              <w:rPr>
                <w:rStyle w:val="InstructionsTabelleberschrift"/>
                <w:rFonts w:ascii="Times New Roman" w:hAnsi="Times New Roman"/>
                <w:sz w:val="24"/>
              </w:rPr>
            </w:pPr>
            <w:r w:rsidRPr="007F4CC8">
              <w:rPr>
                <w:rStyle w:val="InstructionsTabelleberschrift"/>
                <w:rFonts w:ascii="Times New Roman" w:hAnsi="Times New Roman"/>
                <w:sz w:val="24"/>
              </w:rPr>
              <w:t>Concentrated positions</w:t>
            </w:r>
          </w:p>
          <w:p w:rsidR="00C04D6C" w:rsidRPr="007F4CC8" w:rsidRDefault="00C04D6C" w:rsidP="00D819DE">
            <w:pPr>
              <w:spacing w:beforeLines="60" w:before="144" w:afterLines="60" w:after="144"/>
              <w:jc w:val="both"/>
              <w:rPr>
                <w:rFonts w:ascii="Times New Roman" w:hAnsi="Times New Roman" w:cs="Times New Roman"/>
                <w:sz w:val="24"/>
              </w:rPr>
            </w:pPr>
            <w:r w:rsidRPr="007F4CC8">
              <w:rPr>
                <w:rFonts w:ascii="Times New Roman" w:hAnsi="Times New Roman" w:cs="Times New Roman"/>
                <w:sz w:val="24"/>
              </w:rPr>
              <w:t>Article 105(11) CRR</w:t>
            </w:r>
          </w:p>
          <w:p w:rsidR="00C04D6C" w:rsidRPr="007F4CC8" w:rsidRDefault="00C04D6C" w:rsidP="00D819DE">
            <w:pPr>
              <w:pStyle w:val="Default"/>
              <w:spacing w:after="120"/>
              <w:jc w:val="both"/>
              <w:rPr>
                <w:rFonts w:ascii="Times New Roman" w:hAnsi="Times New Roman" w:cs="Times New Roman"/>
              </w:rPr>
            </w:pPr>
            <w:r w:rsidRPr="007F4CC8">
              <w:rPr>
                <w:rFonts w:ascii="Times New Roman" w:hAnsi="Times New Roman" w:cs="Times New Roman"/>
              </w:rPr>
              <w:t>Concentrated positions AVAs shall be computed under Article 14 of Commission Delegated Regulation (EU) 2016/101.</w:t>
            </w:r>
          </w:p>
        </w:tc>
      </w:tr>
      <w:tr w:rsidR="00C04D6C" w:rsidRPr="007F4CC8" w:rsidTr="00D819DE">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rsidR="00C04D6C" w:rsidRPr="007F4CC8" w:rsidRDefault="00C04D6C" w:rsidP="00D819DE">
            <w:pPr>
              <w:autoSpaceDE w:val="0"/>
              <w:autoSpaceDN w:val="0"/>
              <w:adjustRightInd w:val="0"/>
              <w:jc w:val="both"/>
              <w:rPr>
                <w:rFonts w:ascii="Times New Roman" w:hAnsi="Times New Roman" w:cs="Times New Roman"/>
                <w:sz w:val="24"/>
              </w:rPr>
            </w:pPr>
            <w:r w:rsidRPr="007F4CC8">
              <w:rPr>
                <w:rFonts w:ascii="Times New Roman" w:hAnsi="Times New Roman" w:cs="Times New Roman"/>
                <w:sz w:val="24"/>
              </w:rPr>
              <w:t>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4D6C" w:rsidRPr="007F4CC8" w:rsidRDefault="00C04D6C" w:rsidP="00D819DE">
            <w:pPr>
              <w:spacing w:beforeLines="60" w:before="144" w:afterLines="60" w:after="144"/>
              <w:jc w:val="both"/>
              <w:rPr>
                <w:rStyle w:val="InstructionsTabelleberschrift"/>
                <w:rFonts w:ascii="Times New Roman" w:hAnsi="Times New Roman"/>
                <w:sz w:val="24"/>
              </w:rPr>
            </w:pPr>
            <w:r w:rsidRPr="007F4CC8">
              <w:rPr>
                <w:rStyle w:val="InstructionsTabelleberschrift"/>
                <w:rFonts w:ascii="Times New Roman" w:hAnsi="Times New Roman"/>
                <w:sz w:val="24"/>
              </w:rPr>
              <w:t>Early termination</w:t>
            </w:r>
          </w:p>
          <w:p w:rsidR="00C04D6C" w:rsidRPr="007F4CC8" w:rsidRDefault="00C04D6C" w:rsidP="00D819DE">
            <w:pPr>
              <w:spacing w:beforeLines="60" w:before="144" w:afterLines="60" w:after="144"/>
              <w:jc w:val="both"/>
              <w:rPr>
                <w:rFonts w:ascii="Times New Roman" w:hAnsi="Times New Roman" w:cs="Times New Roman"/>
                <w:sz w:val="24"/>
              </w:rPr>
            </w:pPr>
            <w:r w:rsidRPr="007F4CC8">
              <w:rPr>
                <w:rFonts w:ascii="Times New Roman" w:hAnsi="Times New Roman" w:cs="Times New Roman"/>
                <w:sz w:val="24"/>
              </w:rPr>
              <w:t>Article 105(10) CRR</w:t>
            </w:r>
          </w:p>
          <w:p w:rsidR="00C04D6C" w:rsidRPr="007F4CC8" w:rsidRDefault="00C04D6C" w:rsidP="00D819DE">
            <w:pPr>
              <w:pStyle w:val="Default"/>
              <w:spacing w:before="60" w:after="120"/>
              <w:jc w:val="both"/>
              <w:rPr>
                <w:rFonts w:ascii="Times New Roman" w:hAnsi="Times New Roman" w:cs="Times New Roman"/>
              </w:rPr>
            </w:pPr>
            <w:r w:rsidRPr="007F4CC8">
              <w:rPr>
                <w:rFonts w:ascii="Times New Roman" w:hAnsi="Times New Roman" w:cs="Times New Roman"/>
              </w:rPr>
              <w:lastRenderedPageBreak/>
              <w:t>Early termination AVAs shall be computed in accordance with Article 16 of Commission Delegated Regulation (EU) 2016/101.</w:t>
            </w:r>
          </w:p>
        </w:tc>
      </w:tr>
      <w:tr w:rsidR="00C04D6C" w:rsidRPr="007F4CC8" w:rsidTr="00D819DE">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rsidR="00C04D6C" w:rsidRPr="007F4CC8" w:rsidRDefault="00C04D6C" w:rsidP="00D819DE">
            <w:pPr>
              <w:autoSpaceDE w:val="0"/>
              <w:autoSpaceDN w:val="0"/>
              <w:adjustRightInd w:val="0"/>
              <w:jc w:val="both"/>
              <w:rPr>
                <w:rFonts w:ascii="Times New Roman" w:hAnsi="Times New Roman" w:cs="Times New Roman"/>
                <w:sz w:val="24"/>
              </w:rPr>
            </w:pPr>
            <w:r w:rsidRPr="007F4CC8">
              <w:rPr>
                <w:rFonts w:ascii="Times New Roman" w:hAnsi="Times New Roman" w:cs="Times New Roman"/>
                <w:sz w:val="24"/>
              </w:rPr>
              <w:lastRenderedPageBreak/>
              <w:t>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4D6C" w:rsidRPr="007F4CC8" w:rsidRDefault="00C04D6C" w:rsidP="00D819DE">
            <w:pPr>
              <w:spacing w:beforeLines="60" w:before="144" w:afterLines="60" w:after="144"/>
              <w:jc w:val="both"/>
              <w:rPr>
                <w:rStyle w:val="InstructionsTabelleberschrift"/>
                <w:rFonts w:ascii="Times New Roman" w:hAnsi="Times New Roman"/>
                <w:sz w:val="24"/>
              </w:rPr>
            </w:pPr>
            <w:r w:rsidRPr="007F4CC8">
              <w:rPr>
                <w:rStyle w:val="InstructionsTabelleberschrift"/>
                <w:rFonts w:ascii="Times New Roman" w:hAnsi="Times New Roman"/>
                <w:sz w:val="24"/>
              </w:rPr>
              <w:t>Model risk</w:t>
            </w:r>
          </w:p>
          <w:p w:rsidR="00C04D6C" w:rsidRPr="007F4CC8" w:rsidRDefault="00C04D6C" w:rsidP="00D819DE">
            <w:pPr>
              <w:spacing w:beforeLines="60" w:before="144" w:afterLines="60" w:after="144"/>
              <w:jc w:val="both"/>
              <w:rPr>
                <w:rFonts w:ascii="Times New Roman" w:hAnsi="Times New Roman" w:cs="Times New Roman"/>
                <w:sz w:val="24"/>
              </w:rPr>
            </w:pPr>
            <w:r w:rsidRPr="007F4CC8">
              <w:rPr>
                <w:rFonts w:ascii="Times New Roman" w:hAnsi="Times New Roman" w:cs="Times New Roman"/>
                <w:sz w:val="24"/>
              </w:rPr>
              <w:t>Article 105(10) CRR</w:t>
            </w:r>
          </w:p>
          <w:p w:rsidR="00C04D6C" w:rsidRPr="007F4CC8" w:rsidRDefault="00C04D6C" w:rsidP="00D819DE">
            <w:pPr>
              <w:pStyle w:val="Default"/>
              <w:spacing w:before="60" w:after="120"/>
              <w:jc w:val="both"/>
              <w:rPr>
                <w:rFonts w:ascii="Times New Roman" w:hAnsi="Times New Roman" w:cs="Times New Roman"/>
              </w:rPr>
            </w:pPr>
            <w:r w:rsidRPr="007F4CC8">
              <w:rPr>
                <w:rFonts w:ascii="Times New Roman" w:hAnsi="Times New Roman" w:cs="Times New Roman"/>
              </w:rPr>
              <w:t xml:space="preserve">Model risk AVAs shall be computed in accordance with Article 11 of Commission Delegated Regulation (EU) 2016/101. </w:t>
            </w:r>
          </w:p>
        </w:tc>
      </w:tr>
      <w:tr w:rsidR="00C04D6C" w:rsidRPr="007F4CC8" w:rsidTr="00D819DE">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rsidR="00C04D6C" w:rsidRPr="007F4CC8" w:rsidRDefault="00C04D6C" w:rsidP="00D819DE">
            <w:pPr>
              <w:autoSpaceDE w:val="0"/>
              <w:autoSpaceDN w:val="0"/>
              <w:adjustRightInd w:val="0"/>
              <w:jc w:val="both"/>
              <w:rPr>
                <w:rFonts w:ascii="Times New Roman" w:hAnsi="Times New Roman" w:cs="Times New Roman"/>
                <w:sz w:val="24"/>
              </w:rPr>
            </w:pPr>
            <w:r w:rsidRPr="007F4CC8">
              <w:rPr>
                <w:rFonts w:ascii="Times New Roman" w:hAnsi="Times New Roman" w:cs="Times New Roman"/>
                <w:sz w:val="24"/>
              </w:rPr>
              <w:t>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4D6C" w:rsidRPr="007F4CC8" w:rsidRDefault="00C04D6C" w:rsidP="00D819DE">
            <w:pPr>
              <w:spacing w:beforeLines="60" w:before="144" w:afterLines="60" w:after="144"/>
              <w:jc w:val="both"/>
              <w:rPr>
                <w:rStyle w:val="InstructionsTabelleberschrift"/>
                <w:rFonts w:ascii="Times New Roman" w:hAnsi="Times New Roman"/>
                <w:sz w:val="24"/>
              </w:rPr>
            </w:pPr>
            <w:r w:rsidRPr="007F4CC8">
              <w:rPr>
                <w:rStyle w:val="InstructionsTabelleberschrift"/>
                <w:rFonts w:ascii="Times New Roman" w:hAnsi="Times New Roman"/>
                <w:sz w:val="24"/>
              </w:rPr>
              <w:t>Operational risk</w:t>
            </w:r>
          </w:p>
          <w:p w:rsidR="00C04D6C" w:rsidRPr="007F4CC8" w:rsidRDefault="00C04D6C" w:rsidP="00D819DE">
            <w:pPr>
              <w:spacing w:beforeLines="60" w:before="144" w:afterLines="60" w:after="144"/>
              <w:jc w:val="both"/>
              <w:rPr>
                <w:rFonts w:ascii="Times New Roman" w:hAnsi="Times New Roman" w:cs="Times New Roman"/>
                <w:sz w:val="24"/>
              </w:rPr>
            </w:pPr>
            <w:r w:rsidRPr="007F4CC8">
              <w:rPr>
                <w:rFonts w:ascii="Times New Roman" w:hAnsi="Times New Roman" w:cs="Times New Roman"/>
                <w:sz w:val="24"/>
              </w:rPr>
              <w:t>Article 105(10) CRR</w:t>
            </w:r>
          </w:p>
          <w:p w:rsidR="00C04D6C" w:rsidRPr="007F4CC8" w:rsidRDefault="00C04D6C" w:rsidP="00D819DE">
            <w:pPr>
              <w:pStyle w:val="Default"/>
              <w:spacing w:before="60" w:after="120"/>
              <w:jc w:val="both"/>
              <w:rPr>
                <w:rFonts w:ascii="Times New Roman" w:hAnsi="Times New Roman" w:cs="Times New Roman"/>
                <w:i/>
              </w:rPr>
            </w:pPr>
            <w:r w:rsidRPr="007F4CC8">
              <w:rPr>
                <w:rFonts w:ascii="Times New Roman" w:hAnsi="Times New Roman" w:cs="Times New Roman"/>
              </w:rPr>
              <w:t>Operational risk AVAs shall be computed in accordance with Article 17 of Commission Delegated Regulation (EU) 2016/101.</w:t>
            </w:r>
          </w:p>
        </w:tc>
      </w:tr>
      <w:tr w:rsidR="00C04D6C" w:rsidRPr="007F4CC8" w:rsidTr="00D819DE">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rsidR="00C04D6C" w:rsidRPr="007F4CC8" w:rsidRDefault="00C04D6C" w:rsidP="00D819DE">
            <w:pPr>
              <w:autoSpaceDE w:val="0"/>
              <w:autoSpaceDN w:val="0"/>
              <w:adjustRightInd w:val="0"/>
              <w:jc w:val="both"/>
              <w:rPr>
                <w:rFonts w:ascii="Times New Roman" w:hAnsi="Times New Roman" w:cs="Times New Roman"/>
                <w:sz w:val="24"/>
              </w:rPr>
            </w:pPr>
            <w:r w:rsidRPr="007F4CC8">
              <w:rPr>
                <w:rFonts w:ascii="Times New Roman" w:hAnsi="Times New Roman" w:cs="Times New Roman"/>
                <w:sz w:val="24"/>
              </w:rPr>
              <w:t>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4D6C" w:rsidRPr="007F4CC8" w:rsidRDefault="00C04D6C" w:rsidP="00D819DE">
            <w:pPr>
              <w:pStyle w:val="Default"/>
              <w:spacing w:after="120"/>
              <w:jc w:val="both"/>
              <w:rPr>
                <w:rFonts w:ascii="Times New Roman" w:hAnsi="Times New Roman" w:cs="Times New Roman"/>
              </w:rPr>
            </w:pPr>
            <w:r w:rsidRPr="007F4CC8">
              <w:rPr>
                <w:rStyle w:val="InstructionsTabelleberschrift"/>
                <w:rFonts w:ascii="Times New Roman" w:hAnsi="Times New Roman"/>
              </w:rPr>
              <w:t>Not applicable</w:t>
            </w:r>
          </w:p>
        </w:tc>
      </w:tr>
      <w:tr w:rsidR="00C04D6C" w:rsidRPr="007F4CC8" w:rsidTr="00D819DE">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rsidR="00C04D6C" w:rsidRPr="007F4CC8" w:rsidRDefault="00C04D6C" w:rsidP="00D819DE">
            <w:pPr>
              <w:autoSpaceDE w:val="0"/>
              <w:autoSpaceDN w:val="0"/>
              <w:adjustRightInd w:val="0"/>
              <w:jc w:val="both"/>
              <w:rPr>
                <w:rFonts w:ascii="Times New Roman" w:hAnsi="Times New Roman" w:cs="Times New Roman"/>
                <w:sz w:val="24"/>
              </w:rPr>
            </w:pPr>
            <w:r w:rsidRPr="007F4CC8">
              <w:rPr>
                <w:rFonts w:ascii="Times New Roman" w:hAnsi="Times New Roman" w:cs="Times New Roman"/>
                <w:sz w:val="24"/>
              </w:rPr>
              <w:t>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4D6C" w:rsidRPr="007F4CC8" w:rsidRDefault="00C04D6C" w:rsidP="00D819DE">
            <w:pPr>
              <w:pStyle w:val="Default"/>
              <w:spacing w:after="120"/>
              <w:jc w:val="both"/>
              <w:rPr>
                <w:rFonts w:ascii="Times New Roman" w:hAnsi="Times New Roman" w:cs="Times New Roman"/>
              </w:rPr>
            </w:pPr>
            <w:r w:rsidRPr="007F4CC8">
              <w:rPr>
                <w:rStyle w:val="InstructionsTabelleberschrift"/>
                <w:rFonts w:ascii="Times New Roman" w:hAnsi="Times New Roman"/>
              </w:rPr>
              <w:t>Not applicable</w:t>
            </w:r>
          </w:p>
        </w:tc>
      </w:tr>
      <w:tr w:rsidR="00C04D6C" w:rsidRPr="007F4CC8" w:rsidTr="00D819DE">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rsidR="00C04D6C" w:rsidRPr="007F4CC8" w:rsidRDefault="00C04D6C" w:rsidP="00D819DE">
            <w:pPr>
              <w:autoSpaceDE w:val="0"/>
              <w:autoSpaceDN w:val="0"/>
              <w:adjustRightInd w:val="0"/>
              <w:jc w:val="both"/>
              <w:rPr>
                <w:rFonts w:ascii="Times New Roman" w:hAnsi="Times New Roman" w:cs="Times New Roman"/>
                <w:sz w:val="24"/>
              </w:rPr>
            </w:pPr>
            <w:r w:rsidRPr="007F4CC8">
              <w:rPr>
                <w:rFonts w:ascii="Times New Roman" w:hAnsi="Times New Roman" w:cs="Times New Roman"/>
                <w:sz w:val="24"/>
              </w:rPr>
              <w:t>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4D6C" w:rsidRPr="007F4CC8" w:rsidRDefault="00C04D6C" w:rsidP="00D819DE">
            <w:pPr>
              <w:spacing w:beforeLines="60" w:before="144" w:afterLines="60" w:after="144"/>
              <w:jc w:val="both"/>
              <w:rPr>
                <w:rStyle w:val="InstructionsTabelleberschrift"/>
                <w:rFonts w:ascii="Times New Roman" w:hAnsi="Times New Roman"/>
                <w:sz w:val="24"/>
              </w:rPr>
            </w:pPr>
            <w:r w:rsidRPr="007F4CC8">
              <w:rPr>
                <w:rStyle w:val="InstructionsTabelleberschrift"/>
                <w:rFonts w:ascii="Times New Roman" w:hAnsi="Times New Roman"/>
                <w:sz w:val="24"/>
              </w:rPr>
              <w:t>Future administrative costs</w:t>
            </w:r>
          </w:p>
          <w:p w:rsidR="00C04D6C" w:rsidRPr="007F4CC8" w:rsidRDefault="00C04D6C" w:rsidP="00D819DE">
            <w:pPr>
              <w:spacing w:beforeLines="60" w:before="144" w:afterLines="60" w:after="144"/>
              <w:jc w:val="both"/>
              <w:rPr>
                <w:rFonts w:ascii="Times New Roman" w:hAnsi="Times New Roman" w:cs="Times New Roman"/>
                <w:sz w:val="24"/>
              </w:rPr>
            </w:pPr>
            <w:r w:rsidRPr="007F4CC8">
              <w:rPr>
                <w:rFonts w:ascii="Times New Roman" w:hAnsi="Times New Roman" w:cs="Times New Roman"/>
                <w:sz w:val="24"/>
              </w:rPr>
              <w:t>Article 105(10) CRR</w:t>
            </w:r>
          </w:p>
          <w:p w:rsidR="00C04D6C" w:rsidRPr="007F4CC8" w:rsidRDefault="00C04D6C" w:rsidP="00D819DE">
            <w:pPr>
              <w:pStyle w:val="Default"/>
              <w:spacing w:after="120"/>
              <w:jc w:val="both"/>
              <w:rPr>
                <w:rFonts w:ascii="Times New Roman" w:hAnsi="Times New Roman" w:cs="Times New Roman"/>
              </w:rPr>
            </w:pPr>
            <w:r w:rsidRPr="007F4CC8">
              <w:rPr>
                <w:rFonts w:ascii="Times New Roman" w:hAnsi="Times New Roman" w:cs="Times New Roman"/>
              </w:rPr>
              <w:t>Future administrative costs AVAs shall be computed in accordance with Article 15 of Commission Delegated Regulation (EU) 2016/101.</w:t>
            </w:r>
          </w:p>
        </w:tc>
      </w:tr>
      <w:tr w:rsidR="00C04D6C" w:rsidRPr="007F4CC8" w:rsidTr="00D819DE">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rsidR="00C04D6C" w:rsidRPr="007F4CC8" w:rsidRDefault="00C04D6C" w:rsidP="00D819DE">
            <w:pPr>
              <w:autoSpaceDE w:val="0"/>
              <w:autoSpaceDN w:val="0"/>
              <w:adjustRightInd w:val="0"/>
              <w:jc w:val="both"/>
              <w:rPr>
                <w:rFonts w:ascii="Times New Roman" w:hAnsi="Times New Roman" w:cs="Times New Roman"/>
                <w:sz w:val="24"/>
              </w:rPr>
            </w:pPr>
            <w:r w:rsidRPr="007F4CC8">
              <w:rPr>
                <w:rFonts w:ascii="Times New Roman" w:hAnsi="Times New Roman" w:cs="Times New Roman"/>
                <w:sz w:val="24"/>
              </w:rPr>
              <w:t>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4D6C" w:rsidRPr="007F4CC8" w:rsidRDefault="00C04D6C" w:rsidP="00D819DE">
            <w:pPr>
              <w:pStyle w:val="Default"/>
              <w:spacing w:after="120"/>
              <w:jc w:val="both"/>
              <w:rPr>
                <w:rFonts w:ascii="Times New Roman" w:hAnsi="Times New Roman" w:cs="Times New Roman"/>
              </w:rPr>
            </w:pPr>
            <w:r w:rsidRPr="007F4CC8">
              <w:rPr>
                <w:rFonts w:ascii="Times New Roman" w:hAnsi="Times New Roman" w:cs="Times New Roman"/>
              </w:rPr>
              <w:t>Not applicable</w:t>
            </w:r>
          </w:p>
        </w:tc>
      </w:tr>
      <w:tr w:rsidR="00C04D6C" w:rsidRPr="007F4CC8" w:rsidTr="00D819DE">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rsidR="00C04D6C" w:rsidRPr="007F4CC8" w:rsidRDefault="00C04D6C" w:rsidP="00D819DE">
            <w:pPr>
              <w:autoSpaceDE w:val="0"/>
              <w:autoSpaceDN w:val="0"/>
              <w:adjustRightInd w:val="0"/>
              <w:jc w:val="both"/>
              <w:rPr>
                <w:rFonts w:ascii="Times New Roman" w:hAnsi="Times New Roman" w:cs="Times New Roman"/>
                <w:sz w:val="24"/>
              </w:rPr>
            </w:pPr>
            <w:r w:rsidRPr="007F4CC8">
              <w:rPr>
                <w:rFonts w:ascii="Times New Roman" w:hAnsi="Times New Roman" w:cs="Times New Roman"/>
                <w:sz w:val="24"/>
              </w:rPr>
              <w:t>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4D6C" w:rsidRPr="007F4CC8" w:rsidRDefault="00C04D6C" w:rsidP="00D819DE">
            <w:pPr>
              <w:spacing w:beforeLines="60" w:before="144" w:afterLines="60" w:after="144"/>
              <w:jc w:val="both"/>
              <w:rPr>
                <w:rStyle w:val="InstructionsTabelleberschrift"/>
                <w:rFonts w:ascii="Times New Roman" w:hAnsi="Times New Roman"/>
                <w:sz w:val="24"/>
              </w:rPr>
            </w:pPr>
            <w:r w:rsidRPr="007F4CC8">
              <w:rPr>
                <w:rStyle w:val="InstructionsTabelleberschrift"/>
                <w:rFonts w:ascii="Times New Roman" w:hAnsi="Times New Roman"/>
                <w:sz w:val="24"/>
              </w:rPr>
              <w:t>Total additional valuation adjustments</w:t>
            </w:r>
          </w:p>
          <w:p w:rsidR="00C04D6C" w:rsidRPr="007F4CC8" w:rsidRDefault="00C04D6C" w:rsidP="00D819DE">
            <w:pPr>
              <w:pStyle w:val="Default"/>
              <w:spacing w:after="120"/>
              <w:jc w:val="both"/>
              <w:rPr>
                <w:rFonts w:ascii="Times New Roman" w:hAnsi="Times New Roman" w:cs="Times New Roman"/>
                <w:color w:val="auto"/>
              </w:rPr>
            </w:pPr>
            <w:r w:rsidRPr="007F4CC8">
              <w:rPr>
                <w:rFonts w:ascii="Times New Roman" w:hAnsi="Times New Roman" w:cs="Times New Roman"/>
                <w:color w:val="auto"/>
              </w:rPr>
              <w:t xml:space="preserve">Total AVA to be deducted from own funds under Articles 34 and 105 CRR shall be disclosed in row 12, column (f) </w:t>
            </w:r>
            <w:r w:rsidRPr="007F4CC8">
              <w:rPr>
                <w:rFonts w:ascii="Times New Roman" w:hAnsi="Times New Roman" w:cs="Times New Roman"/>
              </w:rPr>
              <w:t>of this template</w:t>
            </w:r>
            <w:r w:rsidRPr="007F4CC8">
              <w:rPr>
                <w:rFonts w:ascii="Times New Roman" w:hAnsi="Times New Roman" w:cs="Times New Roman"/>
                <w:color w:val="auto"/>
              </w:rPr>
              <w:t>.</w:t>
            </w:r>
            <w:r w:rsidRPr="007F4CC8">
              <w:rPr>
                <w:rFonts w:ascii="Times New Roman" w:eastAsia="Times New Roman" w:hAnsi="Times New Roman" w:cs="Times New Roman"/>
                <w:color w:val="auto"/>
              </w:rPr>
              <w:t xml:space="preserve"> This amount shall be consistent with the amount in row 7 of </w:t>
            </w:r>
            <w:r>
              <w:rPr>
                <w:rFonts w:ascii="Times New Roman" w:eastAsia="Times New Roman" w:hAnsi="Times New Roman" w:cs="Times New Roman"/>
                <w:color w:val="auto"/>
              </w:rPr>
              <w:t xml:space="preserve">template EU </w:t>
            </w:r>
            <w:r w:rsidRPr="007F4CC8">
              <w:rPr>
                <w:rFonts w:ascii="Times New Roman" w:eastAsia="Times New Roman" w:hAnsi="Times New Roman" w:cs="Times New Roman"/>
                <w:color w:val="auto"/>
              </w:rPr>
              <w:t xml:space="preserve">CC1 as well as with the amount in row 5, column (a) of template </w:t>
            </w:r>
            <w:r>
              <w:rPr>
                <w:rFonts w:ascii="Times New Roman" w:eastAsia="Times New Roman" w:hAnsi="Times New Roman" w:cs="Times New Roman"/>
                <w:color w:val="auto"/>
              </w:rPr>
              <w:t>EU L</w:t>
            </w:r>
            <w:r w:rsidRPr="007F4CC8">
              <w:rPr>
                <w:rFonts w:ascii="Times New Roman" w:eastAsia="Times New Roman" w:hAnsi="Times New Roman" w:cs="Times New Roman"/>
                <w:color w:val="auto"/>
              </w:rPr>
              <w:t>I2.</w:t>
            </w:r>
            <w:r w:rsidRPr="007F4CC8">
              <w:rPr>
                <w:rFonts w:ascii="Times New Roman" w:hAnsi="Times New Roman"/>
                <w:color w:val="auto"/>
              </w:rPr>
              <w:t xml:space="preserve"> </w:t>
            </w:r>
          </w:p>
          <w:p w:rsidR="00C04D6C" w:rsidRPr="007F4CC8" w:rsidRDefault="00C04D6C" w:rsidP="00D819DE">
            <w:pPr>
              <w:pStyle w:val="Default"/>
              <w:spacing w:after="120"/>
              <w:jc w:val="both"/>
              <w:rPr>
                <w:rFonts w:ascii="Times New Roman" w:hAnsi="Times New Roman" w:cs="Times New Roman"/>
                <w:color w:val="auto"/>
              </w:rPr>
            </w:pPr>
            <w:r w:rsidRPr="007F4CC8">
              <w:rPr>
                <w:rFonts w:ascii="Times New Roman" w:hAnsi="Times New Roman" w:cs="Times New Roman"/>
                <w:color w:val="auto"/>
              </w:rPr>
              <w:t>For portfolios subject to the Core approach as set out in Chapter III of the Delegated Regulation (EU) 2016/101 on prudent valuation, the total AVA shall be the sum of amounts in rows 1 to 10 of this template, and, the amounts computed in accordance with point (b) sub-paragraphs (</w:t>
            </w:r>
            <w:proofErr w:type="spellStart"/>
            <w:r w:rsidRPr="007F4CC8">
              <w:rPr>
                <w:rFonts w:ascii="Times New Roman" w:hAnsi="Times New Roman" w:cs="Times New Roman"/>
                <w:color w:val="auto"/>
              </w:rPr>
              <w:t>i</w:t>
            </w:r>
            <w:proofErr w:type="spellEnd"/>
            <w:r w:rsidRPr="007F4CC8">
              <w:rPr>
                <w:rFonts w:ascii="Times New Roman" w:hAnsi="Times New Roman" w:cs="Times New Roman"/>
                <w:color w:val="auto"/>
              </w:rPr>
              <w:t xml:space="preserve">) to (iii) of Article 7 (2) of Delegated Regulation (EU) 2016/101, for portfolios subject to the Fall-back approach, if any. </w:t>
            </w:r>
          </w:p>
          <w:p w:rsidR="00C04D6C" w:rsidRPr="007F4CC8" w:rsidRDefault="00C04D6C" w:rsidP="00D819DE">
            <w:pPr>
              <w:pStyle w:val="Default"/>
              <w:spacing w:after="120"/>
              <w:jc w:val="both"/>
              <w:rPr>
                <w:rFonts w:ascii="Times New Roman" w:hAnsi="Times New Roman" w:cs="Times New Roman"/>
              </w:rPr>
            </w:pPr>
            <w:r w:rsidRPr="00B45EC6">
              <w:rPr>
                <w:rFonts w:ascii="Times New Roman" w:hAnsi="Times New Roman" w:cs="Times New Roman"/>
                <w:color w:val="auto"/>
              </w:rPr>
              <w:t>For portfolios subject to the simplified approach as set out in Chapter II of the Delegated Regulation (EU) 2016/101 on prudent valuation, the total AVA included in column (f) of this template shall be the amount computed in accordance with Article 5 of this Chapter.</w:t>
            </w:r>
          </w:p>
        </w:tc>
      </w:tr>
      <w:tr w:rsidR="00C04D6C" w:rsidRPr="007F4CC8" w:rsidTr="00D819DE">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4D6C" w:rsidRPr="007F4CC8" w:rsidRDefault="00C04D6C" w:rsidP="00D819DE">
            <w:pPr>
              <w:pStyle w:val="Applicationdirecte"/>
              <w:spacing w:before="0"/>
              <w:rPr>
                <w:b/>
              </w:rPr>
            </w:pPr>
            <w:r w:rsidRPr="007F4CC8">
              <w:rPr>
                <w:b/>
              </w:rPr>
              <w:t>Column letter</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4D6C" w:rsidRPr="007F4CC8" w:rsidRDefault="00C04D6C" w:rsidP="00D819DE">
            <w:pPr>
              <w:pStyle w:val="TableMainHeading"/>
              <w:spacing w:before="60"/>
              <w:jc w:val="both"/>
              <w:rPr>
                <w:rFonts w:ascii="Times New Roman" w:hAnsi="Times New Roman"/>
                <w:b/>
                <w:sz w:val="24"/>
                <w:szCs w:val="24"/>
              </w:rPr>
            </w:pPr>
            <w:r w:rsidRPr="007F4CC8">
              <w:rPr>
                <w:rFonts w:ascii="Times New Roman" w:hAnsi="Times New Roman"/>
                <w:b/>
                <w:sz w:val="24"/>
                <w:szCs w:val="24"/>
              </w:rPr>
              <w:t>Explanation</w:t>
            </w:r>
          </w:p>
        </w:tc>
      </w:tr>
      <w:tr w:rsidR="00C04D6C" w:rsidRPr="007F4CC8" w:rsidTr="00D819DE">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rsidR="00C04D6C" w:rsidRPr="007F4CC8" w:rsidRDefault="00C04D6C" w:rsidP="00D819DE">
            <w:pPr>
              <w:autoSpaceDE w:val="0"/>
              <w:autoSpaceDN w:val="0"/>
              <w:adjustRightInd w:val="0"/>
              <w:jc w:val="both"/>
              <w:rPr>
                <w:rFonts w:ascii="Times New Roman" w:hAnsi="Times New Roman" w:cs="Times New Roman"/>
                <w:sz w:val="24"/>
              </w:rPr>
            </w:pPr>
            <w:r w:rsidRPr="007F4CC8">
              <w:rPr>
                <w:rFonts w:ascii="Times New Roman" w:hAnsi="Times New Roman" w:cs="Times New Roman"/>
                <w:sz w:val="24"/>
              </w:rPr>
              <w:t>a-e</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4D6C" w:rsidRPr="007F4CC8" w:rsidRDefault="00C04D6C" w:rsidP="00D819DE">
            <w:pPr>
              <w:autoSpaceDE w:val="0"/>
              <w:autoSpaceDN w:val="0"/>
              <w:adjustRightInd w:val="0"/>
              <w:spacing w:before="60" w:after="120"/>
              <w:jc w:val="both"/>
              <w:rPr>
                <w:rFonts w:ascii="Times New Roman" w:hAnsi="Times New Roman" w:cs="Times New Roman"/>
                <w:b/>
                <w:sz w:val="24"/>
                <w:u w:val="single"/>
              </w:rPr>
            </w:pPr>
            <w:r w:rsidRPr="007F4CC8">
              <w:rPr>
                <w:rFonts w:ascii="Times New Roman" w:hAnsi="Times New Roman" w:cs="Times New Roman"/>
                <w:b/>
                <w:sz w:val="24"/>
                <w:u w:val="single"/>
              </w:rPr>
              <w:t>Breakdown by RISK CATEGORY</w:t>
            </w:r>
          </w:p>
          <w:p w:rsidR="00C04D6C" w:rsidRPr="007F4CC8" w:rsidRDefault="00C04D6C" w:rsidP="00D819DE">
            <w:pPr>
              <w:spacing w:beforeLines="60" w:before="144" w:afterLines="60" w:after="144"/>
              <w:jc w:val="both"/>
              <w:rPr>
                <w:rFonts w:ascii="Times New Roman" w:hAnsi="Times New Roman" w:cs="Times New Roman"/>
                <w:sz w:val="24"/>
              </w:rPr>
            </w:pPr>
            <w:r w:rsidRPr="007F4CC8">
              <w:rPr>
                <w:rFonts w:ascii="Times New Roman" w:hAnsi="Times New Roman" w:cs="Times New Roman"/>
                <w:sz w:val="24"/>
              </w:rPr>
              <w:t xml:space="preserve">Institutions shall allocate their fair-valued assets and liabilities included in the threshold computation in accordance with Article 4(1) of Commission Delegated Regulation (EU) 2016/101 (trading book and non-trading book) in </w:t>
            </w:r>
            <w:r w:rsidRPr="007F4CC8">
              <w:rPr>
                <w:rFonts w:ascii="Times New Roman" w:hAnsi="Times New Roman" w:cs="Times New Roman"/>
                <w:sz w:val="24"/>
              </w:rPr>
              <w:lastRenderedPageBreak/>
              <w:t xml:space="preserve">accordance with the following risk categories: interest rates, foreign exchange, credit, equities, commodities. </w:t>
            </w:r>
          </w:p>
          <w:p w:rsidR="00C04D6C" w:rsidRPr="007F4CC8" w:rsidRDefault="00C04D6C" w:rsidP="00D819DE">
            <w:pPr>
              <w:spacing w:beforeLines="60" w:before="144" w:afterLines="60" w:after="144"/>
              <w:jc w:val="both"/>
              <w:rPr>
                <w:rFonts w:ascii="Times New Roman" w:hAnsi="Times New Roman" w:cs="Times New Roman"/>
                <w:b/>
                <w:sz w:val="24"/>
                <w:u w:val="single"/>
              </w:rPr>
            </w:pPr>
            <w:r w:rsidRPr="007F4CC8">
              <w:rPr>
                <w:rFonts w:ascii="Times New Roman" w:hAnsi="Times New Roman" w:cs="Times New Roman"/>
                <w:sz w:val="24"/>
              </w:rPr>
              <w:t>The breakdown in these columns excludes the AVAs computed in accordance with Articles 12 and 13 of Commission Delegated Regulation (EU) 2016/101 that are disclosed in columns EU-e1 and EU-e2 of this template.</w:t>
            </w:r>
          </w:p>
        </w:tc>
      </w:tr>
      <w:tr w:rsidR="00C04D6C" w:rsidRPr="007F4CC8" w:rsidTr="00D819DE">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rsidR="00C04D6C" w:rsidRPr="007F4CC8" w:rsidRDefault="00C04D6C" w:rsidP="00D819DE">
            <w:pPr>
              <w:autoSpaceDE w:val="0"/>
              <w:autoSpaceDN w:val="0"/>
              <w:adjustRightInd w:val="0"/>
              <w:jc w:val="both"/>
              <w:rPr>
                <w:rFonts w:ascii="Times New Roman" w:hAnsi="Times New Roman" w:cs="Times New Roman"/>
                <w:sz w:val="24"/>
              </w:rPr>
            </w:pPr>
          </w:p>
          <w:p w:rsidR="00C04D6C" w:rsidRPr="007F4CC8" w:rsidRDefault="00C04D6C" w:rsidP="00D819DE">
            <w:pPr>
              <w:jc w:val="both"/>
              <w:rPr>
                <w:rFonts w:ascii="Times New Roman" w:hAnsi="Times New Roman" w:cs="Times New Roman"/>
                <w:color w:val="000000"/>
                <w:sz w:val="24"/>
              </w:rPr>
            </w:pPr>
            <w:r w:rsidRPr="007F4CC8">
              <w:rPr>
                <w:rFonts w:ascii="Times New Roman" w:hAnsi="Times New Roman" w:cs="Times New Roman"/>
                <w:color w:val="000000"/>
                <w:sz w:val="24"/>
              </w:rPr>
              <w:t>EU e1</w:t>
            </w:r>
          </w:p>
          <w:p w:rsidR="00C04D6C" w:rsidRPr="007F4CC8" w:rsidRDefault="00C04D6C" w:rsidP="00D819DE">
            <w:pPr>
              <w:autoSpaceDE w:val="0"/>
              <w:autoSpaceDN w:val="0"/>
              <w:adjustRightInd w:val="0"/>
              <w:jc w:val="both"/>
              <w:rPr>
                <w:rFonts w:ascii="Times New Roman" w:hAnsi="Times New Roman" w:cs="Times New Roman"/>
                <w:sz w:val="24"/>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4D6C" w:rsidRPr="007F4CC8" w:rsidRDefault="00C04D6C" w:rsidP="00D819DE">
            <w:pPr>
              <w:autoSpaceDE w:val="0"/>
              <w:autoSpaceDN w:val="0"/>
              <w:adjustRightInd w:val="0"/>
              <w:spacing w:before="60" w:after="120"/>
              <w:jc w:val="both"/>
              <w:rPr>
                <w:rFonts w:ascii="Times New Roman" w:hAnsi="Times New Roman" w:cs="Times New Roman"/>
                <w:b/>
                <w:sz w:val="24"/>
                <w:u w:val="single"/>
              </w:rPr>
            </w:pPr>
            <w:r w:rsidRPr="007F4CC8">
              <w:rPr>
                <w:rFonts w:ascii="Times New Roman" w:hAnsi="Times New Roman" w:cs="Times New Roman"/>
                <w:b/>
                <w:sz w:val="24"/>
                <w:u w:val="single"/>
              </w:rPr>
              <w:t>Category level AVA - Valuation uncertainty: Unearned credit spreads AVA</w:t>
            </w:r>
          </w:p>
          <w:p w:rsidR="00C04D6C" w:rsidRPr="007F4CC8" w:rsidRDefault="00C04D6C" w:rsidP="00D819DE">
            <w:pPr>
              <w:spacing w:beforeLines="60" w:before="144" w:afterLines="60" w:after="144"/>
              <w:rPr>
                <w:rFonts w:ascii="Times New Roman" w:hAnsi="Times New Roman" w:cs="Times New Roman"/>
                <w:sz w:val="24"/>
              </w:rPr>
            </w:pPr>
            <w:r w:rsidRPr="007F4CC8">
              <w:rPr>
                <w:rFonts w:ascii="Times New Roman" w:hAnsi="Times New Roman" w:cs="Times New Roman"/>
                <w:sz w:val="24"/>
              </w:rPr>
              <w:t xml:space="preserve">Article 105(10) CRR, Article 12 of Commission Delegated Regulation (EU) 2016/101 </w:t>
            </w:r>
          </w:p>
          <w:p w:rsidR="00C04D6C" w:rsidRPr="007F4CC8" w:rsidRDefault="00C04D6C" w:rsidP="00D819DE">
            <w:pPr>
              <w:spacing w:beforeLines="60" w:before="144" w:afterLines="60" w:after="144"/>
              <w:jc w:val="both"/>
              <w:rPr>
                <w:rFonts w:ascii="Times New Roman" w:hAnsi="Times New Roman" w:cs="Times New Roman"/>
                <w:b/>
                <w:sz w:val="24"/>
                <w:u w:val="single"/>
              </w:rPr>
            </w:pPr>
            <w:r w:rsidRPr="007F4CC8">
              <w:rPr>
                <w:rFonts w:ascii="Times New Roman" w:hAnsi="Times New Roman" w:cs="Times New Roman"/>
                <w:sz w:val="24"/>
              </w:rPr>
              <w:t>The total AVA for unearned credit spreads (‘AVA on CVA’) and its allocation between market price uncertainty, close-out cost or model risk AVAs shall be determined in accordance with Article 12 of Commission Delegated Regulation (EU) 2016/101</w:t>
            </w:r>
            <w:r>
              <w:rPr>
                <w:rFonts w:ascii="Times New Roman" w:hAnsi="Times New Roman" w:cs="Times New Roman"/>
                <w:sz w:val="24"/>
              </w:rPr>
              <w:t>.</w:t>
            </w:r>
          </w:p>
        </w:tc>
      </w:tr>
      <w:tr w:rsidR="00C04D6C" w:rsidRPr="007F4CC8" w:rsidTr="00D819DE">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rsidR="00C04D6C" w:rsidRPr="007F4CC8" w:rsidRDefault="00C04D6C" w:rsidP="00D819DE">
            <w:pPr>
              <w:autoSpaceDE w:val="0"/>
              <w:autoSpaceDN w:val="0"/>
              <w:adjustRightInd w:val="0"/>
              <w:jc w:val="both"/>
              <w:rPr>
                <w:rFonts w:ascii="Times New Roman" w:hAnsi="Times New Roman" w:cs="Times New Roman"/>
                <w:sz w:val="24"/>
              </w:rPr>
            </w:pPr>
          </w:p>
          <w:p w:rsidR="00C04D6C" w:rsidRPr="007F4CC8" w:rsidRDefault="00C04D6C" w:rsidP="00D819DE">
            <w:pPr>
              <w:jc w:val="both"/>
              <w:rPr>
                <w:rFonts w:ascii="Times New Roman" w:hAnsi="Times New Roman" w:cs="Times New Roman"/>
                <w:color w:val="000000"/>
                <w:sz w:val="24"/>
              </w:rPr>
            </w:pPr>
            <w:r w:rsidRPr="007F4CC8">
              <w:rPr>
                <w:rFonts w:ascii="Times New Roman" w:hAnsi="Times New Roman" w:cs="Times New Roman"/>
                <w:color w:val="000000"/>
                <w:sz w:val="24"/>
              </w:rPr>
              <w:t>EU e2</w:t>
            </w:r>
          </w:p>
          <w:p w:rsidR="00C04D6C" w:rsidRPr="007F4CC8" w:rsidRDefault="00C04D6C" w:rsidP="00D819DE">
            <w:pPr>
              <w:autoSpaceDE w:val="0"/>
              <w:autoSpaceDN w:val="0"/>
              <w:adjustRightInd w:val="0"/>
              <w:jc w:val="both"/>
              <w:rPr>
                <w:rFonts w:ascii="Times New Roman" w:hAnsi="Times New Roman" w:cs="Times New Roman"/>
                <w:sz w:val="24"/>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4D6C" w:rsidRPr="007F4CC8" w:rsidRDefault="00C04D6C" w:rsidP="00D819DE">
            <w:pPr>
              <w:autoSpaceDE w:val="0"/>
              <w:autoSpaceDN w:val="0"/>
              <w:adjustRightInd w:val="0"/>
              <w:spacing w:before="60" w:after="120"/>
              <w:jc w:val="both"/>
              <w:rPr>
                <w:rFonts w:ascii="Times New Roman" w:hAnsi="Times New Roman" w:cs="Times New Roman"/>
                <w:b/>
                <w:sz w:val="24"/>
                <w:u w:val="single"/>
              </w:rPr>
            </w:pPr>
            <w:r w:rsidRPr="007F4CC8">
              <w:rPr>
                <w:rFonts w:ascii="Times New Roman" w:hAnsi="Times New Roman" w:cs="Times New Roman"/>
                <w:b/>
                <w:sz w:val="24"/>
                <w:u w:val="single"/>
              </w:rPr>
              <w:t>Category level AVA - Investment and funding costs AVA</w:t>
            </w:r>
          </w:p>
          <w:p w:rsidR="00C04D6C" w:rsidRPr="007F4CC8" w:rsidRDefault="00C04D6C" w:rsidP="00D819DE">
            <w:pPr>
              <w:spacing w:beforeLines="60" w:before="144" w:afterLines="60" w:after="144"/>
              <w:rPr>
                <w:rFonts w:ascii="Times New Roman" w:hAnsi="Times New Roman" w:cs="Times New Roman"/>
                <w:caps/>
                <w:sz w:val="24"/>
                <w:u w:val="single"/>
              </w:rPr>
            </w:pPr>
            <w:r w:rsidRPr="007F4CC8">
              <w:rPr>
                <w:rFonts w:ascii="Times New Roman" w:hAnsi="Times New Roman" w:cs="Times New Roman"/>
                <w:sz w:val="24"/>
              </w:rPr>
              <w:t>Article 105(10) CRR, Article 13 of Commission Delegated Regulation (EU) 2016/101</w:t>
            </w:r>
          </w:p>
          <w:p w:rsidR="00C04D6C" w:rsidRPr="007F4CC8" w:rsidRDefault="00C04D6C" w:rsidP="00D819DE">
            <w:pPr>
              <w:spacing w:beforeLines="60" w:before="144" w:afterLines="60" w:after="144"/>
              <w:jc w:val="both"/>
              <w:rPr>
                <w:rFonts w:ascii="Times New Roman" w:hAnsi="Times New Roman" w:cs="Times New Roman"/>
                <w:b/>
                <w:sz w:val="24"/>
                <w:u w:val="single"/>
              </w:rPr>
            </w:pPr>
            <w:r w:rsidRPr="007F4CC8">
              <w:rPr>
                <w:rFonts w:ascii="Times New Roman" w:hAnsi="Times New Roman" w:cs="Times New Roman"/>
                <w:sz w:val="24"/>
              </w:rPr>
              <w:t>The total AVA for investing and funding costs and its allocation between market price uncertainty, close-out cost or model risk AVAs shall be determined in accordance with Article 13 of Commission Delegated Regulation (EU) 2016/101.</w:t>
            </w:r>
          </w:p>
        </w:tc>
      </w:tr>
      <w:tr w:rsidR="00C04D6C" w:rsidRPr="007F4CC8" w:rsidTr="00D819DE">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rsidR="00C04D6C" w:rsidRPr="007F4CC8" w:rsidRDefault="00C04D6C" w:rsidP="00D819DE">
            <w:pPr>
              <w:jc w:val="both"/>
              <w:rPr>
                <w:rFonts w:ascii="Times New Roman" w:hAnsi="Times New Roman" w:cs="Times New Roman"/>
                <w:color w:val="000000"/>
                <w:sz w:val="24"/>
              </w:rPr>
            </w:pPr>
            <w:r w:rsidRPr="007F4CC8">
              <w:rPr>
                <w:rFonts w:ascii="Times New Roman" w:hAnsi="Times New Roman" w:cs="Times New Roman"/>
                <w:color w:val="000000"/>
                <w:sz w:val="24"/>
              </w:rPr>
              <w:t>f</w:t>
            </w:r>
          </w:p>
          <w:p w:rsidR="00C04D6C" w:rsidRPr="007F4CC8" w:rsidRDefault="00C04D6C" w:rsidP="00D819DE">
            <w:pPr>
              <w:autoSpaceDE w:val="0"/>
              <w:autoSpaceDN w:val="0"/>
              <w:adjustRightInd w:val="0"/>
              <w:jc w:val="both"/>
              <w:rPr>
                <w:rFonts w:ascii="Times New Roman" w:hAnsi="Times New Roman" w:cs="Times New Roman"/>
                <w:sz w:val="24"/>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4D6C" w:rsidRPr="007F4CC8" w:rsidRDefault="00C04D6C" w:rsidP="00D819DE">
            <w:pPr>
              <w:autoSpaceDE w:val="0"/>
              <w:autoSpaceDN w:val="0"/>
              <w:adjustRightInd w:val="0"/>
              <w:spacing w:before="60" w:after="120"/>
              <w:jc w:val="both"/>
              <w:rPr>
                <w:rFonts w:ascii="Times New Roman" w:hAnsi="Times New Roman" w:cs="Times New Roman"/>
                <w:b/>
                <w:sz w:val="24"/>
                <w:u w:val="single"/>
              </w:rPr>
            </w:pPr>
            <w:r w:rsidRPr="007F4CC8">
              <w:rPr>
                <w:rFonts w:ascii="Times New Roman" w:hAnsi="Times New Roman" w:cs="Times New Roman"/>
                <w:b/>
                <w:sz w:val="24"/>
                <w:u w:val="single"/>
              </w:rPr>
              <w:t>Total category level post-diversification</w:t>
            </w:r>
          </w:p>
          <w:p w:rsidR="00C04D6C" w:rsidRPr="007F4CC8" w:rsidRDefault="00C04D6C" w:rsidP="00D819DE">
            <w:pPr>
              <w:autoSpaceDE w:val="0"/>
              <w:autoSpaceDN w:val="0"/>
              <w:adjustRightInd w:val="0"/>
              <w:spacing w:before="60" w:after="120"/>
              <w:jc w:val="both"/>
              <w:rPr>
                <w:rFonts w:ascii="Times New Roman" w:hAnsi="Times New Roman" w:cs="Times New Roman"/>
                <w:sz w:val="24"/>
              </w:rPr>
            </w:pPr>
            <w:r w:rsidRPr="007F4CC8">
              <w:rPr>
                <w:rFonts w:ascii="Times New Roman" w:hAnsi="Times New Roman" w:cs="Times New Roman"/>
                <w:sz w:val="24"/>
              </w:rPr>
              <w:t>For portfolios subject to the Core approach as set out in Chapter III of Commission Delegated Regulation (EU) 2016/101, the total category level post-diversification shall encompass the total AVAs computed in accordance with the Core approach for fair-valued assets and liabilities included in the threshold computation in accordance with Article 4(1) of Commission Delegated Regulation (EU) 2016/101. This includes the diversification benefits defined in accordance with Articles 9(6), 10(7) and 11(7) of Commission Delegated Regulation (EU) 2016/101.</w:t>
            </w:r>
          </w:p>
          <w:p w:rsidR="00C04D6C" w:rsidRPr="007F4CC8" w:rsidRDefault="00C04D6C" w:rsidP="00D819DE">
            <w:pPr>
              <w:autoSpaceDE w:val="0"/>
              <w:autoSpaceDN w:val="0"/>
              <w:adjustRightInd w:val="0"/>
              <w:spacing w:before="60" w:after="120"/>
              <w:jc w:val="both"/>
              <w:rPr>
                <w:rFonts w:ascii="Times New Roman" w:hAnsi="Times New Roman" w:cs="Times New Roman"/>
                <w:sz w:val="24"/>
              </w:rPr>
            </w:pPr>
            <w:r w:rsidRPr="007F4CC8">
              <w:rPr>
                <w:rFonts w:ascii="Times New Roman" w:hAnsi="Times New Roman" w:cs="Times New Roman"/>
                <w:sz w:val="24"/>
              </w:rPr>
              <w:t>The total AVA in row 12, column (f) of this template, shall include the amounts computed in accordance with point (b) sub-paragraphs (</w:t>
            </w:r>
            <w:proofErr w:type="spellStart"/>
            <w:r w:rsidRPr="007F4CC8">
              <w:rPr>
                <w:rFonts w:ascii="Times New Roman" w:hAnsi="Times New Roman" w:cs="Times New Roman"/>
                <w:sz w:val="24"/>
              </w:rPr>
              <w:t>i</w:t>
            </w:r>
            <w:proofErr w:type="spellEnd"/>
            <w:r w:rsidRPr="007F4CC8">
              <w:rPr>
                <w:rFonts w:ascii="Times New Roman" w:hAnsi="Times New Roman" w:cs="Times New Roman"/>
                <w:sz w:val="24"/>
              </w:rPr>
              <w:t>) to (iii) of Article 7 (2) of Delegated Regulation (EU) 2016/101, for portfolios subject to the Fall-back approach, if any.</w:t>
            </w:r>
          </w:p>
          <w:p w:rsidR="00C04D6C" w:rsidRPr="00CA31E6" w:rsidRDefault="00C04D6C" w:rsidP="00D819DE">
            <w:pPr>
              <w:autoSpaceDE w:val="0"/>
              <w:autoSpaceDN w:val="0"/>
              <w:adjustRightInd w:val="0"/>
              <w:spacing w:before="60" w:after="120"/>
              <w:jc w:val="both"/>
              <w:rPr>
                <w:rFonts w:ascii="Times New Roman" w:hAnsi="Times New Roman" w:cs="Times New Roman"/>
                <w:i/>
                <w:sz w:val="24"/>
              </w:rPr>
            </w:pPr>
            <w:r w:rsidRPr="00CA31E6">
              <w:rPr>
                <w:rFonts w:ascii="Times New Roman" w:hAnsi="Times New Roman" w:cs="Times New Roman"/>
                <w:sz w:val="24"/>
              </w:rPr>
              <w:t>For portfolios subject to the simplified approach as set out in Chapter II of the Delegated Regulation (EU) 2016/101 on prudent valuation, the total AVA included in row 12 of this template shall be the amount computed in accordance with Article 5 of this Chapter.</w:t>
            </w:r>
          </w:p>
        </w:tc>
      </w:tr>
      <w:tr w:rsidR="00C04D6C" w:rsidRPr="007F4CC8" w:rsidTr="00D819DE">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rsidR="00C04D6C" w:rsidRPr="007F4CC8" w:rsidRDefault="00C04D6C" w:rsidP="00D819DE">
            <w:pPr>
              <w:autoSpaceDE w:val="0"/>
              <w:autoSpaceDN w:val="0"/>
              <w:adjustRightInd w:val="0"/>
              <w:jc w:val="both"/>
              <w:rPr>
                <w:rFonts w:ascii="Times New Roman" w:hAnsi="Times New Roman" w:cs="Times New Roman"/>
                <w:sz w:val="24"/>
              </w:rPr>
            </w:pPr>
            <w:r w:rsidRPr="007F4CC8">
              <w:rPr>
                <w:rFonts w:ascii="Times New Roman" w:hAnsi="Times New Roman" w:cs="Times New Roman"/>
                <w:sz w:val="24"/>
              </w:rPr>
              <w:t>g</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4D6C" w:rsidRPr="007F4CC8" w:rsidRDefault="00C04D6C" w:rsidP="00D819DE">
            <w:pPr>
              <w:autoSpaceDE w:val="0"/>
              <w:autoSpaceDN w:val="0"/>
              <w:adjustRightInd w:val="0"/>
              <w:spacing w:before="60" w:after="120"/>
              <w:jc w:val="both"/>
              <w:rPr>
                <w:rFonts w:ascii="Times New Roman" w:hAnsi="Times New Roman" w:cs="Times New Roman"/>
                <w:b/>
                <w:sz w:val="24"/>
                <w:u w:val="single"/>
              </w:rPr>
            </w:pPr>
            <w:r w:rsidRPr="007F4CC8">
              <w:rPr>
                <w:rFonts w:ascii="Times New Roman" w:hAnsi="Times New Roman" w:cs="Times New Roman"/>
                <w:b/>
                <w:sz w:val="24"/>
                <w:u w:val="single"/>
              </w:rPr>
              <w:t>Of which: total core approach in the trading book</w:t>
            </w:r>
          </w:p>
          <w:p w:rsidR="00C04D6C" w:rsidRPr="007F4CC8" w:rsidRDefault="00C04D6C" w:rsidP="00D819DE">
            <w:pPr>
              <w:autoSpaceDE w:val="0"/>
              <w:autoSpaceDN w:val="0"/>
              <w:adjustRightInd w:val="0"/>
              <w:spacing w:before="60" w:after="120"/>
              <w:jc w:val="both"/>
              <w:rPr>
                <w:rFonts w:ascii="Times New Roman" w:hAnsi="Times New Roman" w:cs="Times New Roman"/>
                <w:sz w:val="24"/>
              </w:rPr>
            </w:pPr>
            <w:r w:rsidRPr="007F4CC8">
              <w:rPr>
                <w:rFonts w:ascii="Times New Roman" w:hAnsi="Times New Roman" w:cs="Times New Roman"/>
                <w:sz w:val="24"/>
              </w:rPr>
              <w:t xml:space="preserve">For each relevant category of AVAs, for portfolios subject to the Core approach as set out in Chapter III of Commission Delegated Regulation (EU) 2016/101, share of AVAs stemming from positions held in the 'trading book': all positions in financial instruments and commodities held by an </w:t>
            </w:r>
            <w:r w:rsidRPr="007F4CC8">
              <w:rPr>
                <w:rFonts w:ascii="Times New Roman" w:hAnsi="Times New Roman"/>
                <w:sz w:val="24"/>
              </w:rPr>
              <w:t xml:space="preserve">institution </w:t>
            </w:r>
            <w:r w:rsidRPr="007F4CC8">
              <w:rPr>
                <w:rFonts w:ascii="Times New Roman" w:hAnsi="Times New Roman"/>
                <w:sz w:val="24"/>
              </w:rPr>
              <w:lastRenderedPageBreak/>
              <w:t xml:space="preserve">with trading intent or </w:t>
            </w:r>
            <w:r w:rsidRPr="007F4CC8">
              <w:rPr>
                <w:rFonts w:ascii="Times New Roman" w:hAnsi="Times New Roman" w:cs="Times New Roman"/>
                <w:sz w:val="24"/>
              </w:rPr>
              <w:t xml:space="preserve">to hedge positions held with trading intent in accordance with Article 104 CRR. </w:t>
            </w:r>
          </w:p>
          <w:p w:rsidR="00C04D6C" w:rsidRPr="007F4CC8" w:rsidRDefault="00C04D6C" w:rsidP="00D819DE">
            <w:pPr>
              <w:autoSpaceDE w:val="0"/>
              <w:autoSpaceDN w:val="0"/>
              <w:adjustRightInd w:val="0"/>
              <w:spacing w:before="60" w:after="120"/>
              <w:jc w:val="both"/>
              <w:rPr>
                <w:rFonts w:ascii="Times New Roman" w:hAnsi="Times New Roman" w:cs="Times New Roman"/>
                <w:b/>
                <w:sz w:val="24"/>
                <w:u w:val="single"/>
              </w:rPr>
            </w:pPr>
            <w:r w:rsidRPr="007F4CC8">
              <w:rPr>
                <w:rFonts w:ascii="Times New Roman" w:hAnsi="Times New Roman" w:cs="Times New Roman"/>
                <w:sz w:val="24"/>
              </w:rPr>
              <w:t>The disclosed value shall include the diversification benefits defined in accordance with Articles 9(6), 10(7) and 11(7) of Commission Delegated Regulation (EU) 2016/101.</w:t>
            </w:r>
          </w:p>
        </w:tc>
      </w:tr>
      <w:tr w:rsidR="00C04D6C" w:rsidRPr="007F4CC8" w:rsidTr="00D819DE">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rsidR="00C04D6C" w:rsidRPr="007F4CC8" w:rsidRDefault="00C04D6C" w:rsidP="00D819DE">
            <w:pPr>
              <w:autoSpaceDE w:val="0"/>
              <w:autoSpaceDN w:val="0"/>
              <w:adjustRightInd w:val="0"/>
              <w:jc w:val="both"/>
              <w:rPr>
                <w:rFonts w:ascii="Times New Roman" w:hAnsi="Times New Roman" w:cs="Times New Roman"/>
                <w:sz w:val="24"/>
              </w:rPr>
            </w:pPr>
            <w:r w:rsidRPr="007F4CC8">
              <w:rPr>
                <w:rFonts w:ascii="Times New Roman" w:hAnsi="Times New Roman" w:cs="Times New Roman"/>
                <w:sz w:val="24"/>
              </w:rPr>
              <w:lastRenderedPageBreak/>
              <w:t>h</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4D6C" w:rsidRPr="007F4CC8" w:rsidRDefault="00C04D6C" w:rsidP="00D819DE">
            <w:pPr>
              <w:autoSpaceDE w:val="0"/>
              <w:autoSpaceDN w:val="0"/>
              <w:adjustRightInd w:val="0"/>
              <w:spacing w:before="60" w:after="120"/>
              <w:jc w:val="both"/>
              <w:rPr>
                <w:rFonts w:ascii="Times New Roman" w:hAnsi="Times New Roman" w:cs="Times New Roman"/>
                <w:b/>
                <w:sz w:val="24"/>
                <w:u w:val="single"/>
              </w:rPr>
            </w:pPr>
            <w:r w:rsidRPr="007F4CC8">
              <w:rPr>
                <w:rFonts w:ascii="Times New Roman" w:hAnsi="Times New Roman" w:cs="Times New Roman"/>
                <w:b/>
                <w:sz w:val="24"/>
                <w:u w:val="single"/>
              </w:rPr>
              <w:t>Of which: total core approach in the banking book</w:t>
            </w:r>
          </w:p>
          <w:p w:rsidR="00C04D6C" w:rsidRPr="007F4CC8" w:rsidRDefault="00C04D6C" w:rsidP="00D819DE">
            <w:pPr>
              <w:autoSpaceDE w:val="0"/>
              <w:autoSpaceDN w:val="0"/>
              <w:adjustRightInd w:val="0"/>
              <w:spacing w:before="60" w:after="120"/>
              <w:jc w:val="both"/>
              <w:rPr>
                <w:rFonts w:ascii="Times New Roman" w:hAnsi="Times New Roman" w:cs="Times New Roman"/>
                <w:color w:val="000000"/>
                <w:sz w:val="24"/>
              </w:rPr>
            </w:pPr>
            <w:r w:rsidRPr="007F4CC8">
              <w:rPr>
                <w:rFonts w:ascii="Times New Roman" w:hAnsi="Times New Roman" w:cs="Times New Roman"/>
                <w:sz w:val="24"/>
              </w:rPr>
              <w:t xml:space="preserve">For each relevant category of AVAs, for portfolios subject to the Core approach as set out in Chapter III of Commission Delegated Regulation (EU) 2016/101, share of AVAs stemming from </w:t>
            </w:r>
            <w:r w:rsidRPr="007F4CC8">
              <w:rPr>
                <w:rFonts w:ascii="Times New Roman" w:hAnsi="Times New Roman" w:cs="Times New Roman"/>
                <w:color w:val="000000"/>
                <w:sz w:val="24"/>
              </w:rPr>
              <w:t xml:space="preserve">fair-valued positions </w:t>
            </w:r>
            <w:r w:rsidRPr="007F4CC8">
              <w:rPr>
                <w:rFonts w:ascii="Times New Roman" w:hAnsi="Times New Roman" w:cs="Times New Roman"/>
                <w:sz w:val="24"/>
              </w:rPr>
              <w:t>in financial instruments and commodities</w:t>
            </w:r>
            <w:r w:rsidRPr="007F4CC8">
              <w:rPr>
                <w:rFonts w:ascii="Times New Roman" w:hAnsi="Times New Roman" w:cs="Times New Roman"/>
                <w:color w:val="000000"/>
                <w:sz w:val="24"/>
              </w:rPr>
              <w:t xml:space="preserve"> not held in the trading book</w:t>
            </w:r>
          </w:p>
          <w:p w:rsidR="00C04D6C" w:rsidRPr="007F4CC8" w:rsidRDefault="00C04D6C" w:rsidP="00D819DE">
            <w:pPr>
              <w:autoSpaceDE w:val="0"/>
              <w:autoSpaceDN w:val="0"/>
              <w:adjustRightInd w:val="0"/>
              <w:spacing w:before="60" w:after="120"/>
              <w:jc w:val="both"/>
              <w:rPr>
                <w:rFonts w:ascii="Times New Roman" w:hAnsi="Times New Roman" w:cs="Times New Roman"/>
                <w:sz w:val="24"/>
              </w:rPr>
            </w:pPr>
            <w:r w:rsidRPr="007F4CC8">
              <w:rPr>
                <w:rFonts w:ascii="Times New Roman" w:hAnsi="Times New Roman" w:cs="Times New Roman"/>
                <w:sz w:val="24"/>
              </w:rPr>
              <w:t>The disclosed value shall include the diversification benefits determined in accordance with Articles 9(6), 10(7) and 11(7) of Commission Delegated Regulation (EU) 2016/101.</w:t>
            </w:r>
          </w:p>
        </w:tc>
      </w:tr>
    </w:tbl>
    <w:p w:rsidR="004E3F4D" w:rsidRDefault="004E3F4D" w:rsidP="00C04D6C">
      <w:bookmarkStart w:id="0" w:name="_GoBack"/>
      <w:bookmarkEnd w:id="0"/>
    </w:p>
    <w:sectPr w:rsidR="004E3F4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B2B" w:rsidRDefault="00ED3B2B" w:rsidP="00C04D6C">
      <w:r>
        <w:separator/>
      </w:r>
    </w:p>
  </w:endnote>
  <w:endnote w:type="continuationSeparator" w:id="0">
    <w:p w:rsidR="00ED3B2B" w:rsidRDefault="00ED3B2B" w:rsidP="00C0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644917"/>
      <w:docPartObj>
        <w:docPartGallery w:val="Page Numbers (Bottom of Page)"/>
        <w:docPartUnique/>
      </w:docPartObj>
    </w:sdtPr>
    <w:sdtEndPr>
      <w:rPr>
        <w:noProof/>
      </w:rPr>
    </w:sdtEndPr>
    <w:sdtContent>
      <w:p w:rsidR="002C7922" w:rsidRDefault="002C7922">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2C7922" w:rsidRDefault="002C7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B2B" w:rsidRDefault="00ED3B2B" w:rsidP="00C04D6C">
      <w:r>
        <w:separator/>
      </w:r>
    </w:p>
  </w:footnote>
  <w:footnote w:type="continuationSeparator" w:id="0">
    <w:p w:rsidR="00ED3B2B" w:rsidRDefault="00ED3B2B" w:rsidP="00C04D6C">
      <w:r>
        <w:continuationSeparator/>
      </w:r>
    </w:p>
  </w:footnote>
  <w:footnote w:id="1">
    <w:p w:rsidR="00C04D6C" w:rsidRPr="00346640" w:rsidRDefault="00C04D6C" w:rsidP="00C04D6C">
      <w:pPr>
        <w:pStyle w:val="FootnoteText"/>
        <w:rPr>
          <w:rFonts w:eastAsia="Calibri" w:cstheme="minorHAnsi"/>
        </w:rPr>
      </w:pPr>
      <w:r w:rsidRPr="00346640">
        <w:rPr>
          <w:rStyle w:val="FootnoteReference"/>
          <w:rFonts w:cstheme="minorHAnsi"/>
          <w:lang w:val="en-GB"/>
        </w:rPr>
        <w:footnoteRef/>
      </w:r>
      <w:r w:rsidRPr="00346640">
        <w:rPr>
          <w:rFonts w:cstheme="minorHAnsi"/>
          <w:lang w:val="en-GB"/>
        </w:rPr>
        <w:t xml:space="preserve"> </w:t>
      </w:r>
      <w:r>
        <w:rPr>
          <w:rFonts w:cstheme="minorHAnsi"/>
          <w:lang w:val="en-GB"/>
        </w:rPr>
        <w:tab/>
      </w:r>
      <w:r w:rsidRPr="00346640">
        <w:rPr>
          <w:rFonts w:cstheme="minorHAnsi"/>
          <w:lang w:eastAsia="en-GB"/>
        </w:rPr>
        <w:t>Regulation (EU) No 575/2013 of the European Parliament and of the Council of 26 June 2013 on prudential requirements for credit institutions and investment firms and amending Regulation (EU) No 648/2012 (</w:t>
      </w:r>
      <w:hyperlink r:id="rId1" w:history="1">
        <w:r w:rsidRPr="00346640">
          <w:rPr>
            <w:rFonts w:cstheme="minorHAnsi"/>
            <w:color w:val="800080"/>
            <w:u w:val="single"/>
            <w:lang w:eastAsia="en-GB"/>
          </w:rPr>
          <w:t>OJ L 176, 27.6.2013, p. 1</w:t>
        </w:r>
      </w:hyperlink>
      <w:r w:rsidRPr="00346640">
        <w:rPr>
          <w:rFonts w:cstheme="minorHAnsi"/>
          <w:lang w:eastAsia="en-GB"/>
        </w:rPr>
        <w:t>).</w:t>
      </w:r>
    </w:p>
  </w:footnote>
  <w:footnote w:id="2">
    <w:p w:rsidR="00C04D6C" w:rsidRPr="00BB5993" w:rsidRDefault="00C04D6C" w:rsidP="00C04D6C">
      <w:pPr>
        <w:pStyle w:val="FootnoteText"/>
        <w:rPr>
          <w:rFonts w:cstheme="minorHAnsi"/>
        </w:rPr>
      </w:pPr>
      <w:r w:rsidRPr="00346640">
        <w:rPr>
          <w:rStyle w:val="FootnoteReference"/>
          <w:rFonts w:cstheme="minorHAnsi"/>
        </w:rPr>
        <w:footnoteRef/>
      </w:r>
      <w:r w:rsidRPr="00BB5993">
        <w:rPr>
          <w:rFonts w:cstheme="minorHAnsi"/>
        </w:rPr>
        <w:t xml:space="preserve"> </w:t>
      </w:r>
      <w:r>
        <w:rPr>
          <w:rFonts w:cstheme="minorHAnsi"/>
        </w:rPr>
        <w:tab/>
      </w:r>
      <w:r w:rsidRPr="00346640">
        <w:rPr>
          <w:rFonts w:cstheme="minorHAnsi"/>
        </w:rPr>
        <w:t>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 (OJ L 182, 29.6.2013, p. 19)</w:t>
      </w:r>
      <w:r w:rsidRPr="00BB5993">
        <w:rPr>
          <w:rFonts w:cstheme="minorHAnsi"/>
        </w:rPr>
        <w:t>.</w:t>
      </w:r>
    </w:p>
  </w:footnote>
  <w:footnote w:id="3">
    <w:p w:rsidR="00C04D6C" w:rsidRPr="00222AAB" w:rsidRDefault="00C04D6C" w:rsidP="00C04D6C">
      <w:pPr>
        <w:pStyle w:val="FootnoteText"/>
        <w:rPr>
          <w:rFonts w:cstheme="minorHAnsi"/>
        </w:rPr>
      </w:pPr>
      <w:r w:rsidRPr="00346640">
        <w:rPr>
          <w:rStyle w:val="FootnoteReference"/>
          <w:rFonts w:cstheme="minorHAnsi"/>
        </w:rPr>
        <w:footnoteRef/>
      </w:r>
      <w:r w:rsidRPr="00BB5993">
        <w:rPr>
          <w:rFonts w:cstheme="minorHAnsi"/>
        </w:rPr>
        <w:t xml:space="preserve"> </w:t>
      </w:r>
      <w:r>
        <w:rPr>
          <w:rFonts w:cstheme="minorHAnsi"/>
        </w:rPr>
        <w:tab/>
      </w:r>
      <w:r w:rsidRPr="00BB5993">
        <w:rPr>
          <w:rFonts w:cstheme="minorHAnsi"/>
        </w:rPr>
        <w:t>REGULATION (EC) No 1606/2002 OF THE EUROPEAN PARLIAMENT AND OF THE COUNCIL of 19 July 2002 on the application of international accounting standards (OJ L</w:t>
      </w:r>
      <w:r w:rsidRPr="00222AAB">
        <w:rPr>
          <w:rFonts w:cstheme="minorHAnsi"/>
        </w:rPr>
        <w:t xml:space="preserve"> 243, 11.9.2002, p. 1).</w:t>
      </w:r>
    </w:p>
  </w:footnote>
  <w:footnote w:id="4">
    <w:p w:rsidR="00C04D6C" w:rsidRPr="00222AAB" w:rsidRDefault="00C04D6C" w:rsidP="00C04D6C">
      <w:pPr>
        <w:pStyle w:val="FootnoteText"/>
        <w:rPr>
          <w:rFonts w:cstheme="minorHAnsi"/>
        </w:rPr>
      </w:pPr>
      <w:r w:rsidRPr="00346640">
        <w:rPr>
          <w:rStyle w:val="FootnoteReference"/>
          <w:rFonts w:cstheme="minorHAnsi"/>
        </w:rPr>
        <w:footnoteRef/>
      </w:r>
      <w:r w:rsidRPr="00BB5993">
        <w:rPr>
          <w:rFonts w:cstheme="minorHAnsi"/>
        </w:rPr>
        <w:t xml:space="preserve"> </w:t>
      </w:r>
      <w:r>
        <w:rPr>
          <w:rFonts w:cstheme="minorHAnsi"/>
        </w:rPr>
        <w:tab/>
      </w:r>
      <w:r w:rsidRPr="00BB5993">
        <w:rPr>
          <w:rFonts w:cstheme="minorHAnsi"/>
        </w:rPr>
        <w:t>COUNCIL DIRECTIVE 86/635/EEC</w:t>
      </w:r>
      <w:r w:rsidRPr="00222AAB">
        <w:rPr>
          <w:rFonts w:cstheme="minorHAnsi"/>
        </w:rPr>
        <w:t xml:space="preserve"> of 8 December 1986 on the annual accounts and consolidated accounts of banks and other financial institutions (OJ L 372, 31.12.1986, p. 1).</w:t>
      </w:r>
    </w:p>
  </w:footnote>
  <w:footnote w:id="5">
    <w:p w:rsidR="00C04D6C" w:rsidRPr="00222AAB" w:rsidRDefault="00C04D6C" w:rsidP="00C04D6C">
      <w:pPr>
        <w:pStyle w:val="FootnoteText"/>
        <w:rPr>
          <w:rFonts w:cstheme="minorHAnsi"/>
        </w:rPr>
      </w:pPr>
      <w:r w:rsidRPr="00346640">
        <w:rPr>
          <w:rStyle w:val="FootnoteReference"/>
          <w:rFonts w:cstheme="minorHAnsi"/>
        </w:rPr>
        <w:footnoteRef/>
      </w:r>
      <w:r w:rsidRPr="00BB5993">
        <w:rPr>
          <w:rFonts w:cstheme="minorHAnsi"/>
        </w:rPr>
        <w:t xml:space="preserve"> </w:t>
      </w:r>
      <w:r>
        <w:rPr>
          <w:rFonts w:cstheme="minorHAnsi"/>
        </w:rPr>
        <w:tab/>
      </w:r>
      <w:r w:rsidRPr="00BB5993">
        <w:rPr>
          <w:rFonts w:cstheme="minorHAnsi"/>
        </w:rPr>
        <w:t>COMMISSION DELEGATED REGULATION (EU) No 183/2014 of 20 December 2013 supplementing Regulation (EU) No 575/2013 of the European Parliament and of the Council on prudential requirements for credit institutions and investment firms, with regard to regulatory technical standards for specifying the calculation of specific and general credit risk adjustments (OJ L 57</w:t>
      </w:r>
      <w:r w:rsidRPr="00222AAB">
        <w:rPr>
          <w:rFonts w:cstheme="minorHAnsi"/>
        </w:rPr>
        <w:t>, 27.2.2014, p. 3).</w:t>
      </w:r>
    </w:p>
  </w:footnote>
  <w:footnote w:id="6">
    <w:p w:rsidR="00C04D6C" w:rsidRPr="00222AAB" w:rsidRDefault="00C04D6C" w:rsidP="00C04D6C">
      <w:pPr>
        <w:pStyle w:val="FootnoteText"/>
        <w:rPr>
          <w:rFonts w:cstheme="minorHAnsi"/>
        </w:rPr>
      </w:pPr>
      <w:r w:rsidRPr="00346640">
        <w:rPr>
          <w:rStyle w:val="FootnoteReference"/>
          <w:rFonts w:cstheme="minorHAnsi"/>
        </w:rPr>
        <w:footnoteRef/>
      </w:r>
      <w:r w:rsidRPr="00BB5993">
        <w:rPr>
          <w:rFonts w:cstheme="minorHAnsi"/>
        </w:rPr>
        <w:t xml:space="preserve"> </w:t>
      </w:r>
      <w:r>
        <w:rPr>
          <w:rFonts w:cstheme="minorHAnsi"/>
        </w:rPr>
        <w:tab/>
      </w:r>
      <w:r w:rsidRPr="00BB5993">
        <w:rPr>
          <w:rFonts w:cstheme="minorHAnsi"/>
        </w:rPr>
        <w:t>COMMISSION DELEGATED REGULATION (EU) 2016/101 of 26 October 2015 supplementing Regulation (EU) No 575/2013 of the European Parliament and of the Council with regard to regulatory technical standards for prudent valuation under Article 105(14) (OJ L 21</w:t>
      </w:r>
      <w:r w:rsidRPr="00222AAB">
        <w:rPr>
          <w:rFonts w:cstheme="minorHAnsi"/>
        </w:rPr>
        <w:t>, 28.1.2016, p. 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C3F8F"/>
    <w:multiLevelType w:val="hybridMultilevel"/>
    <w:tmpl w:val="2AD46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4767C0"/>
    <w:multiLevelType w:val="hybridMultilevel"/>
    <w:tmpl w:val="06983DA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330FC"/>
    <w:rsid w:val="002C7922"/>
    <w:rsid w:val="003330FC"/>
    <w:rsid w:val="004E3F4D"/>
    <w:rsid w:val="00C04D6C"/>
    <w:rsid w:val="00ED3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BC9D5"/>
  <w15:chartTrackingRefBased/>
  <w15:docId w15:val="{CFE64EB4-385B-4000-BE3C-E0F42091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D6C"/>
    <w:pPr>
      <w:spacing w:after="0" w:line="240" w:lineRule="auto"/>
    </w:pPr>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qFormat/>
    <w:rsid w:val="00C04D6C"/>
    <w:pPr>
      <w:spacing w:before="80" w:line="200" w:lineRule="exact"/>
      <w:ind w:left="567" w:hanging="567"/>
      <w:jc w:val="both"/>
    </w:pPr>
    <w:rPr>
      <w:sz w:val="18"/>
      <w:szCs w:val="18"/>
      <w:lang w:val="en-US"/>
    </w:rPr>
  </w:style>
  <w:style w:type="character" w:customStyle="1" w:styleId="FootnoteTextChar">
    <w:name w:val="Footnote Text Char"/>
    <w:basedOn w:val="DefaultParagraphFont"/>
    <w:link w:val="FootnoteText"/>
    <w:rsid w:val="00C04D6C"/>
    <w:rPr>
      <w:rFonts w:eastAsiaTheme="minorEastAsia"/>
      <w:sz w:val="18"/>
      <w:szCs w:val="18"/>
      <w:lang w:val="en-US"/>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uiPriority w:val="99"/>
    <w:qFormat/>
    <w:rsid w:val="00C04D6C"/>
    <w:rPr>
      <w:rFonts w:asciiTheme="minorHAnsi" w:hAnsiTheme="minorHAnsi"/>
      <w:sz w:val="22"/>
      <w:szCs w:val="18"/>
      <w:vertAlign w:val="superscript"/>
    </w:rPr>
  </w:style>
  <w:style w:type="character" w:styleId="Hyperlink">
    <w:name w:val="Hyperlink"/>
    <w:basedOn w:val="DefaultParagraphFont"/>
    <w:uiPriority w:val="99"/>
    <w:rsid w:val="00C04D6C"/>
    <w:rPr>
      <w:color w:val="0563C1" w:themeColor="hyperlink"/>
      <w:u w:val="single"/>
    </w:rPr>
  </w:style>
  <w:style w:type="paragraph" w:customStyle="1" w:styleId="Default">
    <w:name w:val="Default"/>
    <w:rsid w:val="00C04D6C"/>
    <w:pPr>
      <w:autoSpaceDE w:val="0"/>
      <w:autoSpaceDN w:val="0"/>
      <w:adjustRightInd w:val="0"/>
      <w:spacing w:after="0" w:line="240" w:lineRule="auto"/>
    </w:pPr>
    <w:rPr>
      <w:rFonts w:ascii="Calibri" w:hAnsi="Calibri" w:cs="Calibri"/>
      <w:color w:val="000000"/>
      <w:sz w:val="24"/>
      <w:szCs w:val="24"/>
    </w:rPr>
  </w:style>
  <w:style w:type="paragraph" w:customStyle="1" w:styleId="Annexetitre">
    <w:name w:val="Annexe titre"/>
    <w:basedOn w:val="Normal"/>
    <w:next w:val="Normal"/>
    <w:rsid w:val="00C04D6C"/>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Normal"/>
    <w:rsid w:val="00C04D6C"/>
    <w:pPr>
      <w:spacing w:before="480" w:after="120"/>
      <w:jc w:val="both"/>
    </w:pPr>
    <w:rPr>
      <w:rFonts w:ascii="Times New Roman" w:eastAsia="Times New Roman" w:hAnsi="Times New Roman" w:cs="Times New Roman"/>
      <w:sz w:val="24"/>
    </w:rPr>
  </w:style>
  <w:style w:type="paragraph" w:styleId="ListParagraph">
    <w:name w:val="List Paragraph"/>
    <w:basedOn w:val="Normal"/>
    <w:uiPriority w:val="34"/>
    <w:qFormat/>
    <w:rsid w:val="00C04D6C"/>
    <w:pPr>
      <w:ind w:left="720"/>
    </w:pPr>
    <w:rPr>
      <w:rFonts w:ascii="Calibri" w:eastAsia="Calibri" w:hAnsi="Calibri" w:cs="Times New Roman"/>
      <w:szCs w:val="22"/>
    </w:rPr>
  </w:style>
  <w:style w:type="paragraph" w:customStyle="1" w:styleId="TableMainHeading">
    <w:name w:val="TableMainHeading"/>
    <w:basedOn w:val="Normal"/>
    <w:next w:val="Normal"/>
    <w:uiPriority w:val="99"/>
    <w:rsid w:val="00C04D6C"/>
    <w:pPr>
      <w:spacing w:before="120" w:after="120"/>
    </w:pPr>
    <w:rPr>
      <w:rFonts w:ascii="Segoe UI" w:eastAsia="Times New Roman" w:hAnsi="Segoe UI" w:cs="Times New Roman"/>
      <w:szCs w:val="20"/>
    </w:rPr>
  </w:style>
  <w:style w:type="paragraph" w:customStyle="1" w:styleId="TableTitle">
    <w:name w:val="TableTitle"/>
    <w:basedOn w:val="Normal"/>
    <w:next w:val="Normal"/>
    <w:link w:val="TableTitleChar"/>
    <w:rsid w:val="00C04D6C"/>
    <w:pPr>
      <w:keepNext/>
      <w:spacing w:before="120" w:after="240"/>
      <w:jc w:val="center"/>
    </w:pPr>
    <w:rPr>
      <w:rFonts w:ascii="Arial" w:eastAsia="MS Mincho" w:hAnsi="Arial" w:cs="Times New Roman"/>
      <w:b/>
      <w:noProof/>
      <w:szCs w:val="20"/>
    </w:rPr>
  </w:style>
  <w:style w:type="character" w:customStyle="1" w:styleId="TableTitleChar">
    <w:name w:val="TableTitle Char"/>
    <w:basedOn w:val="DefaultParagraphFont"/>
    <w:link w:val="TableTitle"/>
    <w:locked/>
    <w:rsid w:val="00C04D6C"/>
    <w:rPr>
      <w:rFonts w:ascii="Arial" w:eastAsia="MS Mincho" w:hAnsi="Arial" w:cs="Times New Roman"/>
      <w:b/>
      <w:noProof/>
      <w:szCs w:val="20"/>
    </w:rPr>
  </w:style>
  <w:style w:type="character" w:customStyle="1" w:styleId="InstructionsTabelleberschrift">
    <w:name w:val="Instructions Tabelle Überschrift"/>
    <w:qFormat/>
    <w:rsid w:val="00C04D6C"/>
    <w:rPr>
      <w:rFonts w:ascii="Verdana" w:hAnsi="Verdana" w:cs="Times New Roman"/>
      <w:b/>
      <w:bCs/>
      <w:sz w:val="20"/>
      <w:u w:val="single"/>
    </w:rPr>
  </w:style>
  <w:style w:type="paragraph" w:styleId="Header">
    <w:name w:val="header"/>
    <w:basedOn w:val="Normal"/>
    <w:link w:val="HeaderChar"/>
    <w:uiPriority w:val="99"/>
    <w:unhideWhenUsed/>
    <w:rsid w:val="002C7922"/>
    <w:pPr>
      <w:tabs>
        <w:tab w:val="center" w:pos="4513"/>
        <w:tab w:val="right" w:pos="9026"/>
      </w:tabs>
    </w:pPr>
  </w:style>
  <w:style w:type="character" w:customStyle="1" w:styleId="HeaderChar">
    <w:name w:val="Header Char"/>
    <w:basedOn w:val="DefaultParagraphFont"/>
    <w:link w:val="Header"/>
    <w:uiPriority w:val="99"/>
    <w:rsid w:val="002C7922"/>
    <w:rPr>
      <w:rFonts w:eastAsiaTheme="minorEastAsia"/>
      <w:szCs w:val="24"/>
    </w:rPr>
  </w:style>
  <w:style w:type="paragraph" w:styleId="Footer">
    <w:name w:val="footer"/>
    <w:basedOn w:val="Normal"/>
    <w:link w:val="FooterChar"/>
    <w:uiPriority w:val="99"/>
    <w:unhideWhenUsed/>
    <w:rsid w:val="002C7922"/>
    <w:pPr>
      <w:tabs>
        <w:tab w:val="center" w:pos="4513"/>
        <w:tab w:val="right" w:pos="9026"/>
      </w:tabs>
    </w:pPr>
  </w:style>
  <w:style w:type="character" w:customStyle="1" w:styleId="FooterChar">
    <w:name w:val="Footer Char"/>
    <w:basedOn w:val="DefaultParagraphFont"/>
    <w:link w:val="Footer"/>
    <w:uiPriority w:val="99"/>
    <w:rsid w:val="002C7922"/>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AUTO/?uri=OJ:L:2013:176: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3872</Words>
  <Characters>22073</Characters>
  <Application>Microsoft Office Word</Application>
  <DocSecurity>0</DocSecurity>
  <Lines>183</Lines>
  <Paragraphs>51</Paragraphs>
  <ScaleCrop>false</ScaleCrop>
  <Company>European Banking Authority</Company>
  <LinksUpToDate>false</LinksUpToDate>
  <CharactersWithSpaces>25894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Teodora Chilan</dc:creator>
  <cp:keywords/>
  <dc:description/>
  <cp:lastModifiedBy>Andreea Teodora Chilan</cp:lastModifiedBy>
  <cp:revision>3</cp:revision>
  <dcterms:created xsi:type="dcterms:W3CDTF">2021-03-11T11:51:00Z</dcterms:created>
  <dcterms:modified xsi:type="dcterms:W3CDTF">2021-03-11T11:51:00Z</dcterms:modified>
</cp:coreProperties>
</file>