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E3943" w14:textId="2F47723D" w:rsidR="0005278F" w:rsidRPr="00BC439A" w:rsidRDefault="0005278F" w:rsidP="0005278F">
      <w:pPr>
        <w:pStyle w:val="Annexetitre"/>
        <w:spacing w:before="0"/>
      </w:pPr>
      <w:r w:rsidRPr="00BC439A">
        <w:t>ANNEX XX – Instructions regarding disclosure of the use of the credit risk standardised approach (excluding counterparty credit risk and securitisation positions)</w:t>
      </w:r>
    </w:p>
    <w:p w14:paraId="137E3944" w14:textId="77777777" w:rsidR="0005278F" w:rsidRPr="00BC439A" w:rsidRDefault="0005278F" w:rsidP="0005278F">
      <w:pPr>
        <w:spacing w:after="120"/>
        <w:rPr>
          <w:rFonts w:ascii="Times New Roman" w:hAnsi="Times New Roman" w:cs="Times New Roman"/>
          <w:sz w:val="24"/>
        </w:rPr>
      </w:pPr>
    </w:p>
    <w:p w14:paraId="137E3945" w14:textId="67437BFC" w:rsidR="0005278F" w:rsidRPr="00BC439A" w:rsidRDefault="0005278F" w:rsidP="0005278F">
      <w:pPr>
        <w:pStyle w:val="ListParagraph"/>
        <w:numPr>
          <w:ilvl w:val="0"/>
          <w:numId w:val="1"/>
        </w:numPr>
        <w:spacing w:after="120"/>
        <w:ind w:left="425" w:hanging="357"/>
        <w:jc w:val="both"/>
        <w:rPr>
          <w:rFonts w:ascii="Times New Roman" w:hAnsi="Times New Roman"/>
          <w:sz w:val="24"/>
        </w:rPr>
      </w:pPr>
      <w:r w:rsidRPr="00BC439A">
        <w:rPr>
          <w:rFonts w:ascii="Times New Roman" w:hAnsi="Times New Roman"/>
          <w:sz w:val="24"/>
        </w:rPr>
        <w:t xml:space="preserve">Instruments subject to Chapter 6 of Title II of Part Three </w:t>
      </w:r>
      <w:r w:rsidR="00166E0C">
        <w:rPr>
          <w:rFonts w:ascii="Times New Roman" w:hAnsi="Times New Roman"/>
          <w:sz w:val="24"/>
        </w:rPr>
        <w:t xml:space="preserve">of </w:t>
      </w:r>
      <w:r w:rsidR="00166E0C" w:rsidRPr="00BC439A">
        <w:rPr>
          <w:rFonts w:ascii="Times New Roman" w:hAnsi="Times New Roman"/>
          <w:sz w:val="24"/>
        </w:rPr>
        <w:t>Regulation (EU) 575/2013</w:t>
      </w:r>
      <w:r w:rsidR="002C4FA7">
        <w:rPr>
          <w:rFonts w:ascii="Times New Roman" w:hAnsi="Times New Roman"/>
          <w:sz w:val="24"/>
        </w:rPr>
        <w:t xml:space="preserve"> (‘CRR’)</w:t>
      </w:r>
      <w:r w:rsidR="00166E0C" w:rsidRPr="00BC439A">
        <w:rPr>
          <w:rStyle w:val="FootnoteReference"/>
          <w:rFonts w:ascii="Times New Roman" w:hAnsi="Times New Roman"/>
        </w:rPr>
        <w:footnoteReference w:id="2"/>
      </w:r>
      <w:r w:rsidR="00166E0C" w:rsidRPr="00BC439A">
        <w:rPr>
          <w:rFonts w:ascii="Times New Roman" w:hAnsi="Times New Roman"/>
          <w:sz w:val="24"/>
        </w:rPr>
        <w:t xml:space="preserve"> </w:t>
      </w:r>
      <w:r w:rsidRPr="00BC439A">
        <w:rPr>
          <w:rFonts w:ascii="Times New Roman" w:hAnsi="Times New Roman"/>
          <w:sz w:val="24"/>
        </w:rPr>
        <w:t xml:space="preserve">(exposures to CCR), as well as instruments to which the requirements in Chapter 5 of Title II of Part Three </w:t>
      </w:r>
      <w:r w:rsidR="00166E0C">
        <w:rPr>
          <w:rFonts w:ascii="Times New Roman" w:hAnsi="Times New Roman"/>
          <w:sz w:val="24"/>
        </w:rPr>
        <w:t xml:space="preserve">of </w:t>
      </w:r>
      <w:r w:rsidR="00166E0C" w:rsidRPr="00BC439A">
        <w:rPr>
          <w:rFonts w:ascii="Times New Roman" w:hAnsi="Times New Roman"/>
          <w:sz w:val="24"/>
        </w:rPr>
        <w:t xml:space="preserve">Regulation (EU) 575/2013 </w:t>
      </w:r>
      <w:r w:rsidRPr="00BC439A">
        <w:rPr>
          <w:rFonts w:ascii="Times New Roman" w:hAnsi="Times New Roman"/>
          <w:sz w:val="24"/>
        </w:rPr>
        <w:t>(securitisation exposures) apply, are not covered by the templates for which instructions are provided in this Annex.</w:t>
      </w:r>
    </w:p>
    <w:p w14:paraId="137E3946" w14:textId="77777777" w:rsidR="0005278F" w:rsidRPr="00BC439A" w:rsidRDefault="0005278F" w:rsidP="0005278F">
      <w:pPr>
        <w:spacing w:after="120"/>
        <w:rPr>
          <w:rFonts w:ascii="Times New Roman" w:hAnsi="Times New Roman" w:cs="Times New Roman"/>
          <w:b/>
          <w:sz w:val="24"/>
        </w:rPr>
      </w:pPr>
      <w:r w:rsidRPr="00BC439A">
        <w:rPr>
          <w:rFonts w:ascii="Times New Roman" w:hAnsi="Times New Roman" w:cs="Times New Roman"/>
          <w:b/>
          <w:sz w:val="24"/>
        </w:rPr>
        <w:t xml:space="preserve">Table EU CRD – Qualitative disclosure requirements related to standardised approach. </w:t>
      </w:r>
      <w:r w:rsidRPr="00BC439A">
        <w:rPr>
          <w:rFonts w:ascii="Times New Roman" w:hAnsi="Times New Roman" w:cs="Times New Roman"/>
          <w:sz w:val="24"/>
        </w:rPr>
        <w:t>Flexible format</w:t>
      </w:r>
    </w:p>
    <w:p w14:paraId="137E3947" w14:textId="5594AA8B" w:rsidR="0005278F" w:rsidRPr="00BC439A" w:rsidRDefault="0005278F" w:rsidP="0005278F">
      <w:pPr>
        <w:pStyle w:val="ListParagraph"/>
        <w:numPr>
          <w:ilvl w:val="0"/>
          <w:numId w:val="1"/>
        </w:numPr>
        <w:spacing w:after="120"/>
        <w:ind w:left="425" w:hanging="357"/>
        <w:jc w:val="both"/>
        <w:rPr>
          <w:rFonts w:ascii="Times New Roman" w:hAnsi="Times New Roman"/>
          <w:sz w:val="24"/>
        </w:rPr>
      </w:pPr>
      <w:r w:rsidRPr="00BC439A">
        <w:rPr>
          <w:rFonts w:ascii="Times New Roman" w:hAnsi="Times New Roman"/>
          <w:sz w:val="24"/>
        </w:rPr>
        <w:t xml:space="preserve">Institutions shall disclose the information referred to in points (a) to (d) of Article 444 of Regulation (EU) 575/2013 by following the instructions provided below in this Annex to complete table EU CRD which is presented in Annex XIX </w:t>
      </w:r>
      <w:r w:rsidR="00241526">
        <w:rPr>
          <w:rFonts w:ascii="Times New Roman" w:hAnsi="Times New Roman"/>
          <w:sz w:val="24"/>
        </w:rPr>
        <w:t>of the EBA IT solutions</w:t>
      </w:r>
      <w:r w:rsidRPr="00BC439A">
        <w:rPr>
          <w:rFonts w:ascii="Times New Roman" w:hAnsi="Times New Roman"/>
          <w:sz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654"/>
      </w:tblGrid>
      <w:tr w:rsidR="0005278F" w:rsidRPr="00BC439A" w14:paraId="137E394B" w14:textId="77777777" w:rsidTr="004F3087">
        <w:trPr>
          <w:trHeight w:val="278"/>
        </w:trPr>
        <w:tc>
          <w:tcPr>
            <w:tcW w:w="1413" w:type="dxa"/>
            <w:vMerge w:val="restart"/>
            <w:tcBorders>
              <w:top w:val="single" w:sz="4" w:space="0" w:color="auto"/>
              <w:left w:val="single" w:sz="4" w:space="0" w:color="auto"/>
              <w:right w:val="single" w:sz="4" w:space="0" w:color="auto"/>
            </w:tcBorders>
            <w:shd w:val="clear" w:color="auto" w:fill="D9D9D9" w:themeFill="background1" w:themeFillShade="D9"/>
          </w:tcPr>
          <w:p w14:paraId="137E3948" w14:textId="77777777" w:rsidR="0005278F" w:rsidRPr="00BC439A" w:rsidRDefault="0005278F" w:rsidP="004F3087">
            <w:pPr>
              <w:autoSpaceDE w:val="0"/>
              <w:autoSpaceDN w:val="0"/>
              <w:adjustRightInd w:val="0"/>
              <w:spacing w:after="120"/>
              <w:rPr>
                <w:rFonts w:ascii="Times New Roman" w:hAnsi="Times New Roman" w:cs="Times New Roman"/>
                <w:b/>
                <w:sz w:val="24"/>
              </w:rPr>
            </w:pPr>
            <w:r w:rsidRPr="00BC439A">
              <w:rPr>
                <w:rFonts w:ascii="Times New Roman" w:hAnsi="Times New Roman" w:cs="Times New Roman"/>
                <w:b/>
                <w:sz w:val="24"/>
              </w:rPr>
              <w:t>Row</w:t>
            </w:r>
          </w:p>
          <w:p w14:paraId="137E3949" w14:textId="77777777" w:rsidR="0005278F" w:rsidRPr="00BC439A" w:rsidRDefault="0005278F" w:rsidP="004F3087">
            <w:pPr>
              <w:autoSpaceDE w:val="0"/>
              <w:autoSpaceDN w:val="0"/>
              <w:adjustRightInd w:val="0"/>
              <w:spacing w:after="120"/>
              <w:rPr>
                <w:rFonts w:ascii="Times New Roman" w:hAnsi="Times New Roman" w:cs="Times New Roman"/>
                <w:b/>
                <w:sz w:val="24"/>
              </w:rPr>
            </w:pPr>
            <w:r w:rsidRPr="00BC439A">
              <w:rPr>
                <w:rFonts w:ascii="Times New Roman" w:hAnsi="Times New Roman" w:cs="Times New Roman"/>
                <w:b/>
                <w:sz w:val="24"/>
              </w:rPr>
              <w:t>reference</w:t>
            </w:r>
          </w:p>
        </w:tc>
        <w:tc>
          <w:tcPr>
            <w:tcW w:w="7654" w:type="dxa"/>
            <w:tcBorders>
              <w:top w:val="single" w:sz="4" w:space="0" w:color="auto"/>
              <w:left w:val="single" w:sz="4" w:space="0" w:color="auto"/>
              <w:right w:val="single" w:sz="4" w:space="0" w:color="auto"/>
            </w:tcBorders>
            <w:shd w:val="clear" w:color="auto" w:fill="D9D9D9" w:themeFill="background1" w:themeFillShade="D9"/>
          </w:tcPr>
          <w:p w14:paraId="137E394A" w14:textId="77777777" w:rsidR="0005278F" w:rsidRPr="00BC439A" w:rsidRDefault="0005278F" w:rsidP="004F3087">
            <w:pPr>
              <w:spacing w:after="120"/>
              <w:rPr>
                <w:rFonts w:ascii="Times New Roman" w:hAnsi="Times New Roman" w:cs="Times New Roman"/>
                <w:b/>
                <w:sz w:val="24"/>
              </w:rPr>
            </w:pPr>
            <w:r w:rsidRPr="00BC439A">
              <w:rPr>
                <w:rFonts w:ascii="Times New Roman" w:hAnsi="Times New Roman" w:cs="Times New Roman"/>
                <w:b/>
                <w:sz w:val="24"/>
              </w:rPr>
              <w:t>Legal reference and instructions</w:t>
            </w:r>
          </w:p>
        </w:tc>
      </w:tr>
      <w:tr w:rsidR="0005278F" w:rsidRPr="00BC439A" w14:paraId="137E394E" w14:textId="77777777" w:rsidTr="004F3087">
        <w:trPr>
          <w:trHeight w:val="277"/>
        </w:trPr>
        <w:tc>
          <w:tcPr>
            <w:tcW w:w="1413" w:type="dxa"/>
            <w:vMerge/>
            <w:tcBorders>
              <w:left w:val="single" w:sz="4" w:space="0" w:color="auto"/>
              <w:right w:val="single" w:sz="4" w:space="0" w:color="auto"/>
            </w:tcBorders>
            <w:shd w:val="clear" w:color="auto" w:fill="D9D9D9" w:themeFill="background1" w:themeFillShade="D9"/>
          </w:tcPr>
          <w:p w14:paraId="137E394C" w14:textId="77777777" w:rsidR="0005278F" w:rsidRPr="00BC439A" w:rsidRDefault="0005278F" w:rsidP="004F3087">
            <w:pPr>
              <w:autoSpaceDE w:val="0"/>
              <w:autoSpaceDN w:val="0"/>
              <w:adjustRightInd w:val="0"/>
              <w:spacing w:after="120"/>
              <w:rPr>
                <w:rFonts w:ascii="Times New Roman" w:hAnsi="Times New Roman" w:cs="Times New Roman"/>
                <w:b/>
                <w:sz w:val="24"/>
              </w:rPr>
            </w:pPr>
          </w:p>
        </w:tc>
        <w:tc>
          <w:tcPr>
            <w:tcW w:w="7654" w:type="dxa"/>
            <w:tcBorders>
              <w:top w:val="single" w:sz="4" w:space="0" w:color="auto"/>
              <w:left w:val="single" w:sz="4" w:space="0" w:color="auto"/>
              <w:right w:val="single" w:sz="4" w:space="0" w:color="auto"/>
            </w:tcBorders>
            <w:shd w:val="clear" w:color="auto" w:fill="D9D9D9" w:themeFill="background1" w:themeFillShade="D9"/>
          </w:tcPr>
          <w:p w14:paraId="137E394D" w14:textId="77777777" w:rsidR="0005278F" w:rsidRPr="00BC439A" w:rsidRDefault="0005278F" w:rsidP="004F3087">
            <w:pPr>
              <w:spacing w:after="120"/>
              <w:rPr>
                <w:rFonts w:ascii="Times New Roman" w:hAnsi="Times New Roman" w:cs="Times New Roman"/>
                <w:b/>
                <w:sz w:val="24"/>
              </w:rPr>
            </w:pPr>
            <w:r w:rsidRPr="00BC439A">
              <w:rPr>
                <w:rFonts w:ascii="Times New Roman" w:hAnsi="Times New Roman" w:cs="Times New Roman"/>
                <w:b/>
                <w:sz w:val="24"/>
              </w:rPr>
              <w:t>Explanation</w:t>
            </w:r>
          </w:p>
        </w:tc>
      </w:tr>
    </w:tbl>
    <w:tbl>
      <w:tblPr>
        <w:tblStyle w:val="TableGrid"/>
        <w:tblW w:w="9072" w:type="dxa"/>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408"/>
        <w:gridCol w:w="3118"/>
        <w:gridCol w:w="4546"/>
      </w:tblGrid>
      <w:tr w:rsidR="00166E0C" w:rsidRPr="00BC439A" w14:paraId="137E3952" w14:textId="77777777" w:rsidTr="00FB64CF">
        <w:trPr>
          <w:cnfStyle w:val="100000000000" w:firstRow="1" w:lastRow="0" w:firstColumn="0" w:lastColumn="0" w:oddVBand="0" w:evenVBand="0" w:oddHBand="0" w:evenHBand="0" w:firstRowFirstColumn="0" w:firstRowLastColumn="0" w:lastRowFirstColumn="0" w:lastRowLastColumn="0"/>
          <w:trHeight w:val="1002"/>
        </w:trPr>
        <w:tc>
          <w:tcPr>
            <w:tcW w:w="0" w:type="dxa"/>
            <w:tcBorders>
              <w:top w:val="single" w:sz="4" w:space="0" w:color="auto"/>
              <w:left w:val="single" w:sz="4" w:space="0" w:color="auto"/>
              <w:right w:val="single" w:sz="4" w:space="0" w:color="auto"/>
            </w:tcBorders>
            <w:vAlign w:val="top"/>
          </w:tcPr>
          <w:p w14:paraId="137E394F" w14:textId="77777777" w:rsidR="0005278F" w:rsidRPr="00BC439A" w:rsidRDefault="0005278F" w:rsidP="004F3087">
            <w:pPr>
              <w:spacing w:after="120"/>
              <w:jc w:val="center"/>
              <w:rPr>
                <w:rFonts w:ascii="Times New Roman" w:hAnsi="Times New Roman" w:cs="Times New Roman"/>
                <w:sz w:val="24"/>
              </w:rPr>
            </w:pPr>
            <w:r w:rsidRPr="00BC439A">
              <w:rPr>
                <w:rFonts w:ascii="Times New Roman" w:hAnsi="Times New Roman" w:cs="Times New Roman"/>
              </w:rPr>
              <w:t>(a)</w:t>
            </w:r>
          </w:p>
        </w:tc>
        <w:tc>
          <w:tcPr>
            <w:tcW w:w="3118" w:type="dxa"/>
            <w:tcBorders>
              <w:top w:val="single" w:sz="4" w:space="0" w:color="auto"/>
              <w:left w:val="single" w:sz="4" w:space="0" w:color="auto"/>
              <w:right w:val="single" w:sz="4" w:space="0" w:color="auto"/>
            </w:tcBorders>
          </w:tcPr>
          <w:p w14:paraId="137E3950" w14:textId="77777777" w:rsidR="0005278F" w:rsidRPr="00BC439A" w:rsidRDefault="0005278F" w:rsidP="004F3087">
            <w:pPr>
              <w:spacing w:after="120"/>
              <w:jc w:val="both"/>
              <w:rPr>
                <w:rFonts w:ascii="Times New Roman" w:hAnsi="Times New Roman" w:cs="Times New Roman"/>
                <w:sz w:val="24"/>
                <w:lang w:val="en-GB"/>
              </w:rPr>
            </w:pPr>
            <w:r w:rsidRPr="00BC439A">
              <w:rPr>
                <w:rFonts w:ascii="Times New Roman" w:eastAsia="Times New Roman" w:hAnsi="Times New Roman" w:cs="Times New Roman"/>
                <w:iCs/>
                <w:sz w:val="24"/>
                <w:lang w:val="en-GB"/>
              </w:rPr>
              <w:t>Point (a) of Article 444</w:t>
            </w:r>
            <w:r w:rsidRPr="00BC439A">
              <w:rPr>
                <w:rFonts w:ascii="Times New Roman" w:hAnsi="Times New Roman" w:cs="Times New Roman"/>
                <w:sz w:val="24"/>
                <w:lang w:val="en-GB"/>
              </w:rPr>
              <w:t xml:space="preserve"> CRR</w:t>
            </w:r>
          </w:p>
        </w:tc>
        <w:tc>
          <w:tcPr>
            <w:tcW w:w="4546" w:type="dxa"/>
            <w:tcBorders>
              <w:top w:val="single" w:sz="4" w:space="0" w:color="auto"/>
              <w:left w:val="single" w:sz="4" w:space="0" w:color="auto"/>
              <w:right w:val="single" w:sz="4" w:space="0" w:color="auto"/>
            </w:tcBorders>
          </w:tcPr>
          <w:p w14:paraId="137E3951" w14:textId="77777777" w:rsidR="0005278F" w:rsidRPr="00BC439A" w:rsidRDefault="0005278F" w:rsidP="004F3087">
            <w:pPr>
              <w:spacing w:after="120"/>
              <w:jc w:val="both"/>
              <w:rPr>
                <w:rFonts w:ascii="Times New Roman" w:hAnsi="Times New Roman" w:cs="Times New Roman"/>
                <w:sz w:val="24"/>
                <w:lang w:val="en-GB"/>
              </w:rPr>
            </w:pPr>
            <w:r w:rsidRPr="00BC439A">
              <w:rPr>
                <w:rFonts w:ascii="Times New Roman" w:hAnsi="Times New Roman" w:cs="Times New Roman"/>
                <w:sz w:val="24"/>
                <w:lang w:val="en-GB"/>
              </w:rPr>
              <w:t xml:space="preserve">Institutions shall disclose the names of the nominated external credit assessment institutions (ECAIs) and export credit agencies (ECAs) used and the reasons for any changes in those nominations over the disclosure period. </w:t>
            </w:r>
          </w:p>
        </w:tc>
      </w:tr>
      <w:tr w:rsidR="0005278F" w:rsidRPr="00BC439A" w14:paraId="137E3956" w14:textId="77777777" w:rsidTr="00FB64CF">
        <w:trPr>
          <w:trHeight w:val="1492"/>
        </w:trPr>
        <w:tc>
          <w:tcPr>
            <w:tcW w:w="1408" w:type="dxa"/>
            <w:vAlign w:val="top"/>
          </w:tcPr>
          <w:p w14:paraId="137E3953" w14:textId="77777777" w:rsidR="0005278F" w:rsidRPr="00BC439A" w:rsidRDefault="0005278F" w:rsidP="004F3087">
            <w:pPr>
              <w:spacing w:after="120"/>
              <w:jc w:val="center"/>
              <w:rPr>
                <w:rFonts w:ascii="Times New Roman" w:hAnsi="Times New Roman" w:cs="Times New Roman"/>
                <w:sz w:val="24"/>
              </w:rPr>
            </w:pPr>
            <w:r w:rsidRPr="00BC439A">
              <w:rPr>
                <w:rFonts w:ascii="Times New Roman" w:hAnsi="Times New Roman" w:cs="Times New Roman"/>
              </w:rPr>
              <w:t>(b)</w:t>
            </w:r>
          </w:p>
        </w:tc>
        <w:tc>
          <w:tcPr>
            <w:tcW w:w="3118" w:type="dxa"/>
          </w:tcPr>
          <w:p w14:paraId="137E3954" w14:textId="77777777" w:rsidR="0005278F" w:rsidRPr="00BC439A" w:rsidRDefault="0005278F" w:rsidP="004F3087">
            <w:pPr>
              <w:spacing w:after="120"/>
              <w:jc w:val="both"/>
              <w:rPr>
                <w:rFonts w:ascii="Times New Roman" w:hAnsi="Times New Roman" w:cs="Times New Roman"/>
                <w:sz w:val="24"/>
                <w:lang w:val="en-GB"/>
              </w:rPr>
            </w:pPr>
            <w:r w:rsidRPr="00BC439A">
              <w:rPr>
                <w:rFonts w:ascii="Times New Roman" w:eastAsia="Times New Roman" w:hAnsi="Times New Roman" w:cs="Times New Roman"/>
                <w:iCs/>
                <w:sz w:val="24"/>
                <w:lang w:val="en-GB"/>
              </w:rPr>
              <w:t xml:space="preserve">Point (b) of Article 444 </w:t>
            </w:r>
            <w:r w:rsidRPr="00BC439A">
              <w:rPr>
                <w:rFonts w:ascii="Times New Roman" w:hAnsi="Times New Roman" w:cs="Times New Roman"/>
                <w:sz w:val="24"/>
                <w:lang w:val="en-GB"/>
              </w:rPr>
              <w:t>CRR</w:t>
            </w:r>
          </w:p>
        </w:tc>
        <w:tc>
          <w:tcPr>
            <w:tcW w:w="4546" w:type="dxa"/>
          </w:tcPr>
          <w:p w14:paraId="137E3955" w14:textId="116E6D70" w:rsidR="0005278F" w:rsidRPr="00BC439A" w:rsidRDefault="0005278F">
            <w:pPr>
              <w:spacing w:after="120"/>
              <w:jc w:val="both"/>
              <w:rPr>
                <w:rFonts w:ascii="Times New Roman" w:hAnsi="Times New Roman" w:cs="Times New Roman"/>
                <w:sz w:val="24"/>
                <w:lang w:val="en-GB"/>
              </w:rPr>
            </w:pPr>
            <w:r w:rsidRPr="00BC439A">
              <w:rPr>
                <w:rFonts w:ascii="Times New Roman" w:hAnsi="Times New Roman" w:cs="Times New Roman"/>
                <w:sz w:val="24"/>
                <w:lang w:val="en-GB"/>
              </w:rPr>
              <w:t xml:space="preserve">Institutions shall indicate the exposure classes, specified in Article 112 </w:t>
            </w:r>
            <w:r w:rsidR="00166E0C">
              <w:rPr>
                <w:rFonts w:ascii="Times New Roman" w:hAnsi="Times New Roman" w:cs="Times New Roman"/>
                <w:sz w:val="24"/>
                <w:lang w:val="en-GB"/>
              </w:rPr>
              <w:t>of</w:t>
            </w:r>
            <w:r w:rsidR="32A211FC" w:rsidRPr="00BC439A">
              <w:rPr>
                <w:rFonts w:ascii="Times New Roman" w:hAnsi="Times New Roman" w:cs="Times New Roman"/>
                <w:sz w:val="24"/>
              </w:rPr>
              <w:t xml:space="preserve"> Regulation (EU) 575/2013</w:t>
            </w:r>
            <w:r w:rsidRPr="00BC439A">
              <w:rPr>
                <w:rFonts w:ascii="Times New Roman" w:hAnsi="Times New Roman" w:cs="Times New Roman"/>
                <w:sz w:val="24"/>
                <w:lang w:val="en-GB"/>
              </w:rPr>
              <w:t xml:space="preserve">, for which institutions calculate the risk-weighted exposure amounts in accordance with Chapter 2 of Title II of Part Three CRR using the credit assessment of the nominated ECAI or ECA. </w:t>
            </w:r>
          </w:p>
        </w:tc>
      </w:tr>
      <w:tr w:rsidR="0005278F" w:rsidRPr="00BC439A" w:rsidDel="00915DC9" w14:paraId="137E395A" w14:textId="77777777" w:rsidTr="00FB64CF">
        <w:trPr>
          <w:trHeight w:val="973"/>
        </w:trPr>
        <w:tc>
          <w:tcPr>
            <w:tcW w:w="1408" w:type="dxa"/>
            <w:vAlign w:val="top"/>
          </w:tcPr>
          <w:p w14:paraId="137E3957" w14:textId="6B9106A6" w:rsidR="0005278F" w:rsidRPr="00BC439A" w:rsidRDefault="0005278F" w:rsidP="004F3087">
            <w:pPr>
              <w:spacing w:after="120"/>
              <w:jc w:val="center"/>
              <w:rPr>
                <w:rFonts w:ascii="Times New Roman" w:hAnsi="Times New Roman" w:cs="Times New Roman"/>
                <w:sz w:val="24"/>
              </w:rPr>
            </w:pPr>
            <w:r w:rsidRPr="00BC439A">
              <w:rPr>
                <w:rFonts w:ascii="Times New Roman" w:hAnsi="Times New Roman" w:cs="Times New Roman"/>
              </w:rPr>
              <w:t>(c)</w:t>
            </w:r>
          </w:p>
        </w:tc>
        <w:tc>
          <w:tcPr>
            <w:tcW w:w="3118" w:type="dxa"/>
          </w:tcPr>
          <w:p w14:paraId="137E3958" w14:textId="77777777" w:rsidR="0005278F" w:rsidRPr="00BC439A" w:rsidRDefault="0005278F" w:rsidP="004F3087">
            <w:pPr>
              <w:spacing w:after="120"/>
              <w:jc w:val="both"/>
              <w:rPr>
                <w:rFonts w:ascii="Times New Roman" w:hAnsi="Times New Roman" w:cs="Times New Roman"/>
                <w:sz w:val="24"/>
                <w:lang w:val="en-GB"/>
              </w:rPr>
            </w:pPr>
            <w:r w:rsidRPr="00BC439A">
              <w:rPr>
                <w:rFonts w:ascii="Times New Roman" w:eastAsia="Times New Roman" w:hAnsi="Times New Roman" w:cs="Times New Roman"/>
                <w:iCs/>
                <w:sz w:val="24"/>
                <w:lang w:val="en-GB"/>
              </w:rPr>
              <w:t xml:space="preserve">Point (c) of Article 444 </w:t>
            </w:r>
            <w:r w:rsidRPr="00BC439A">
              <w:rPr>
                <w:rFonts w:ascii="Times New Roman" w:hAnsi="Times New Roman" w:cs="Times New Roman"/>
                <w:sz w:val="24"/>
                <w:lang w:val="en-GB"/>
              </w:rPr>
              <w:t>CRR</w:t>
            </w:r>
          </w:p>
        </w:tc>
        <w:tc>
          <w:tcPr>
            <w:tcW w:w="4546" w:type="dxa"/>
          </w:tcPr>
          <w:p w14:paraId="137E3959" w14:textId="5469201A" w:rsidR="0005278F" w:rsidRPr="00BC439A" w:rsidDel="00915DC9" w:rsidRDefault="0005278F" w:rsidP="004F3087">
            <w:pPr>
              <w:spacing w:after="120"/>
              <w:jc w:val="both"/>
              <w:rPr>
                <w:rFonts w:ascii="Times New Roman" w:hAnsi="Times New Roman" w:cs="Times New Roman"/>
                <w:sz w:val="24"/>
                <w:lang w:val="en-GB"/>
              </w:rPr>
            </w:pPr>
            <w:r w:rsidRPr="00BC439A">
              <w:rPr>
                <w:rFonts w:ascii="Times New Roman" w:hAnsi="Times New Roman" w:cs="Times New Roman"/>
                <w:sz w:val="24"/>
                <w:lang w:val="en-GB"/>
              </w:rPr>
              <w:t>When an issuer or an issue credit assessment is used to determine the risk weight to be assigned to an exposure not included in the trading book in accordance with Article 139 of Chapter 2 of Title II of Part Three</w:t>
            </w:r>
            <w:r w:rsidR="00166E0C">
              <w:rPr>
                <w:rFonts w:ascii="Times New Roman" w:hAnsi="Times New Roman" w:cs="Times New Roman"/>
                <w:sz w:val="24"/>
                <w:lang w:val="en-GB"/>
              </w:rPr>
              <w:t xml:space="preserve"> of </w:t>
            </w:r>
            <w:r w:rsidR="00166E0C" w:rsidRPr="00BC439A">
              <w:rPr>
                <w:rFonts w:ascii="Times New Roman" w:hAnsi="Times New Roman" w:cs="Times New Roman"/>
                <w:sz w:val="24"/>
              </w:rPr>
              <w:t>Regulation (EU) 575/2013</w:t>
            </w:r>
            <w:r w:rsidRPr="00BC439A">
              <w:rPr>
                <w:rFonts w:ascii="Times New Roman" w:hAnsi="Times New Roman" w:cs="Times New Roman"/>
                <w:sz w:val="24"/>
                <w:lang w:val="en-GB"/>
              </w:rPr>
              <w:t>, the institutions shall describe the process used.</w:t>
            </w:r>
          </w:p>
        </w:tc>
      </w:tr>
      <w:tr w:rsidR="0005278F" w:rsidRPr="00BC439A" w14:paraId="137E395E" w14:textId="77777777" w:rsidTr="00FB64CF">
        <w:trPr>
          <w:trHeight w:val="1265"/>
        </w:trPr>
        <w:tc>
          <w:tcPr>
            <w:tcW w:w="1408" w:type="dxa"/>
            <w:vAlign w:val="top"/>
          </w:tcPr>
          <w:p w14:paraId="137E395B" w14:textId="77777777" w:rsidR="0005278F" w:rsidRPr="00BC439A" w:rsidRDefault="0005278F" w:rsidP="004F3087">
            <w:pPr>
              <w:spacing w:after="120"/>
              <w:jc w:val="center"/>
              <w:rPr>
                <w:rFonts w:ascii="Times New Roman" w:hAnsi="Times New Roman" w:cs="Times New Roman"/>
                <w:sz w:val="24"/>
              </w:rPr>
            </w:pPr>
            <w:r w:rsidRPr="00BC439A">
              <w:rPr>
                <w:rFonts w:ascii="Times New Roman" w:hAnsi="Times New Roman" w:cs="Times New Roman"/>
              </w:rPr>
              <w:t>(d)</w:t>
            </w:r>
          </w:p>
        </w:tc>
        <w:tc>
          <w:tcPr>
            <w:tcW w:w="3118" w:type="dxa"/>
          </w:tcPr>
          <w:p w14:paraId="137E395C" w14:textId="77777777" w:rsidR="0005278F" w:rsidRPr="00BC439A" w:rsidRDefault="0005278F" w:rsidP="004F3087">
            <w:pPr>
              <w:spacing w:after="120"/>
              <w:jc w:val="both"/>
              <w:rPr>
                <w:rFonts w:ascii="Times New Roman" w:hAnsi="Times New Roman" w:cs="Times New Roman"/>
                <w:sz w:val="24"/>
                <w:lang w:val="en-GB"/>
              </w:rPr>
            </w:pPr>
            <w:r w:rsidRPr="00BC439A">
              <w:rPr>
                <w:rFonts w:ascii="Times New Roman" w:eastAsia="Times New Roman" w:hAnsi="Times New Roman" w:cs="Times New Roman"/>
                <w:iCs/>
                <w:sz w:val="24"/>
                <w:lang w:val="en-GB"/>
              </w:rPr>
              <w:t>Point (d) of Article 444 CRR</w:t>
            </w:r>
          </w:p>
        </w:tc>
        <w:tc>
          <w:tcPr>
            <w:tcW w:w="4546" w:type="dxa"/>
          </w:tcPr>
          <w:p w14:paraId="137E395D" w14:textId="60016B0C" w:rsidR="0005278F" w:rsidRPr="00BC439A" w:rsidRDefault="0005278F">
            <w:pPr>
              <w:spacing w:after="120"/>
              <w:jc w:val="both"/>
              <w:rPr>
                <w:rFonts w:ascii="Times New Roman" w:hAnsi="Times New Roman" w:cs="Times New Roman"/>
                <w:sz w:val="24"/>
                <w:lang w:val="en-GB"/>
              </w:rPr>
            </w:pPr>
            <w:r w:rsidRPr="00BC439A">
              <w:rPr>
                <w:rFonts w:ascii="Times New Roman" w:hAnsi="Times New Roman" w:cs="Times New Roman"/>
                <w:sz w:val="24"/>
                <w:lang w:val="en-GB"/>
              </w:rPr>
              <w:t xml:space="preserve">Institutions shall indicate, for each of the exposure classes specified in Article 112 </w:t>
            </w:r>
            <w:r w:rsidR="44CD70E4" w:rsidRPr="00BC439A">
              <w:rPr>
                <w:rFonts w:ascii="Times New Roman" w:hAnsi="Times New Roman" w:cs="Times New Roman"/>
                <w:sz w:val="24"/>
              </w:rPr>
              <w:t xml:space="preserve"> of Regulation (EU) 575/2013</w:t>
            </w:r>
            <w:r w:rsidRPr="00BC439A">
              <w:rPr>
                <w:rFonts w:ascii="Times New Roman" w:hAnsi="Times New Roman" w:cs="Times New Roman"/>
                <w:sz w:val="24"/>
                <w:lang w:val="en-GB"/>
              </w:rPr>
              <w:t xml:space="preserve">, the alphanumerical scale of each nominated ECAI/ECA (as referred to in row (a) of this template) with the risk weights that correspond with the credit quality steps as set out in Chapter 2 of Title II of Part Three </w:t>
            </w:r>
            <w:r w:rsidR="005A70FA">
              <w:rPr>
                <w:rFonts w:ascii="Times New Roman" w:eastAsia="Times New Roman" w:hAnsi="Times New Roman" w:cs="Times New Roman"/>
                <w:iCs/>
                <w:sz w:val="24"/>
              </w:rPr>
              <w:t>of</w:t>
            </w:r>
            <w:r w:rsidR="005A70FA" w:rsidRPr="00BC439A">
              <w:rPr>
                <w:rFonts w:ascii="Times New Roman" w:eastAsia="Times New Roman" w:hAnsi="Times New Roman" w:cs="Times New Roman"/>
                <w:iCs/>
                <w:sz w:val="24"/>
              </w:rPr>
              <w:t xml:space="preserve"> </w:t>
            </w:r>
            <w:r w:rsidR="005A70FA" w:rsidRPr="00BC439A">
              <w:rPr>
                <w:rFonts w:ascii="Times New Roman" w:eastAsia="Times New Roman" w:hAnsi="Times New Roman"/>
                <w:color w:val="000000" w:themeColor="text1"/>
                <w:sz w:val="24"/>
              </w:rPr>
              <w:lastRenderedPageBreak/>
              <w:t>Regulation (EU) No 575/2013</w:t>
            </w:r>
            <w:r w:rsidRPr="00BC439A">
              <w:rPr>
                <w:rFonts w:ascii="Times New Roman" w:hAnsi="Times New Roman" w:cs="Times New Roman"/>
                <w:sz w:val="24"/>
                <w:lang w:val="en-GB"/>
              </w:rPr>
              <w:t>, except where the institution complies with the standard association published by the EBA</w:t>
            </w:r>
            <w:r w:rsidR="00166E0C">
              <w:rPr>
                <w:rFonts w:ascii="Times New Roman" w:hAnsi="Times New Roman" w:cs="Times New Roman"/>
                <w:sz w:val="24"/>
                <w:lang w:val="en-GB"/>
              </w:rPr>
              <w:t>.</w:t>
            </w:r>
            <w:r w:rsidRPr="00BC439A">
              <w:rPr>
                <w:rFonts w:ascii="Times New Roman" w:hAnsi="Times New Roman" w:cs="Times New Roman"/>
                <w:sz w:val="24"/>
                <w:lang w:val="en-GB"/>
              </w:rPr>
              <w:t xml:space="preserve"> </w:t>
            </w:r>
          </w:p>
        </w:tc>
      </w:tr>
    </w:tbl>
    <w:p w14:paraId="137E395F" w14:textId="77777777" w:rsidR="0005278F" w:rsidRPr="00BC439A" w:rsidRDefault="0005278F" w:rsidP="0005278F">
      <w:pPr>
        <w:spacing w:after="120"/>
        <w:rPr>
          <w:rFonts w:ascii="Times New Roman" w:hAnsi="Times New Roman" w:cs="Times New Roman"/>
          <w:sz w:val="24"/>
        </w:rPr>
      </w:pPr>
    </w:p>
    <w:p w14:paraId="137E3960" w14:textId="77777777" w:rsidR="0005278F" w:rsidRPr="00BC439A" w:rsidRDefault="0005278F" w:rsidP="0005278F">
      <w:pPr>
        <w:spacing w:after="120"/>
        <w:rPr>
          <w:rFonts w:ascii="Times New Roman" w:hAnsi="Times New Roman" w:cs="Times New Roman"/>
          <w:sz w:val="24"/>
        </w:rPr>
      </w:pPr>
    </w:p>
    <w:p w14:paraId="137E3961" w14:textId="77777777" w:rsidR="0005278F" w:rsidRPr="00BC439A" w:rsidRDefault="0005278F" w:rsidP="0005278F">
      <w:pPr>
        <w:spacing w:after="120"/>
        <w:rPr>
          <w:rFonts w:ascii="Times New Roman" w:hAnsi="Times New Roman" w:cs="Times New Roman"/>
          <w:sz w:val="24"/>
        </w:rPr>
      </w:pPr>
      <w:r w:rsidRPr="00BC439A">
        <w:rPr>
          <w:rFonts w:ascii="Times New Roman" w:hAnsi="Times New Roman" w:cs="Times New Roman"/>
          <w:b/>
          <w:sz w:val="24"/>
        </w:rPr>
        <w:t>Template EU CR4 – Credit risk exposure and CRM effects.</w:t>
      </w:r>
      <w:r w:rsidRPr="00BC439A">
        <w:rPr>
          <w:rFonts w:ascii="Times New Roman" w:hAnsi="Times New Roman" w:cs="Times New Roman"/>
          <w:sz w:val="24"/>
        </w:rPr>
        <w:t xml:space="preserve"> Fixed format</w:t>
      </w:r>
    </w:p>
    <w:p w14:paraId="137E3962" w14:textId="789BFD53" w:rsidR="0005278F" w:rsidRPr="00BC439A" w:rsidRDefault="0005278F" w:rsidP="5A0D947F">
      <w:pPr>
        <w:pStyle w:val="ListParagraph"/>
        <w:numPr>
          <w:ilvl w:val="0"/>
          <w:numId w:val="1"/>
        </w:numPr>
        <w:spacing w:after="120"/>
        <w:ind w:left="425" w:hanging="357"/>
        <w:jc w:val="both"/>
        <w:rPr>
          <w:rFonts w:ascii="Times New Roman" w:hAnsi="Times New Roman"/>
          <w:sz w:val="24"/>
          <w:szCs w:val="24"/>
        </w:rPr>
      </w:pPr>
      <w:r w:rsidRPr="00BC439A">
        <w:rPr>
          <w:rFonts w:ascii="Times New Roman" w:hAnsi="Times New Roman"/>
          <w:sz w:val="24"/>
          <w:szCs w:val="24"/>
        </w:rPr>
        <w:t xml:space="preserve">Institutions calculating the risk-weighted exposure amounts for credit risk in accordance with Chapter 2 of Title II of Part Three </w:t>
      </w:r>
      <w:r w:rsidR="005A70FA">
        <w:rPr>
          <w:rFonts w:ascii="Times New Roman" w:eastAsia="Times New Roman" w:hAnsi="Times New Roman"/>
          <w:iCs/>
          <w:sz w:val="24"/>
        </w:rPr>
        <w:t>of</w:t>
      </w:r>
      <w:r w:rsidR="005A70FA" w:rsidRPr="00BC439A">
        <w:rPr>
          <w:rFonts w:ascii="Times New Roman" w:eastAsia="Times New Roman" w:hAnsi="Times New Roman"/>
          <w:iCs/>
          <w:sz w:val="24"/>
        </w:rPr>
        <w:t xml:space="preserve"> </w:t>
      </w:r>
      <w:r w:rsidR="005A70FA" w:rsidRPr="00BC439A">
        <w:rPr>
          <w:rFonts w:ascii="Times New Roman" w:eastAsia="Times New Roman" w:hAnsi="Times New Roman"/>
          <w:color w:val="000000" w:themeColor="text1"/>
          <w:sz w:val="24"/>
          <w:szCs w:val="24"/>
        </w:rPr>
        <w:t>Regulation (EU) No 575/2013</w:t>
      </w:r>
      <w:r w:rsidRPr="00BC439A">
        <w:rPr>
          <w:rFonts w:ascii="Times New Roman" w:hAnsi="Times New Roman"/>
          <w:sz w:val="24"/>
          <w:szCs w:val="24"/>
        </w:rPr>
        <w:t xml:space="preserve"> shall disclose the information referred to Article 453</w:t>
      </w:r>
      <w:r w:rsidR="00462771" w:rsidRPr="00BC439A">
        <w:rPr>
          <w:rFonts w:ascii="Times New Roman" w:hAnsi="Times New Roman"/>
          <w:sz w:val="24"/>
          <w:szCs w:val="24"/>
        </w:rPr>
        <w:t>,</w:t>
      </w:r>
      <w:r w:rsidRPr="00BC439A">
        <w:rPr>
          <w:rFonts w:ascii="Times New Roman" w:hAnsi="Times New Roman"/>
          <w:sz w:val="24"/>
          <w:szCs w:val="24"/>
        </w:rPr>
        <w:t xml:space="preserve"> </w:t>
      </w:r>
      <w:r w:rsidR="25C945CD" w:rsidRPr="00BC439A">
        <w:rPr>
          <w:rFonts w:ascii="Times New Roman" w:hAnsi="Times New Roman"/>
          <w:sz w:val="24"/>
          <w:szCs w:val="24"/>
        </w:rPr>
        <w:t xml:space="preserve">points (g), (h) and (i) </w:t>
      </w:r>
      <w:r w:rsidR="3CABD484" w:rsidRPr="00BC439A">
        <w:rPr>
          <w:rFonts w:ascii="Times New Roman" w:eastAsia="Times New Roman" w:hAnsi="Times New Roman"/>
          <w:color w:val="000000" w:themeColor="text1"/>
          <w:sz w:val="24"/>
          <w:szCs w:val="24"/>
        </w:rPr>
        <w:t>of Regulation (EU) 575/2013</w:t>
      </w:r>
      <w:r w:rsidR="25C945CD" w:rsidRPr="00BC439A">
        <w:rPr>
          <w:rFonts w:ascii="Times New Roman" w:hAnsi="Times New Roman"/>
          <w:sz w:val="24"/>
          <w:szCs w:val="24"/>
        </w:rPr>
        <w:t xml:space="preserve"> </w:t>
      </w:r>
      <w:r w:rsidRPr="00BC439A">
        <w:rPr>
          <w:rFonts w:ascii="Times New Roman" w:hAnsi="Times New Roman"/>
          <w:sz w:val="24"/>
          <w:szCs w:val="24"/>
        </w:rPr>
        <w:t xml:space="preserve"> and  point (e) of Article 444</w:t>
      </w:r>
      <w:r w:rsidR="12718659" w:rsidRPr="00BC439A">
        <w:rPr>
          <w:rFonts w:ascii="Times New Roman" w:hAnsi="Times New Roman"/>
          <w:sz w:val="24"/>
          <w:szCs w:val="24"/>
        </w:rPr>
        <w:t>, point (e) of</w:t>
      </w:r>
      <w:r w:rsidRPr="00BC439A">
        <w:rPr>
          <w:rFonts w:ascii="Times New Roman" w:hAnsi="Times New Roman"/>
          <w:sz w:val="24"/>
          <w:szCs w:val="24"/>
        </w:rPr>
        <w:t xml:space="preserve"> </w:t>
      </w:r>
      <w:r w:rsidR="331F13C0" w:rsidRPr="00BC439A">
        <w:rPr>
          <w:rFonts w:ascii="Times New Roman" w:eastAsia="Times New Roman" w:hAnsi="Times New Roman"/>
          <w:color w:val="000000" w:themeColor="text1"/>
          <w:sz w:val="24"/>
          <w:szCs w:val="24"/>
        </w:rPr>
        <w:t>Regulation (EU) 575/2013</w:t>
      </w:r>
      <w:r w:rsidR="331F13C0" w:rsidRPr="00BC439A">
        <w:rPr>
          <w:rFonts w:ascii="Times New Roman" w:hAnsi="Times New Roman"/>
          <w:sz w:val="24"/>
          <w:szCs w:val="24"/>
        </w:rPr>
        <w:t xml:space="preserve"> </w:t>
      </w:r>
      <w:r w:rsidRPr="00BC439A">
        <w:rPr>
          <w:rFonts w:ascii="Times New Roman" w:hAnsi="Times New Roman"/>
          <w:sz w:val="24"/>
          <w:szCs w:val="24"/>
        </w:rPr>
        <w:t xml:space="preserve">by following the instructions provided below in this Annex to complete template EU CR4 which is presented in Annex XIX </w:t>
      </w:r>
      <w:r w:rsidR="00241526">
        <w:rPr>
          <w:rFonts w:ascii="Times New Roman" w:hAnsi="Times New Roman"/>
          <w:sz w:val="24"/>
        </w:rPr>
        <w:t>of the EBA IT solutions</w:t>
      </w:r>
      <w:r w:rsidRPr="00BC439A">
        <w:rPr>
          <w:rFonts w:ascii="Times New Roman" w:hAnsi="Times New Roman"/>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654"/>
      </w:tblGrid>
      <w:tr w:rsidR="0005278F" w:rsidRPr="00BC439A" w14:paraId="137E3965" w14:textId="77777777" w:rsidTr="5A0D947F">
        <w:trPr>
          <w:trHeight w:val="278"/>
        </w:trPr>
        <w:tc>
          <w:tcPr>
            <w:tcW w:w="1413" w:type="dxa"/>
            <w:vMerge w:val="restart"/>
            <w:tcBorders>
              <w:top w:val="single" w:sz="4" w:space="0" w:color="auto"/>
              <w:left w:val="single" w:sz="4" w:space="0" w:color="auto"/>
              <w:right w:val="single" w:sz="4" w:space="0" w:color="auto"/>
            </w:tcBorders>
            <w:shd w:val="clear" w:color="auto" w:fill="D9D9D9" w:themeFill="background1" w:themeFillShade="D9"/>
          </w:tcPr>
          <w:p w14:paraId="137E3963" w14:textId="77777777" w:rsidR="0005278F" w:rsidRPr="00BC439A" w:rsidRDefault="0005278F" w:rsidP="004F3087">
            <w:pPr>
              <w:autoSpaceDE w:val="0"/>
              <w:autoSpaceDN w:val="0"/>
              <w:adjustRightInd w:val="0"/>
              <w:spacing w:after="120"/>
              <w:rPr>
                <w:rFonts w:ascii="Times New Roman" w:hAnsi="Times New Roman" w:cs="Times New Roman"/>
                <w:b/>
                <w:sz w:val="24"/>
              </w:rPr>
            </w:pPr>
            <w:r w:rsidRPr="00BC439A">
              <w:rPr>
                <w:rFonts w:ascii="Times New Roman" w:hAnsi="Times New Roman" w:cs="Times New Roman"/>
                <w:b/>
                <w:sz w:val="24"/>
              </w:rPr>
              <w:t>Column reference</w:t>
            </w:r>
          </w:p>
        </w:tc>
        <w:tc>
          <w:tcPr>
            <w:tcW w:w="7654" w:type="dxa"/>
            <w:tcBorders>
              <w:top w:val="single" w:sz="4" w:space="0" w:color="auto"/>
              <w:left w:val="single" w:sz="4" w:space="0" w:color="auto"/>
              <w:right w:val="single" w:sz="4" w:space="0" w:color="auto"/>
            </w:tcBorders>
            <w:shd w:val="clear" w:color="auto" w:fill="D9D9D9" w:themeFill="background1" w:themeFillShade="D9"/>
          </w:tcPr>
          <w:p w14:paraId="137E3964" w14:textId="77777777" w:rsidR="0005278F" w:rsidRPr="00BC439A" w:rsidRDefault="0005278F" w:rsidP="004F3087">
            <w:pPr>
              <w:spacing w:after="120"/>
              <w:rPr>
                <w:rFonts w:ascii="Times New Roman" w:hAnsi="Times New Roman" w:cs="Times New Roman"/>
                <w:b/>
                <w:sz w:val="24"/>
              </w:rPr>
            </w:pPr>
            <w:r w:rsidRPr="00BC439A">
              <w:rPr>
                <w:rFonts w:ascii="Times New Roman" w:hAnsi="Times New Roman" w:cs="Times New Roman"/>
                <w:b/>
                <w:sz w:val="24"/>
              </w:rPr>
              <w:t>Legal references and instructions</w:t>
            </w:r>
          </w:p>
        </w:tc>
      </w:tr>
      <w:tr w:rsidR="0005278F" w:rsidRPr="00BC439A" w14:paraId="137E3968" w14:textId="77777777" w:rsidTr="5A0D947F">
        <w:trPr>
          <w:trHeight w:val="277"/>
        </w:trPr>
        <w:tc>
          <w:tcPr>
            <w:tcW w:w="1413" w:type="dxa"/>
            <w:vMerge/>
          </w:tcPr>
          <w:p w14:paraId="137E3966" w14:textId="77777777" w:rsidR="0005278F" w:rsidRPr="00BC439A" w:rsidRDefault="0005278F" w:rsidP="004F3087">
            <w:pPr>
              <w:autoSpaceDE w:val="0"/>
              <w:autoSpaceDN w:val="0"/>
              <w:adjustRightInd w:val="0"/>
              <w:spacing w:after="120"/>
              <w:rPr>
                <w:rFonts w:ascii="Times New Roman" w:hAnsi="Times New Roman" w:cs="Times New Roman"/>
                <w:b/>
                <w:sz w:val="24"/>
              </w:rPr>
            </w:pPr>
          </w:p>
        </w:tc>
        <w:tc>
          <w:tcPr>
            <w:tcW w:w="7654" w:type="dxa"/>
            <w:tcBorders>
              <w:top w:val="single" w:sz="4" w:space="0" w:color="auto"/>
              <w:left w:val="single" w:sz="4" w:space="0" w:color="auto"/>
              <w:right w:val="single" w:sz="4" w:space="0" w:color="auto"/>
            </w:tcBorders>
            <w:shd w:val="clear" w:color="auto" w:fill="D9D9D9" w:themeFill="background1" w:themeFillShade="D9"/>
          </w:tcPr>
          <w:p w14:paraId="137E3967" w14:textId="77777777" w:rsidR="0005278F" w:rsidRPr="00BC439A" w:rsidRDefault="0005278F" w:rsidP="004F3087">
            <w:pPr>
              <w:spacing w:after="120"/>
              <w:rPr>
                <w:rFonts w:ascii="Times New Roman" w:hAnsi="Times New Roman" w:cs="Times New Roman"/>
                <w:b/>
                <w:sz w:val="24"/>
              </w:rPr>
            </w:pPr>
            <w:r w:rsidRPr="00BC439A">
              <w:rPr>
                <w:rFonts w:ascii="Times New Roman" w:hAnsi="Times New Roman" w:cs="Times New Roman"/>
                <w:b/>
                <w:sz w:val="24"/>
              </w:rPr>
              <w:t>Explanation</w:t>
            </w:r>
          </w:p>
        </w:tc>
      </w:tr>
      <w:tr w:rsidR="0005278F" w:rsidRPr="00BC439A" w14:paraId="137E396C" w14:textId="77777777" w:rsidTr="5A0D947F">
        <w:trPr>
          <w:trHeight w:val="316"/>
        </w:trPr>
        <w:tc>
          <w:tcPr>
            <w:tcW w:w="1413" w:type="dxa"/>
            <w:vAlign w:val="center"/>
          </w:tcPr>
          <w:p w14:paraId="137E3969" w14:textId="77777777" w:rsidR="0005278F" w:rsidRPr="00BC439A" w:rsidRDefault="0005278F" w:rsidP="004F3087">
            <w:pPr>
              <w:autoSpaceDE w:val="0"/>
              <w:autoSpaceDN w:val="0"/>
              <w:adjustRightInd w:val="0"/>
              <w:spacing w:after="120"/>
              <w:rPr>
                <w:rFonts w:ascii="Times New Roman" w:eastAsia="Times New Roman" w:hAnsi="Times New Roman" w:cs="Times New Roman"/>
                <w:sz w:val="24"/>
              </w:rPr>
            </w:pPr>
            <w:r w:rsidRPr="00BC439A">
              <w:rPr>
                <w:rFonts w:ascii="Times New Roman" w:eastAsia="Times New Roman" w:hAnsi="Times New Roman" w:cs="Times New Roman"/>
                <w:sz w:val="24"/>
              </w:rPr>
              <w:t>a</w:t>
            </w:r>
          </w:p>
        </w:tc>
        <w:tc>
          <w:tcPr>
            <w:tcW w:w="7654" w:type="dxa"/>
          </w:tcPr>
          <w:p w14:paraId="137E396A" w14:textId="77777777" w:rsidR="0005278F" w:rsidRPr="00BC439A" w:rsidRDefault="0005278F" w:rsidP="004F3087">
            <w:pPr>
              <w:autoSpaceDE w:val="0"/>
              <w:autoSpaceDN w:val="0"/>
              <w:adjustRightInd w:val="0"/>
              <w:spacing w:after="120"/>
              <w:jc w:val="both"/>
              <w:rPr>
                <w:rFonts w:ascii="Times New Roman" w:eastAsia="Times New Roman" w:hAnsi="Times New Roman" w:cs="Times New Roman"/>
                <w:b/>
                <w:iCs/>
                <w:sz w:val="24"/>
              </w:rPr>
            </w:pPr>
            <w:r w:rsidRPr="00BC439A">
              <w:rPr>
                <w:rFonts w:ascii="Times New Roman" w:eastAsia="Times New Roman" w:hAnsi="Times New Roman" w:cs="Times New Roman"/>
                <w:b/>
                <w:iCs/>
                <w:sz w:val="24"/>
              </w:rPr>
              <w:t xml:space="preserve">Exposures before CCF and before CRM – On-balance-sheet exposures: </w:t>
            </w:r>
          </w:p>
          <w:p w14:paraId="137E396B" w14:textId="70539396" w:rsidR="0005278F" w:rsidRPr="00BC439A" w:rsidRDefault="0005278F" w:rsidP="0027241B">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 xml:space="preserve">Institutions shall disclose the on-balance-sheet exposure value under the scope of prudential consolidation in accordance with Article 111 </w:t>
            </w:r>
            <w:r w:rsidR="6375B74C" w:rsidRPr="00BC439A">
              <w:rPr>
                <w:rFonts w:ascii="Times New Roman" w:eastAsia="Times New Roman" w:hAnsi="Times New Roman" w:cs="Times New Roman"/>
                <w:color w:val="000000" w:themeColor="text1"/>
                <w:sz w:val="24"/>
              </w:rPr>
              <w:t xml:space="preserve"> of Regulation (EU) 575/2013</w:t>
            </w:r>
            <w:r w:rsidRPr="00BC439A">
              <w:rPr>
                <w:rFonts w:ascii="Times New Roman" w:eastAsia="Times New Roman" w:hAnsi="Times New Roman" w:cs="Times New Roman"/>
                <w:sz w:val="24"/>
              </w:rPr>
              <w:t xml:space="preserve">, after specific credit risk adjustments in accordance with Article 110 </w:t>
            </w:r>
            <w:r w:rsidR="53CCA127" w:rsidRPr="00BC439A">
              <w:rPr>
                <w:rFonts w:ascii="Times New Roman" w:eastAsia="Times New Roman" w:hAnsi="Times New Roman" w:cs="Times New Roman"/>
                <w:color w:val="000000" w:themeColor="text1"/>
                <w:sz w:val="24"/>
              </w:rPr>
              <w:t xml:space="preserve"> of Regulation (EU) 575/2013</w:t>
            </w:r>
            <w:r w:rsidRPr="00BC439A">
              <w:rPr>
                <w:rFonts w:ascii="Times New Roman" w:eastAsia="Times New Roman" w:hAnsi="Times New Roman" w:cs="Times New Roman"/>
                <w:sz w:val="24"/>
              </w:rPr>
              <w:t xml:space="preserve">, additional value adjustments in accordance with Articles 34 and 105 </w:t>
            </w:r>
            <w:r w:rsidR="20F2D655" w:rsidRPr="00BC439A">
              <w:rPr>
                <w:rFonts w:ascii="Times New Roman" w:eastAsia="Times New Roman" w:hAnsi="Times New Roman" w:cs="Times New Roman"/>
                <w:color w:val="000000" w:themeColor="text1"/>
                <w:sz w:val="24"/>
              </w:rPr>
              <w:t xml:space="preserve"> of Regulation (EU) 575/2013</w:t>
            </w:r>
            <w:r w:rsidRPr="00BC439A">
              <w:rPr>
                <w:rFonts w:ascii="Times New Roman" w:eastAsia="Times New Roman" w:hAnsi="Times New Roman" w:cs="Times New Roman"/>
                <w:sz w:val="24"/>
              </w:rPr>
              <w:t xml:space="preserve">, deducted amounts in accordance with point (m) of Article 36(1) </w:t>
            </w:r>
            <w:r w:rsidR="7C458A11" w:rsidRPr="00BC439A">
              <w:rPr>
                <w:rFonts w:ascii="Times New Roman" w:eastAsia="Times New Roman" w:hAnsi="Times New Roman" w:cs="Times New Roman"/>
                <w:color w:val="000000" w:themeColor="text1"/>
                <w:sz w:val="24"/>
              </w:rPr>
              <w:t xml:space="preserve"> of Regulation (EU) 575/2013</w:t>
            </w:r>
            <w:r w:rsidRPr="00BC439A">
              <w:rPr>
                <w:rFonts w:ascii="Times New Roman" w:eastAsia="Times New Roman" w:hAnsi="Times New Roman" w:cs="Times New Roman"/>
                <w:sz w:val="24"/>
              </w:rPr>
              <w:t>, other own funds reductions and write-offs (as defined in the applicable accounting framework), but before (i) the application of credit conversion factors as specified in the same Article and (ii) the application of CRM techniques specified in Chapter 4 of Title II of Part Three</w:t>
            </w:r>
            <w:r w:rsidR="00E5072E">
              <w:rPr>
                <w:rFonts w:ascii="Times New Roman" w:hAnsi="Times New Roman" w:cs="Times New Roman"/>
                <w:sz w:val="24"/>
              </w:rPr>
              <w:t xml:space="preserve"> of </w:t>
            </w:r>
            <w:r w:rsidR="00E5072E" w:rsidRPr="00FB64CF">
              <w:rPr>
                <w:rFonts w:ascii="Times New Roman" w:eastAsia="Times New Roman" w:hAnsi="Times New Roman" w:cs="Times New Roman"/>
                <w:sz w:val="24"/>
              </w:rPr>
              <w:t>Regulation (EU) 575/2013</w:t>
            </w:r>
            <w:r w:rsidRPr="00166E0C">
              <w:rPr>
                <w:rFonts w:ascii="Times New Roman" w:eastAsia="Times New Roman" w:hAnsi="Times New Roman" w:cs="Times New Roman"/>
                <w:sz w:val="24"/>
              </w:rPr>
              <w:t>. Exposure values for leases are subject to Article 134(7</w:t>
            </w:r>
            <w:r w:rsidRPr="00BC439A">
              <w:rPr>
                <w:rFonts w:ascii="Times New Roman" w:eastAsia="Times New Roman" w:hAnsi="Times New Roman" w:cs="Times New Roman"/>
                <w:sz w:val="24"/>
              </w:rPr>
              <w:t xml:space="preserve">) </w:t>
            </w:r>
            <w:r w:rsidR="08CDEABD" w:rsidRPr="00BC439A">
              <w:rPr>
                <w:rFonts w:ascii="Times New Roman" w:eastAsia="Times New Roman" w:hAnsi="Times New Roman" w:cs="Times New Roman"/>
                <w:color w:val="000000" w:themeColor="text1"/>
                <w:sz w:val="24"/>
              </w:rPr>
              <w:t>of Regulation (EU) 575/2013</w:t>
            </w:r>
            <w:r w:rsidRPr="00BC439A">
              <w:rPr>
                <w:rFonts w:ascii="Times New Roman" w:eastAsia="Times New Roman" w:hAnsi="Times New Roman" w:cs="Times New Roman"/>
                <w:sz w:val="24"/>
              </w:rPr>
              <w:t>.</w:t>
            </w:r>
            <w:r w:rsidRPr="00BC439A">
              <w:rPr>
                <w:rFonts w:ascii="Times New Roman" w:hAnsi="Times New Roman" w:cs="Times New Roman"/>
                <w:sz w:val="24"/>
                <w:highlight w:val="yellow"/>
              </w:rPr>
              <w:t xml:space="preserve"> </w:t>
            </w:r>
          </w:p>
        </w:tc>
      </w:tr>
      <w:tr w:rsidR="0005278F" w:rsidRPr="00BC439A" w14:paraId="137E3970" w14:textId="77777777" w:rsidTr="5A0D947F">
        <w:trPr>
          <w:trHeight w:val="316"/>
        </w:trPr>
        <w:tc>
          <w:tcPr>
            <w:tcW w:w="1413" w:type="dxa"/>
            <w:vAlign w:val="center"/>
          </w:tcPr>
          <w:p w14:paraId="137E396D" w14:textId="77777777" w:rsidR="0005278F" w:rsidRPr="00BC439A" w:rsidRDefault="0005278F" w:rsidP="004F3087">
            <w:pPr>
              <w:autoSpaceDE w:val="0"/>
              <w:autoSpaceDN w:val="0"/>
              <w:adjustRightInd w:val="0"/>
              <w:spacing w:after="120"/>
              <w:rPr>
                <w:rFonts w:ascii="Times New Roman" w:eastAsia="Times New Roman" w:hAnsi="Times New Roman" w:cs="Times New Roman"/>
                <w:sz w:val="24"/>
              </w:rPr>
            </w:pPr>
            <w:r w:rsidRPr="00BC439A">
              <w:rPr>
                <w:rFonts w:ascii="Times New Roman" w:eastAsia="Times New Roman" w:hAnsi="Times New Roman" w:cs="Times New Roman"/>
                <w:sz w:val="24"/>
              </w:rPr>
              <w:t>b</w:t>
            </w:r>
          </w:p>
        </w:tc>
        <w:tc>
          <w:tcPr>
            <w:tcW w:w="7654" w:type="dxa"/>
          </w:tcPr>
          <w:p w14:paraId="137E396E" w14:textId="77777777" w:rsidR="0005278F" w:rsidRPr="00BC439A" w:rsidRDefault="0005278F" w:rsidP="004F3087">
            <w:pPr>
              <w:autoSpaceDE w:val="0"/>
              <w:autoSpaceDN w:val="0"/>
              <w:adjustRightInd w:val="0"/>
              <w:spacing w:after="120"/>
              <w:jc w:val="both"/>
              <w:rPr>
                <w:rFonts w:ascii="Times New Roman" w:eastAsia="Times New Roman" w:hAnsi="Times New Roman" w:cs="Times New Roman"/>
                <w:b/>
                <w:iCs/>
                <w:sz w:val="24"/>
              </w:rPr>
            </w:pPr>
            <w:r w:rsidRPr="00BC439A">
              <w:rPr>
                <w:rFonts w:ascii="Times New Roman" w:eastAsia="Times New Roman" w:hAnsi="Times New Roman" w:cs="Times New Roman"/>
                <w:b/>
                <w:iCs/>
                <w:sz w:val="24"/>
              </w:rPr>
              <w:t>Exposures before CCF and before CRM – Off-balance-sheet exposures:</w:t>
            </w:r>
          </w:p>
          <w:p w14:paraId="137E396F" w14:textId="70A24ABD" w:rsidR="0005278F" w:rsidRPr="00BC439A" w:rsidRDefault="0005278F" w:rsidP="5A0D947F">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Institutions shall disclose the off-balance-sheet exposure value under the scope of prudential consolidation, after reduction of specific credit risk adjustments and deducted amounts in accordance with  Article 36 (1)</w:t>
            </w:r>
            <w:r w:rsidR="747A2E8E" w:rsidRPr="00BC439A">
              <w:rPr>
                <w:rFonts w:ascii="Times New Roman" w:eastAsia="Times New Roman" w:hAnsi="Times New Roman" w:cs="Times New Roman"/>
                <w:sz w:val="24"/>
              </w:rPr>
              <w:t xml:space="preserve">, point (m) </w:t>
            </w:r>
            <w:r w:rsidR="5E6FF55D" w:rsidRPr="00BC439A">
              <w:rPr>
                <w:rFonts w:ascii="Times New Roman" w:eastAsia="Times New Roman" w:hAnsi="Times New Roman" w:cs="Times New Roman"/>
                <w:color w:val="498205"/>
                <w:sz w:val="24"/>
              </w:rPr>
              <w:t xml:space="preserve"> </w:t>
            </w:r>
            <w:r w:rsidR="5E6FF55D" w:rsidRPr="00FB64CF">
              <w:rPr>
                <w:rFonts w:ascii="Times New Roman" w:eastAsia="Times New Roman" w:hAnsi="Times New Roman" w:cs="Times New Roman"/>
                <w:sz w:val="24"/>
              </w:rPr>
              <w:t>of Regulation (EU) 575/2013</w:t>
            </w:r>
            <w:r w:rsidRPr="00166E0C">
              <w:rPr>
                <w:rFonts w:ascii="Times New Roman" w:eastAsia="Times New Roman" w:hAnsi="Times New Roman" w:cs="Times New Roman"/>
                <w:sz w:val="24"/>
              </w:rPr>
              <w:t xml:space="preserve">, but before the application of credit conversion factors in accordance with Article 111 </w:t>
            </w:r>
            <w:r w:rsidR="1760EFCF" w:rsidRPr="00FB64CF">
              <w:rPr>
                <w:rFonts w:ascii="Times New Roman" w:eastAsia="Times New Roman" w:hAnsi="Times New Roman" w:cs="Times New Roman"/>
                <w:sz w:val="24"/>
              </w:rPr>
              <w:t>of Regulation (EU) 575/2013</w:t>
            </w:r>
            <w:r w:rsidR="1760EFCF" w:rsidRPr="00166E0C">
              <w:rPr>
                <w:rFonts w:ascii="Times New Roman" w:eastAsia="Times New Roman" w:hAnsi="Times New Roman" w:cs="Times New Roman"/>
                <w:sz w:val="24"/>
              </w:rPr>
              <w:t xml:space="preserve"> </w:t>
            </w:r>
            <w:r w:rsidRPr="00166E0C">
              <w:rPr>
                <w:rFonts w:ascii="Times New Roman" w:eastAsia="Times New Roman" w:hAnsi="Times New Roman" w:cs="Times New Roman"/>
                <w:sz w:val="24"/>
              </w:rPr>
              <w:t>and before the effect of CRM techniques (in application of Chapter 4 of Title II of Part Three</w:t>
            </w:r>
            <w:r w:rsidR="00E5072E" w:rsidRPr="00166E0C">
              <w:rPr>
                <w:rFonts w:ascii="Times New Roman" w:eastAsia="Times New Roman" w:hAnsi="Times New Roman" w:cs="Times New Roman"/>
                <w:sz w:val="24"/>
              </w:rPr>
              <w:t xml:space="preserve"> </w:t>
            </w:r>
            <w:r w:rsidR="00E5072E" w:rsidRPr="00FB64CF">
              <w:rPr>
                <w:rFonts w:ascii="Times New Roman" w:eastAsia="Times New Roman" w:hAnsi="Times New Roman" w:cs="Times New Roman"/>
                <w:sz w:val="24"/>
              </w:rPr>
              <w:t>of Regulation (EU) 575/2013</w:t>
            </w:r>
            <w:r w:rsidRPr="00166E0C">
              <w:rPr>
                <w:rFonts w:ascii="Times New Roman" w:eastAsia="Times New Roman" w:hAnsi="Times New Roman" w:cs="Times New Roman"/>
                <w:sz w:val="24"/>
              </w:rPr>
              <w:t>).</w:t>
            </w:r>
          </w:p>
        </w:tc>
      </w:tr>
      <w:tr w:rsidR="0005278F" w:rsidRPr="00BC439A" w14:paraId="137E3974" w14:textId="77777777" w:rsidTr="5A0D947F">
        <w:trPr>
          <w:trHeight w:val="316"/>
        </w:trPr>
        <w:tc>
          <w:tcPr>
            <w:tcW w:w="1413" w:type="dxa"/>
            <w:vAlign w:val="center"/>
          </w:tcPr>
          <w:p w14:paraId="137E3971" w14:textId="77777777" w:rsidR="0005278F" w:rsidRPr="00BC439A" w:rsidRDefault="0005278F" w:rsidP="004F3087">
            <w:pPr>
              <w:autoSpaceDE w:val="0"/>
              <w:autoSpaceDN w:val="0"/>
              <w:adjustRightInd w:val="0"/>
              <w:spacing w:after="120"/>
              <w:rPr>
                <w:rFonts w:ascii="Times New Roman" w:eastAsia="Times New Roman" w:hAnsi="Times New Roman" w:cs="Times New Roman"/>
                <w:sz w:val="24"/>
              </w:rPr>
            </w:pPr>
            <w:r w:rsidRPr="00BC439A">
              <w:rPr>
                <w:rFonts w:ascii="Times New Roman" w:eastAsia="Times New Roman" w:hAnsi="Times New Roman" w:cs="Times New Roman"/>
                <w:sz w:val="24"/>
              </w:rPr>
              <w:t>c</w:t>
            </w:r>
          </w:p>
        </w:tc>
        <w:tc>
          <w:tcPr>
            <w:tcW w:w="7654" w:type="dxa"/>
          </w:tcPr>
          <w:p w14:paraId="137E3972" w14:textId="77777777" w:rsidR="0005278F" w:rsidRPr="00BC439A" w:rsidRDefault="0005278F" w:rsidP="004F3087">
            <w:pPr>
              <w:autoSpaceDE w:val="0"/>
              <w:autoSpaceDN w:val="0"/>
              <w:adjustRightInd w:val="0"/>
              <w:spacing w:after="120"/>
              <w:jc w:val="both"/>
              <w:rPr>
                <w:rFonts w:ascii="Times New Roman" w:eastAsia="Times New Roman" w:hAnsi="Times New Roman" w:cs="Times New Roman"/>
                <w:b/>
                <w:iCs/>
                <w:sz w:val="24"/>
              </w:rPr>
            </w:pPr>
            <w:r w:rsidRPr="00BC439A">
              <w:rPr>
                <w:rFonts w:ascii="Times New Roman" w:eastAsia="Times New Roman" w:hAnsi="Times New Roman" w:cs="Times New Roman"/>
                <w:b/>
                <w:iCs/>
                <w:sz w:val="24"/>
              </w:rPr>
              <w:t xml:space="preserve">Exposures post CCF and post CRM – On-balance-sheet exposures: </w:t>
            </w:r>
          </w:p>
          <w:p w14:paraId="137E3973" w14:textId="3965907F" w:rsidR="0005278F" w:rsidRPr="00BC439A" w:rsidRDefault="0005278F" w:rsidP="5A0D947F">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 xml:space="preserve">Institutions shall disclose the amount of the on-balance-sheet exposure value under the scope of prudential consolidation (in accordance with Article 111 </w:t>
            </w:r>
            <w:r w:rsidR="03A54947" w:rsidRPr="00BC439A">
              <w:rPr>
                <w:rFonts w:ascii="Times New Roman" w:eastAsia="Times New Roman" w:hAnsi="Times New Roman" w:cs="Times New Roman"/>
                <w:color w:val="498205"/>
                <w:sz w:val="24"/>
              </w:rPr>
              <w:t xml:space="preserve"> </w:t>
            </w:r>
            <w:r w:rsidR="03A54947" w:rsidRPr="00FB64CF">
              <w:rPr>
                <w:rFonts w:ascii="Times New Roman" w:eastAsia="Times New Roman" w:hAnsi="Times New Roman" w:cs="Times New Roman"/>
                <w:sz w:val="24"/>
              </w:rPr>
              <w:t>of Regulation (EU) 575/2013</w:t>
            </w:r>
            <w:r w:rsidRPr="00166E0C">
              <w:rPr>
                <w:rFonts w:ascii="Times New Roman" w:eastAsia="Times New Roman" w:hAnsi="Times New Roman" w:cs="Times New Roman"/>
                <w:sz w:val="24"/>
              </w:rPr>
              <w:t xml:space="preserve">), after specific credit risk adjustments in accordance with Article 110 </w:t>
            </w:r>
            <w:r w:rsidR="22B4E8B0" w:rsidRPr="00FB64CF">
              <w:rPr>
                <w:rFonts w:ascii="Times New Roman" w:eastAsia="Times New Roman" w:hAnsi="Times New Roman" w:cs="Times New Roman"/>
                <w:sz w:val="24"/>
              </w:rPr>
              <w:t xml:space="preserve"> of Regulation (EU) 575/2013</w:t>
            </w:r>
            <w:r w:rsidRPr="00166E0C">
              <w:rPr>
                <w:rFonts w:ascii="Times New Roman" w:eastAsia="Times New Roman" w:hAnsi="Times New Roman" w:cs="Times New Roman"/>
                <w:sz w:val="24"/>
              </w:rPr>
              <w:t xml:space="preserve">, additional value adjustments in accordance with Article 34 and 105 </w:t>
            </w:r>
            <w:r w:rsidR="7FB33B4D" w:rsidRPr="00FB64CF">
              <w:rPr>
                <w:rFonts w:ascii="Times New Roman" w:eastAsia="Times New Roman" w:hAnsi="Times New Roman" w:cs="Times New Roman"/>
                <w:sz w:val="24"/>
              </w:rPr>
              <w:t xml:space="preserve"> of Regulation (EU) 575/2013</w:t>
            </w:r>
            <w:r w:rsidRPr="00166E0C">
              <w:rPr>
                <w:rFonts w:ascii="Times New Roman" w:eastAsia="Times New Roman" w:hAnsi="Times New Roman" w:cs="Times New Roman"/>
                <w:sz w:val="24"/>
              </w:rPr>
              <w:t>, deducted amounts in accordance with Article 36(1)</w:t>
            </w:r>
            <w:r w:rsidR="14B8F34C" w:rsidRPr="00166E0C">
              <w:rPr>
                <w:rFonts w:ascii="Times New Roman" w:eastAsia="Times New Roman" w:hAnsi="Times New Roman" w:cs="Times New Roman"/>
                <w:sz w:val="24"/>
              </w:rPr>
              <w:t>,</w:t>
            </w:r>
            <w:r w:rsidR="1BFC727B" w:rsidRPr="00166E0C">
              <w:rPr>
                <w:rFonts w:ascii="Times New Roman" w:eastAsia="Times New Roman" w:hAnsi="Times New Roman" w:cs="Times New Roman"/>
                <w:sz w:val="24"/>
              </w:rPr>
              <w:t xml:space="preserve">point (m) </w:t>
            </w:r>
            <w:r w:rsidR="4F622CF0" w:rsidRPr="00FB64CF">
              <w:rPr>
                <w:rFonts w:ascii="Times New Roman" w:eastAsia="Times New Roman" w:hAnsi="Times New Roman" w:cs="Times New Roman"/>
                <w:sz w:val="24"/>
              </w:rPr>
              <w:t>of Regulation (EU) 575/2013</w:t>
            </w:r>
            <w:r w:rsidRPr="00166E0C">
              <w:rPr>
                <w:rFonts w:ascii="Times New Roman" w:eastAsia="Times New Roman" w:hAnsi="Times New Roman" w:cs="Times New Roman"/>
                <w:sz w:val="24"/>
              </w:rPr>
              <w:t>, other own funds reductions</w:t>
            </w:r>
            <w:r w:rsidRPr="00166E0C">
              <w:rPr>
                <w:rFonts w:ascii="Times New Roman" w:hAnsi="Times New Roman" w:cs="Times New Roman"/>
                <w:sz w:val="24"/>
              </w:rPr>
              <w:t xml:space="preserve"> </w:t>
            </w:r>
            <w:r w:rsidRPr="00166E0C">
              <w:rPr>
                <w:rFonts w:ascii="Times New Roman" w:eastAsia="Times New Roman" w:hAnsi="Times New Roman" w:cs="Times New Roman"/>
                <w:sz w:val="24"/>
              </w:rPr>
              <w:t xml:space="preserve">and write-offs as </w:t>
            </w:r>
            <w:r w:rsidRPr="00166E0C">
              <w:rPr>
                <w:rFonts w:ascii="Times New Roman" w:eastAsia="Times New Roman" w:hAnsi="Times New Roman" w:cs="Times New Roman"/>
                <w:sz w:val="24"/>
              </w:rPr>
              <w:lastRenderedPageBreak/>
              <w:t xml:space="preserve">defined in the applicable accounting framework, after the application of all credit risk mitigants and credit conversion factors. This is the amount to which the risk weights (in accordance with Article 113 </w:t>
            </w:r>
            <w:r w:rsidR="09A02855" w:rsidRPr="00FB64CF">
              <w:rPr>
                <w:rFonts w:ascii="Times New Roman" w:eastAsia="Times New Roman" w:hAnsi="Times New Roman" w:cs="Times New Roman"/>
                <w:sz w:val="24"/>
              </w:rPr>
              <w:t>of Regulation (EU) 575/2013</w:t>
            </w:r>
            <w:r w:rsidR="09A02855" w:rsidRPr="00166E0C">
              <w:rPr>
                <w:rFonts w:ascii="Times New Roman" w:eastAsia="Times New Roman" w:hAnsi="Times New Roman" w:cs="Times New Roman"/>
                <w:sz w:val="24"/>
              </w:rPr>
              <w:t xml:space="preserve"> </w:t>
            </w:r>
            <w:r w:rsidRPr="00166E0C">
              <w:rPr>
                <w:rFonts w:ascii="Times New Roman" w:eastAsia="Times New Roman" w:hAnsi="Times New Roman" w:cs="Times New Roman"/>
                <w:sz w:val="24"/>
              </w:rPr>
              <w:t xml:space="preserve">and with Section </w:t>
            </w:r>
            <w:r w:rsidR="007A6ACF" w:rsidRPr="00166E0C">
              <w:rPr>
                <w:rFonts w:ascii="Times New Roman" w:eastAsia="Times New Roman" w:hAnsi="Times New Roman" w:cs="Times New Roman"/>
                <w:sz w:val="24"/>
              </w:rPr>
              <w:t>2</w:t>
            </w:r>
            <w:r w:rsidRPr="00166E0C">
              <w:rPr>
                <w:rFonts w:ascii="Times New Roman" w:eastAsia="Times New Roman" w:hAnsi="Times New Roman" w:cs="Times New Roman"/>
                <w:sz w:val="24"/>
              </w:rPr>
              <w:t xml:space="preserve"> of Chapter 2 of Title II of Part Three</w:t>
            </w:r>
            <w:r w:rsidR="007A6ACF" w:rsidRPr="00FB64CF">
              <w:rPr>
                <w:rFonts w:ascii="Times New Roman" w:eastAsia="Times New Roman" w:hAnsi="Times New Roman" w:cs="Times New Roman"/>
                <w:sz w:val="24"/>
              </w:rPr>
              <w:t xml:space="preserve"> of Regulation (EU) 575/2013</w:t>
            </w:r>
            <w:r w:rsidRPr="00166E0C">
              <w:rPr>
                <w:rFonts w:ascii="Times New Roman" w:eastAsia="Times New Roman" w:hAnsi="Times New Roman" w:cs="Times New Roman"/>
                <w:sz w:val="24"/>
              </w:rPr>
              <w:t>) are applied. It is a net credit equivalent amount, after having applied CRM techniques and CCF.</w:t>
            </w:r>
          </w:p>
        </w:tc>
      </w:tr>
      <w:tr w:rsidR="0005278F" w:rsidRPr="00BC439A" w14:paraId="137E3978" w14:textId="77777777" w:rsidTr="5A0D947F">
        <w:trPr>
          <w:trHeight w:val="316"/>
        </w:trPr>
        <w:tc>
          <w:tcPr>
            <w:tcW w:w="1413" w:type="dxa"/>
            <w:vAlign w:val="center"/>
          </w:tcPr>
          <w:p w14:paraId="137E3975" w14:textId="77777777" w:rsidR="0005278F" w:rsidRPr="00BC439A" w:rsidRDefault="0005278F" w:rsidP="004F3087">
            <w:pPr>
              <w:autoSpaceDE w:val="0"/>
              <w:autoSpaceDN w:val="0"/>
              <w:adjustRightInd w:val="0"/>
              <w:spacing w:after="120"/>
              <w:rPr>
                <w:rFonts w:ascii="Times New Roman" w:eastAsia="Times New Roman" w:hAnsi="Times New Roman" w:cs="Times New Roman"/>
                <w:sz w:val="24"/>
              </w:rPr>
            </w:pPr>
            <w:r w:rsidRPr="00BC439A">
              <w:rPr>
                <w:rFonts w:ascii="Times New Roman" w:eastAsia="Times New Roman" w:hAnsi="Times New Roman" w:cs="Times New Roman"/>
                <w:sz w:val="24"/>
              </w:rPr>
              <w:lastRenderedPageBreak/>
              <w:t>d</w:t>
            </w:r>
          </w:p>
        </w:tc>
        <w:tc>
          <w:tcPr>
            <w:tcW w:w="7654" w:type="dxa"/>
          </w:tcPr>
          <w:p w14:paraId="137E3976" w14:textId="77777777" w:rsidR="0005278F" w:rsidRPr="00BC439A" w:rsidRDefault="0005278F" w:rsidP="004F3087">
            <w:pPr>
              <w:autoSpaceDE w:val="0"/>
              <w:autoSpaceDN w:val="0"/>
              <w:adjustRightInd w:val="0"/>
              <w:spacing w:after="120"/>
              <w:jc w:val="both"/>
              <w:rPr>
                <w:rFonts w:ascii="Times New Roman" w:eastAsia="Times New Roman" w:hAnsi="Times New Roman" w:cs="Times New Roman"/>
                <w:b/>
                <w:iCs/>
                <w:sz w:val="24"/>
              </w:rPr>
            </w:pPr>
            <w:r w:rsidRPr="00BC439A">
              <w:rPr>
                <w:rFonts w:ascii="Times New Roman" w:eastAsia="Times New Roman" w:hAnsi="Times New Roman" w:cs="Times New Roman"/>
                <w:b/>
                <w:iCs/>
                <w:sz w:val="24"/>
              </w:rPr>
              <w:t xml:space="preserve">Exposures post CCF and post CRM – Off-balance-sheet exposures: </w:t>
            </w:r>
          </w:p>
          <w:p w14:paraId="137E3977" w14:textId="3A31757C" w:rsidR="0005278F" w:rsidRPr="00BC439A" w:rsidRDefault="0005278F" w:rsidP="5A0D947F">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 xml:space="preserve">Institutions shall disclose the amount of the off-balance-sheet exposure value after </w:t>
            </w:r>
            <w:proofErr w:type="gramStart"/>
            <w:r w:rsidRPr="00166E0C">
              <w:rPr>
                <w:rFonts w:ascii="Times New Roman" w:eastAsia="Times New Roman" w:hAnsi="Times New Roman" w:cs="Times New Roman"/>
                <w:sz w:val="24"/>
              </w:rPr>
              <w:t>taking into account</w:t>
            </w:r>
            <w:proofErr w:type="gramEnd"/>
            <w:r w:rsidRPr="00166E0C">
              <w:rPr>
                <w:rFonts w:ascii="Times New Roman" w:eastAsia="Times New Roman" w:hAnsi="Times New Roman" w:cs="Times New Roman"/>
                <w:sz w:val="24"/>
              </w:rPr>
              <w:t xml:space="preserve"> specific credit risk adjustments as defined in the Commission Delegated Regulation (EU) 183/2014</w:t>
            </w:r>
            <w:r w:rsidRPr="00166E0C">
              <w:rPr>
                <w:rStyle w:val="FootnoteReference"/>
                <w:rFonts w:ascii="Times New Roman" w:eastAsia="Times New Roman" w:hAnsi="Times New Roman" w:cs="Times New Roman"/>
              </w:rPr>
              <w:footnoteReference w:id="3"/>
            </w:r>
            <w:r w:rsidRPr="00166E0C">
              <w:rPr>
                <w:rFonts w:ascii="Times New Roman" w:eastAsia="Times New Roman" w:hAnsi="Times New Roman" w:cs="Times New Roman"/>
                <w:sz w:val="24"/>
              </w:rPr>
              <w:t xml:space="preserve">, additional value adjustments and other own funds reductions, after the application of all credit risk mitigants and credit conversion factors. This is the amount to which the risk weights (in accordance with Article 113 </w:t>
            </w:r>
            <w:r w:rsidR="73CB1646" w:rsidRPr="00FB64CF">
              <w:rPr>
                <w:rFonts w:ascii="Times New Roman" w:eastAsia="Times New Roman" w:hAnsi="Times New Roman" w:cs="Times New Roman"/>
                <w:sz w:val="24"/>
              </w:rPr>
              <w:t>of Regulation (EU) 575/2013</w:t>
            </w:r>
            <w:r w:rsidR="73CB1646" w:rsidRPr="00166E0C">
              <w:rPr>
                <w:rFonts w:ascii="Times New Roman" w:eastAsia="Times New Roman" w:hAnsi="Times New Roman" w:cs="Times New Roman"/>
                <w:sz w:val="24"/>
              </w:rPr>
              <w:t xml:space="preserve"> </w:t>
            </w:r>
            <w:r w:rsidRPr="00166E0C">
              <w:rPr>
                <w:rFonts w:ascii="Times New Roman" w:eastAsia="Times New Roman" w:hAnsi="Times New Roman" w:cs="Times New Roman"/>
                <w:sz w:val="24"/>
              </w:rPr>
              <w:t xml:space="preserve">and with Section </w:t>
            </w:r>
            <w:r w:rsidR="00607E4F">
              <w:rPr>
                <w:rFonts w:ascii="Times New Roman" w:eastAsia="Times New Roman" w:hAnsi="Times New Roman" w:cs="Times New Roman"/>
                <w:sz w:val="24"/>
              </w:rPr>
              <w:t>2</w:t>
            </w:r>
            <w:r w:rsidRPr="00166E0C">
              <w:rPr>
                <w:rFonts w:ascii="Times New Roman" w:eastAsia="Times New Roman" w:hAnsi="Times New Roman" w:cs="Times New Roman"/>
                <w:sz w:val="24"/>
              </w:rPr>
              <w:t xml:space="preserve"> of Chapter 2 of Title II of Part Three CRR) are applied. It is a net credit equivalent amount, after having applied CRM techniques </w:t>
            </w:r>
            <w:r w:rsidRPr="00BC439A">
              <w:rPr>
                <w:rFonts w:ascii="Times New Roman" w:eastAsia="Times New Roman" w:hAnsi="Times New Roman" w:cs="Times New Roman"/>
                <w:sz w:val="24"/>
              </w:rPr>
              <w:t>and CCF.</w:t>
            </w:r>
          </w:p>
        </w:tc>
      </w:tr>
      <w:tr w:rsidR="0005278F" w:rsidRPr="00BC439A" w14:paraId="137E397C" w14:textId="77777777" w:rsidTr="5A0D947F">
        <w:trPr>
          <w:trHeight w:val="316"/>
        </w:trPr>
        <w:tc>
          <w:tcPr>
            <w:tcW w:w="1413" w:type="dxa"/>
            <w:vAlign w:val="center"/>
          </w:tcPr>
          <w:p w14:paraId="137E3979" w14:textId="77777777" w:rsidR="0005278F" w:rsidRPr="00BC439A" w:rsidRDefault="0005278F" w:rsidP="004F3087">
            <w:pPr>
              <w:autoSpaceDE w:val="0"/>
              <w:autoSpaceDN w:val="0"/>
              <w:adjustRightInd w:val="0"/>
              <w:spacing w:after="120"/>
              <w:rPr>
                <w:rFonts w:ascii="Times New Roman" w:eastAsia="Times New Roman" w:hAnsi="Times New Roman" w:cs="Times New Roman"/>
                <w:sz w:val="24"/>
              </w:rPr>
            </w:pPr>
            <w:r w:rsidRPr="00BC439A">
              <w:rPr>
                <w:rFonts w:ascii="Times New Roman" w:eastAsia="Times New Roman" w:hAnsi="Times New Roman" w:cs="Times New Roman"/>
                <w:sz w:val="24"/>
              </w:rPr>
              <w:t>e</w:t>
            </w:r>
          </w:p>
        </w:tc>
        <w:tc>
          <w:tcPr>
            <w:tcW w:w="7654" w:type="dxa"/>
          </w:tcPr>
          <w:p w14:paraId="137E397A" w14:textId="77777777" w:rsidR="0005278F" w:rsidRPr="00BC439A" w:rsidRDefault="0005278F" w:rsidP="004F3087">
            <w:pPr>
              <w:autoSpaceDE w:val="0"/>
              <w:autoSpaceDN w:val="0"/>
              <w:adjustRightInd w:val="0"/>
              <w:spacing w:after="120"/>
              <w:jc w:val="both"/>
              <w:rPr>
                <w:rFonts w:ascii="Times New Roman" w:eastAsia="Times New Roman" w:hAnsi="Times New Roman" w:cs="Times New Roman"/>
                <w:b/>
                <w:iCs/>
                <w:sz w:val="24"/>
              </w:rPr>
            </w:pPr>
            <w:r w:rsidRPr="00BC439A">
              <w:rPr>
                <w:rFonts w:ascii="Times New Roman" w:eastAsia="Times New Roman" w:hAnsi="Times New Roman" w:cs="Times New Roman"/>
                <w:b/>
                <w:iCs/>
                <w:sz w:val="24"/>
              </w:rPr>
              <w:t>RWEAs</w:t>
            </w:r>
          </w:p>
          <w:p w14:paraId="137E397B" w14:textId="1F9983D6" w:rsidR="0005278F" w:rsidRPr="00BC439A" w:rsidRDefault="0005278F" w:rsidP="004F3087">
            <w:pPr>
              <w:autoSpaceDE w:val="0"/>
              <w:autoSpaceDN w:val="0"/>
              <w:adjustRightInd w:val="0"/>
              <w:spacing w:after="120"/>
              <w:jc w:val="both"/>
              <w:rPr>
                <w:rFonts w:ascii="Times New Roman" w:eastAsia="Times New Roman" w:hAnsi="Times New Roman" w:cs="Times New Roman"/>
                <w:iCs/>
                <w:sz w:val="24"/>
              </w:rPr>
            </w:pPr>
            <w:r w:rsidRPr="00BC439A">
              <w:rPr>
                <w:rFonts w:ascii="Times New Roman" w:hAnsi="Times New Roman" w:cs="Times New Roman"/>
                <w:sz w:val="24"/>
              </w:rPr>
              <w:t xml:space="preserve">The risk-weighted exposure amounts (RWEAs) calculated in accordance with Section </w:t>
            </w:r>
            <w:r w:rsidR="00607E4F">
              <w:rPr>
                <w:rFonts w:ascii="Times New Roman" w:hAnsi="Times New Roman" w:cs="Times New Roman"/>
                <w:sz w:val="24"/>
              </w:rPr>
              <w:t>2</w:t>
            </w:r>
            <w:r w:rsidRPr="00BC439A">
              <w:rPr>
                <w:rFonts w:ascii="Times New Roman" w:hAnsi="Times New Roman" w:cs="Times New Roman"/>
                <w:sz w:val="24"/>
              </w:rPr>
              <w:t xml:space="preserve"> of Chapter 2 of Title II of Part Three</w:t>
            </w:r>
            <w:r w:rsidR="00166E0C" w:rsidRPr="00BC439A">
              <w:rPr>
                <w:rFonts w:ascii="Times New Roman" w:hAnsi="Times New Roman" w:cs="Times New Roman"/>
                <w:sz w:val="24"/>
              </w:rPr>
              <w:t xml:space="preserve"> </w:t>
            </w:r>
            <w:r w:rsidR="00166E0C">
              <w:rPr>
                <w:rFonts w:ascii="Times New Roman" w:hAnsi="Times New Roman" w:cs="Times New Roman"/>
                <w:sz w:val="24"/>
              </w:rPr>
              <w:t xml:space="preserve">of </w:t>
            </w:r>
            <w:r w:rsidR="00166E0C" w:rsidRPr="00BC439A">
              <w:rPr>
                <w:rFonts w:ascii="Times New Roman" w:hAnsi="Times New Roman" w:cs="Times New Roman"/>
                <w:sz w:val="24"/>
              </w:rPr>
              <w:t>Regulation (EU) 575/2013</w:t>
            </w:r>
            <w:r w:rsidR="00CC31FB">
              <w:rPr>
                <w:rFonts w:ascii="Times New Roman" w:hAnsi="Times New Roman" w:cs="Times New Roman"/>
                <w:sz w:val="24"/>
              </w:rPr>
              <w:t>.</w:t>
            </w:r>
          </w:p>
        </w:tc>
      </w:tr>
      <w:tr w:rsidR="0005278F" w:rsidRPr="00BC439A" w14:paraId="137E3981" w14:textId="77777777" w:rsidTr="5A0D947F">
        <w:trPr>
          <w:trHeight w:val="316"/>
        </w:trPr>
        <w:tc>
          <w:tcPr>
            <w:tcW w:w="1413" w:type="dxa"/>
            <w:vAlign w:val="center"/>
          </w:tcPr>
          <w:p w14:paraId="137E397D" w14:textId="77777777" w:rsidR="0005278F" w:rsidRPr="00BC439A" w:rsidRDefault="0005278F" w:rsidP="004F3087">
            <w:pPr>
              <w:autoSpaceDE w:val="0"/>
              <w:autoSpaceDN w:val="0"/>
              <w:adjustRightInd w:val="0"/>
              <w:spacing w:after="120"/>
              <w:rPr>
                <w:rFonts w:ascii="Times New Roman" w:eastAsia="Times New Roman" w:hAnsi="Times New Roman" w:cs="Times New Roman"/>
                <w:sz w:val="24"/>
              </w:rPr>
            </w:pPr>
            <w:r w:rsidRPr="00BC439A">
              <w:rPr>
                <w:rFonts w:ascii="Times New Roman" w:eastAsia="Times New Roman" w:hAnsi="Times New Roman" w:cs="Times New Roman"/>
                <w:sz w:val="24"/>
              </w:rPr>
              <w:t>f</w:t>
            </w:r>
          </w:p>
        </w:tc>
        <w:tc>
          <w:tcPr>
            <w:tcW w:w="7654" w:type="dxa"/>
          </w:tcPr>
          <w:p w14:paraId="137E397E" w14:textId="77777777" w:rsidR="0005278F" w:rsidRPr="00BC439A" w:rsidRDefault="0005278F" w:rsidP="004F3087">
            <w:pPr>
              <w:autoSpaceDE w:val="0"/>
              <w:autoSpaceDN w:val="0"/>
              <w:adjustRightInd w:val="0"/>
              <w:spacing w:after="120"/>
              <w:jc w:val="both"/>
              <w:rPr>
                <w:rFonts w:ascii="Times New Roman" w:eastAsia="Times New Roman" w:hAnsi="Times New Roman" w:cs="Times New Roman"/>
                <w:b/>
                <w:iCs/>
                <w:sz w:val="24"/>
              </w:rPr>
            </w:pPr>
            <w:r w:rsidRPr="00BC439A">
              <w:rPr>
                <w:rFonts w:ascii="Times New Roman" w:eastAsia="Times New Roman" w:hAnsi="Times New Roman" w:cs="Times New Roman"/>
                <w:b/>
                <w:iCs/>
                <w:sz w:val="24"/>
              </w:rPr>
              <w:t>RWEA density</w:t>
            </w:r>
          </w:p>
          <w:p w14:paraId="137E397F" w14:textId="77777777" w:rsidR="0005278F" w:rsidRPr="00BC439A" w:rsidRDefault="0005278F" w:rsidP="004F3087">
            <w:pPr>
              <w:autoSpaceDE w:val="0"/>
              <w:autoSpaceDN w:val="0"/>
              <w:adjustRightInd w:val="0"/>
              <w:spacing w:after="120"/>
              <w:jc w:val="both"/>
              <w:rPr>
                <w:rFonts w:ascii="Times New Roman" w:eastAsia="Times New Roman" w:hAnsi="Times New Roman" w:cs="Times New Roman"/>
                <w:iCs/>
                <w:sz w:val="24"/>
              </w:rPr>
            </w:pPr>
            <w:r w:rsidRPr="00BC439A">
              <w:rPr>
                <w:rFonts w:ascii="Times New Roman" w:eastAsia="Times New Roman" w:hAnsi="Times New Roman" w:cs="Times New Roman"/>
                <w:iCs/>
                <w:sz w:val="24"/>
              </w:rPr>
              <w:t>(Column e/Columns(</w:t>
            </w:r>
            <w:proofErr w:type="spellStart"/>
            <w:r w:rsidRPr="00BC439A">
              <w:rPr>
                <w:rFonts w:ascii="Times New Roman" w:eastAsia="Times New Roman" w:hAnsi="Times New Roman" w:cs="Times New Roman"/>
                <w:iCs/>
                <w:sz w:val="24"/>
              </w:rPr>
              <w:t>c+d</w:t>
            </w:r>
            <w:proofErr w:type="spellEnd"/>
            <w:r w:rsidRPr="00BC439A">
              <w:rPr>
                <w:rFonts w:ascii="Times New Roman" w:eastAsia="Times New Roman" w:hAnsi="Times New Roman" w:cs="Times New Roman"/>
                <w:iCs/>
                <w:sz w:val="24"/>
              </w:rPr>
              <w:t>)</w:t>
            </w:r>
            <w:r w:rsidRPr="00BC439A">
              <w:rPr>
                <w:rFonts w:ascii="Times New Roman" w:hAnsi="Times New Roman" w:cs="Times New Roman"/>
                <w:sz w:val="24"/>
              </w:rPr>
              <w:t xml:space="preserve"> of this template</w:t>
            </w:r>
            <w:r w:rsidRPr="00BC439A">
              <w:rPr>
                <w:rFonts w:ascii="Times New Roman" w:eastAsia="Times New Roman" w:hAnsi="Times New Roman" w:cs="Times New Roman"/>
                <w:iCs/>
                <w:sz w:val="24"/>
              </w:rPr>
              <w:t>)</w:t>
            </w:r>
          </w:p>
          <w:p w14:paraId="137E3980" w14:textId="77777777" w:rsidR="0005278F" w:rsidRPr="00BC439A" w:rsidRDefault="0005278F" w:rsidP="004F3087">
            <w:pPr>
              <w:autoSpaceDE w:val="0"/>
              <w:autoSpaceDN w:val="0"/>
              <w:adjustRightInd w:val="0"/>
              <w:spacing w:after="120"/>
              <w:jc w:val="both"/>
              <w:rPr>
                <w:rFonts w:ascii="Times New Roman" w:eastAsia="Times New Roman" w:hAnsi="Times New Roman" w:cs="Times New Roman"/>
                <w:iCs/>
                <w:sz w:val="24"/>
              </w:rPr>
            </w:pPr>
            <w:r w:rsidRPr="00BC439A">
              <w:rPr>
                <w:rFonts w:ascii="Times New Roman" w:eastAsia="Times New Roman" w:hAnsi="Times New Roman" w:cs="Times New Roman"/>
                <w:iCs/>
                <w:sz w:val="24"/>
              </w:rPr>
              <w:t>The ratio shall be calculated by dividing the RWEAs of the respective exposure class (column e</w:t>
            </w:r>
            <w:r w:rsidRPr="00BC439A">
              <w:rPr>
                <w:rFonts w:ascii="Times New Roman" w:hAnsi="Times New Roman" w:cs="Times New Roman"/>
                <w:sz w:val="24"/>
              </w:rPr>
              <w:t xml:space="preserve"> of this template</w:t>
            </w:r>
            <w:r w:rsidRPr="00BC439A">
              <w:rPr>
                <w:rFonts w:ascii="Times New Roman" w:eastAsia="Times New Roman" w:hAnsi="Times New Roman" w:cs="Times New Roman"/>
                <w:iCs/>
                <w:sz w:val="24"/>
              </w:rPr>
              <w:t xml:space="preserve">) by the amount of the respective exposures after </w:t>
            </w:r>
            <w:proofErr w:type="gramStart"/>
            <w:r w:rsidRPr="00BC439A">
              <w:rPr>
                <w:rFonts w:ascii="Times New Roman" w:eastAsia="Times New Roman" w:hAnsi="Times New Roman" w:cs="Times New Roman"/>
                <w:iCs/>
                <w:sz w:val="24"/>
              </w:rPr>
              <w:t>taking into account</w:t>
            </w:r>
            <w:proofErr w:type="gramEnd"/>
            <w:r w:rsidRPr="00BC439A">
              <w:rPr>
                <w:rFonts w:ascii="Times New Roman" w:eastAsia="Times New Roman" w:hAnsi="Times New Roman" w:cs="Times New Roman"/>
                <w:iCs/>
                <w:sz w:val="24"/>
              </w:rPr>
              <w:t xml:space="preserve"> all credit risk mitigants and credit conversion factors (sum of amounts in columns c and d </w:t>
            </w:r>
            <w:r w:rsidRPr="00BC439A">
              <w:rPr>
                <w:rFonts w:ascii="Times New Roman" w:hAnsi="Times New Roman" w:cs="Times New Roman"/>
                <w:sz w:val="24"/>
              </w:rPr>
              <w:t>of this template</w:t>
            </w:r>
            <w:r w:rsidRPr="00BC439A">
              <w:rPr>
                <w:rFonts w:ascii="Times New Roman" w:eastAsia="Times New Roman" w:hAnsi="Times New Roman" w:cs="Times New Roman"/>
                <w:iCs/>
                <w:sz w:val="24"/>
              </w:rPr>
              <w:t>).</w:t>
            </w:r>
          </w:p>
        </w:tc>
      </w:tr>
    </w:tbl>
    <w:p w14:paraId="137E3982" w14:textId="664BD25D" w:rsidR="0005278F" w:rsidRPr="00BC439A" w:rsidRDefault="0005278F" w:rsidP="0005278F">
      <w:pPr>
        <w:spacing w:after="120"/>
        <w:rPr>
          <w:rFonts w:ascii="Times New Roman" w:hAnsi="Times New Roman" w:cs="Times New Roman"/>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654"/>
      </w:tblGrid>
      <w:tr w:rsidR="005A70FA" w:rsidRPr="00BC439A" w14:paraId="3A3E48F5" w14:textId="77777777" w:rsidTr="00E549F2">
        <w:trPr>
          <w:trHeight w:val="90"/>
        </w:trPr>
        <w:tc>
          <w:tcPr>
            <w:tcW w:w="9067" w:type="dxa"/>
            <w:gridSpan w:val="2"/>
            <w:tcBorders>
              <w:top w:val="single" w:sz="4" w:space="0" w:color="auto"/>
              <w:left w:val="single" w:sz="4" w:space="0" w:color="auto"/>
              <w:right w:val="single" w:sz="4" w:space="0" w:color="auto"/>
            </w:tcBorders>
            <w:shd w:val="clear" w:color="auto" w:fill="D9D9D9" w:themeFill="background1" w:themeFillShade="D9"/>
          </w:tcPr>
          <w:p w14:paraId="7BB06C79" w14:textId="5B60C711" w:rsidR="005A70FA" w:rsidRPr="00BC439A" w:rsidRDefault="005A70FA" w:rsidP="00A518F7">
            <w:pPr>
              <w:spacing w:after="120"/>
              <w:rPr>
                <w:rFonts w:ascii="Times New Roman" w:hAnsi="Times New Roman" w:cs="Times New Roman"/>
                <w:b/>
                <w:sz w:val="24"/>
              </w:rPr>
            </w:pPr>
            <w:r w:rsidRPr="00BC439A">
              <w:rPr>
                <w:rFonts w:ascii="Times New Roman" w:hAnsi="Times New Roman" w:cs="Times New Roman"/>
                <w:b/>
                <w:sz w:val="24"/>
              </w:rPr>
              <w:t>Legal references and instructions</w:t>
            </w:r>
          </w:p>
        </w:tc>
      </w:tr>
      <w:tr w:rsidR="00535F36" w:rsidRPr="00BC439A" w14:paraId="15637106" w14:textId="77777777" w:rsidTr="005A70FA">
        <w:trPr>
          <w:trHeight w:val="336"/>
        </w:trPr>
        <w:tc>
          <w:tcPr>
            <w:tcW w:w="1413" w:type="dxa"/>
            <w:shd w:val="clear" w:color="auto" w:fill="D9D9D9" w:themeFill="background1" w:themeFillShade="D9"/>
          </w:tcPr>
          <w:p w14:paraId="0281A12B" w14:textId="26D7D1F8" w:rsidR="00535F36" w:rsidRPr="00BC439A" w:rsidRDefault="005A70FA" w:rsidP="00A518F7">
            <w:pPr>
              <w:autoSpaceDE w:val="0"/>
              <w:autoSpaceDN w:val="0"/>
              <w:adjustRightInd w:val="0"/>
              <w:spacing w:after="120"/>
              <w:rPr>
                <w:rFonts w:ascii="Times New Roman" w:hAnsi="Times New Roman" w:cs="Times New Roman"/>
                <w:b/>
                <w:sz w:val="24"/>
              </w:rPr>
            </w:pPr>
            <w:r w:rsidRPr="00BC439A">
              <w:rPr>
                <w:rFonts w:ascii="Times New Roman" w:hAnsi="Times New Roman" w:cs="Times New Roman"/>
                <w:b/>
                <w:sz w:val="24"/>
              </w:rPr>
              <w:t>Row number</w:t>
            </w:r>
          </w:p>
        </w:tc>
        <w:tc>
          <w:tcPr>
            <w:tcW w:w="7654" w:type="dxa"/>
            <w:tcBorders>
              <w:left w:val="single" w:sz="4" w:space="0" w:color="auto"/>
            </w:tcBorders>
            <w:shd w:val="clear" w:color="auto" w:fill="D9D9D9" w:themeFill="background1" w:themeFillShade="D9"/>
          </w:tcPr>
          <w:p w14:paraId="4210B102" w14:textId="77777777" w:rsidR="00535F36" w:rsidRPr="00BC439A" w:rsidRDefault="00535F36" w:rsidP="00A518F7">
            <w:pPr>
              <w:autoSpaceDE w:val="0"/>
              <w:autoSpaceDN w:val="0"/>
              <w:adjustRightInd w:val="0"/>
              <w:spacing w:after="120"/>
              <w:rPr>
                <w:rFonts w:ascii="Times New Roman" w:hAnsi="Times New Roman" w:cs="Times New Roman"/>
                <w:color w:val="000000"/>
                <w:sz w:val="24"/>
              </w:rPr>
            </w:pPr>
            <w:r w:rsidRPr="00BC439A">
              <w:rPr>
                <w:rFonts w:ascii="Times New Roman" w:hAnsi="Times New Roman" w:cs="Times New Roman"/>
                <w:b/>
                <w:sz w:val="24"/>
              </w:rPr>
              <w:t>Explanation</w:t>
            </w:r>
          </w:p>
        </w:tc>
      </w:tr>
      <w:tr w:rsidR="00535F36" w:rsidRPr="00BC439A" w14:paraId="7FCC92DA" w14:textId="77777777" w:rsidTr="5A0D947F">
        <w:trPr>
          <w:trHeight w:val="699"/>
        </w:trPr>
        <w:tc>
          <w:tcPr>
            <w:tcW w:w="1413" w:type="dxa"/>
            <w:shd w:val="clear" w:color="auto" w:fill="auto"/>
          </w:tcPr>
          <w:p w14:paraId="22F3AEC0" w14:textId="3F00C73A" w:rsidR="00535F36" w:rsidRPr="00BC439A" w:rsidRDefault="00926A01" w:rsidP="00FB64CF">
            <w:pPr>
              <w:autoSpaceDE w:val="0"/>
              <w:autoSpaceDN w:val="0"/>
              <w:adjustRightInd w:val="0"/>
              <w:spacing w:after="120"/>
              <w:rPr>
                <w:rFonts w:ascii="Times New Roman" w:eastAsia="Times New Roman" w:hAnsi="Times New Roman" w:cs="Times New Roman"/>
                <w:sz w:val="24"/>
                <w:lang w:val="fr-FR"/>
              </w:rPr>
            </w:pPr>
            <w:r w:rsidRPr="00BC439A">
              <w:rPr>
                <w:rFonts w:ascii="Times New Roman" w:eastAsia="Times New Roman" w:hAnsi="Times New Roman" w:cs="Times New Roman"/>
                <w:sz w:val="24"/>
                <w:lang w:val="fr-FR"/>
              </w:rPr>
              <w:t>1,</w:t>
            </w:r>
            <w:r w:rsidR="004F0F3D" w:rsidRPr="00BC439A">
              <w:rPr>
                <w:rFonts w:ascii="Times New Roman" w:eastAsia="Times New Roman" w:hAnsi="Times New Roman" w:cs="Times New Roman"/>
                <w:sz w:val="24"/>
                <w:lang w:val="fr-FR"/>
              </w:rPr>
              <w:t xml:space="preserve"> EU 2a, EU2b,</w:t>
            </w:r>
            <w:r w:rsidRPr="00BC439A">
              <w:rPr>
                <w:rFonts w:ascii="Times New Roman" w:eastAsia="Times New Roman" w:hAnsi="Times New Roman" w:cs="Times New Roman"/>
                <w:sz w:val="24"/>
                <w:lang w:val="fr-FR"/>
              </w:rPr>
              <w:t xml:space="preserve"> 3, EU 3a, 4, 5,</w:t>
            </w:r>
            <w:r w:rsidR="004F0F3D" w:rsidRPr="00BC439A">
              <w:rPr>
                <w:rFonts w:ascii="Times New Roman" w:eastAsia="Times New Roman" w:hAnsi="Times New Roman" w:cs="Times New Roman"/>
                <w:sz w:val="24"/>
                <w:lang w:val="fr-FR"/>
              </w:rPr>
              <w:t xml:space="preserve"> 6</w:t>
            </w:r>
            <w:r w:rsidR="00736421" w:rsidRPr="00BC439A">
              <w:rPr>
                <w:rFonts w:ascii="Times New Roman" w:eastAsia="Times New Roman" w:hAnsi="Times New Roman" w:cs="Times New Roman"/>
                <w:sz w:val="24"/>
                <w:lang w:val="fr-FR"/>
              </w:rPr>
              <w:t>, EU 7a, EU 7b,</w:t>
            </w:r>
            <w:r w:rsidRPr="00BC439A">
              <w:rPr>
                <w:rFonts w:ascii="Times New Roman" w:eastAsia="Times New Roman" w:hAnsi="Times New Roman" w:cs="Times New Roman"/>
                <w:sz w:val="24"/>
                <w:lang w:val="fr-FR"/>
              </w:rPr>
              <w:t xml:space="preserve"> 8,</w:t>
            </w:r>
            <w:r w:rsidR="00736421" w:rsidRPr="00BC439A">
              <w:rPr>
                <w:rFonts w:ascii="Times New Roman" w:eastAsia="Times New Roman" w:hAnsi="Times New Roman" w:cs="Times New Roman"/>
                <w:sz w:val="24"/>
                <w:lang w:val="fr-FR"/>
              </w:rPr>
              <w:t xml:space="preserve"> 9,</w:t>
            </w:r>
            <w:r w:rsidRPr="00BC439A">
              <w:rPr>
                <w:rFonts w:ascii="Times New Roman" w:eastAsia="Times New Roman" w:hAnsi="Times New Roman" w:cs="Times New Roman"/>
                <w:sz w:val="24"/>
                <w:lang w:val="fr-FR"/>
              </w:rPr>
              <w:t xml:space="preserve"> 10, EU 10a, EU 10b</w:t>
            </w:r>
            <w:r w:rsidR="00CE5D58" w:rsidRPr="00BC439A">
              <w:rPr>
                <w:rFonts w:ascii="Times New Roman" w:eastAsia="Times New Roman" w:hAnsi="Times New Roman" w:cs="Times New Roman"/>
                <w:sz w:val="24"/>
                <w:lang w:val="fr-FR"/>
              </w:rPr>
              <w:t>,</w:t>
            </w:r>
            <w:r w:rsidR="00790935">
              <w:rPr>
                <w:rFonts w:ascii="Times New Roman" w:eastAsia="Times New Roman" w:hAnsi="Times New Roman" w:cs="Times New Roman"/>
                <w:sz w:val="24"/>
                <w:lang w:val="fr-FR"/>
              </w:rPr>
              <w:t xml:space="preserve"> </w:t>
            </w:r>
            <w:r w:rsidR="4FE884A7" w:rsidRPr="00BC439A">
              <w:rPr>
                <w:rFonts w:ascii="Times New Roman" w:eastAsia="Times New Roman" w:hAnsi="Times New Roman" w:cs="Times New Roman"/>
                <w:sz w:val="24"/>
                <w:lang w:val="fr-FR"/>
              </w:rPr>
              <w:t>EU 10c</w:t>
            </w:r>
            <w:r w:rsidR="00CE5D58" w:rsidRPr="00BC439A">
              <w:rPr>
                <w:rFonts w:ascii="Times New Roman" w:eastAsia="Times New Roman" w:hAnsi="Times New Roman" w:cs="Times New Roman"/>
                <w:sz w:val="24"/>
                <w:lang w:val="fr-FR"/>
              </w:rPr>
              <w:t xml:space="preserve"> </w:t>
            </w:r>
          </w:p>
        </w:tc>
        <w:tc>
          <w:tcPr>
            <w:tcW w:w="7654" w:type="dxa"/>
            <w:shd w:val="clear" w:color="auto" w:fill="auto"/>
          </w:tcPr>
          <w:p w14:paraId="7983BEBC" w14:textId="7FFA78E2" w:rsidR="00535F36" w:rsidRPr="00BC439A" w:rsidRDefault="00535F36" w:rsidP="00A518F7">
            <w:pPr>
              <w:spacing w:after="120"/>
              <w:jc w:val="both"/>
              <w:rPr>
                <w:rFonts w:ascii="Times New Roman" w:hAnsi="Times New Roman" w:cs="Times New Roman"/>
                <w:sz w:val="24"/>
              </w:rPr>
            </w:pPr>
            <w:r w:rsidRPr="00BC439A">
              <w:rPr>
                <w:rFonts w:ascii="Times New Roman" w:eastAsiaTheme="minorHAnsi" w:hAnsi="Times New Roman" w:cs="Times New Roman"/>
                <w:sz w:val="24"/>
              </w:rPr>
              <w:t>Exposure classes as defined in accordance with Article 112 of Regulation (EU) No 575/2013</w:t>
            </w:r>
            <w:r w:rsidR="005908B4" w:rsidRPr="00BC439A">
              <w:rPr>
                <w:rFonts w:ascii="Times New Roman" w:eastAsiaTheme="minorHAnsi" w:hAnsi="Times New Roman" w:cs="Times New Roman"/>
                <w:sz w:val="24"/>
              </w:rPr>
              <w:t>.</w:t>
            </w:r>
            <w:r w:rsidR="00926A01" w:rsidRPr="00BC439A">
              <w:rPr>
                <w:rFonts w:ascii="Times New Roman" w:eastAsiaTheme="minorHAnsi" w:hAnsi="Times New Roman" w:cs="Times New Roman"/>
                <w:sz w:val="24"/>
              </w:rPr>
              <w:t xml:space="preserve"> </w:t>
            </w:r>
          </w:p>
          <w:p w14:paraId="4E391AF9" w14:textId="6574451E" w:rsidR="00535F36" w:rsidRPr="00BC439A" w:rsidRDefault="5682D6C4" w:rsidP="5A0D947F">
            <w:pPr>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Exposures assigned to exposure class ‘items representing securitisation positions’ that is referred to in Article 112</w:t>
            </w:r>
            <w:r w:rsidR="16E75277" w:rsidRPr="00BC439A">
              <w:rPr>
                <w:rFonts w:ascii="Times New Roman" w:eastAsia="Times New Roman" w:hAnsi="Times New Roman" w:cs="Times New Roman"/>
                <w:sz w:val="24"/>
              </w:rPr>
              <w:t>,</w:t>
            </w:r>
            <w:r w:rsidRPr="00BC439A">
              <w:rPr>
                <w:rFonts w:ascii="Times New Roman" w:eastAsia="Times New Roman" w:hAnsi="Times New Roman" w:cs="Times New Roman"/>
                <w:sz w:val="24"/>
              </w:rPr>
              <w:t xml:space="preserve"> </w:t>
            </w:r>
            <w:r w:rsidR="0D0DA1AB" w:rsidRPr="00BC439A">
              <w:rPr>
                <w:rFonts w:ascii="Times New Roman" w:eastAsia="Times New Roman" w:hAnsi="Times New Roman" w:cs="Times New Roman"/>
                <w:sz w:val="24"/>
              </w:rPr>
              <w:t xml:space="preserve">point (m) of </w:t>
            </w:r>
            <w:r w:rsidR="2CDA9D8F" w:rsidRPr="00BC439A">
              <w:rPr>
                <w:rFonts w:ascii="Times New Roman" w:hAnsi="Times New Roman" w:cs="Times New Roman"/>
                <w:sz w:val="24"/>
              </w:rPr>
              <w:t>Regulation (EU) No 575/2013</w:t>
            </w:r>
            <w:r w:rsidR="2CDA9D8F" w:rsidRPr="00BC439A">
              <w:rPr>
                <w:rFonts w:ascii="Times New Roman" w:eastAsia="Times New Roman" w:hAnsi="Times New Roman" w:cs="Times New Roman"/>
                <w:sz w:val="24"/>
              </w:rPr>
              <w:t xml:space="preserve"> </w:t>
            </w:r>
            <w:r w:rsidRPr="00BC439A">
              <w:rPr>
                <w:rFonts w:ascii="Times New Roman" w:eastAsia="Times New Roman" w:hAnsi="Times New Roman" w:cs="Times New Roman"/>
                <w:sz w:val="24"/>
              </w:rPr>
              <w:t>are not included.</w:t>
            </w:r>
          </w:p>
        </w:tc>
      </w:tr>
      <w:tr w:rsidR="00C337F1" w:rsidRPr="00BC439A" w14:paraId="64CF4F9F" w14:textId="77777777" w:rsidTr="5A0D947F">
        <w:trPr>
          <w:trHeight w:val="699"/>
        </w:trPr>
        <w:tc>
          <w:tcPr>
            <w:tcW w:w="1413" w:type="dxa"/>
            <w:shd w:val="clear" w:color="auto" w:fill="auto"/>
          </w:tcPr>
          <w:p w14:paraId="7981A2E1" w14:textId="3F1FF913" w:rsidR="00C337F1" w:rsidRPr="00BC439A" w:rsidRDefault="00C337F1" w:rsidP="00535F3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2</w:t>
            </w:r>
          </w:p>
        </w:tc>
        <w:tc>
          <w:tcPr>
            <w:tcW w:w="7654" w:type="dxa"/>
            <w:shd w:val="clear" w:color="auto" w:fill="auto"/>
          </w:tcPr>
          <w:p w14:paraId="2853DB1C" w14:textId="6EED0555" w:rsidR="00FF5357" w:rsidRDefault="002A2B60" w:rsidP="00535F36">
            <w:pPr>
              <w:spacing w:after="120"/>
              <w:jc w:val="both"/>
              <w:rPr>
                <w:rFonts w:ascii="Times New Roman" w:eastAsiaTheme="minorHAnsi" w:hAnsi="Times New Roman" w:cs="Times New Roman"/>
                <w:sz w:val="24"/>
              </w:rPr>
            </w:pPr>
            <w:r w:rsidRPr="00FB64CF">
              <w:rPr>
                <w:rFonts w:ascii="Times New Roman" w:eastAsiaTheme="minorHAnsi" w:hAnsi="Times New Roman" w:cs="Times New Roman"/>
                <w:b/>
                <w:bCs/>
                <w:sz w:val="24"/>
              </w:rPr>
              <w:t xml:space="preserve">Non-central </w:t>
            </w:r>
            <w:r w:rsidR="00713EFB" w:rsidRPr="00FB64CF">
              <w:rPr>
                <w:rFonts w:ascii="Times New Roman" w:eastAsiaTheme="minorHAnsi" w:hAnsi="Times New Roman" w:cs="Times New Roman"/>
                <w:b/>
                <w:bCs/>
                <w:sz w:val="24"/>
              </w:rPr>
              <w:t>government public sector entities</w:t>
            </w:r>
          </w:p>
          <w:p w14:paraId="7D529948" w14:textId="15F28325" w:rsidR="00C337F1" w:rsidRPr="00BC439A" w:rsidRDefault="00FF5357" w:rsidP="00535F36">
            <w:pPr>
              <w:spacing w:after="120"/>
              <w:jc w:val="both"/>
              <w:rPr>
                <w:rFonts w:ascii="Times New Roman" w:eastAsiaTheme="minorHAnsi" w:hAnsi="Times New Roman" w:cs="Times New Roman"/>
                <w:sz w:val="24"/>
              </w:rPr>
            </w:pPr>
            <w:r>
              <w:rPr>
                <w:rFonts w:ascii="Times New Roman" w:eastAsiaTheme="minorHAnsi" w:hAnsi="Times New Roman" w:cs="Times New Roman"/>
                <w:sz w:val="24"/>
              </w:rPr>
              <w:t>S</w:t>
            </w:r>
            <w:r w:rsidR="002740A6" w:rsidRPr="00BC439A">
              <w:rPr>
                <w:rFonts w:ascii="Times New Roman" w:eastAsiaTheme="minorHAnsi" w:hAnsi="Times New Roman" w:cs="Times New Roman"/>
                <w:sz w:val="24"/>
              </w:rPr>
              <w:t>um of exposures in row</w:t>
            </w:r>
            <w:r w:rsidR="001D6B68" w:rsidRPr="00BC439A">
              <w:rPr>
                <w:rFonts w:ascii="Times New Roman" w:eastAsiaTheme="minorHAnsi" w:hAnsi="Times New Roman" w:cs="Times New Roman"/>
                <w:sz w:val="24"/>
              </w:rPr>
              <w:t>s</w:t>
            </w:r>
            <w:r w:rsidR="002740A6" w:rsidRPr="00BC439A">
              <w:rPr>
                <w:rFonts w:ascii="Times New Roman" w:eastAsiaTheme="minorHAnsi" w:hAnsi="Times New Roman" w:cs="Times New Roman"/>
                <w:sz w:val="24"/>
              </w:rPr>
              <w:t xml:space="preserve"> EU 2a and EU 2b.</w:t>
            </w:r>
          </w:p>
        </w:tc>
      </w:tr>
      <w:tr w:rsidR="00535F36" w:rsidRPr="00BC439A" w14:paraId="3305E816" w14:textId="77777777" w:rsidTr="5A0D947F">
        <w:trPr>
          <w:trHeight w:val="699"/>
        </w:trPr>
        <w:tc>
          <w:tcPr>
            <w:tcW w:w="1413" w:type="dxa"/>
            <w:shd w:val="clear" w:color="auto" w:fill="auto"/>
          </w:tcPr>
          <w:p w14:paraId="2D1E255D" w14:textId="6DDF26D9" w:rsidR="00535F36" w:rsidRPr="00BC439A" w:rsidRDefault="00535F36" w:rsidP="00535F3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lastRenderedPageBreak/>
              <w:t>EU 2a</w:t>
            </w:r>
          </w:p>
        </w:tc>
        <w:tc>
          <w:tcPr>
            <w:tcW w:w="7654" w:type="dxa"/>
            <w:shd w:val="clear" w:color="auto" w:fill="auto"/>
          </w:tcPr>
          <w:p w14:paraId="17AB2AE5" w14:textId="139DE043" w:rsidR="00FF5357" w:rsidRPr="00FB64CF" w:rsidRDefault="5682D6C4"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Regional governments or local authorities</w:t>
            </w:r>
          </w:p>
          <w:p w14:paraId="788C221F" w14:textId="388C84CA" w:rsidR="00535F36" w:rsidRPr="00BC439A" w:rsidRDefault="00FF5357" w:rsidP="5A0D947F">
            <w:pPr>
              <w:spacing w:after="120"/>
              <w:jc w:val="both"/>
              <w:rPr>
                <w:rFonts w:ascii="Times New Roman" w:hAnsi="Times New Roman" w:cs="Times New Roman"/>
                <w:sz w:val="24"/>
              </w:rPr>
            </w:pPr>
            <w:r>
              <w:rPr>
                <w:rFonts w:ascii="Times New Roman" w:hAnsi="Times New Roman" w:cs="Times New Roman"/>
                <w:sz w:val="24"/>
              </w:rPr>
              <w:t>E</w:t>
            </w:r>
            <w:r w:rsidR="5682D6C4" w:rsidRPr="00BC439A">
              <w:rPr>
                <w:rFonts w:ascii="Times New Roman" w:hAnsi="Times New Roman" w:cs="Times New Roman"/>
                <w:sz w:val="24"/>
              </w:rPr>
              <w:t xml:space="preserve">xposures as defined in Article 112 (b) </w:t>
            </w:r>
            <w:r w:rsidR="5311614F" w:rsidRPr="00BC439A">
              <w:rPr>
                <w:rFonts w:ascii="Times New Roman" w:hAnsi="Times New Roman" w:cs="Times New Roman"/>
                <w:sz w:val="24"/>
              </w:rPr>
              <w:t>of Regulation (EU) No 575/2013</w:t>
            </w:r>
            <w:r w:rsidR="007F43D5" w:rsidRPr="00BC439A">
              <w:rPr>
                <w:rFonts w:ascii="Times New Roman" w:hAnsi="Times New Roman" w:cs="Times New Roman"/>
                <w:sz w:val="24"/>
              </w:rPr>
              <w:t xml:space="preserve"> and Article </w:t>
            </w:r>
            <w:r w:rsidR="0041192F" w:rsidRPr="00BC439A">
              <w:rPr>
                <w:rFonts w:ascii="Times New Roman" w:hAnsi="Times New Roman" w:cs="Times New Roman"/>
                <w:sz w:val="24"/>
              </w:rPr>
              <w:t>115(-1)</w:t>
            </w:r>
            <w:r w:rsidR="00FB64CF">
              <w:rPr>
                <w:rFonts w:ascii="Times New Roman" w:hAnsi="Times New Roman" w:cs="Times New Roman"/>
                <w:sz w:val="24"/>
              </w:rPr>
              <w:t xml:space="preserve">, </w:t>
            </w:r>
            <w:r w:rsidR="002D1DE6" w:rsidRPr="00BC439A">
              <w:rPr>
                <w:rFonts w:ascii="Times New Roman" w:hAnsi="Times New Roman" w:cs="Times New Roman"/>
                <w:sz w:val="24"/>
              </w:rPr>
              <w:t>(1)</w:t>
            </w:r>
            <w:r w:rsidR="00004E31" w:rsidRPr="00BC439A">
              <w:rPr>
                <w:rFonts w:ascii="Times New Roman" w:hAnsi="Times New Roman" w:cs="Times New Roman"/>
                <w:sz w:val="24"/>
              </w:rPr>
              <w:t>, (3)</w:t>
            </w:r>
            <w:r w:rsidR="4F14B8E5" w:rsidRPr="00BC439A">
              <w:rPr>
                <w:rFonts w:ascii="Times New Roman" w:hAnsi="Times New Roman" w:cs="Times New Roman"/>
                <w:sz w:val="24"/>
              </w:rPr>
              <w:t xml:space="preserve"> (4)</w:t>
            </w:r>
            <w:r w:rsidR="00E55526">
              <w:rPr>
                <w:rFonts w:ascii="Times New Roman" w:hAnsi="Times New Roman" w:cs="Times New Roman"/>
                <w:sz w:val="24"/>
              </w:rPr>
              <w:t xml:space="preserve"> </w:t>
            </w:r>
            <w:r w:rsidR="5682D6C4" w:rsidRPr="00BC439A">
              <w:rPr>
                <w:rFonts w:ascii="Times New Roman" w:hAnsi="Times New Roman" w:cs="Times New Roman"/>
                <w:sz w:val="24"/>
              </w:rPr>
              <w:t xml:space="preserve">and (5) </w:t>
            </w:r>
            <w:r w:rsidR="1E4487F7" w:rsidRPr="00BC439A">
              <w:rPr>
                <w:rFonts w:ascii="Times New Roman" w:hAnsi="Times New Roman" w:cs="Times New Roman"/>
                <w:sz w:val="24"/>
              </w:rPr>
              <w:t xml:space="preserve">of Regulation (EU) No 575/2013 </w:t>
            </w:r>
            <w:r w:rsidR="5682D6C4" w:rsidRPr="00BC439A">
              <w:rPr>
                <w:rFonts w:ascii="Times New Roman" w:hAnsi="Times New Roman" w:cs="Times New Roman"/>
                <w:sz w:val="24"/>
              </w:rPr>
              <w:t>for SA exposures</w:t>
            </w:r>
            <w:r w:rsidR="5682D6C4" w:rsidRPr="00BC439A">
              <w:rPr>
                <w:rFonts w:ascii="Times New Roman" w:hAnsi="Times New Roman" w:cs="Times New Roman"/>
              </w:rPr>
              <w:t>.</w:t>
            </w:r>
            <w:r w:rsidR="6FADF5D0" w:rsidRPr="00BC439A">
              <w:rPr>
                <w:rFonts w:ascii="Times New Roman" w:hAnsi="Times New Roman" w:cs="Times New Roman"/>
              </w:rPr>
              <w:t xml:space="preserve"> </w:t>
            </w:r>
          </w:p>
        </w:tc>
      </w:tr>
      <w:tr w:rsidR="00535F36" w:rsidRPr="00BC439A" w14:paraId="6406D71A" w14:textId="77777777" w:rsidTr="5A0D947F">
        <w:trPr>
          <w:trHeight w:val="699"/>
        </w:trPr>
        <w:tc>
          <w:tcPr>
            <w:tcW w:w="1413" w:type="dxa"/>
            <w:shd w:val="clear" w:color="auto" w:fill="auto"/>
          </w:tcPr>
          <w:p w14:paraId="0C866ADB" w14:textId="153184B7" w:rsidR="00535F36" w:rsidRPr="00BC439A" w:rsidRDefault="00535F36" w:rsidP="00535F3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EU 2b</w:t>
            </w:r>
          </w:p>
        </w:tc>
        <w:tc>
          <w:tcPr>
            <w:tcW w:w="7654" w:type="dxa"/>
            <w:shd w:val="clear" w:color="auto" w:fill="auto"/>
          </w:tcPr>
          <w:p w14:paraId="0E9CAEB2" w14:textId="076DA4A8" w:rsidR="00FF5357" w:rsidRDefault="5682D6C4" w:rsidP="5A0D947F">
            <w:pPr>
              <w:spacing w:after="120"/>
              <w:jc w:val="both"/>
              <w:rPr>
                <w:rFonts w:ascii="Times New Roman" w:hAnsi="Times New Roman" w:cs="Times New Roman"/>
                <w:sz w:val="24"/>
              </w:rPr>
            </w:pPr>
            <w:r w:rsidRPr="00FB64CF">
              <w:rPr>
                <w:rFonts w:ascii="Times New Roman" w:hAnsi="Times New Roman" w:cs="Times New Roman"/>
                <w:b/>
                <w:bCs/>
                <w:sz w:val="24"/>
              </w:rPr>
              <w:t>Public sector entities</w:t>
            </w:r>
            <w:r w:rsidRPr="00BC439A">
              <w:rPr>
                <w:rFonts w:ascii="Times New Roman" w:hAnsi="Times New Roman" w:cs="Times New Roman"/>
                <w:sz w:val="24"/>
              </w:rPr>
              <w:t xml:space="preserve"> </w:t>
            </w:r>
          </w:p>
          <w:p w14:paraId="1BBE065D" w14:textId="524818C4" w:rsidR="00535F36" w:rsidRPr="00BC439A" w:rsidRDefault="00FF5357" w:rsidP="5A0D947F">
            <w:pPr>
              <w:spacing w:after="120"/>
              <w:jc w:val="both"/>
              <w:rPr>
                <w:rFonts w:ascii="Times New Roman" w:hAnsi="Times New Roman" w:cs="Times New Roman"/>
                <w:sz w:val="24"/>
              </w:rPr>
            </w:pPr>
            <w:r>
              <w:rPr>
                <w:rFonts w:ascii="Times New Roman" w:hAnsi="Times New Roman" w:cs="Times New Roman"/>
                <w:sz w:val="24"/>
              </w:rPr>
              <w:t>E</w:t>
            </w:r>
            <w:r w:rsidR="5682D6C4" w:rsidRPr="00BC439A">
              <w:rPr>
                <w:rFonts w:ascii="Times New Roman" w:hAnsi="Times New Roman" w:cs="Times New Roman"/>
                <w:sz w:val="24"/>
              </w:rPr>
              <w:t>xposures as defined in Article 4 (1)</w:t>
            </w:r>
            <w:r w:rsidR="00612F57">
              <w:rPr>
                <w:rFonts w:ascii="Times New Roman" w:hAnsi="Times New Roman" w:cs="Times New Roman"/>
                <w:sz w:val="24"/>
              </w:rPr>
              <w:t>, point</w:t>
            </w:r>
            <w:r w:rsidR="5682D6C4" w:rsidRPr="00BC439A">
              <w:rPr>
                <w:rFonts w:ascii="Times New Roman" w:hAnsi="Times New Roman" w:cs="Times New Roman"/>
                <w:sz w:val="24"/>
              </w:rPr>
              <w:t xml:space="preserve"> (8) </w:t>
            </w:r>
            <w:r w:rsidR="00FB64CF">
              <w:rPr>
                <w:rFonts w:ascii="Times New Roman" w:hAnsi="Times New Roman" w:cs="Times New Roman"/>
                <w:sz w:val="24"/>
              </w:rPr>
              <w:t xml:space="preserve">of </w:t>
            </w:r>
            <w:r w:rsidR="3CDD6D84" w:rsidRPr="00BC439A">
              <w:rPr>
                <w:rFonts w:ascii="Times New Roman" w:hAnsi="Times New Roman" w:cs="Times New Roman"/>
                <w:sz w:val="24"/>
              </w:rPr>
              <w:t>Regulation (EU) No 575/2013</w:t>
            </w:r>
            <w:r w:rsidR="5682D6C4" w:rsidRPr="00BC439A">
              <w:rPr>
                <w:rFonts w:ascii="Times New Roman" w:hAnsi="Times New Roman" w:cs="Times New Roman"/>
                <w:sz w:val="24"/>
              </w:rPr>
              <w:t>, Article 112 (c) and Article 116(1), (2), (3)</w:t>
            </w:r>
            <w:r w:rsidR="7C1E165D" w:rsidRPr="00BC439A">
              <w:rPr>
                <w:rFonts w:ascii="Times New Roman" w:hAnsi="Times New Roman" w:cs="Times New Roman"/>
                <w:sz w:val="24"/>
              </w:rPr>
              <w:t xml:space="preserve"> (4)</w:t>
            </w:r>
            <w:r w:rsidR="5682D6C4" w:rsidRPr="00BC439A">
              <w:rPr>
                <w:rFonts w:ascii="Times New Roman" w:hAnsi="Times New Roman" w:cs="Times New Roman"/>
                <w:sz w:val="24"/>
              </w:rPr>
              <w:t xml:space="preserve"> and (5) </w:t>
            </w:r>
            <w:r w:rsidR="59393C0C" w:rsidRPr="00BC439A">
              <w:rPr>
                <w:rFonts w:ascii="Times New Roman" w:hAnsi="Times New Roman" w:cs="Times New Roman"/>
                <w:sz w:val="24"/>
              </w:rPr>
              <w:t xml:space="preserve">of Regulation (EU) No 575/2013 </w:t>
            </w:r>
            <w:r w:rsidR="5682D6C4" w:rsidRPr="00BC439A">
              <w:rPr>
                <w:rFonts w:ascii="Times New Roman" w:hAnsi="Times New Roman" w:cs="Times New Roman"/>
                <w:sz w:val="24"/>
              </w:rPr>
              <w:t>for SA exposures.</w:t>
            </w:r>
          </w:p>
        </w:tc>
      </w:tr>
      <w:tr w:rsidR="00535F36" w:rsidRPr="00BC439A" w14:paraId="273E3177" w14:textId="77777777" w:rsidTr="5A0D947F">
        <w:trPr>
          <w:trHeight w:val="699"/>
        </w:trPr>
        <w:tc>
          <w:tcPr>
            <w:tcW w:w="1413" w:type="dxa"/>
            <w:shd w:val="clear" w:color="auto" w:fill="auto"/>
          </w:tcPr>
          <w:p w14:paraId="265F0472" w14:textId="1D4E7D2F" w:rsidR="00535F36" w:rsidRPr="00BC439A" w:rsidRDefault="00535F36" w:rsidP="00535F3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6</w:t>
            </w:r>
          </w:p>
        </w:tc>
        <w:tc>
          <w:tcPr>
            <w:tcW w:w="7654" w:type="dxa"/>
            <w:shd w:val="clear" w:color="auto" w:fill="auto"/>
          </w:tcPr>
          <w:p w14:paraId="78704303" w14:textId="1DA2D51A" w:rsidR="00FF5357" w:rsidRDefault="5682D6C4" w:rsidP="5A0D947F">
            <w:pPr>
              <w:spacing w:after="120"/>
              <w:jc w:val="both"/>
              <w:rPr>
                <w:rFonts w:ascii="Times New Roman" w:hAnsi="Times New Roman" w:cs="Times New Roman"/>
                <w:sz w:val="24"/>
              </w:rPr>
            </w:pPr>
            <w:r w:rsidRPr="00FB64CF">
              <w:rPr>
                <w:rFonts w:ascii="Times New Roman" w:hAnsi="Times New Roman" w:cs="Times New Roman"/>
                <w:b/>
                <w:bCs/>
                <w:sz w:val="24"/>
              </w:rPr>
              <w:t>Corporates</w:t>
            </w:r>
            <w:r w:rsidRPr="00BC439A">
              <w:rPr>
                <w:rFonts w:ascii="Times New Roman" w:hAnsi="Times New Roman" w:cs="Times New Roman"/>
                <w:sz w:val="24"/>
              </w:rPr>
              <w:t xml:space="preserve"> </w:t>
            </w:r>
          </w:p>
          <w:p w14:paraId="263A5792" w14:textId="0257AF9A" w:rsidR="00535F36" w:rsidRPr="00BC439A" w:rsidRDefault="00FF5357" w:rsidP="5A0D947F">
            <w:pPr>
              <w:spacing w:after="120"/>
              <w:jc w:val="both"/>
              <w:rPr>
                <w:rFonts w:ascii="Times New Roman" w:hAnsi="Times New Roman" w:cs="Times New Roman"/>
                <w:sz w:val="24"/>
              </w:rPr>
            </w:pPr>
            <w:r>
              <w:rPr>
                <w:rFonts w:ascii="Times New Roman" w:hAnsi="Times New Roman" w:cs="Times New Roman"/>
                <w:sz w:val="24"/>
              </w:rPr>
              <w:t>E</w:t>
            </w:r>
            <w:r w:rsidR="5682D6C4" w:rsidRPr="00BC439A">
              <w:rPr>
                <w:rFonts w:ascii="Times New Roman" w:hAnsi="Times New Roman" w:cs="Times New Roman"/>
                <w:sz w:val="24"/>
              </w:rPr>
              <w:t>xposures as defined in Article 112 (g) and Article 122</w:t>
            </w:r>
            <w:r w:rsidR="00FB64CF">
              <w:rPr>
                <w:rFonts w:ascii="Times New Roman" w:hAnsi="Times New Roman" w:cs="Times New Roman"/>
                <w:sz w:val="24"/>
              </w:rPr>
              <w:t xml:space="preserve"> of </w:t>
            </w:r>
            <w:r w:rsidR="608E1265" w:rsidRPr="00BC439A">
              <w:rPr>
                <w:rFonts w:ascii="Times New Roman" w:hAnsi="Times New Roman" w:cs="Times New Roman"/>
                <w:sz w:val="24"/>
              </w:rPr>
              <w:t>Regulation (EU) No 575/2013</w:t>
            </w:r>
            <w:r w:rsidR="5682D6C4" w:rsidRPr="00BC439A">
              <w:rPr>
                <w:rFonts w:ascii="Times New Roman" w:hAnsi="Times New Roman" w:cs="Times New Roman"/>
                <w:sz w:val="24"/>
              </w:rPr>
              <w:t>.</w:t>
            </w:r>
          </w:p>
        </w:tc>
      </w:tr>
      <w:tr w:rsidR="00535F36" w:rsidRPr="00BC439A" w14:paraId="10225A37" w14:textId="77777777" w:rsidTr="5A0D947F">
        <w:trPr>
          <w:trHeight w:val="699"/>
        </w:trPr>
        <w:tc>
          <w:tcPr>
            <w:tcW w:w="1413" w:type="dxa"/>
            <w:shd w:val="clear" w:color="auto" w:fill="auto"/>
          </w:tcPr>
          <w:p w14:paraId="05AFD83A" w14:textId="41C4FD2E" w:rsidR="00535F36" w:rsidRPr="00BC439A" w:rsidRDefault="00535F36" w:rsidP="00535F3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6</w:t>
            </w:r>
            <w:r w:rsidR="00496A4C" w:rsidRPr="00BC439A">
              <w:rPr>
                <w:rFonts w:ascii="Times New Roman" w:eastAsia="Times New Roman" w:hAnsi="Times New Roman" w:cs="Times New Roman"/>
                <w:sz w:val="24"/>
              </w:rPr>
              <w:t>.1</w:t>
            </w:r>
          </w:p>
        </w:tc>
        <w:tc>
          <w:tcPr>
            <w:tcW w:w="7654" w:type="dxa"/>
            <w:shd w:val="clear" w:color="auto" w:fill="auto"/>
          </w:tcPr>
          <w:p w14:paraId="520CB388" w14:textId="38E1D245" w:rsidR="00FF5357" w:rsidRPr="00FB64CF" w:rsidRDefault="00FF5357" w:rsidP="5A0D947F">
            <w:pPr>
              <w:spacing w:after="120"/>
              <w:jc w:val="both"/>
              <w:rPr>
                <w:rFonts w:ascii="Times New Roman" w:hAnsi="Times New Roman" w:cs="Times New Roman"/>
                <w:b/>
                <w:bCs/>
                <w:sz w:val="24"/>
              </w:rPr>
            </w:pPr>
            <w:r>
              <w:rPr>
                <w:rFonts w:ascii="Times New Roman" w:hAnsi="Times New Roman" w:cs="Times New Roman"/>
                <w:sz w:val="24"/>
              </w:rPr>
              <w:t xml:space="preserve"> </w:t>
            </w:r>
            <w:r w:rsidR="172B4F2C" w:rsidRPr="00FB64CF">
              <w:rPr>
                <w:rFonts w:ascii="Times New Roman" w:hAnsi="Times New Roman" w:cs="Times New Roman"/>
                <w:b/>
                <w:bCs/>
                <w:sz w:val="24"/>
              </w:rPr>
              <w:t xml:space="preserve">Of which: </w:t>
            </w:r>
            <w:r w:rsidR="5682D6C4" w:rsidRPr="00FB64CF">
              <w:rPr>
                <w:rFonts w:ascii="Times New Roman" w:hAnsi="Times New Roman" w:cs="Times New Roman"/>
                <w:b/>
                <w:bCs/>
                <w:sz w:val="24"/>
              </w:rPr>
              <w:t>Specialised Lending</w:t>
            </w:r>
          </w:p>
          <w:p w14:paraId="4606DB92" w14:textId="6A3BD835" w:rsidR="00535F36" w:rsidRPr="00BC439A" w:rsidRDefault="00FF5357" w:rsidP="5A0D947F">
            <w:pPr>
              <w:spacing w:after="120"/>
              <w:jc w:val="both"/>
              <w:rPr>
                <w:rFonts w:ascii="Times New Roman" w:hAnsi="Times New Roman" w:cs="Times New Roman"/>
                <w:sz w:val="24"/>
              </w:rPr>
            </w:pPr>
            <w:r>
              <w:rPr>
                <w:rFonts w:ascii="Times New Roman" w:hAnsi="Times New Roman" w:cs="Times New Roman"/>
                <w:sz w:val="24"/>
              </w:rPr>
              <w:t>E</w:t>
            </w:r>
            <w:r w:rsidR="5682D6C4" w:rsidRPr="00BC439A">
              <w:rPr>
                <w:rFonts w:ascii="Times New Roman" w:hAnsi="Times New Roman" w:cs="Times New Roman"/>
                <w:sz w:val="24"/>
              </w:rPr>
              <w:t xml:space="preserve">xposures as defined in Article 122a </w:t>
            </w:r>
            <w:r w:rsidR="00FB64CF">
              <w:rPr>
                <w:rFonts w:ascii="Times New Roman" w:hAnsi="Times New Roman" w:cs="Times New Roman"/>
                <w:sz w:val="24"/>
              </w:rPr>
              <w:t>of</w:t>
            </w:r>
            <w:r w:rsidR="3C1663F5" w:rsidRPr="00BC439A">
              <w:rPr>
                <w:rFonts w:ascii="Times New Roman" w:hAnsi="Times New Roman" w:cs="Times New Roman"/>
                <w:sz w:val="24"/>
              </w:rPr>
              <w:t xml:space="preserve"> Regulation (EU) No 575/2013</w:t>
            </w:r>
            <w:r w:rsidR="5682D6C4" w:rsidRPr="00BC439A">
              <w:rPr>
                <w:rFonts w:ascii="Times New Roman" w:hAnsi="Times New Roman" w:cs="Times New Roman"/>
                <w:sz w:val="24"/>
              </w:rPr>
              <w:t>.</w:t>
            </w:r>
          </w:p>
        </w:tc>
      </w:tr>
      <w:tr w:rsidR="00535F36" w:rsidRPr="00BC439A" w14:paraId="2FFFC133" w14:textId="77777777" w:rsidTr="5A0D947F">
        <w:trPr>
          <w:trHeight w:val="699"/>
        </w:trPr>
        <w:tc>
          <w:tcPr>
            <w:tcW w:w="1413" w:type="dxa"/>
            <w:shd w:val="clear" w:color="auto" w:fill="auto"/>
          </w:tcPr>
          <w:p w14:paraId="10EBB238" w14:textId="1ADD0383" w:rsidR="00535F36" w:rsidRPr="00BC439A" w:rsidRDefault="00535F36" w:rsidP="00535F3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7</w:t>
            </w:r>
          </w:p>
        </w:tc>
        <w:tc>
          <w:tcPr>
            <w:tcW w:w="7654" w:type="dxa"/>
            <w:shd w:val="clear" w:color="auto" w:fill="auto"/>
          </w:tcPr>
          <w:p w14:paraId="47E0CC5E" w14:textId="38F4C285" w:rsidR="00FF5357" w:rsidRPr="00FB64CF" w:rsidRDefault="00535F36" w:rsidP="00535F36">
            <w:pPr>
              <w:spacing w:after="120"/>
              <w:jc w:val="both"/>
              <w:rPr>
                <w:rFonts w:ascii="Times New Roman" w:eastAsiaTheme="minorHAnsi" w:hAnsi="Times New Roman" w:cs="Times New Roman"/>
                <w:b/>
                <w:bCs/>
                <w:sz w:val="24"/>
              </w:rPr>
            </w:pPr>
            <w:r w:rsidRPr="00FB64CF">
              <w:rPr>
                <w:rFonts w:ascii="Times New Roman" w:eastAsiaTheme="minorHAnsi" w:hAnsi="Times New Roman" w:cs="Times New Roman"/>
                <w:b/>
                <w:bCs/>
                <w:sz w:val="24"/>
              </w:rPr>
              <w:t>Subordinated debt exposures and equity</w:t>
            </w:r>
          </w:p>
          <w:p w14:paraId="3D20D7B3" w14:textId="20D736B2" w:rsidR="00535F36" w:rsidRPr="00BC439A" w:rsidRDefault="00FF5357" w:rsidP="00535F36">
            <w:pPr>
              <w:spacing w:after="120"/>
              <w:jc w:val="both"/>
              <w:rPr>
                <w:rFonts w:ascii="Times New Roman" w:eastAsiaTheme="minorHAnsi" w:hAnsi="Times New Roman" w:cs="Times New Roman"/>
                <w:sz w:val="24"/>
              </w:rPr>
            </w:pPr>
            <w:r>
              <w:rPr>
                <w:rFonts w:ascii="Times New Roman" w:eastAsiaTheme="minorHAnsi" w:hAnsi="Times New Roman" w:cs="Times New Roman"/>
                <w:sz w:val="24"/>
              </w:rPr>
              <w:t>S</w:t>
            </w:r>
            <w:r w:rsidR="00535F36" w:rsidRPr="00BC439A">
              <w:rPr>
                <w:rFonts w:ascii="Times New Roman" w:eastAsiaTheme="minorHAnsi" w:hAnsi="Times New Roman" w:cs="Times New Roman"/>
                <w:sz w:val="24"/>
              </w:rPr>
              <w:t>um of exposures in row EU 7a and EU 7b.</w:t>
            </w:r>
          </w:p>
        </w:tc>
      </w:tr>
      <w:tr w:rsidR="00535F36" w:rsidRPr="00BC439A" w14:paraId="18C3B0E5" w14:textId="77777777" w:rsidTr="5A0D947F">
        <w:trPr>
          <w:trHeight w:val="699"/>
        </w:trPr>
        <w:tc>
          <w:tcPr>
            <w:tcW w:w="1413" w:type="dxa"/>
            <w:shd w:val="clear" w:color="auto" w:fill="auto"/>
          </w:tcPr>
          <w:p w14:paraId="01A38CD6" w14:textId="4158C34A" w:rsidR="00535F36" w:rsidRPr="00BC439A" w:rsidRDefault="00535F36" w:rsidP="00535F3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EU 7a</w:t>
            </w:r>
          </w:p>
        </w:tc>
        <w:tc>
          <w:tcPr>
            <w:tcW w:w="7654" w:type="dxa"/>
            <w:shd w:val="clear" w:color="auto" w:fill="auto"/>
          </w:tcPr>
          <w:p w14:paraId="235943EF" w14:textId="7B59FDFD" w:rsidR="00FF5357" w:rsidRPr="00FB64CF" w:rsidRDefault="5682D6C4"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Subordinated debt exposures</w:t>
            </w:r>
          </w:p>
          <w:p w14:paraId="7A5E8FE8" w14:textId="01CEFAA6" w:rsidR="00535F36" w:rsidRPr="00BC439A" w:rsidRDefault="00FF5357" w:rsidP="5A0D947F">
            <w:pPr>
              <w:spacing w:after="120"/>
              <w:jc w:val="both"/>
              <w:rPr>
                <w:rFonts w:ascii="Times New Roman" w:hAnsi="Times New Roman" w:cs="Times New Roman"/>
                <w:sz w:val="24"/>
              </w:rPr>
            </w:pPr>
            <w:r>
              <w:rPr>
                <w:rFonts w:ascii="Times New Roman" w:hAnsi="Times New Roman" w:cs="Times New Roman"/>
                <w:sz w:val="24"/>
              </w:rPr>
              <w:t>E</w:t>
            </w:r>
            <w:r w:rsidR="5682D6C4" w:rsidRPr="00BC439A">
              <w:rPr>
                <w:rFonts w:ascii="Times New Roman" w:hAnsi="Times New Roman" w:cs="Times New Roman"/>
                <w:sz w:val="24"/>
              </w:rPr>
              <w:t>xposures as defined in Article 112 (k)</w:t>
            </w:r>
            <w:r w:rsidR="00FB64CF">
              <w:rPr>
                <w:rFonts w:ascii="Times New Roman" w:hAnsi="Times New Roman" w:cs="Times New Roman"/>
                <w:sz w:val="24"/>
              </w:rPr>
              <w:t xml:space="preserve"> of</w:t>
            </w:r>
            <w:r w:rsidR="5682D6C4" w:rsidRPr="00BC439A">
              <w:rPr>
                <w:rFonts w:ascii="Times New Roman" w:hAnsi="Times New Roman" w:cs="Times New Roman"/>
                <w:sz w:val="24"/>
              </w:rPr>
              <w:t xml:space="preserve"> </w:t>
            </w:r>
            <w:r w:rsidR="17DDF193" w:rsidRPr="00BC439A">
              <w:rPr>
                <w:rFonts w:ascii="Times New Roman" w:hAnsi="Times New Roman" w:cs="Times New Roman"/>
                <w:sz w:val="24"/>
              </w:rPr>
              <w:t xml:space="preserve">Regulation (EU) No 575/2013 </w:t>
            </w:r>
            <w:r w:rsidR="5682D6C4" w:rsidRPr="00BC439A">
              <w:rPr>
                <w:rFonts w:ascii="Times New Roman" w:hAnsi="Times New Roman" w:cs="Times New Roman"/>
                <w:sz w:val="24"/>
              </w:rPr>
              <w:t>and Article 128</w:t>
            </w:r>
            <w:r w:rsidR="00FB64CF">
              <w:rPr>
                <w:rFonts w:ascii="Times New Roman" w:hAnsi="Times New Roman" w:cs="Times New Roman"/>
                <w:sz w:val="24"/>
              </w:rPr>
              <w:t xml:space="preserve"> of</w:t>
            </w:r>
            <w:r w:rsidR="5682D6C4" w:rsidRPr="00BC439A">
              <w:rPr>
                <w:rFonts w:ascii="Times New Roman" w:hAnsi="Times New Roman" w:cs="Times New Roman"/>
                <w:sz w:val="24"/>
              </w:rPr>
              <w:t xml:space="preserve"> </w:t>
            </w:r>
            <w:r w:rsidR="11E19082" w:rsidRPr="00BC439A">
              <w:rPr>
                <w:rFonts w:ascii="Times New Roman" w:hAnsi="Times New Roman" w:cs="Times New Roman"/>
                <w:sz w:val="24"/>
              </w:rPr>
              <w:t>Regulation (EU) No 575/2013</w:t>
            </w:r>
            <w:r w:rsidR="5682D6C4" w:rsidRPr="00BC439A">
              <w:rPr>
                <w:rFonts w:ascii="Times New Roman" w:hAnsi="Times New Roman" w:cs="Times New Roman"/>
                <w:sz w:val="24"/>
              </w:rPr>
              <w:t>.</w:t>
            </w:r>
          </w:p>
        </w:tc>
      </w:tr>
      <w:tr w:rsidR="00535F36" w:rsidRPr="00BC439A" w14:paraId="66F33C3B" w14:textId="77777777" w:rsidTr="5A0D947F">
        <w:trPr>
          <w:trHeight w:val="699"/>
        </w:trPr>
        <w:tc>
          <w:tcPr>
            <w:tcW w:w="1413" w:type="dxa"/>
            <w:shd w:val="clear" w:color="auto" w:fill="auto"/>
          </w:tcPr>
          <w:p w14:paraId="2665F8B7" w14:textId="5328C121" w:rsidR="00535F36" w:rsidRPr="00BC439A" w:rsidRDefault="00535F36" w:rsidP="00535F3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EU 7b</w:t>
            </w:r>
          </w:p>
        </w:tc>
        <w:tc>
          <w:tcPr>
            <w:tcW w:w="7654" w:type="dxa"/>
            <w:shd w:val="clear" w:color="auto" w:fill="auto"/>
          </w:tcPr>
          <w:p w14:paraId="3BED8548" w14:textId="18A49974" w:rsidR="00FF5357" w:rsidRPr="00FB64CF" w:rsidRDefault="5682D6C4"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Equity</w:t>
            </w:r>
          </w:p>
          <w:p w14:paraId="31034ED0" w14:textId="7C726DCB" w:rsidR="00535F36" w:rsidRPr="00BC439A" w:rsidRDefault="00FF5357" w:rsidP="5A0D947F">
            <w:pPr>
              <w:spacing w:after="120"/>
              <w:jc w:val="both"/>
              <w:rPr>
                <w:rFonts w:ascii="Times New Roman" w:hAnsi="Times New Roman" w:cs="Times New Roman"/>
                <w:sz w:val="24"/>
              </w:rPr>
            </w:pPr>
            <w:r>
              <w:rPr>
                <w:rFonts w:ascii="Times New Roman" w:hAnsi="Times New Roman" w:cs="Times New Roman"/>
                <w:sz w:val="24"/>
              </w:rPr>
              <w:t>E</w:t>
            </w:r>
            <w:r w:rsidR="5682D6C4" w:rsidRPr="00BC439A">
              <w:rPr>
                <w:rFonts w:ascii="Times New Roman" w:hAnsi="Times New Roman" w:cs="Times New Roman"/>
                <w:sz w:val="24"/>
              </w:rPr>
              <w:t xml:space="preserve">xposures as defined in Article 112 (p) </w:t>
            </w:r>
            <w:r w:rsidR="00FB64CF">
              <w:rPr>
                <w:rFonts w:ascii="Times New Roman" w:hAnsi="Times New Roman" w:cs="Times New Roman"/>
                <w:sz w:val="24"/>
              </w:rPr>
              <w:t xml:space="preserve">of </w:t>
            </w:r>
            <w:r w:rsidR="5571AD77" w:rsidRPr="00BC439A">
              <w:rPr>
                <w:rFonts w:ascii="Times New Roman" w:hAnsi="Times New Roman" w:cs="Times New Roman"/>
                <w:sz w:val="24"/>
              </w:rPr>
              <w:t xml:space="preserve">Regulation (EU) No 575/2013 </w:t>
            </w:r>
            <w:r w:rsidR="5682D6C4" w:rsidRPr="00BC439A">
              <w:rPr>
                <w:rFonts w:ascii="Times New Roman" w:hAnsi="Times New Roman" w:cs="Times New Roman"/>
                <w:sz w:val="24"/>
              </w:rPr>
              <w:t>and Article 133 (1)</w:t>
            </w:r>
            <w:r w:rsidR="00FB64CF">
              <w:rPr>
                <w:rFonts w:ascii="Times New Roman" w:hAnsi="Times New Roman" w:cs="Times New Roman"/>
                <w:sz w:val="24"/>
              </w:rPr>
              <w:t xml:space="preserve"> of</w:t>
            </w:r>
            <w:r w:rsidR="5682D6C4" w:rsidRPr="00BC439A">
              <w:rPr>
                <w:rFonts w:ascii="Times New Roman" w:hAnsi="Times New Roman" w:cs="Times New Roman"/>
                <w:sz w:val="24"/>
              </w:rPr>
              <w:t xml:space="preserve"> </w:t>
            </w:r>
            <w:r w:rsidR="24F44747" w:rsidRPr="00BC439A">
              <w:rPr>
                <w:rFonts w:ascii="Times New Roman" w:hAnsi="Times New Roman" w:cs="Times New Roman"/>
                <w:sz w:val="24"/>
              </w:rPr>
              <w:t>Regulation (EU) No 575/2013</w:t>
            </w:r>
            <w:r w:rsidR="5682D6C4" w:rsidRPr="00BC439A">
              <w:rPr>
                <w:rFonts w:ascii="Times New Roman" w:hAnsi="Times New Roman" w:cs="Times New Roman"/>
                <w:sz w:val="24"/>
              </w:rPr>
              <w:t>.</w:t>
            </w:r>
          </w:p>
        </w:tc>
      </w:tr>
      <w:tr w:rsidR="00535F36" w:rsidRPr="00166E0C" w14:paraId="19C205C7" w14:textId="77777777" w:rsidTr="5A0D947F">
        <w:trPr>
          <w:trHeight w:val="699"/>
        </w:trPr>
        <w:tc>
          <w:tcPr>
            <w:tcW w:w="1413" w:type="dxa"/>
            <w:shd w:val="clear" w:color="auto" w:fill="auto"/>
          </w:tcPr>
          <w:p w14:paraId="778DE6F5" w14:textId="772D6892" w:rsidR="00535F36" w:rsidRPr="00166E0C" w:rsidRDefault="00535F36" w:rsidP="00535F3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9</w:t>
            </w:r>
          </w:p>
        </w:tc>
        <w:tc>
          <w:tcPr>
            <w:tcW w:w="7654" w:type="dxa"/>
            <w:shd w:val="clear" w:color="auto" w:fill="auto"/>
          </w:tcPr>
          <w:p w14:paraId="1AD83094" w14:textId="3714119C" w:rsidR="007F1438" w:rsidRPr="00FB64CF" w:rsidRDefault="5682D6C4"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 xml:space="preserve">Secured by mortgages on immovable property and ADC </w:t>
            </w:r>
            <w:proofErr w:type="gramStart"/>
            <w:r w:rsidRPr="00FB64CF">
              <w:rPr>
                <w:rFonts w:ascii="Times New Roman" w:hAnsi="Times New Roman" w:cs="Times New Roman"/>
                <w:b/>
                <w:bCs/>
                <w:sz w:val="24"/>
              </w:rPr>
              <w:t>exposures</w:t>
            </w:r>
            <w:proofErr w:type="gramEnd"/>
          </w:p>
          <w:p w14:paraId="01108BAD" w14:textId="7A881266" w:rsidR="00535F36" w:rsidRPr="00166E0C" w:rsidRDefault="007F1438" w:rsidP="5A0D947F">
            <w:pPr>
              <w:spacing w:after="120"/>
              <w:jc w:val="both"/>
              <w:rPr>
                <w:rFonts w:ascii="Times New Roman" w:hAnsi="Times New Roman" w:cs="Times New Roman"/>
                <w:sz w:val="24"/>
              </w:rPr>
            </w:pPr>
            <w:r>
              <w:rPr>
                <w:rFonts w:ascii="Times New Roman" w:hAnsi="Times New Roman" w:cs="Times New Roman"/>
                <w:sz w:val="24"/>
              </w:rPr>
              <w:t>E</w:t>
            </w:r>
            <w:r w:rsidR="5682D6C4" w:rsidRPr="00166E0C">
              <w:rPr>
                <w:rFonts w:ascii="Times New Roman" w:hAnsi="Times New Roman" w:cs="Times New Roman"/>
                <w:sz w:val="24"/>
              </w:rPr>
              <w:t>xposures secured by immovable properties defined in Article 4 (1)</w:t>
            </w:r>
            <w:r w:rsidR="59390C61" w:rsidRPr="00166E0C">
              <w:rPr>
                <w:rFonts w:ascii="Times New Roman" w:hAnsi="Times New Roman" w:cs="Times New Roman"/>
                <w:sz w:val="24"/>
              </w:rPr>
              <w:t>,</w:t>
            </w:r>
            <w:r w:rsidR="5682D6C4" w:rsidRPr="00166E0C">
              <w:rPr>
                <w:rFonts w:ascii="Times New Roman" w:hAnsi="Times New Roman" w:cs="Times New Roman"/>
                <w:sz w:val="24"/>
              </w:rPr>
              <w:t xml:space="preserve"> point</w:t>
            </w:r>
            <w:r w:rsidR="00E55526">
              <w:rPr>
                <w:rFonts w:ascii="Times New Roman" w:hAnsi="Times New Roman" w:cs="Times New Roman"/>
                <w:sz w:val="24"/>
              </w:rPr>
              <w:t>s</w:t>
            </w:r>
            <w:r w:rsidR="5682D6C4" w:rsidRPr="00166E0C">
              <w:rPr>
                <w:rFonts w:ascii="Times New Roman" w:hAnsi="Times New Roman" w:cs="Times New Roman"/>
                <w:sz w:val="24"/>
              </w:rPr>
              <w:t xml:space="preserve"> (75)</w:t>
            </w:r>
            <w:r w:rsidR="00E55526">
              <w:rPr>
                <w:rFonts w:ascii="Times New Roman" w:hAnsi="Times New Roman" w:cs="Times New Roman"/>
                <w:sz w:val="24"/>
              </w:rPr>
              <w:t xml:space="preserve"> to</w:t>
            </w:r>
            <w:r w:rsidR="5682D6C4" w:rsidRPr="00166E0C">
              <w:rPr>
                <w:rFonts w:ascii="Times New Roman" w:hAnsi="Times New Roman" w:cs="Times New Roman"/>
                <w:sz w:val="24"/>
              </w:rPr>
              <w:t xml:space="preserve"> (75</w:t>
            </w:r>
            <w:r w:rsidR="00E55526">
              <w:rPr>
                <w:rFonts w:ascii="Times New Roman" w:hAnsi="Times New Roman" w:cs="Times New Roman"/>
                <w:sz w:val="24"/>
              </w:rPr>
              <w:t>f</w:t>
            </w:r>
            <w:r w:rsidR="5682D6C4" w:rsidRPr="00166E0C">
              <w:rPr>
                <w:rFonts w:ascii="Times New Roman" w:hAnsi="Times New Roman" w:cs="Times New Roman"/>
                <w:sz w:val="24"/>
              </w:rPr>
              <w:t xml:space="preserve">) of the </w:t>
            </w:r>
            <w:r w:rsidR="0CDBCE93" w:rsidRPr="00166E0C">
              <w:rPr>
                <w:rFonts w:ascii="Times New Roman" w:hAnsi="Times New Roman" w:cs="Times New Roman"/>
                <w:sz w:val="24"/>
              </w:rPr>
              <w:t xml:space="preserve">Regulation (EU) No 575/2013 </w:t>
            </w:r>
            <w:r w:rsidR="5682D6C4" w:rsidRPr="00166E0C">
              <w:rPr>
                <w:rFonts w:ascii="Times New Roman" w:hAnsi="Times New Roman" w:cs="Times New Roman"/>
                <w:sz w:val="24"/>
              </w:rPr>
              <w:t>and exposures as defined in Article 4 (</w:t>
            </w:r>
            <w:r w:rsidR="1DD5B944" w:rsidRPr="00166E0C">
              <w:rPr>
                <w:rFonts w:ascii="Times New Roman" w:hAnsi="Times New Roman" w:cs="Times New Roman"/>
                <w:sz w:val="24"/>
              </w:rPr>
              <w:t>1</w:t>
            </w:r>
            <w:r w:rsidR="5682D6C4" w:rsidRPr="00166E0C">
              <w:rPr>
                <w:rFonts w:ascii="Times New Roman" w:hAnsi="Times New Roman" w:cs="Times New Roman"/>
                <w:sz w:val="24"/>
              </w:rPr>
              <w:t>), point (7</w:t>
            </w:r>
            <w:r w:rsidR="00CE61A5">
              <w:rPr>
                <w:rFonts w:ascii="Times New Roman" w:hAnsi="Times New Roman" w:cs="Times New Roman"/>
                <w:sz w:val="24"/>
              </w:rPr>
              <w:t>8a</w:t>
            </w:r>
            <w:r w:rsidR="5682D6C4" w:rsidRPr="00166E0C">
              <w:rPr>
                <w:rFonts w:ascii="Times New Roman" w:hAnsi="Times New Roman" w:cs="Times New Roman"/>
                <w:sz w:val="24"/>
              </w:rPr>
              <w:t xml:space="preserve">) </w:t>
            </w:r>
            <w:r w:rsidR="5682D6C4" w:rsidRPr="00166E0C">
              <w:rPr>
                <w:rFonts w:ascii="Times New Roman" w:hAnsi="Times New Roman" w:cs="Times New Roman"/>
                <w:sz w:val="24"/>
                <w:lang w:val="en-US"/>
              </w:rPr>
              <w:t xml:space="preserve">of the </w:t>
            </w:r>
            <w:r w:rsidR="50E75061" w:rsidRPr="00166E0C">
              <w:rPr>
                <w:rFonts w:ascii="Times New Roman" w:hAnsi="Times New Roman" w:cs="Times New Roman"/>
                <w:sz w:val="24"/>
              </w:rPr>
              <w:t xml:space="preserve">Regulation (EU) No 575/2013 </w:t>
            </w:r>
            <w:r w:rsidR="5682D6C4" w:rsidRPr="00166E0C">
              <w:rPr>
                <w:rFonts w:ascii="Times New Roman" w:hAnsi="Times New Roman" w:cs="Times New Roman"/>
                <w:sz w:val="24"/>
              </w:rPr>
              <w:t xml:space="preserve">shall be reported here. </w:t>
            </w:r>
          </w:p>
          <w:p w14:paraId="19E24D73" w14:textId="6A0F3423" w:rsidR="00D60B05" w:rsidRPr="00166E0C" w:rsidRDefault="00D60B05" w:rsidP="00535F36">
            <w:pPr>
              <w:spacing w:after="120"/>
              <w:jc w:val="both"/>
              <w:rPr>
                <w:rFonts w:ascii="Times New Roman" w:eastAsiaTheme="minorHAnsi" w:hAnsi="Times New Roman" w:cs="Times New Roman"/>
                <w:sz w:val="24"/>
              </w:rPr>
            </w:pPr>
            <w:r w:rsidRPr="00166E0C">
              <w:rPr>
                <w:rFonts w:ascii="Times New Roman" w:hAnsi="Times New Roman" w:cs="Times New Roman"/>
                <w:bCs/>
                <w:sz w:val="24"/>
              </w:rPr>
              <w:t xml:space="preserve">This row is the sum of rows </w:t>
            </w:r>
            <w:r w:rsidR="00603007" w:rsidRPr="00166E0C">
              <w:rPr>
                <w:rFonts w:ascii="Times New Roman" w:hAnsi="Times New Roman" w:cs="Times New Roman"/>
                <w:bCs/>
                <w:sz w:val="24"/>
              </w:rPr>
              <w:t>9.1; 9.2; 9.3; 9.4</w:t>
            </w:r>
            <w:r w:rsidR="00A50858" w:rsidRPr="00166E0C">
              <w:rPr>
                <w:rFonts w:ascii="Times New Roman" w:hAnsi="Times New Roman" w:cs="Times New Roman"/>
                <w:bCs/>
                <w:sz w:val="24"/>
              </w:rPr>
              <w:t xml:space="preserve"> 9.5. </w:t>
            </w:r>
          </w:p>
        </w:tc>
      </w:tr>
      <w:tr w:rsidR="00535F36" w:rsidRPr="00166E0C" w14:paraId="02ECFA10" w14:textId="77777777" w:rsidTr="5A0D947F">
        <w:trPr>
          <w:trHeight w:val="699"/>
        </w:trPr>
        <w:tc>
          <w:tcPr>
            <w:tcW w:w="1413" w:type="dxa"/>
            <w:shd w:val="clear" w:color="auto" w:fill="auto"/>
          </w:tcPr>
          <w:p w14:paraId="64CD7987" w14:textId="5265FA6A" w:rsidR="00535F36" w:rsidRPr="00166E0C" w:rsidRDefault="00535F36" w:rsidP="00535F3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9.1</w:t>
            </w:r>
          </w:p>
        </w:tc>
        <w:tc>
          <w:tcPr>
            <w:tcW w:w="7654" w:type="dxa"/>
            <w:shd w:val="clear" w:color="auto" w:fill="auto"/>
          </w:tcPr>
          <w:p w14:paraId="767946BA" w14:textId="417EA438" w:rsidR="007F1438" w:rsidRPr="00FB64CF" w:rsidRDefault="00535F36" w:rsidP="00535F36">
            <w:pPr>
              <w:spacing w:after="120"/>
              <w:jc w:val="both"/>
              <w:rPr>
                <w:rFonts w:ascii="Times New Roman" w:eastAsiaTheme="minorHAnsi" w:hAnsi="Times New Roman" w:cs="Times New Roman"/>
                <w:b/>
                <w:bCs/>
                <w:sz w:val="24"/>
              </w:rPr>
            </w:pPr>
            <w:r w:rsidRPr="00FB64CF">
              <w:rPr>
                <w:rFonts w:ascii="Times New Roman" w:eastAsiaTheme="minorHAnsi" w:hAnsi="Times New Roman" w:cs="Times New Roman"/>
                <w:b/>
                <w:bCs/>
                <w:sz w:val="24"/>
              </w:rPr>
              <w:t xml:space="preserve">Secured by mortgages on residential immovable property - non </w:t>
            </w:r>
            <w:proofErr w:type="gramStart"/>
            <w:r w:rsidRPr="00FB64CF">
              <w:rPr>
                <w:rFonts w:ascii="Times New Roman" w:eastAsiaTheme="minorHAnsi" w:hAnsi="Times New Roman" w:cs="Times New Roman"/>
                <w:b/>
                <w:bCs/>
                <w:sz w:val="24"/>
              </w:rPr>
              <w:t>IPRE</w:t>
            </w:r>
            <w:proofErr w:type="gramEnd"/>
          </w:p>
          <w:p w14:paraId="4DB2B534" w14:textId="5136C073" w:rsidR="00535F36" w:rsidRPr="00166E0C" w:rsidRDefault="007F1438" w:rsidP="00535F36">
            <w:pPr>
              <w:spacing w:after="120"/>
              <w:jc w:val="both"/>
              <w:rPr>
                <w:rFonts w:ascii="Times New Roman" w:hAnsi="Times New Roman" w:cs="Times New Roman"/>
                <w:bCs/>
                <w:sz w:val="24"/>
              </w:rPr>
            </w:pPr>
            <w:r>
              <w:rPr>
                <w:rFonts w:ascii="Times New Roman" w:hAnsi="Times New Roman" w:cs="Times New Roman"/>
                <w:bCs/>
                <w:sz w:val="24"/>
              </w:rPr>
              <w:t>E</w:t>
            </w:r>
            <w:r w:rsidR="00535F36" w:rsidRPr="00166E0C">
              <w:rPr>
                <w:rFonts w:ascii="Times New Roman" w:hAnsi="Times New Roman" w:cs="Times New Roman"/>
                <w:bCs/>
                <w:sz w:val="24"/>
              </w:rPr>
              <w:t>xposures</w:t>
            </w:r>
            <w:r w:rsidR="00301E0E" w:rsidRPr="00166E0C">
              <w:rPr>
                <w:rFonts w:ascii="Times New Roman" w:hAnsi="Times New Roman" w:cs="Times New Roman"/>
                <w:bCs/>
                <w:sz w:val="24"/>
              </w:rPr>
              <w:t xml:space="preserve"> treated in accordance with Article 125(1) of Regulation (EU) No 575/2013</w:t>
            </w:r>
            <w:r w:rsidR="00CE61A5">
              <w:rPr>
                <w:rFonts w:ascii="Times New Roman" w:hAnsi="Times New Roman" w:cs="Times New Roman"/>
                <w:bCs/>
                <w:sz w:val="24"/>
              </w:rPr>
              <w:t xml:space="preserve"> </w:t>
            </w:r>
            <w:r w:rsidR="00535F36" w:rsidRPr="00166E0C">
              <w:rPr>
                <w:rFonts w:ascii="Times New Roman" w:hAnsi="Times New Roman" w:cs="Times New Roman"/>
                <w:bCs/>
                <w:sz w:val="24"/>
              </w:rPr>
              <w:t>shall be reported here.</w:t>
            </w:r>
          </w:p>
          <w:p w14:paraId="39BC2BE6" w14:textId="40A39FE4" w:rsidR="00FD6952" w:rsidRPr="00FB64CF" w:rsidRDefault="00FD6952" w:rsidP="00FB64CF">
            <w:pPr>
              <w:spacing w:after="120"/>
              <w:jc w:val="both"/>
              <w:rPr>
                <w:rFonts w:eastAsiaTheme="minorHAnsi"/>
              </w:rPr>
            </w:pPr>
            <w:r w:rsidRPr="00166E0C">
              <w:rPr>
                <w:rFonts w:ascii="Times New Roman" w:eastAsiaTheme="minorHAnsi" w:hAnsi="Times New Roman" w:cs="Times New Roman"/>
                <w:sz w:val="24"/>
              </w:rPr>
              <w:t>In this row they are also disclosed</w:t>
            </w:r>
            <w:r w:rsidR="009B59DD" w:rsidRPr="00166E0C">
              <w:rPr>
                <w:rFonts w:ascii="Times New Roman" w:eastAsiaTheme="minorHAnsi" w:hAnsi="Times New Roman" w:cs="Times New Roman"/>
                <w:sz w:val="24"/>
              </w:rPr>
              <w:t>:</w:t>
            </w:r>
            <w:r w:rsidRPr="00166E0C">
              <w:rPr>
                <w:rFonts w:ascii="Times New Roman" w:eastAsiaTheme="minorHAnsi" w:hAnsi="Times New Roman" w:cs="Times New Roman"/>
                <w:sz w:val="24"/>
              </w:rPr>
              <w:t xml:space="preserve"> </w:t>
            </w:r>
            <w:r w:rsidR="00164B1E" w:rsidRPr="00FB64CF">
              <w:rPr>
                <w:rFonts w:ascii="Times New Roman" w:eastAsiaTheme="minorHAnsi" w:hAnsi="Times New Roman"/>
                <w:sz w:val="24"/>
              </w:rPr>
              <w:t xml:space="preserve">other </w:t>
            </w:r>
            <w:r w:rsidR="00900E99" w:rsidRPr="00FB64CF">
              <w:rPr>
                <w:rFonts w:ascii="Times New Roman" w:eastAsiaTheme="minorHAnsi" w:hAnsi="Times New Roman"/>
                <w:sz w:val="24"/>
              </w:rPr>
              <w:t>exposures</w:t>
            </w:r>
            <w:r w:rsidR="00164B1E" w:rsidRPr="00FB64CF">
              <w:rPr>
                <w:rFonts w:ascii="Times New Roman" w:eastAsiaTheme="minorHAnsi" w:hAnsi="Times New Roman"/>
                <w:sz w:val="24"/>
              </w:rPr>
              <w:t xml:space="preserve"> secured by mortgages on residential immovable property-</w:t>
            </w:r>
            <w:r w:rsidR="00900E99" w:rsidRPr="00FB64CF">
              <w:rPr>
                <w:rFonts w:ascii="Times New Roman" w:eastAsiaTheme="minorHAnsi" w:hAnsi="Times New Roman"/>
                <w:sz w:val="24"/>
              </w:rPr>
              <w:t xml:space="preserve"> non-IPRE that do not meet the conditions in Article 124(3)</w:t>
            </w:r>
            <w:r w:rsidR="00790935" w:rsidRPr="00FB64CF">
              <w:rPr>
                <w:rFonts w:ascii="Times New Roman" w:eastAsiaTheme="minorHAnsi" w:hAnsi="Times New Roman"/>
                <w:sz w:val="24"/>
              </w:rPr>
              <w:t>, or any part of a non-</w:t>
            </w:r>
            <w:r w:rsidR="00B42423">
              <w:rPr>
                <w:rFonts w:ascii="Times New Roman" w:eastAsiaTheme="minorHAnsi" w:hAnsi="Times New Roman"/>
                <w:sz w:val="24"/>
              </w:rPr>
              <w:t>ADC</w:t>
            </w:r>
            <w:r w:rsidR="00790935" w:rsidRPr="00FB64CF">
              <w:rPr>
                <w:rFonts w:ascii="Times New Roman" w:eastAsiaTheme="minorHAnsi" w:hAnsi="Times New Roman"/>
                <w:sz w:val="24"/>
              </w:rPr>
              <w:t xml:space="preserve"> exposure that exceeds the nominal amount of the lien of the property,</w:t>
            </w:r>
            <w:r w:rsidR="00900E99" w:rsidRPr="00FB64CF">
              <w:rPr>
                <w:rFonts w:ascii="Times New Roman" w:eastAsiaTheme="minorHAnsi" w:hAnsi="Times New Roman"/>
                <w:sz w:val="24"/>
              </w:rPr>
              <w:t xml:space="preserve"> referred to in Article 124(1), point (a) of Regulation (EU) No 575/2013</w:t>
            </w:r>
            <w:r w:rsidR="007F1438" w:rsidRPr="00FB64CF">
              <w:rPr>
                <w:rFonts w:ascii="Times New Roman" w:eastAsiaTheme="minorHAnsi" w:hAnsi="Times New Roman"/>
                <w:sz w:val="24"/>
              </w:rPr>
              <w:t>.</w:t>
            </w:r>
          </w:p>
        </w:tc>
      </w:tr>
      <w:tr w:rsidR="00535F36" w:rsidRPr="00BC439A" w14:paraId="095056BC" w14:textId="77777777" w:rsidTr="5A0D947F">
        <w:trPr>
          <w:trHeight w:val="699"/>
        </w:trPr>
        <w:tc>
          <w:tcPr>
            <w:tcW w:w="1413" w:type="dxa"/>
            <w:shd w:val="clear" w:color="auto" w:fill="auto"/>
          </w:tcPr>
          <w:p w14:paraId="5841F3AE" w14:textId="39B6E246" w:rsidR="00535F36" w:rsidRPr="00166E0C" w:rsidRDefault="00535F36" w:rsidP="00535F3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9.2</w:t>
            </w:r>
          </w:p>
        </w:tc>
        <w:tc>
          <w:tcPr>
            <w:tcW w:w="7654" w:type="dxa"/>
            <w:shd w:val="clear" w:color="auto" w:fill="auto"/>
          </w:tcPr>
          <w:p w14:paraId="0A4DA91A" w14:textId="6039BA7A" w:rsidR="007F1438" w:rsidRPr="00FB64CF" w:rsidRDefault="5682D6C4"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 xml:space="preserve">Secured by mortgages on residential immovable property – </w:t>
            </w:r>
            <w:proofErr w:type="gramStart"/>
            <w:r w:rsidRPr="00FB64CF">
              <w:rPr>
                <w:rFonts w:ascii="Times New Roman" w:hAnsi="Times New Roman" w:cs="Times New Roman"/>
                <w:b/>
                <w:bCs/>
                <w:sz w:val="24"/>
              </w:rPr>
              <w:t>IPRE</w:t>
            </w:r>
            <w:proofErr w:type="gramEnd"/>
          </w:p>
          <w:p w14:paraId="683E626E" w14:textId="03E1AF1F" w:rsidR="00535F36" w:rsidRPr="00166E0C" w:rsidRDefault="007F1438" w:rsidP="5A0D947F">
            <w:pPr>
              <w:spacing w:after="120"/>
              <w:jc w:val="both"/>
              <w:rPr>
                <w:rFonts w:ascii="Times New Roman" w:hAnsi="Times New Roman" w:cs="Times New Roman"/>
                <w:sz w:val="24"/>
              </w:rPr>
            </w:pPr>
            <w:r>
              <w:rPr>
                <w:rFonts w:ascii="Times New Roman" w:hAnsi="Times New Roman" w:cs="Times New Roman"/>
                <w:sz w:val="24"/>
              </w:rPr>
              <w:t>O</w:t>
            </w:r>
            <w:r w:rsidR="5682D6C4" w:rsidRPr="00166E0C">
              <w:rPr>
                <w:rFonts w:ascii="Times New Roman" w:hAnsi="Times New Roman" w:cs="Times New Roman"/>
                <w:sz w:val="24"/>
              </w:rPr>
              <w:t>nly exposures which meet the definition of Article 4 (</w:t>
            </w:r>
            <w:r w:rsidR="00164B1E" w:rsidRPr="00166E0C">
              <w:rPr>
                <w:rFonts w:ascii="Times New Roman" w:hAnsi="Times New Roman" w:cs="Times New Roman"/>
                <w:sz w:val="24"/>
              </w:rPr>
              <w:t>1</w:t>
            </w:r>
            <w:r w:rsidR="5682D6C4" w:rsidRPr="00166E0C">
              <w:rPr>
                <w:rFonts w:ascii="Times New Roman" w:hAnsi="Times New Roman" w:cs="Times New Roman"/>
                <w:sz w:val="24"/>
              </w:rPr>
              <w:t>), point (75</w:t>
            </w:r>
            <w:r w:rsidR="7FFCAE1F" w:rsidRPr="00166E0C">
              <w:rPr>
                <w:rFonts w:ascii="Times New Roman" w:hAnsi="Times New Roman" w:cs="Times New Roman"/>
                <w:sz w:val="24"/>
              </w:rPr>
              <w:t>b</w:t>
            </w:r>
            <w:r w:rsidR="5682D6C4" w:rsidRPr="00166E0C">
              <w:rPr>
                <w:rFonts w:ascii="Times New Roman" w:hAnsi="Times New Roman" w:cs="Times New Roman"/>
                <w:sz w:val="24"/>
              </w:rPr>
              <w:t xml:space="preserve">) </w:t>
            </w:r>
            <w:r w:rsidR="5682D6C4" w:rsidRPr="00166E0C">
              <w:rPr>
                <w:rFonts w:ascii="Times New Roman" w:hAnsi="Times New Roman" w:cs="Times New Roman"/>
                <w:sz w:val="24"/>
                <w:lang w:val="en-US"/>
              </w:rPr>
              <w:t xml:space="preserve">of the </w:t>
            </w:r>
            <w:r w:rsidR="2F1C2143" w:rsidRPr="00166E0C">
              <w:rPr>
                <w:rFonts w:ascii="Times New Roman" w:hAnsi="Times New Roman" w:cs="Times New Roman"/>
                <w:sz w:val="24"/>
              </w:rPr>
              <w:t xml:space="preserve">Regulation (EU) No 575/2013 </w:t>
            </w:r>
            <w:r w:rsidR="5682D6C4" w:rsidRPr="00166E0C">
              <w:rPr>
                <w:rFonts w:ascii="Times New Roman" w:hAnsi="Times New Roman" w:cs="Times New Roman"/>
                <w:sz w:val="24"/>
              </w:rPr>
              <w:t>shall be reported here</w:t>
            </w:r>
            <w:r w:rsidR="00284FF1" w:rsidRPr="00166E0C">
              <w:rPr>
                <w:rFonts w:ascii="Times New Roman" w:hAnsi="Times New Roman" w:cs="Times New Roman"/>
                <w:sz w:val="24"/>
              </w:rPr>
              <w:t xml:space="preserve">, </w:t>
            </w:r>
            <w:r w:rsidR="008D77B1" w:rsidRPr="00166E0C">
              <w:rPr>
                <w:rFonts w:ascii="Times New Roman" w:hAnsi="Times New Roman" w:cs="Times New Roman"/>
                <w:sz w:val="24"/>
              </w:rPr>
              <w:t xml:space="preserve">including </w:t>
            </w:r>
            <w:r w:rsidR="008D77B1" w:rsidRPr="00166E0C">
              <w:rPr>
                <w:rFonts w:ascii="Times New Roman" w:eastAsiaTheme="minorHAnsi" w:hAnsi="Times New Roman"/>
                <w:sz w:val="24"/>
              </w:rPr>
              <w:t xml:space="preserve">exposures IPRE meeting any of the conditions laid down in Article 124(2), point (a)(ii), points (1) to (4) of Regulation (EU) No 575/2013; IPRE exposures where the </w:t>
            </w:r>
            <w:r w:rsidR="008D77B1" w:rsidRPr="00166E0C">
              <w:rPr>
                <w:rFonts w:ascii="Times New Roman" w:eastAsiaTheme="minorHAnsi" w:hAnsi="Times New Roman"/>
                <w:sz w:val="24"/>
              </w:rPr>
              <w:lastRenderedPageBreak/>
              <w:t>derogation set out in Article 125(2) of Regulation (EU) No 575/2013</w:t>
            </w:r>
            <w:r w:rsidR="00157B31">
              <w:rPr>
                <w:rFonts w:ascii="Times New Roman" w:eastAsiaTheme="minorHAnsi" w:hAnsi="Times New Roman"/>
                <w:sz w:val="24"/>
              </w:rPr>
              <w:t xml:space="preserve"> </w:t>
            </w:r>
            <w:r w:rsidR="008D77B1" w:rsidRPr="00166E0C">
              <w:rPr>
                <w:rFonts w:ascii="Times New Roman" w:eastAsiaTheme="minorHAnsi" w:hAnsi="Times New Roman"/>
                <w:sz w:val="24"/>
              </w:rPr>
              <w:t>is applied</w:t>
            </w:r>
            <w:r w:rsidR="008D77B1" w:rsidRPr="00166E0C">
              <w:rPr>
                <w:rFonts w:ascii="Times New Roman" w:hAnsi="Times New Roman" w:cs="Times New Roman"/>
                <w:sz w:val="24"/>
              </w:rPr>
              <w:t>.</w:t>
            </w:r>
          </w:p>
          <w:p w14:paraId="752E3912" w14:textId="33220D5C" w:rsidR="00900E99" w:rsidRPr="00BC439A" w:rsidRDefault="00900E99" w:rsidP="5A0D947F">
            <w:pPr>
              <w:spacing w:after="120"/>
              <w:jc w:val="both"/>
              <w:rPr>
                <w:rFonts w:ascii="Times New Roman" w:hAnsi="Times New Roman" w:cs="Times New Roman"/>
                <w:sz w:val="24"/>
              </w:rPr>
            </w:pPr>
            <w:r w:rsidRPr="00166E0C">
              <w:rPr>
                <w:rFonts w:ascii="Times New Roman" w:hAnsi="Times New Roman" w:cs="Times New Roman"/>
                <w:sz w:val="24"/>
              </w:rPr>
              <w:t xml:space="preserve">In this row they are also disclosed </w:t>
            </w:r>
            <w:r w:rsidRPr="00166E0C">
              <w:rPr>
                <w:rFonts w:ascii="Times New Roman" w:eastAsiaTheme="minorHAnsi" w:hAnsi="Times New Roman" w:cs="Times New Roman"/>
                <w:sz w:val="24"/>
              </w:rPr>
              <w:t>other exposures secured by mortgages on residential immovable property-IPRE that do not meet the conditions in Article 124(3)</w:t>
            </w:r>
            <w:r w:rsidR="00790935" w:rsidRPr="00166E0C">
              <w:rPr>
                <w:rFonts w:ascii="Times New Roman" w:eastAsiaTheme="minorHAnsi" w:hAnsi="Times New Roman" w:cs="Times New Roman"/>
                <w:sz w:val="24"/>
              </w:rPr>
              <w:t xml:space="preserve"> or any part of a non -</w:t>
            </w:r>
            <w:r w:rsidR="00B42423">
              <w:rPr>
                <w:rFonts w:ascii="Times New Roman" w:eastAsiaTheme="minorHAnsi" w:hAnsi="Times New Roman" w:cs="Times New Roman"/>
                <w:sz w:val="24"/>
              </w:rPr>
              <w:t>ADC</w:t>
            </w:r>
            <w:r w:rsidR="00790935" w:rsidRPr="00166E0C">
              <w:rPr>
                <w:rFonts w:ascii="Times New Roman" w:eastAsiaTheme="minorHAnsi" w:hAnsi="Times New Roman" w:cs="Times New Roman"/>
                <w:sz w:val="24"/>
              </w:rPr>
              <w:t xml:space="preserve"> exposure that exceeds the nominal amount of the lien of the property</w:t>
            </w:r>
            <w:r w:rsidRPr="00166E0C">
              <w:rPr>
                <w:rFonts w:ascii="Times New Roman" w:eastAsiaTheme="minorHAnsi" w:hAnsi="Times New Roman" w:cs="Times New Roman"/>
                <w:sz w:val="24"/>
              </w:rPr>
              <w:t>, referred to in Article 124(1), point (b) of Regulation (EU) No 575/2013.</w:t>
            </w:r>
          </w:p>
        </w:tc>
      </w:tr>
      <w:tr w:rsidR="00535F36" w:rsidRPr="00166E0C" w14:paraId="52BA9448" w14:textId="77777777" w:rsidTr="5A0D947F">
        <w:trPr>
          <w:trHeight w:val="699"/>
        </w:trPr>
        <w:tc>
          <w:tcPr>
            <w:tcW w:w="1413" w:type="dxa"/>
            <w:shd w:val="clear" w:color="auto" w:fill="auto"/>
          </w:tcPr>
          <w:p w14:paraId="6A1C330D" w14:textId="5A3E34A5" w:rsidR="00535F36" w:rsidRPr="00166E0C" w:rsidRDefault="00535F36" w:rsidP="00535F3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lastRenderedPageBreak/>
              <w:t>9.3</w:t>
            </w:r>
          </w:p>
        </w:tc>
        <w:tc>
          <w:tcPr>
            <w:tcW w:w="7654" w:type="dxa"/>
            <w:shd w:val="clear" w:color="auto" w:fill="auto"/>
          </w:tcPr>
          <w:p w14:paraId="4E2BB22E" w14:textId="65455CC2" w:rsidR="007F1438" w:rsidRPr="00FB64CF" w:rsidRDefault="00535F36" w:rsidP="00535F36">
            <w:pPr>
              <w:spacing w:after="120"/>
              <w:jc w:val="both"/>
              <w:rPr>
                <w:rFonts w:ascii="Times New Roman" w:eastAsiaTheme="minorHAnsi" w:hAnsi="Times New Roman" w:cs="Times New Roman"/>
                <w:b/>
                <w:bCs/>
                <w:sz w:val="24"/>
              </w:rPr>
            </w:pPr>
            <w:r w:rsidRPr="00FB64CF">
              <w:rPr>
                <w:rFonts w:ascii="Times New Roman" w:eastAsiaTheme="minorHAnsi" w:hAnsi="Times New Roman" w:cs="Times New Roman"/>
                <w:b/>
                <w:bCs/>
                <w:sz w:val="24"/>
              </w:rPr>
              <w:t xml:space="preserve">Secured by mortgages on commercial immovable property - non </w:t>
            </w:r>
            <w:proofErr w:type="gramStart"/>
            <w:r w:rsidRPr="00FB64CF">
              <w:rPr>
                <w:rFonts w:ascii="Times New Roman" w:eastAsiaTheme="minorHAnsi" w:hAnsi="Times New Roman" w:cs="Times New Roman"/>
                <w:b/>
                <w:bCs/>
                <w:sz w:val="24"/>
              </w:rPr>
              <w:t>IPRE</w:t>
            </w:r>
            <w:proofErr w:type="gramEnd"/>
            <w:r w:rsidRPr="00FB64CF">
              <w:rPr>
                <w:rFonts w:ascii="Times New Roman" w:eastAsiaTheme="minorHAnsi" w:hAnsi="Times New Roman" w:cs="Times New Roman"/>
                <w:b/>
                <w:bCs/>
                <w:sz w:val="24"/>
              </w:rPr>
              <w:t xml:space="preserve"> </w:t>
            </w:r>
          </w:p>
          <w:p w14:paraId="599BA328" w14:textId="126EA28D" w:rsidR="00535F36" w:rsidRPr="00166E0C" w:rsidRDefault="007F1438" w:rsidP="00535F36">
            <w:pPr>
              <w:spacing w:after="120"/>
              <w:jc w:val="both"/>
              <w:rPr>
                <w:rFonts w:ascii="Times New Roman" w:hAnsi="Times New Roman" w:cs="Times New Roman"/>
                <w:bCs/>
                <w:sz w:val="24"/>
              </w:rPr>
            </w:pPr>
            <w:r>
              <w:rPr>
                <w:rFonts w:ascii="Times New Roman" w:hAnsi="Times New Roman" w:cs="Times New Roman"/>
                <w:bCs/>
                <w:sz w:val="24"/>
              </w:rPr>
              <w:t>E</w:t>
            </w:r>
            <w:r w:rsidR="00535F36" w:rsidRPr="00166E0C">
              <w:rPr>
                <w:rFonts w:ascii="Times New Roman" w:hAnsi="Times New Roman" w:cs="Times New Roman"/>
                <w:bCs/>
                <w:sz w:val="24"/>
              </w:rPr>
              <w:t xml:space="preserve">xposures </w:t>
            </w:r>
            <w:r w:rsidR="00094811" w:rsidRPr="00166E0C">
              <w:rPr>
                <w:rFonts w:ascii="Times New Roman" w:hAnsi="Times New Roman" w:cs="Times New Roman"/>
                <w:bCs/>
                <w:sz w:val="24"/>
              </w:rPr>
              <w:t xml:space="preserve">treated in accordance with Article 126(1) of Regulation (EU) No 575/2013 </w:t>
            </w:r>
            <w:r w:rsidR="00535F36" w:rsidRPr="00166E0C">
              <w:rPr>
                <w:rFonts w:ascii="Times New Roman" w:hAnsi="Times New Roman" w:cs="Times New Roman"/>
                <w:bCs/>
                <w:sz w:val="24"/>
              </w:rPr>
              <w:t>shall be reported here.</w:t>
            </w:r>
          </w:p>
          <w:p w14:paraId="56DF61DF" w14:textId="3ED6FADA" w:rsidR="00A93447" w:rsidRPr="00FB64CF" w:rsidRDefault="00A93447" w:rsidP="00900E99">
            <w:pPr>
              <w:spacing w:after="120"/>
              <w:jc w:val="both"/>
              <w:rPr>
                <w:rFonts w:ascii="Times New Roman" w:eastAsiaTheme="minorHAnsi" w:hAnsi="Times New Roman"/>
                <w:sz w:val="24"/>
              </w:rPr>
            </w:pPr>
            <w:r w:rsidRPr="00166E0C">
              <w:rPr>
                <w:rFonts w:ascii="Times New Roman" w:eastAsiaTheme="minorHAnsi" w:hAnsi="Times New Roman" w:cs="Times New Roman"/>
                <w:sz w:val="24"/>
              </w:rPr>
              <w:t>In this row they are also disclosed</w:t>
            </w:r>
            <w:r w:rsidR="00900E99" w:rsidRPr="00166E0C">
              <w:rPr>
                <w:rFonts w:ascii="Times New Roman" w:eastAsiaTheme="minorHAnsi" w:hAnsi="Times New Roman" w:cs="Times New Roman"/>
                <w:sz w:val="24"/>
              </w:rPr>
              <w:t>:</w:t>
            </w:r>
            <w:r w:rsidR="007F1438">
              <w:rPr>
                <w:rFonts w:ascii="Times New Roman" w:eastAsiaTheme="minorHAnsi" w:hAnsi="Times New Roman" w:cs="Times New Roman"/>
                <w:sz w:val="24"/>
              </w:rPr>
              <w:t xml:space="preserve"> </w:t>
            </w:r>
            <w:r w:rsidR="00900E99" w:rsidRPr="00166E0C">
              <w:rPr>
                <w:rFonts w:ascii="Times New Roman" w:eastAsiaTheme="minorHAnsi" w:hAnsi="Times New Roman" w:cs="Times New Roman"/>
                <w:sz w:val="24"/>
              </w:rPr>
              <w:t>other exposures secured by mortgages on commercial immovable property- non-IPRE that do not meet the conditions in Article 124(3)</w:t>
            </w:r>
            <w:r w:rsidR="00790935" w:rsidRPr="00166E0C">
              <w:rPr>
                <w:rFonts w:ascii="Times New Roman" w:eastAsiaTheme="minorHAnsi" w:hAnsi="Times New Roman" w:cs="Times New Roman"/>
                <w:sz w:val="24"/>
              </w:rPr>
              <w:t xml:space="preserve"> or any part of a non-ADC exposure that exceeds the nominal amount of the lien of the property</w:t>
            </w:r>
            <w:r w:rsidR="00900E99" w:rsidRPr="00166E0C">
              <w:rPr>
                <w:rFonts w:ascii="Times New Roman" w:eastAsiaTheme="minorHAnsi" w:hAnsi="Times New Roman" w:cs="Times New Roman"/>
                <w:sz w:val="24"/>
              </w:rPr>
              <w:t>, referred to in Article 124(1), point (a) of Regulation (EU) No 575/2013</w:t>
            </w:r>
            <w:r w:rsidR="007F1438">
              <w:rPr>
                <w:rFonts w:ascii="Times New Roman" w:eastAsiaTheme="minorHAnsi" w:hAnsi="Times New Roman" w:cs="Times New Roman"/>
                <w:sz w:val="24"/>
              </w:rPr>
              <w:t>.</w:t>
            </w:r>
          </w:p>
        </w:tc>
      </w:tr>
      <w:tr w:rsidR="00535F36" w:rsidRPr="00166E0C" w14:paraId="134726BE" w14:textId="77777777" w:rsidTr="5A0D947F">
        <w:trPr>
          <w:trHeight w:val="699"/>
        </w:trPr>
        <w:tc>
          <w:tcPr>
            <w:tcW w:w="1413" w:type="dxa"/>
            <w:shd w:val="clear" w:color="auto" w:fill="auto"/>
          </w:tcPr>
          <w:p w14:paraId="5AD77A0D" w14:textId="22AC797D" w:rsidR="00535F36" w:rsidRPr="00166E0C" w:rsidRDefault="00535F36" w:rsidP="00535F3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9.4</w:t>
            </w:r>
          </w:p>
        </w:tc>
        <w:tc>
          <w:tcPr>
            <w:tcW w:w="7654" w:type="dxa"/>
            <w:shd w:val="clear" w:color="auto" w:fill="auto"/>
          </w:tcPr>
          <w:p w14:paraId="606B4A71" w14:textId="586254A3" w:rsidR="00FB4914" w:rsidRPr="00FB64CF" w:rsidRDefault="5682D6C4"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 xml:space="preserve">Secured by mortgages on commercial immovable property – </w:t>
            </w:r>
            <w:proofErr w:type="gramStart"/>
            <w:r w:rsidRPr="00FB64CF">
              <w:rPr>
                <w:rFonts w:ascii="Times New Roman" w:hAnsi="Times New Roman" w:cs="Times New Roman"/>
                <w:b/>
                <w:bCs/>
                <w:sz w:val="24"/>
              </w:rPr>
              <w:t>IPRE</w:t>
            </w:r>
            <w:proofErr w:type="gramEnd"/>
          </w:p>
          <w:p w14:paraId="570AD855" w14:textId="377A4690" w:rsidR="00535F36" w:rsidRPr="00166E0C" w:rsidRDefault="00FB4914" w:rsidP="5A0D947F">
            <w:pPr>
              <w:spacing w:after="120"/>
              <w:jc w:val="both"/>
              <w:rPr>
                <w:rFonts w:ascii="Times New Roman" w:hAnsi="Times New Roman" w:cs="Times New Roman"/>
                <w:sz w:val="24"/>
              </w:rPr>
            </w:pPr>
            <w:r>
              <w:rPr>
                <w:rFonts w:ascii="Times New Roman" w:hAnsi="Times New Roman" w:cs="Times New Roman"/>
                <w:sz w:val="24"/>
              </w:rPr>
              <w:t>E</w:t>
            </w:r>
            <w:r w:rsidR="5682D6C4" w:rsidRPr="00166E0C">
              <w:rPr>
                <w:rFonts w:ascii="Times New Roman" w:hAnsi="Times New Roman" w:cs="Times New Roman"/>
                <w:sz w:val="24"/>
              </w:rPr>
              <w:t>xposures which meet the definition of Article 4 (</w:t>
            </w:r>
            <w:r w:rsidR="0B7993BE" w:rsidRPr="00166E0C">
              <w:rPr>
                <w:rFonts w:ascii="Times New Roman" w:hAnsi="Times New Roman" w:cs="Times New Roman"/>
                <w:sz w:val="24"/>
              </w:rPr>
              <w:t>1</w:t>
            </w:r>
            <w:r w:rsidR="5682D6C4" w:rsidRPr="00166E0C">
              <w:rPr>
                <w:rFonts w:ascii="Times New Roman" w:hAnsi="Times New Roman" w:cs="Times New Roman"/>
                <w:sz w:val="24"/>
              </w:rPr>
              <w:t>), point (75</w:t>
            </w:r>
            <w:r w:rsidR="0B7993BE" w:rsidRPr="00166E0C">
              <w:rPr>
                <w:rFonts w:ascii="Times New Roman" w:hAnsi="Times New Roman" w:cs="Times New Roman"/>
                <w:sz w:val="24"/>
              </w:rPr>
              <w:t>b</w:t>
            </w:r>
            <w:r w:rsidR="5682D6C4" w:rsidRPr="00166E0C">
              <w:rPr>
                <w:rFonts w:ascii="Times New Roman" w:hAnsi="Times New Roman" w:cs="Times New Roman"/>
                <w:sz w:val="24"/>
              </w:rPr>
              <w:t>) and Article 124 (2)</w:t>
            </w:r>
            <w:r w:rsidR="5A6146ED" w:rsidRPr="00166E0C">
              <w:rPr>
                <w:rFonts w:ascii="Times New Roman" w:hAnsi="Times New Roman" w:cs="Times New Roman"/>
                <w:sz w:val="24"/>
              </w:rPr>
              <w:t>,</w:t>
            </w:r>
            <w:r w:rsidR="5682D6C4" w:rsidRPr="00166E0C">
              <w:rPr>
                <w:rFonts w:ascii="Times New Roman" w:hAnsi="Times New Roman" w:cs="Times New Roman"/>
                <w:sz w:val="24"/>
              </w:rPr>
              <w:t xml:space="preserve"> point (b) (ii) </w:t>
            </w:r>
            <w:r w:rsidR="5682D6C4" w:rsidRPr="00166E0C">
              <w:rPr>
                <w:rFonts w:ascii="Times New Roman" w:hAnsi="Times New Roman" w:cs="Times New Roman"/>
                <w:sz w:val="24"/>
                <w:lang w:val="en-US"/>
              </w:rPr>
              <w:t xml:space="preserve">of the </w:t>
            </w:r>
            <w:r w:rsidR="6DF738C1" w:rsidRPr="00166E0C">
              <w:rPr>
                <w:rFonts w:ascii="Times New Roman" w:hAnsi="Times New Roman" w:cs="Times New Roman"/>
                <w:sz w:val="24"/>
              </w:rPr>
              <w:t xml:space="preserve">Regulation (EU) No 575/2013 </w:t>
            </w:r>
            <w:r w:rsidR="5682D6C4" w:rsidRPr="00166E0C">
              <w:rPr>
                <w:rFonts w:ascii="Times New Roman" w:hAnsi="Times New Roman" w:cs="Times New Roman"/>
                <w:sz w:val="24"/>
              </w:rPr>
              <w:t xml:space="preserve">shall be reported </w:t>
            </w:r>
            <w:r w:rsidR="008D77B1" w:rsidRPr="00166E0C">
              <w:rPr>
                <w:rFonts w:ascii="Times New Roman" w:hAnsi="Times New Roman" w:cs="Times New Roman"/>
                <w:sz w:val="24"/>
              </w:rPr>
              <w:t xml:space="preserve">here, including </w:t>
            </w:r>
            <w:r w:rsidR="008D77B1" w:rsidRPr="00166E0C">
              <w:rPr>
                <w:rFonts w:ascii="Times New Roman" w:eastAsiaTheme="minorHAnsi" w:hAnsi="Times New Roman"/>
                <w:sz w:val="24"/>
              </w:rPr>
              <w:t>exposures IPRE where the derogation set out in Article 126(2) of Regulation (EU) No 575/2013 is applied</w:t>
            </w:r>
            <w:r w:rsidR="00395831">
              <w:rPr>
                <w:rFonts w:ascii="Times New Roman" w:hAnsi="Times New Roman" w:cs="Times New Roman"/>
                <w:sz w:val="24"/>
              </w:rPr>
              <w:t>.</w:t>
            </w:r>
          </w:p>
          <w:p w14:paraId="17723425" w14:textId="4CA6C755" w:rsidR="00900E99" w:rsidRPr="00166E0C" w:rsidRDefault="00900E99" w:rsidP="5A0D947F">
            <w:pPr>
              <w:spacing w:after="120"/>
              <w:jc w:val="both"/>
              <w:rPr>
                <w:rFonts w:ascii="Times New Roman" w:hAnsi="Times New Roman" w:cs="Times New Roman"/>
                <w:sz w:val="24"/>
              </w:rPr>
            </w:pPr>
            <w:r w:rsidRPr="00166E0C">
              <w:rPr>
                <w:rFonts w:ascii="Times New Roman" w:hAnsi="Times New Roman" w:cs="Times New Roman"/>
                <w:sz w:val="24"/>
              </w:rPr>
              <w:t xml:space="preserve">In this row they are also disclosed </w:t>
            </w:r>
            <w:r w:rsidRPr="00166E0C">
              <w:rPr>
                <w:rFonts w:ascii="Times New Roman" w:eastAsiaTheme="minorHAnsi" w:hAnsi="Times New Roman" w:cs="Times New Roman"/>
                <w:sz w:val="24"/>
              </w:rPr>
              <w:t>other exposures secured by mortgages on commercial immovable property- IPRE that do not meet the conditions in Article 124(3)</w:t>
            </w:r>
            <w:r w:rsidR="00790935" w:rsidRPr="00166E0C">
              <w:rPr>
                <w:rFonts w:ascii="Times New Roman" w:eastAsiaTheme="minorHAnsi" w:hAnsi="Times New Roman" w:cs="Times New Roman"/>
                <w:sz w:val="24"/>
              </w:rPr>
              <w:t xml:space="preserve"> or any part of a non</w:t>
            </w:r>
            <w:r w:rsidR="00B42423">
              <w:rPr>
                <w:rFonts w:ascii="Times New Roman" w:eastAsiaTheme="minorHAnsi" w:hAnsi="Times New Roman" w:cs="Times New Roman"/>
                <w:sz w:val="24"/>
              </w:rPr>
              <w:t>-ADC</w:t>
            </w:r>
            <w:r w:rsidR="00790935" w:rsidRPr="00166E0C">
              <w:rPr>
                <w:rFonts w:ascii="Times New Roman" w:eastAsiaTheme="minorHAnsi" w:hAnsi="Times New Roman" w:cs="Times New Roman"/>
                <w:sz w:val="24"/>
              </w:rPr>
              <w:t xml:space="preserve"> exposure that exceeds the nominal amount of the lien of the property</w:t>
            </w:r>
            <w:r w:rsidRPr="00166E0C">
              <w:rPr>
                <w:rFonts w:ascii="Times New Roman" w:eastAsiaTheme="minorHAnsi" w:hAnsi="Times New Roman" w:cs="Times New Roman"/>
                <w:sz w:val="24"/>
              </w:rPr>
              <w:t>, referred to in Article 124(1), point (b) of Regulation (EU) No 575/2013.</w:t>
            </w:r>
          </w:p>
        </w:tc>
      </w:tr>
      <w:tr w:rsidR="00395831" w:rsidRPr="00BC439A" w14:paraId="49538D8A" w14:textId="77777777" w:rsidTr="00FB64CF">
        <w:trPr>
          <w:trHeight w:val="699"/>
        </w:trPr>
        <w:tc>
          <w:tcPr>
            <w:tcW w:w="1413" w:type="dxa"/>
            <w:shd w:val="clear" w:color="auto" w:fill="D9D9D9" w:themeFill="background1" w:themeFillShade="D9"/>
          </w:tcPr>
          <w:p w14:paraId="63BD0DD8" w14:textId="72A0B6E9" w:rsidR="00395831" w:rsidRPr="00BC439A" w:rsidRDefault="00395831" w:rsidP="00535F36">
            <w:pPr>
              <w:autoSpaceDE w:val="0"/>
              <w:autoSpaceDN w:val="0"/>
              <w:adjustRightInd w:val="0"/>
              <w:spacing w:after="120"/>
              <w:jc w:val="both"/>
              <w:rPr>
                <w:rFonts w:ascii="Times New Roman" w:eastAsia="Times New Roman" w:hAnsi="Times New Roman" w:cs="Times New Roman"/>
                <w:sz w:val="24"/>
              </w:rPr>
            </w:pPr>
            <w:r>
              <w:rPr>
                <w:rFonts w:ascii="Times New Roman" w:eastAsia="Times New Roman" w:hAnsi="Times New Roman" w:cs="Times New Roman"/>
                <w:sz w:val="24"/>
              </w:rPr>
              <w:t>11</w:t>
            </w:r>
          </w:p>
        </w:tc>
        <w:tc>
          <w:tcPr>
            <w:tcW w:w="7654" w:type="dxa"/>
            <w:shd w:val="clear" w:color="auto" w:fill="D9D9D9" w:themeFill="background1" w:themeFillShade="D9"/>
          </w:tcPr>
          <w:p w14:paraId="66C90862" w14:textId="75D35FB5" w:rsidR="00395831" w:rsidRPr="00BC439A" w:rsidRDefault="00395831" w:rsidP="5A0D947F">
            <w:pPr>
              <w:spacing w:after="120"/>
              <w:jc w:val="both"/>
              <w:rPr>
                <w:rFonts w:ascii="Times New Roman" w:hAnsi="Times New Roman" w:cs="Times New Roman"/>
                <w:sz w:val="24"/>
              </w:rPr>
            </w:pPr>
            <w:r>
              <w:rPr>
                <w:rFonts w:ascii="Times New Roman" w:eastAsiaTheme="minorHAnsi" w:hAnsi="Times New Roman" w:cs="Times New Roman"/>
                <w:sz w:val="24"/>
              </w:rPr>
              <w:t>Not Applicable</w:t>
            </w:r>
          </w:p>
        </w:tc>
      </w:tr>
      <w:tr w:rsidR="00395831" w:rsidRPr="00BC439A" w14:paraId="55E3893A" w14:textId="77777777" w:rsidTr="5A0D947F">
        <w:trPr>
          <w:trHeight w:val="558"/>
        </w:trPr>
        <w:tc>
          <w:tcPr>
            <w:tcW w:w="1413" w:type="dxa"/>
          </w:tcPr>
          <w:p w14:paraId="662AB193" w14:textId="4746E76F" w:rsidR="00395831" w:rsidRPr="00166E0C" w:rsidRDefault="00395831">
            <w:pPr>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12</w:t>
            </w:r>
          </w:p>
        </w:tc>
        <w:tc>
          <w:tcPr>
            <w:tcW w:w="7654" w:type="dxa"/>
          </w:tcPr>
          <w:p w14:paraId="132C0D24" w14:textId="77777777" w:rsidR="00395831" w:rsidRPr="00FB64CF" w:rsidRDefault="00395831" w:rsidP="00926A01">
            <w:pPr>
              <w:spacing w:after="120"/>
              <w:jc w:val="both"/>
              <w:rPr>
                <w:rFonts w:ascii="Times New Roman" w:hAnsi="Times New Roman" w:cs="Times New Roman"/>
                <w:b/>
                <w:bCs/>
                <w:sz w:val="24"/>
              </w:rPr>
            </w:pPr>
            <w:r w:rsidRPr="00FB64CF" w:rsidDel="00B42423">
              <w:rPr>
                <w:rFonts w:ascii="Times New Roman" w:hAnsi="Times New Roman" w:cs="Times New Roman"/>
                <w:b/>
                <w:bCs/>
                <w:sz w:val="24"/>
              </w:rPr>
              <w:t>“</w:t>
            </w:r>
            <w:r w:rsidRPr="00FB64CF">
              <w:rPr>
                <w:rFonts w:ascii="Times New Roman" w:hAnsi="Times New Roman" w:cs="Times New Roman"/>
                <w:b/>
                <w:bCs/>
                <w:sz w:val="24"/>
              </w:rPr>
              <w:t>Total</w:t>
            </w:r>
            <w:r w:rsidRPr="00FB64CF" w:rsidDel="00B42423">
              <w:rPr>
                <w:rFonts w:ascii="Times New Roman" w:hAnsi="Times New Roman" w:cs="Times New Roman"/>
                <w:b/>
                <w:bCs/>
                <w:sz w:val="24"/>
              </w:rPr>
              <w:t>”</w:t>
            </w:r>
            <w:r w:rsidRPr="00FB64CF">
              <w:rPr>
                <w:rFonts w:ascii="Times New Roman" w:hAnsi="Times New Roman" w:cs="Times New Roman"/>
                <w:b/>
                <w:bCs/>
                <w:sz w:val="24"/>
              </w:rPr>
              <w:t xml:space="preserve"> </w:t>
            </w:r>
          </w:p>
          <w:p w14:paraId="55987C40" w14:textId="74538114" w:rsidR="00395831" w:rsidRPr="00BC439A" w:rsidRDefault="00395831" w:rsidP="5A0D947F">
            <w:pPr>
              <w:spacing w:after="120"/>
              <w:jc w:val="both"/>
              <w:rPr>
                <w:rFonts w:ascii="Times New Roman" w:hAnsi="Times New Roman" w:cs="Times New Roman"/>
                <w:sz w:val="24"/>
              </w:rPr>
            </w:pPr>
            <w:r>
              <w:rPr>
                <w:rFonts w:ascii="Times New Roman" w:hAnsi="Times New Roman" w:cs="Times New Roman"/>
                <w:sz w:val="24"/>
              </w:rPr>
              <w:t>S</w:t>
            </w:r>
            <w:r w:rsidRPr="00BC439A">
              <w:rPr>
                <w:rFonts w:ascii="Times New Roman" w:hAnsi="Times New Roman" w:cs="Times New Roman"/>
                <w:sz w:val="24"/>
              </w:rPr>
              <w:t>um of exposures in rows 1, 2, 3, EU 3a, 4, 5, 6, 7, 8, 9, 10, EU 10a, EU 10b, EU 10c above</w:t>
            </w:r>
            <w:r>
              <w:rPr>
                <w:rFonts w:ascii="Times New Roman" w:hAnsi="Times New Roman" w:cs="Times New Roman"/>
                <w:sz w:val="24"/>
              </w:rPr>
              <w:t>.</w:t>
            </w:r>
          </w:p>
        </w:tc>
      </w:tr>
    </w:tbl>
    <w:p w14:paraId="137E3992" w14:textId="77777777" w:rsidR="0005278F" w:rsidRPr="00BC439A" w:rsidRDefault="0005278F" w:rsidP="0005278F">
      <w:pPr>
        <w:spacing w:after="120"/>
        <w:rPr>
          <w:rFonts w:ascii="Times New Roman" w:hAnsi="Times New Roman" w:cs="Times New Roman"/>
          <w:sz w:val="24"/>
        </w:rPr>
      </w:pPr>
    </w:p>
    <w:p w14:paraId="137E3993" w14:textId="77777777" w:rsidR="0005278F" w:rsidRPr="00BC439A" w:rsidRDefault="0005278F" w:rsidP="0005278F">
      <w:pPr>
        <w:spacing w:after="120"/>
        <w:rPr>
          <w:rFonts w:ascii="Times New Roman" w:hAnsi="Times New Roman" w:cs="Times New Roman"/>
          <w:sz w:val="24"/>
        </w:rPr>
      </w:pPr>
      <w:r w:rsidRPr="00BC439A">
        <w:rPr>
          <w:rFonts w:ascii="Times New Roman" w:hAnsi="Times New Roman" w:cs="Times New Roman"/>
          <w:b/>
          <w:sz w:val="24"/>
        </w:rPr>
        <w:t>Template EU CR5 – Standardised approach</w:t>
      </w:r>
      <w:r w:rsidRPr="00BC439A">
        <w:rPr>
          <w:rFonts w:ascii="Times New Roman" w:hAnsi="Times New Roman" w:cs="Times New Roman"/>
          <w:sz w:val="24"/>
        </w:rPr>
        <w:t>. Fixed format</w:t>
      </w:r>
    </w:p>
    <w:p w14:paraId="137E3994" w14:textId="0AE68309" w:rsidR="0005278F" w:rsidRPr="00BC439A" w:rsidRDefault="0005278F" w:rsidP="5A0D947F">
      <w:pPr>
        <w:pStyle w:val="ListParagraph"/>
        <w:numPr>
          <w:ilvl w:val="0"/>
          <w:numId w:val="1"/>
        </w:numPr>
        <w:spacing w:after="120"/>
        <w:ind w:left="425" w:hanging="357"/>
        <w:jc w:val="both"/>
        <w:rPr>
          <w:rFonts w:ascii="Times New Roman" w:hAnsi="Times New Roman"/>
          <w:sz w:val="24"/>
          <w:szCs w:val="24"/>
        </w:rPr>
      </w:pPr>
      <w:r w:rsidRPr="00BC439A">
        <w:rPr>
          <w:rFonts w:ascii="Times New Roman" w:hAnsi="Times New Roman"/>
          <w:sz w:val="24"/>
          <w:szCs w:val="24"/>
        </w:rPr>
        <w:t>Institutions shall disclose the information referred to in Article 444</w:t>
      </w:r>
      <w:r w:rsidR="4FA64758" w:rsidRPr="00BC439A">
        <w:rPr>
          <w:rFonts w:ascii="Times New Roman" w:hAnsi="Times New Roman"/>
          <w:sz w:val="24"/>
          <w:szCs w:val="24"/>
        </w:rPr>
        <w:t xml:space="preserve">, </w:t>
      </w:r>
      <w:r w:rsidR="2D3AB304" w:rsidRPr="00BC439A">
        <w:rPr>
          <w:rFonts w:ascii="Times New Roman" w:hAnsi="Times New Roman"/>
          <w:sz w:val="24"/>
          <w:szCs w:val="24"/>
        </w:rPr>
        <w:t xml:space="preserve">point (e) of </w:t>
      </w:r>
      <w:r w:rsidR="5FACC789" w:rsidRPr="00BC439A">
        <w:rPr>
          <w:rFonts w:ascii="Times New Roman" w:eastAsia="Times New Roman" w:hAnsi="Times New Roman"/>
          <w:color w:val="000000" w:themeColor="text1"/>
          <w:sz w:val="24"/>
          <w:szCs w:val="24"/>
        </w:rPr>
        <w:t>Regulation (EU) No 575/2013</w:t>
      </w:r>
      <w:r w:rsidR="5FACC789" w:rsidRPr="00BC439A">
        <w:rPr>
          <w:rFonts w:ascii="Times New Roman" w:hAnsi="Times New Roman"/>
        </w:rPr>
        <w:t xml:space="preserve"> </w:t>
      </w:r>
      <w:r w:rsidRPr="00BC439A">
        <w:rPr>
          <w:rFonts w:ascii="Times New Roman" w:hAnsi="Times New Roman"/>
          <w:sz w:val="24"/>
          <w:szCs w:val="24"/>
        </w:rPr>
        <w:t xml:space="preserve">by following the instructions provided below in this Annex to complete template EU CR5 which is presented in Annex XIX </w:t>
      </w:r>
      <w:r w:rsidR="00241526">
        <w:rPr>
          <w:rFonts w:ascii="Times New Roman" w:hAnsi="Times New Roman"/>
          <w:sz w:val="24"/>
        </w:rPr>
        <w:t>of the EBA IT solutions</w:t>
      </w:r>
      <w:r w:rsidRPr="00BC439A">
        <w:rPr>
          <w:rFonts w:ascii="Times New Roman" w:hAnsi="Times New Roman"/>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654"/>
      </w:tblGrid>
      <w:tr w:rsidR="0005278F" w:rsidRPr="00BC439A" w14:paraId="137E3997" w14:textId="77777777" w:rsidTr="5A0D947F">
        <w:trPr>
          <w:trHeight w:val="278"/>
        </w:trPr>
        <w:tc>
          <w:tcPr>
            <w:tcW w:w="1413" w:type="dxa"/>
            <w:vMerge w:val="restart"/>
            <w:tcBorders>
              <w:top w:val="single" w:sz="4" w:space="0" w:color="auto"/>
              <w:left w:val="single" w:sz="4" w:space="0" w:color="auto"/>
              <w:right w:val="single" w:sz="4" w:space="0" w:color="auto"/>
            </w:tcBorders>
            <w:shd w:val="clear" w:color="auto" w:fill="D9D9D9" w:themeFill="background1" w:themeFillShade="D9"/>
          </w:tcPr>
          <w:p w14:paraId="137E3995" w14:textId="77777777" w:rsidR="0005278F" w:rsidRPr="00BC439A" w:rsidRDefault="0005278F" w:rsidP="004F3087">
            <w:pPr>
              <w:autoSpaceDE w:val="0"/>
              <w:autoSpaceDN w:val="0"/>
              <w:adjustRightInd w:val="0"/>
              <w:spacing w:after="120"/>
              <w:rPr>
                <w:rFonts w:ascii="Times New Roman" w:hAnsi="Times New Roman" w:cs="Times New Roman"/>
                <w:b/>
                <w:sz w:val="24"/>
              </w:rPr>
            </w:pPr>
            <w:r w:rsidRPr="00BC439A">
              <w:rPr>
                <w:rFonts w:ascii="Times New Roman" w:hAnsi="Times New Roman" w:cs="Times New Roman"/>
                <w:b/>
                <w:sz w:val="24"/>
              </w:rPr>
              <w:t>Column reference</w:t>
            </w:r>
          </w:p>
        </w:tc>
        <w:tc>
          <w:tcPr>
            <w:tcW w:w="7654" w:type="dxa"/>
            <w:tcBorders>
              <w:top w:val="single" w:sz="4" w:space="0" w:color="auto"/>
              <w:left w:val="single" w:sz="4" w:space="0" w:color="auto"/>
              <w:right w:val="single" w:sz="4" w:space="0" w:color="auto"/>
            </w:tcBorders>
            <w:shd w:val="clear" w:color="auto" w:fill="D9D9D9" w:themeFill="background1" w:themeFillShade="D9"/>
          </w:tcPr>
          <w:p w14:paraId="137E3996" w14:textId="77777777" w:rsidR="0005278F" w:rsidRPr="00BC439A" w:rsidRDefault="0005278F" w:rsidP="004F3087">
            <w:pPr>
              <w:spacing w:after="120"/>
              <w:rPr>
                <w:rFonts w:ascii="Times New Roman" w:hAnsi="Times New Roman" w:cs="Times New Roman"/>
                <w:b/>
                <w:sz w:val="24"/>
              </w:rPr>
            </w:pPr>
            <w:r w:rsidRPr="00BC439A">
              <w:rPr>
                <w:rFonts w:ascii="Times New Roman" w:hAnsi="Times New Roman" w:cs="Times New Roman"/>
                <w:b/>
                <w:sz w:val="24"/>
              </w:rPr>
              <w:t>Legal references and instructions</w:t>
            </w:r>
          </w:p>
        </w:tc>
      </w:tr>
      <w:tr w:rsidR="0005278F" w:rsidRPr="00BC439A" w14:paraId="137E399A" w14:textId="77777777" w:rsidTr="5A0D947F">
        <w:trPr>
          <w:trHeight w:val="277"/>
        </w:trPr>
        <w:tc>
          <w:tcPr>
            <w:tcW w:w="1413" w:type="dxa"/>
            <w:vMerge/>
          </w:tcPr>
          <w:p w14:paraId="137E3998" w14:textId="77777777" w:rsidR="0005278F" w:rsidRPr="00BC439A" w:rsidRDefault="0005278F" w:rsidP="004F3087">
            <w:pPr>
              <w:autoSpaceDE w:val="0"/>
              <w:autoSpaceDN w:val="0"/>
              <w:adjustRightInd w:val="0"/>
              <w:spacing w:after="120"/>
              <w:rPr>
                <w:rFonts w:ascii="Times New Roman" w:hAnsi="Times New Roman" w:cs="Times New Roman"/>
                <w:b/>
                <w:sz w:val="24"/>
              </w:rPr>
            </w:pPr>
          </w:p>
        </w:tc>
        <w:tc>
          <w:tcPr>
            <w:tcW w:w="7654" w:type="dxa"/>
            <w:tcBorders>
              <w:top w:val="single" w:sz="4" w:space="0" w:color="auto"/>
              <w:left w:val="single" w:sz="4" w:space="0" w:color="auto"/>
              <w:right w:val="single" w:sz="4" w:space="0" w:color="auto"/>
            </w:tcBorders>
            <w:shd w:val="clear" w:color="auto" w:fill="D9D9D9" w:themeFill="background1" w:themeFillShade="D9"/>
          </w:tcPr>
          <w:p w14:paraId="137E3999" w14:textId="77777777" w:rsidR="0005278F" w:rsidRPr="00BC439A" w:rsidRDefault="0005278F" w:rsidP="004F3087">
            <w:pPr>
              <w:spacing w:after="120"/>
              <w:rPr>
                <w:rFonts w:ascii="Times New Roman" w:hAnsi="Times New Roman" w:cs="Times New Roman"/>
                <w:b/>
                <w:sz w:val="24"/>
              </w:rPr>
            </w:pPr>
            <w:r w:rsidRPr="00BC439A">
              <w:rPr>
                <w:rFonts w:ascii="Times New Roman" w:hAnsi="Times New Roman" w:cs="Times New Roman"/>
                <w:b/>
                <w:sz w:val="24"/>
              </w:rPr>
              <w:t>Explanation</w:t>
            </w:r>
          </w:p>
        </w:tc>
      </w:tr>
      <w:tr w:rsidR="0005278F" w:rsidRPr="00BC439A" w14:paraId="137E399E" w14:textId="77777777" w:rsidTr="5A0D947F">
        <w:trPr>
          <w:trHeight w:val="316"/>
        </w:trPr>
        <w:tc>
          <w:tcPr>
            <w:tcW w:w="1413" w:type="dxa"/>
            <w:vAlign w:val="center"/>
          </w:tcPr>
          <w:p w14:paraId="137E399B" w14:textId="22A2BDCD" w:rsidR="0005278F" w:rsidRPr="00BC439A" w:rsidRDefault="0005278F" w:rsidP="004F3087">
            <w:pPr>
              <w:autoSpaceDE w:val="0"/>
              <w:autoSpaceDN w:val="0"/>
              <w:adjustRightInd w:val="0"/>
              <w:spacing w:after="120"/>
              <w:rPr>
                <w:rFonts w:ascii="Times New Roman" w:eastAsia="Times New Roman" w:hAnsi="Times New Roman" w:cs="Times New Roman"/>
                <w:sz w:val="24"/>
              </w:rPr>
            </w:pPr>
            <w:r w:rsidRPr="00BC439A">
              <w:rPr>
                <w:rFonts w:ascii="Times New Roman" w:eastAsia="Times New Roman" w:hAnsi="Times New Roman" w:cs="Times New Roman"/>
                <w:sz w:val="24"/>
              </w:rPr>
              <w:t xml:space="preserve">a - </w:t>
            </w:r>
            <w:r w:rsidR="00D15E9B" w:rsidRPr="00BC439A">
              <w:rPr>
                <w:rFonts w:ascii="Times New Roman" w:eastAsia="Times New Roman" w:hAnsi="Times New Roman" w:cs="Times New Roman"/>
                <w:sz w:val="24"/>
              </w:rPr>
              <w:t>y</w:t>
            </w:r>
          </w:p>
        </w:tc>
        <w:tc>
          <w:tcPr>
            <w:tcW w:w="7654" w:type="dxa"/>
          </w:tcPr>
          <w:p w14:paraId="137E399C" w14:textId="77777777" w:rsidR="0005278F" w:rsidRPr="00BC439A" w:rsidRDefault="0005278F" w:rsidP="004F3087">
            <w:pPr>
              <w:autoSpaceDE w:val="0"/>
              <w:autoSpaceDN w:val="0"/>
              <w:adjustRightInd w:val="0"/>
              <w:spacing w:after="120"/>
              <w:jc w:val="both"/>
              <w:rPr>
                <w:rFonts w:ascii="Times New Roman" w:eastAsia="Times New Roman" w:hAnsi="Times New Roman" w:cs="Times New Roman"/>
                <w:b/>
                <w:iCs/>
                <w:sz w:val="24"/>
              </w:rPr>
            </w:pPr>
            <w:r w:rsidRPr="00BC439A">
              <w:rPr>
                <w:rFonts w:ascii="Times New Roman" w:eastAsia="Times New Roman" w:hAnsi="Times New Roman" w:cs="Times New Roman"/>
                <w:b/>
                <w:iCs/>
                <w:sz w:val="24"/>
              </w:rPr>
              <w:t xml:space="preserve">Risk weight: </w:t>
            </w:r>
          </w:p>
          <w:p w14:paraId="137E399D" w14:textId="6FB71B4F" w:rsidR="0005278F" w:rsidRPr="00BC439A" w:rsidRDefault="0005278F" w:rsidP="004F3087">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iCs/>
                <w:sz w:val="24"/>
              </w:rPr>
              <w:t>Institutions shall disclose the information on the allocation of risk weights within the respective exposure class according to Section 2 of Chapter 2 of Title II of Part Three</w:t>
            </w:r>
            <w:r w:rsidR="005A70FA">
              <w:rPr>
                <w:rFonts w:ascii="Times New Roman" w:eastAsia="Times New Roman" w:hAnsi="Times New Roman" w:cs="Times New Roman"/>
                <w:iCs/>
                <w:sz w:val="24"/>
              </w:rPr>
              <w:t xml:space="preserve"> of</w:t>
            </w:r>
            <w:r w:rsidRPr="00BC439A">
              <w:rPr>
                <w:rFonts w:ascii="Times New Roman" w:eastAsia="Times New Roman" w:hAnsi="Times New Roman" w:cs="Times New Roman"/>
                <w:iCs/>
                <w:sz w:val="24"/>
              </w:rPr>
              <w:t xml:space="preserve"> </w:t>
            </w:r>
            <w:r w:rsidR="005A70FA" w:rsidRPr="00BC439A">
              <w:rPr>
                <w:rFonts w:ascii="Times New Roman" w:eastAsia="Times New Roman" w:hAnsi="Times New Roman"/>
                <w:color w:val="000000" w:themeColor="text1"/>
                <w:sz w:val="24"/>
              </w:rPr>
              <w:t>Regulation (EU) No 575/2013</w:t>
            </w:r>
            <w:r w:rsidRPr="00BC439A">
              <w:rPr>
                <w:rFonts w:ascii="Times New Roman" w:eastAsia="Times New Roman" w:hAnsi="Times New Roman" w:cs="Times New Roman"/>
                <w:iCs/>
                <w:sz w:val="24"/>
              </w:rPr>
              <w:t>.</w:t>
            </w:r>
          </w:p>
        </w:tc>
      </w:tr>
      <w:tr w:rsidR="0005278F" w:rsidRPr="00BC439A" w14:paraId="137E39A5" w14:textId="77777777" w:rsidTr="5A0D947F">
        <w:trPr>
          <w:trHeight w:val="316"/>
        </w:trPr>
        <w:tc>
          <w:tcPr>
            <w:tcW w:w="1413" w:type="dxa"/>
            <w:vAlign w:val="center"/>
          </w:tcPr>
          <w:p w14:paraId="137E399F" w14:textId="58582E93" w:rsidR="0005278F" w:rsidRPr="00BC439A" w:rsidRDefault="00AF4BEA" w:rsidP="004F3087">
            <w:pPr>
              <w:autoSpaceDE w:val="0"/>
              <w:autoSpaceDN w:val="0"/>
              <w:adjustRightInd w:val="0"/>
              <w:spacing w:after="120"/>
              <w:rPr>
                <w:rFonts w:ascii="Times New Roman" w:eastAsia="Times New Roman" w:hAnsi="Times New Roman" w:cs="Times New Roman"/>
                <w:sz w:val="24"/>
              </w:rPr>
            </w:pPr>
            <w:r w:rsidRPr="00BC439A">
              <w:rPr>
                <w:rFonts w:ascii="Times New Roman" w:eastAsia="Times New Roman" w:hAnsi="Times New Roman" w:cs="Times New Roman"/>
                <w:sz w:val="24"/>
              </w:rPr>
              <w:lastRenderedPageBreak/>
              <w:t>z</w:t>
            </w:r>
          </w:p>
        </w:tc>
        <w:tc>
          <w:tcPr>
            <w:tcW w:w="7654" w:type="dxa"/>
          </w:tcPr>
          <w:p w14:paraId="137E39A0" w14:textId="77777777" w:rsidR="0005278F" w:rsidRPr="00BC439A" w:rsidRDefault="0005278F" w:rsidP="004F3087">
            <w:pPr>
              <w:autoSpaceDE w:val="0"/>
              <w:autoSpaceDN w:val="0"/>
              <w:adjustRightInd w:val="0"/>
              <w:spacing w:after="120"/>
              <w:jc w:val="both"/>
              <w:rPr>
                <w:rFonts w:ascii="Times New Roman" w:eastAsia="Times New Roman" w:hAnsi="Times New Roman" w:cs="Times New Roman"/>
                <w:b/>
                <w:iCs/>
                <w:sz w:val="24"/>
              </w:rPr>
            </w:pPr>
            <w:r w:rsidRPr="00BC439A">
              <w:rPr>
                <w:rFonts w:ascii="Times New Roman" w:eastAsia="Times New Roman" w:hAnsi="Times New Roman" w:cs="Times New Roman"/>
                <w:b/>
                <w:iCs/>
                <w:sz w:val="24"/>
              </w:rPr>
              <w:t xml:space="preserve">Total: </w:t>
            </w:r>
          </w:p>
          <w:p w14:paraId="137E39A1" w14:textId="77777777" w:rsidR="0005278F" w:rsidRPr="00BC439A" w:rsidRDefault="0005278F" w:rsidP="004F3087">
            <w:pPr>
              <w:autoSpaceDE w:val="0"/>
              <w:autoSpaceDN w:val="0"/>
              <w:adjustRightInd w:val="0"/>
              <w:spacing w:after="120"/>
              <w:jc w:val="both"/>
              <w:rPr>
                <w:rFonts w:ascii="Times New Roman" w:eastAsia="Times New Roman" w:hAnsi="Times New Roman" w:cs="Times New Roman"/>
                <w:iCs/>
                <w:sz w:val="24"/>
              </w:rPr>
            </w:pPr>
            <w:r w:rsidRPr="00BC439A">
              <w:rPr>
                <w:rFonts w:ascii="Times New Roman" w:eastAsia="Times New Roman" w:hAnsi="Times New Roman" w:cs="Times New Roman"/>
                <w:iCs/>
                <w:sz w:val="24"/>
              </w:rPr>
              <w:t xml:space="preserve">Total amount of on-balance-sheet and off-balance-sheet exposures under the scope of prudential consolidation: </w:t>
            </w:r>
          </w:p>
          <w:p w14:paraId="137E39A2" w14:textId="6B6AE66E" w:rsidR="0005278F" w:rsidRPr="00BC439A" w:rsidRDefault="0005278F" w:rsidP="5A0D947F">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 xml:space="preserve">- after specific credit risk adjustments in accordance with Article 110 </w:t>
            </w:r>
            <w:r w:rsidR="75752FA8" w:rsidRPr="00BC439A">
              <w:rPr>
                <w:rFonts w:ascii="Times New Roman" w:eastAsia="Times New Roman" w:hAnsi="Times New Roman" w:cs="Times New Roman"/>
                <w:color w:val="000000" w:themeColor="text1"/>
                <w:sz w:val="24"/>
              </w:rPr>
              <w:t xml:space="preserve"> Regulation (EU) No 575/2013</w:t>
            </w:r>
            <w:r w:rsidRPr="00BC439A">
              <w:rPr>
                <w:rFonts w:ascii="Times New Roman" w:eastAsia="Times New Roman" w:hAnsi="Times New Roman" w:cs="Times New Roman"/>
                <w:sz w:val="24"/>
              </w:rPr>
              <w:t xml:space="preserve">, additional value adjustments in accordance with Articles 34 and 105 </w:t>
            </w:r>
            <w:r w:rsidR="214798D6" w:rsidRPr="00BC439A">
              <w:rPr>
                <w:rFonts w:ascii="Times New Roman" w:eastAsia="Times New Roman" w:hAnsi="Times New Roman" w:cs="Times New Roman"/>
                <w:color w:val="000000" w:themeColor="text1"/>
                <w:sz w:val="24"/>
              </w:rPr>
              <w:t xml:space="preserve"> Regulation (EU) No 575/2013</w:t>
            </w:r>
            <w:r w:rsidRPr="00BC439A">
              <w:rPr>
                <w:rFonts w:ascii="Times New Roman" w:eastAsia="Times New Roman" w:hAnsi="Times New Roman" w:cs="Times New Roman"/>
                <w:sz w:val="24"/>
              </w:rPr>
              <w:t>, deducted amounts in accordance with  Article 36(1)</w:t>
            </w:r>
            <w:r w:rsidR="4ADBD6E4" w:rsidRPr="00BC439A">
              <w:rPr>
                <w:rFonts w:ascii="Times New Roman" w:eastAsia="Times New Roman" w:hAnsi="Times New Roman" w:cs="Times New Roman"/>
                <w:sz w:val="24"/>
              </w:rPr>
              <w:t>, point (m) of</w:t>
            </w:r>
            <w:r w:rsidRPr="00BC439A">
              <w:rPr>
                <w:rFonts w:ascii="Times New Roman" w:eastAsia="Times New Roman" w:hAnsi="Times New Roman" w:cs="Times New Roman"/>
                <w:sz w:val="24"/>
              </w:rPr>
              <w:t xml:space="preserve"> </w:t>
            </w:r>
            <w:r w:rsidR="27DB4511" w:rsidRPr="00BC439A">
              <w:rPr>
                <w:rFonts w:ascii="Times New Roman" w:eastAsia="Times New Roman" w:hAnsi="Times New Roman" w:cs="Times New Roman"/>
                <w:color w:val="000000" w:themeColor="text1"/>
                <w:sz w:val="24"/>
              </w:rPr>
              <w:t xml:space="preserve"> Regulation (EU) No 575/2013</w:t>
            </w:r>
            <w:r w:rsidRPr="00BC439A">
              <w:rPr>
                <w:rFonts w:ascii="Times New Roman" w:eastAsia="Times New Roman" w:hAnsi="Times New Roman" w:cs="Times New Roman"/>
                <w:sz w:val="24"/>
              </w:rPr>
              <w:t xml:space="preserve">, other own funds reductions and write-offs (as defined in the applicable accounting framework) for on-balance-sheet exposures, in accordance with Article 111 </w:t>
            </w:r>
            <w:r w:rsidR="4A8AE56E" w:rsidRPr="00BC439A">
              <w:rPr>
                <w:rFonts w:ascii="Times New Roman" w:eastAsia="Times New Roman" w:hAnsi="Times New Roman" w:cs="Times New Roman"/>
                <w:color w:val="000000" w:themeColor="text1"/>
                <w:sz w:val="24"/>
              </w:rPr>
              <w:t xml:space="preserve"> Regulation (EU) No 575/2013</w:t>
            </w:r>
            <w:r w:rsidRPr="00BC439A">
              <w:rPr>
                <w:rFonts w:ascii="Times New Roman" w:eastAsia="Times New Roman" w:hAnsi="Times New Roman" w:cs="Times New Roman"/>
                <w:sz w:val="24"/>
              </w:rPr>
              <w:t>;</w:t>
            </w:r>
          </w:p>
          <w:p w14:paraId="137E39A3" w14:textId="5D0C5323" w:rsidR="0005278F" w:rsidRPr="00BC439A" w:rsidRDefault="0005278F" w:rsidP="5A0D947F">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 after reduction of specific credit risk adjustments and deducted amounts in accordance with Article 36(1)</w:t>
            </w:r>
            <w:r w:rsidR="323321B0" w:rsidRPr="00BC439A">
              <w:rPr>
                <w:rFonts w:ascii="Times New Roman" w:eastAsia="Times New Roman" w:hAnsi="Times New Roman" w:cs="Times New Roman"/>
                <w:sz w:val="24"/>
              </w:rPr>
              <w:t>,</w:t>
            </w:r>
            <w:r w:rsidRPr="00BC439A">
              <w:rPr>
                <w:rFonts w:ascii="Times New Roman" w:eastAsia="Times New Roman" w:hAnsi="Times New Roman" w:cs="Times New Roman"/>
                <w:sz w:val="24"/>
              </w:rPr>
              <w:t xml:space="preserve"> </w:t>
            </w:r>
            <w:r w:rsidR="6614325F" w:rsidRPr="00BC439A">
              <w:rPr>
                <w:rFonts w:ascii="Times New Roman" w:eastAsia="Times New Roman" w:hAnsi="Times New Roman" w:cs="Times New Roman"/>
                <w:sz w:val="24"/>
              </w:rPr>
              <w:t xml:space="preserve">point (m) of </w:t>
            </w:r>
            <w:r w:rsidR="4AAAA1B5" w:rsidRPr="00BC439A">
              <w:rPr>
                <w:rFonts w:ascii="Times New Roman" w:eastAsia="Times New Roman" w:hAnsi="Times New Roman" w:cs="Times New Roman"/>
                <w:color w:val="000000" w:themeColor="text1"/>
                <w:sz w:val="24"/>
              </w:rPr>
              <w:t>Regulation (EU) No 575/2013</w:t>
            </w:r>
            <w:r w:rsidR="4AAAA1B5" w:rsidRPr="00BC439A">
              <w:rPr>
                <w:rFonts w:ascii="Times New Roman" w:eastAsia="Times New Roman" w:hAnsi="Times New Roman" w:cs="Times New Roman"/>
                <w:sz w:val="24"/>
              </w:rPr>
              <w:t xml:space="preserve"> </w:t>
            </w:r>
            <w:r w:rsidRPr="00BC439A">
              <w:rPr>
                <w:rFonts w:ascii="Times New Roman" w:eastAsia="Times New Roman" w:hAnsi="Times New Roman" w:cs="Times New Roman"/>
                <w:sz w:val="24"/>
              </w:rPr>
              <w:t>for off-balance-sheet exposures, in accordance with Article 111</w:t>
            </w:r>
            <w:r w:rsidR="00FB64CF">
              <w:rPr>
                <w:rFonts w:ascii="Times New Roman" w:eastAsia="Times New Roman" w:hAnsi="Times New Roman" w:cs="Times New Roman"/>
                <w:sz w:val="24"/>
              </w:rPr>
              <w:t>of</w:t>
            </w:r>
            <w:r w:rsidRPr="00BC439A">
              <w:rPr>
                <w:rFonts w:ascii="Times New Roman" w:eastAsia="Times New Roman" w:hAnsi="Times New Roman" w:cs="Times New Roman"/>
                <w:sz w:val="24"/>
              </w:rPr>
              <w:t xml:space="preserve"> </w:t>
            </w:r>
            <w:r w:rsidR="05B06C64" w:rsidRPr="00BC439A">
              <w:rPr>
                <w:rFonts w:ascii="Times New Roman" w:eastAsia="Times New Roman" w:hAnsi="Times New Roman" w:cs="Times New Roman"/>
                <w:color w:val="000000" w:themeColor="text1"/>
                <w:sz w:val="24"/>
              </w:rPr>
              <w:t xml:space="preserve">Regulation (EU) No </w:t>
            </w:r>
            <w:proofErr w:type="gramStart"/>
            <w:r w:rsidR="05B06C64" w:rsidRPr="00BC439A">
              <w:rPr>
                <w:rFonts w:ascii="Times New Roman" w:eastAsia="Times New Roman" w:hAnsi="Times New Roman" w:cs="Times New Roman"/>
                <w:color w:val="000000" w:themeColor="text1"/>
                <w:sz w:val="24"/>
              </w:rPr>
              <w:t>575/2013</w:t>
            </w:r>
            <w:r w:rsidRPr="00BC439A">
              <w:rPr>
                <w:rFonts w:ascii="Times New Roman" w:eastAsia="Times New Roman" w:hAnsi="Times New Roman" w:cs="Times New Roman"/>
                <w:sz w:val="24"/>
              </w:rPr>
              <w:t>;</w:t>
            </w:r>
            <w:proofErr w:type="gramEnd"/>
          </w:p>
          <w:p w14:paraId="137E39A4" w14:textId="77777777" w:rsidR="0005278F" w:rsidRPr="00BC439A" w:rsidRDefault="0005278F" w:rsidP="004F3087">
            <w:pPr>
              <w:autoSpaceDE w:val="0"/>
              <w:autoSpaceDN w:val="0"/>
              <w:adjustRightInd w:val="0"/>
              <w:spacing w:after="120"/>
              <w:jc w:val="both"/>
              <w:rPr>
                <w:rFonts w:ascii="Times New Roman" w:eastAsia="Times New Roman" w:hAnsi="Times New Roman" w:cs="Times New Roman"/>
                <w:iCs/>
                <w:sz w:val="24"/>
              </w:rPr>
            </w:pPr>
            <w:r w:rsidRPr="00BC439A">
              <w:rPr>
                <w:rFonts w:ascii="Times New Roman" w:eastAsia="Times New Roman" w:hAnsi="Times New Roman" w:cs="Times New Roman"/>
                <w:iCs/>
                <w:sz w:val="24"/>
              </w:rPr>
              <w:t xml:space="preserve">- after (i) the application of conversion factors as specified in the same Article and (ii) the application of CRM techniques specified in Chapter 4 of Title II of Part Three </w:t>
            </w:r>
            <w:r w:rsidRPr="00BC439A">
              <w:rPr>
                <w:rFonts w:ascii="Times New Roman" w:hAnsi="Times New Roman" w:cs="Times New Roman"/>
                <w:sz w:val="24"/>
              </w:rPr>
              <w:t>CRR for both on-balance-sheet and off-balance-sheet exposures</w:t>
            </w:r>
          </w:p>
        </w:tc>
      </w:tr>
      <w:tr w:rsidR="0005278F" w:rsidRPr="00BC439A" w14:paraId="137E39A9" w14:textId="77777777" w:rsidTr="5A0D947F">
        <w:trPr>
          <w:trHeight w:val="316"/>
        </w:trPr>
        <w:tc>
          <w:tcPr>
            <w:tcW w:w="1413" w:type="dxa"/>
            <w:vAlign w:val="center"/>
          </w:tcPr>
          <w:p w14:paraId="137E39A6" w14:textId="0F8A40D0" w:rsidR="0005278F" w:rsidRPr="00BC439A" w:rsidRDefault="00AF4BEA" w:rsidP="004F3087">
            <w:pPr>
              <w:autoSpaceDE w:val="0"/>
              <w:autoSpaceDN w:val="0"/>
              <w:adjustRightInd w:val="0"/>
              <w:spacing w:after="120"/>
              <w:rPr>
                <w:rFonts w:ascii="Times New Roman" w:eastAsia="Times New Roman" w:hAnsi="Times New Roman" w:cs="Times New Roman"/>
                <w:sz w:val="24"/>
              </w:rPr>
            </w:pPr>
            <w:r w:rsidRPr="00BC439A">
              <w:rPr>
                <w:rFonts w:ascii="Times New Roman" w:eastAsia="Times New Roman" w:hAnsi="Times New Roman" w:cs="Times New Roman"/>
                <w:sz w:val="24"/>
              </w:rPr>
              <w:t>aa</w:t>
            </w:r>
          </w:p>
        </w:tc>
        <w:tc>
          <w:tcPr>
            <w:tcW w:w="7654" w:type="dxa"/>
          </w:tcPr>
          <w:p w14:paraId="137E39A7" w14:textId="77777777" w:rsidR="0005278F" w:rsidRPr="00BC439A" w:rsidRDefault="0005278F" w:rsidP="004F3087">
            <w:pPr>
              <w:autoSpaceDE w:val="0"/>
              <w:autoSpaceDN w:val="0"/>
              <w:adjustRightInd w:val="0"/>
              <w:spacing w:after="120"/>
              <w:jc w:val="both"/>
              <w:rPr>
                <w:rFonts w:ascii="Times New Roman" w:eastAsia="Times New Roman" w:hAnsi="Times New Roman" w:cs="Times New Roman"/>
                <w:b/>
                <w:iCs/>
                <w:sz w:val="24"/>
              </w:rPr>
            </w:pPr>
            <w:r w:rsidRPr="00BC439A">
              <w:rPr>
                <w:rFonts w:ascii="Times New Roman" w:eastAsia="Times New Roman" w:hAnsi="Times New Roman" w:cs="Times New Roman"/>
                <w:b/>
                <w:iCs/>
                <w:sz w:val="24"/>
              </w:rPr>
              <w:t>Of which unrated:</w:t>
            </w:r>
          </w:p>
          <w:p w14:paraId="137E39A8" w14:textId="3CDE48FF" w:rsidR="0005278F" w:rsidRPr="00BC439A" w:rsidRDefault="0005278F" w:rsidP="5A0D947F">
            <w:pPr>
              <w:autoSpaceDE w:val="0"/>
              <w:autoSpaceDN w:val="0"/>
              <w:adjustRightInd w:val="0"/>
              <w:spacing w:after="120"/>
              <w:jc w:val="both"/>
              <w:rPr>
                <w:rFonts w:ascii="Times New Roman" w:eastAsia="Times New Roman" w:hAnsi="Times New Roman" w:cs="Times New Roman"/>
                <w:sz w:val="24"/>
              </w:rPr>
            </w:pPr>
            <w:r w:rsidRPr="00BC439A">
              <w:rPr>
                <w:rFonts w:ascii="Times New Roman" w:hAnsi="Times New Roman" w:cs="Times New Roman"/>
                <w:sz w:val="24"/>
              </w:rPr>
              <w:t>Exposures for which a credit assessment by a nominated ECAI is not available and that are applied specific risk weights depending on their exposure class, as specified in Article 113 to Article 134</w:t>
            </w:r>
            <w:r w:rsidR="00FB64CF">
              <w:rPr>
                <w:rFonts w:ascii="Times New Roman" w:hAnsi="Times New Roman" w:cs="Times New Roman"/>
                <w:sz w:val="24"/>
              </w:rPr>
              <w:t xml:space="preserve"> of</w:t>
            </w:r>
            <w:r w:rsidRPr="00BC439A">
              <w:rPr>
                <w:rFonts w:ascii="Times New Roman" w:hAnsi="Times New Roman" w:cs="Times New Roman"/>
                <w:sz w:val="24"/>
              </w:rPr>
              <w:t xml:space="preserve"> </w:t>
            </w:r>
            <w:r w:rsidR="2565C5B4" w:rsidRPr="00BC439A">
              <w:rPr>
                <w:rFonts w:ascii="Times New Roman" w:eastAsia="Times New Roman" w:hAnsi="Times New Roman" w:cs="Times New Roman"/>
                <w:color w:val="000000" w:themeColor="text1"/>
                <w:sz w:val="24"/>
              </w:rPr>
              <w:t>Regulation (EU) No 575/2013</w:t>
            </w:r>
            <w:r w:rsidR="00F26067">
              <w:rPr>
                <w:rFonts w:ascii="Times New Roman" w:eastAsia="Times New Roman" w:hAnsi="Times New Roman" w:cs="Times New Roman"/>
                <w:color w:val="000000" w:themeColor="text1"/>
                <w:sz w:val="24"/>
              </w:rPr>
              <w:t>.</w:t>
            </w:r>
          </w:p>
        </w:tc>
      </w:tr>
    </w:tbl>
    <w:p w14:paraId="137E39AA" w14:textId="44CC0DF7" w:rsidR="0005278F" w:rsidRPr="00BC439A" w:rsidRDefault="0005278F" w:rsidP="0005278F">
      <w:pPr>
        <w:spacing w:after="120"/>
        <w:rPr>
          <w:rFonts w:ascii="Times New Roman" w:hAnsi="Times New Roman" w:cs="Times New Roman"/>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654"/>
      </w:tblGrid>
      <w:tr w:rsidR="00535F36" w:rsidRPr="00BC439A" w14:paraId="49F9BEA4" w14:textId="77777777" w:rsidTr="5A0D947F">
        <w:trPr>
          <w:trHeight w:val="90"/>
        </w:trPr>
        <w:tc>
          <w:tcPr>
            <w:tcW w:w="1413" w:type="dxa"/>
            <w:vMerge w:val="restart"/>
            <w:tcBorders>
              <w:top w:val="single" w:sz="4" w:space="0" w:color="auto"/>
              <w:left w:val="single" w:sz="4" w:space="0" w:color="auto"/>
              <w:right w:val="single" w:sz="4" w:space="0" w:color="auto"/>
            </w:tcBorders>
            <w:shd w:val="clear" w:color="auto" w:fill="D9D9D9" w:themeFill="background1" w:themeFillShade="D9"/>
          </w:tcPr>
          <w:p w14:paraId="2E5C3199" w14:textId="397D99F3" w:rsidR="00535F36" w:rsidRPr="00BC439A" w:rsidRDefault="00535F36" w:rsidP="00A518F7">
            <w:pPr>
              <w:autoSpaceDE w:val="0"/>
              <w:autoSpaceDN w:val="0"/>
              <w:adjustRightInd w:val="0"/>
              <w:spacing w:after="120"/>
              <w:rPr>
                <w:rFonts w:ascii="Times New Roman" w:hAnsi="Times New Roman" w:cs="Times New Roman"/>
                <w:b/>
                <w:sz w:val="24"/>
              </w:rPr>
            </w:pPr>
            <w:r w:rsidRPr="00BC439A">
              <w:rPr>
                <w:rFonts w:ascii="Times New Roman" w:hAnsi="Times New Roman" w:cs="Times New Roman"/>
                <w:b/>
                <w:sz w:val="24"/>
              </w:rPr>
              <w:t>Row number</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78583" w14:textId="77777777" w:rsidR="00535F36" w:rsidRPr="00BC439A" w:rsidRDefault="00535F36" w:rsidP="00A518F7">
            <w:pPr>
              <w:spacing w:after="120"/>
              <w:rPr>
                <w:rFonts w:ascii="Times New Roman" w:hAnsi="Times New Roman" w:cs="Times New Roman"/>
                <w:b/>
                <w:sz w:val="24"/>
              </w:rPr>
            </w:pPr>
            <w:r w:rsidRPr="00BC439A">
              <w:rPr>
                <w:rFonts w:ascii="Times New Roman" w:hAnsi="Times New Roman" w:cs="Times New Roman"/>
                <w:b/>
                <w:sz w:val="24"/>
              </w:rPr>
              <w:t>Legal references and instructions</w:t>
            </w:r>
          </w:p>
        </w:tc>
      </w:tr>
      <w:tr w:rsidR="00535F36" w:rsidRPr="00BC439A" w14:paraId="37948471" w14:textId="77777777" w:rsidTr="5A0D947F">
        <w:trPr>
          <w:trHeight w:val="336"/>
        </w:trPr>
        <w:tc>
          <w:tcPr>
            <w:tcW w:w="1413" w:type="dxa"/>
            <w:vMerge/>
          </w:tcPr>
          <w:p w14:paraId="0D13816F" w14:textId="77777777" w:rsidR="00535F36" w:rsidRPr="00BC439A" w:rsidRDefault="00535F36" w:rsidP="00A518F7">
            <w:pPr>
              <w:autoSpaceDE w:val="0"/>
              <w:autoSpaceDN w:val="0"/>
              <w:adjustRightInd w:val="0"/>
              <w:spacing w:after="120"/>
              <w:rPr>
                <w:rFonts w:ascii="Times New Roman" w:hAnsi="Times New Roman" w:cs="Times New Roman"/>
                <w:b/>
                <w:sz w:val="24"/>
              </w:rPr>
            </w:pPr>
          </w:p>
        </w:tc>
        <w:tc>
          <w:tcPr>
            <w:tcW w:w="7654" w:type="dxa"/>
            <w:tcBorders>
              <w:left w:val="single" w:sz="4" w:space="0" w:color="auto"/>
            </w:tcBorders>
            <w:shd w:val="clear" w:color="auto" w:fill="D9D9D9" w:themeFill="background1" w:themeFillShade="D9"/>
          </w:tcPr>
          <w:p w14:paraId="4059295C" w14:textId="77777777" w:rsidR="00535F36" w:rsidRPr="00BC439A" w:rsidRDefault="00535F36" w:rsidP="00A518F7">
            <w:pPr>
              <w:autoSpaceDE w:val="0"/>
              <w:autoSpaceDN w:val="0"/>
              <w:adjustRightInd w:val="0"/>
              <w:spacing w:after="120"/>
              <w:rPr>
                <w:rFonts w:ascii="Times New Roman" w:hAnsi="Times New Roman" w:cs="Times New Roman"/>
                <w:color w:val="000000"/>
                <w:sz w:val="24"/>
              </w:rPr>
            </w:pPr>
            <w:r w:rsidRPr="00BC439A">
              <w:rPr>
                <w:rFonts w:ascii="Times New Roman" w:hAnsi="Times New Roman" w:cs="Times New Roman"/>
                <w:b/>
                <w:sz w:val="24"/>
              </w:rPr>
              <w:t>Explanation</w:t>
            </w:r>
          </w:p>
        </w:tc>
      </w:tr>
      <w:tr w:rsidR="00B731E6" w:rsidRPr="00BC439A" w14:paraId="633F9A94" w14:textId="77777777" w:rsidTr="5A0D947F">
        <w:trPr>
          <w:trHeight w:val="507"/>
        </w:trPr>
        <w:tc>
          <w:tcPr>
            <w:tcW w:w="1413" w:type="dxa"/>
            <w:shd w:val="clear" w:color="auto" w:fill="auto"/>
          </w:tcPr>
          <w:p w14:paraId="57A9AA9B" w14:textId="01045E65" w:rsidR="00B731E6" w:rsidRPr="00FB64CF" w:rsidRDefault="00B731E6" w:rsidP="00B731E6">
            <w:pPr>
              <w:autoSpaceDE w:val="0"/>
              <w:autoSpaceDN w:val="0"/>
              <w:adjustRightInd w:val="0"/>
              <w:spacing w:after="120"/>
              <w:jc w:val="both"/>
              <w:rPr>
                <w:rFonts w:ascii="Times New Roman" w:eastAsia="Times New Roman" w:hAnsi="Times New Roman" w:cs="Times New Roman"/>
                <w:sz w:val="24"/>
                <w:lang w:val="fr-FR"/>
              </w:rPr>
            </w:pPr>
            <w:r w:rsidRPr="00BC439A">
              <w:rPr>
                <w:rFonts w:ascii="Times New Roman" w:eastAsia="Times New Roman" w:hAnsi="Times New Roman" w:cs="Times New Roman"/>
                <w:sz w:val="24"/>
                <w:lang w:val="fr-FR"/>
              </w:rPr>
              <w:t>1,</w:t>
            </w:r>
            <w:r w:rsidR="00DE2242" w:rsidRPr="00BC439A">
              <w:rPr>
                <w:rFonts w:ascii="Times New Roman" w:eastAsia="Times New Roman" w:hAnsi="Times New Roman" w:cs="Times New Roman"/>
                <w:sz w:val="24"/>
                <w:lang w:val="fr-FR"/>
              </w:rPr>
              <w:t xml:space="preserve"> EU2a, EU 2b,</w:t>
            </w:r>
            <w:r w:rsidRPr="00BC439A">
              <w:rPr>
                <w:rFonts w:ascii="Times New Roman" w:eastAsia="Times New Roman" w:hAnsi="Times New Roman" w:cs="Times New Roman"/>
                <w:sz w:val="24"/>
                <w:lang w:val="fr-FR"/>
              </w:rPr>
              <w:t xml:space="preserve"> 3, EU 3a, 4, 5,</w:t>
            </w:r>
            <w:r w:rsidR="0077150F" w:rsidRPr="00BC439A">
              <w:rPr>
                <w:rFonts w:ascii="Times New Roman" w:eastAsia="Times New Roman" w:hAnsi="Times New Roman" w:cs="Times New Roman"/>
                <w:sz w:val="24"/>
                <w:lang w:val="fr-FR"/>
              </w:rPr>
              <w:t xml:space="preserve"> 6, EU 7a, EU 7b,</w:t>
            </w:r>
            <w:r w:rsidRPr="00BC439A">
              <w:rPr>
                <w:rFonts w:ascii="Times New Roman" w:eastAsia="Times New Roman" w:hAnsi="Times New Roman" w:cs="Times New Roman"/>
                <w:sz w:val="24"/>
                <w:lang w:val="fr-FR"/>
              </w:rPr>
              <w:t xml:space="preserve"> 8,</w:t>
            </w:r>
            <w:r w:rsidR="001D48EF" w:rsidRPr="00BC439A">
              <w:rPr>
                <w:rFonts w:ascii="Times New Roman" w:eastAsia="Times New Roman" w:hAnsi="Times New Roman" w:cs="Times New Roman"/>
                <w:sz w:val="24"/>
                <w:lang w:val="fr-FR"/>
              </w:rPr>
              <w:t xml:space="preserve"> 9,</w:t>
            </w:r>
            <w:r w:rsidRPr="00BC439A">
              <w:rPr>
                <w:rFonts w:ascii="Times New Roman" w:eastAsia="Times New Roman" w:hAnsi="Times New Roman" w:cs="Times New Roman"/>
                <w:sz w:val="24"/>
                <w:lang w:val="fr-FR"/>
              </w:rPr>
              <w:t xml:space="preserve"> 10, EU 10a, EU 10b</w:t>
            </w:r>
            <w:r w:rsidR="00CE5D58" w:rsidRPr="00BC439A">
              <w:rPr>
                <w:rFonts w:ascii="Times New Roman" w:eastAsia="Times New Roman" w:hAnsi="Times New Roman" w:cs="Times New Roman"/>
                <w:sz w:val="24"/>
                <w:lang w:val="fr-FR"/>
              </w:rPr>
              <w:t xml:space="preserve">, </w:t>
            </w:r>
            <w:r w:rsidR="31A6A119" w:rsidRPr="00BC439A">
              <w:rPr>
                <w:rFonts w:ascii="Times New Roman" w:eastAsia="Times New Roman" w:hAnsi="Times New Roman" w:cs="Times New Roman"/>
                <w:sz w:val="24"/>
                <w:lang w:val="fr-FR"/>
              </w:rPr>
              <w:t>EU 10c</w:t>
            </w:r>
          </w:p>
        </w:tc>
        <w:tc>
          <w:tcPr>
            <w:tcW w:w="7654" w:type="dxa"/>
            <w:shd w:val="clear" w:color="auto" w:fill="auto"/>
          </w:tcPr>
          <w:p w14:paraId="2302E80F" w14:textId="03182913" w:rsidR="00B731E6" w:rsidRPr="00BC439A" w:rsidRDefault="00B731E6" w:rsidP="00B731E6">
            <w:pPr>
              <w:spacing w:after="120"/>
              <w:jc w:val="both"/>
              <w:rPr>
                <w:rFonts w:ascii="Times New Roman" w:hAnsi="Times New Roman" w:cs="Times New Roman"/>
                <w:sz w:val="24"/>
              </w:rPr>
            </w:pPr>
            <w:r w:rsidRPr="00BC439A">
              <w:rPr>
                <w:rFonts w:ascii="Times New Roman" w:eastAsiaTheme="minorHAnsi" w:hAnsi="Times New Roman" w:cs="Times New Roman"/>
                <w:sz w:val="24"/>
              </w:rPr>
              <w:t>Exposure classes in accordance with Article 112 of Regulation (EU) No 575/2013</w:t>
            </w:r>
            <w:r w:rsidR="009B08A5" w:rsidRPr="00BC439A">
              <w:rPr>
                <w:rFonts w:ascii="Times New Roman" w:eastAsiaTheme="minorHAnsi" w:hAnsi="Times New Roman" w:cs="Times New Roman"/>
                <w:sz w:val="24"/>
              </w:rPr>
              <w:t>.</w:t>
            </w:r>
            <w:r w:rsidRPr="00BC439A">
              <w:rPr>
                <w:rFonts w:ascii="Times New Roman" w:eastAsiaTheme="minorHAnsi" w:hAnsi="Times New Roman" w:cs="Times New Roman"/>
                <w:sz w:val="24"/>
              </w:rPr>
              <w:t xml:space="preserve"> </w:t>
            </w:r>
          </w:p>
          <w:p w14:paraId="418D4291" w14:textId="757AEF54" w:rsidR="00B731E6" w:rsidRPr="00BC439A" w:rsidRDefault="0B701945" w:rsidP="5A0D947F">
            <w:pPr>
              <w:spacing w:after="120"/>
              <w:jc w:val="both"/>
              <w:rPr>
                <w:rFonts w:ascii="Times New Roman" w:hAnsi="Times New Roman" w:cs="Times New Roman"/>
                <w:sz w:val="24"/>
              </w:rPr>
            </w:pPr>
            <w:r w:rsidRPr="00BC439A">
              <w:rPr>
                <w:rFonts w:ascii="Times New Roman" w:eastAsia="Times New Roman" w:hAnsi="Times New Roman" w:cs="Times New Roman"/>
                <w:sz w:val="24"/>
              </w:rPr>
              <w:t>Exposures assigned to exposure class ‘items representing securitisation positions’ that is referred to in Article 112</w:t>
            </w:r>
            <w:r w:rsidR="2A218ED9" w:rsidRPr="00BC439A">
              <w:rPr>
                <w:rFonts w:ascii="Times New Roman" w:eastAsia="Times New Roman" w:hAnsi="Times New Roman" w:cs="Times New Roman"/>
                <w:sz w:val="24"/>
              </w:rPr>
              <w:t>,</w:t>
            </w:r>
            <w:r w:rsidRPr="00BC439A">
              <w:rPr>
                <w:rFonts w:ascii="Times New Roman" w:eastAsia="Times New Roman" w:hAnsi="Times New Roman" w:cs="Times New Roman"/>
                <w:sz w:val="24"/>
              </w:rPr>
              <w:t xml:space="preserve"> </w:t>
            </w:r>
            <w:r w:rsidR="0F628D79" w:rsidRPr="00BC439A">
              <w:rPr>
                <w:rFonts w:ascii="Times New Roman" w:eastAsia="Times New Roman" w:hAnsi="Times New Roman" w:cs="Times New Roman"/>
                <w:sz w:val="24"/>
              </w:rPr>
              <w:t xml:space="preserve">point (m) of </w:t>
            </w:r>
            <w:r w:rsidR="69779682" w:rsidRPr="00BC439A">
              <w:rPr>
                <w:rFonts w:ascii="Times New Roman" w:eastAsia="Times New Roman" w:hAnsi="Times New Roman" w:cs="Times New Roman"/>
                <w:color w:val="000000" w:themeColor="text1"/>
                <w:sz w:val="24"/>
              </w:rPr>
              <w:t>Regulation (EU) No 575/2013</w:t>
            </w:r>
            <w:r w:rsidR="69779682" w:rsidRPr="00BC439A">
              <w:rPr>
                <w:rFonts w:ascii="Times New Roman" w:eastAsia="Times New Roman" w:hAnsi="Times New Roman" w:cs="Times New Roman"/>
                <w:sz w:val="24"/>
              </w:rPr>
              <w:t xml:space="preserve"> </w:t>
            </w:r>
            <w:r w:rsidRPr="00BC439A">
              <w:rPr>
                <w:rFonts w:ascii="Times New Roman" w:eastAsia="Times New Roman" w:hAnsi="Times New Roman" w:cs="Times New Roman"/>
                <w:sz w:val="24"/>
              </w:rPr>
              <w:t>are not included.</w:t>
            </w:r>
          </w:p>
        </w:tc>
      </w:tr>
      <w:tr w:rsidR="00AF5033" w:rsidRPr="00BC439A" w14:paraId="685DA180" w14:textId="77777777" w:rsidTr="5A0D947F">
        <w:trPr>
          <w:trHeight w:val="699"/>
        </w:trPr>
        <w:tc>
          <w:tcPr>
            <w:tcW w:w="1413" w:type="dxa"/>
            <w:shd w:val="clear" w:color="auto" w:fill="auto"/>
          </w:tcPr>
          <w:p w14:paraId="1C0D8004" w14:textId="77777777" w:rsidR="00AF5033" w:rsidRPr="00BC439A" w:rsidRDefault="00AF5033" w:rsidP="00AB03E9">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2</w:t>
            </w:r>
          </w:p>
        </w:tc>
        <w:tc>
          <w:tcPr>
            <w:tcW w:w="7654" w:type="dxa"/>
            <w:shd w:val="clear" w:color="auto" w:fill="auto"/>
          </w:tcPr>
          <w:p w14:paraId="79E951C7" w14:textId="311E1895" w:rsidR="00F26067" w:rsidRPr="00FB64CF" w:rsidRDefault="009B6905" w:rsidP="00AB03E9">
            <w:pPr>
              <w:spacing w:after="120"/>
              <w:jc w:val="both"/>
              <w:rPr>
                <w:rFonts w:ascii="Times New Roman" w:eastAsiaTheme="minorHAnsi" w:hAnsi="Times New Roman" w:cs="Times New Roman"/>
                <w:b/>
                <w:bCs/>
                <w:sz w:val="24"/>
              </w:rPr>
            </w:pPr>
            <w:r w:rsidRPr="00FB64CF">
              <w:rPr>
                <w:rFonts w:ascii="Times New Roman" w:eastAsiaTheme="minorHAnsi" w:hAnsi="Times New Roman" w:cs="Times New Roman"/>
                <w:b/>
                <w:bCs/>
                <w:sz w:val="24"/>
              </w:rPr>
              <w:t>Non-central government public sector entities</w:t>
            </w:r>
            <w:r w:rsidR="00AF5033" w:rsidRPr="00FB64CF">
              <w:rPr>
                <w:rFonts w:ascii="Times New Roman" w:eastAsiaTheme="minorHAnsi" w:hAnsi="Times New Roman" w:cs="Times New Roman"/>
                <w:b/>
                <w:bCs/>
                <w:sz w:val="24"/>
              </w:rPr>
              <w:t xml:space="preserve"> </w:t>
            </w:r>
          </w:p>
          <w:p w14:paraId="4CF4DA0A" w14:textId="6AA1E2BE" w:rsidR="00AF5033" w:rsidRPr="00BC439A" w:rsidRDefault="00F26067" w:rsidP="00AB03E9">
            <w:pPr>
              <w:spacing w:after="120"/>
              <w:jc w:val="both"/>
              <w:rPr>
                <w:rFonts w:ascii="Times New Roman" w:eastAsiaTheme="minorHAnsi" w:hAnsi="Times New Roman" w:cs="Times New Roman"/>
                <w:sz w:val="24"/>
              </w:rPr>
            </w:pPr>
            <w:r>
              <w:rPr>
                <w:rFonts w:ascii="Times New Roman" w:eastAsiaTheme="minorHAnsi" w:hAnsi="Times New Roman" w:cs="Times New Roman"/>
                <w:sz w:val="24"/>
              </w:rPr>
              <w:t>S</w:t>
            </w:r>
            <w:r w:rsidR="00AF5033" w:rsidRPr="00BC439A">
              <w:rPr>
                <w:rFonts w:ascii="Times New Roman" w:eastAsiaTheme="minorHAnsi" w:hAnsi="Times New Roman" w:cs="Times New Roman"/>
                <w:sz w:val="24"/>
              </w:rPr>
              <w:t>um of exposures in row</w:t>
            </w:r>
            <w:r w:rsidR="001D6B68" w:rsidRPr="00BC439A">
              <w:rPr>
                <w:rFonts w:ascii="Times New Roman" w:eastAsiaTheme="minorHAnsi" w:hAnsi="Times New Roman" w:cs="Times New Roman"/>
                <w:sz w:val="24"/>
              </w:rPr>
              <w:t>s</w:t>
            </w:r>
            <w:r w:rsidR="00AF5033" w:rsidRPr="00BC439A">
              <w:rPr>
                <w:rFonts w:ascii="Times New Roman" w:eastAsiaTheme="minorHAnsi" w:hAnsi="Times New Roman" w:cs="Times New Roman"/>
                <w:sz w:val="24"/>
              </w:rPr>
              <w:t xml:space="preserve"> EU 2a and EU 2b.</w:t>
            </w:r>
          </w:p>
        </w:tc>
      </w:tr>
      <w:tr w:rsidR="00B731E6" w:rsidRPr="00BC439A" w14:paraId="43E2EF2A" w14:textId="77777777" w:rsidTr="5A0D947F">
        <w:trPr>
          <w:trHeight w:val="507"/>
        </w:trPr>
        <w:tc>
          <w:tcPr>
            <w:tcW w:w="1413" w:type="dxa"/>
            <w:shd w:val="clear" w:color="auto" w:fill="auto"/>
          </w:tcPr>
          <w:p w14:paraId="37172C4D" w14:textId="2D7F1A6B" w:rsidR="00B731E6" w:rsidRPr="00166E0C" w:rsidRDefault="00B731E6" w:rsidP="00B731E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EU 2a</w:t>
            </w:r>
          </w:p>
        </w:tc>
        <w:tc>
          <w:tcPr>
            <w:tcW w:w="7654" w:type="dxa"/>
            <w:shd w:val="clear" w:color="auto" w:fill="auto"/>
          </w:tcPr>
          <w:p w14:paraId="6E395D8A" w14:textId="5F849253" w:rsidR="00F26067" w:rsidRPr="00FB64CF" w:rsidRDefault="0B701945"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Regional governments or local authorities</w:t>
            </w:r>
          </w:p>
          <w:p w14:paraId="0F0B69B5" w14:textId="1A951C07" w:rsidR="00B731E6" w:rsidRPr="00BC439A" w:rsidRDefault="00F26067" w:rsidP="5A0D947F">
            <w:pPr>
              <w:spacing w:after="120"/>
              <w:jc w:val="both"/>
              <w:rPr>
                <w:rFonts w:ascii="Times New Roman" w:hAnsi="Times New Roman" w:cs="Times New Roman"/>
                <w:sz w:val="24"/>
              </w:rPr>
            </w:pPr>
            <w:r>
              <w:rPr>
                <w:rFonts w:ascii="Times New Roman" w:hAnsi="Times New Roman" w:cs="Times New Roman"/>
                <w:sz w:val="24"/>
              </w:rPr>
              <w:t>E</w:t>
            </w:r>
            <w:r w:rsidR="0B701945" w:rsidRPr="00166E0C">
              <w:rPr>
                <w:rFonts w:ascii="Times New Roman" w:hAnsi="Times New Roman" w:cs="Times New Roman"/>
                <w:sz w:val="24"/>
              </w:rPr>
              <w:t>xposures as defined in Article 112 (b)</w:t>
            </w:r>
            <w:r w:rsidR="00FB64CF">
              <w:rPr>
                <w:rFonts w:ascii="Times New Roman" w:hAnsi="Times New Roman" w:cs="Times New Roman"/>
                <w:sz w:val="24"/>
              </w:rPr>
              <w:t xml:space="preserve"> of</w:t>
            </w:r>
            <w:r w:rsidR="0B701945" w:rsidRPr="00166E0C">
              <w:rPr>
                <w:rFonts w:ascii="Times New Roman" w:hAnsi="Times New Roman" w:cs="Times New Roman"/>
                <w:sz w:val="24"/>
              </w:rPr>
              <w:t xml:space="preserve"> </w:t>
            </w:r>
            <w:r w:rsidR="11016227" w:rsidRPr="00166E0C">
              <w:rPr>
                <w:rFonts w:ascii="Times New Roman" w:eastAsia="Times New Roman" w:hAnsi="Times New Roman" w:cs="Times New Roman"/>
                <w:color w:val="000000" w:themeColor="text1"/>
                <w:sz w:val="24"/>
              </w:rPr>
              <w:t>Regulation (EU) No 575/2013</w:t>
            </w:r>
            <w:r w:rsidR="11016227" w:rsidRPr="00166E0C">
              <w:rPr>
                <w:rFonts w:ascii="Times New Roman" w:eastAsia="Times New Roman" w:hAnsi="Times New Roman" w:cs="Times New Roman"/>
                <w:sz w:val="24"/>
              </w:rPr>
              <w:t xml:space="preserve"> </w:t>
            </w:r>
            <w:r w:rsidR="0B701945" w:rsidRPr="00166E0C">
              <w:rPr>
                <w:rFonts w:ascii="Times New Roman" w:hAnsi="Times New Roman" w:cs="Times New Roman"/>
                <w:sz w:val="24"/>
              </w:rPr>
              <w:t>and Article 115</w:t>
            </w:r>
            <w:r w:rsidR="00972CE0" w:rsidRPr="00166E0C">
              <w:rPr>
                <w:rFonts w:ascii="Times New Roman" w:hAnsi="Times New Roman" w:cs="Times New Roman"/>
                <w:sz w:val="24"/>
              </w:rPr>
              <w:t xml:space="preserve"> (-1), </w:t>
            </w:r>
            <w:r w:rsidR="0B701945" w:rsidRPr="00166E0C">
              <w:rPr>
                <w:rFonts w:ascii="Times New Roman" w:hAnsi="Times New Roman" w:cs="Times New Roman"/>
                <w:sz w:val="24"/>
              </w:rPr>
              <w:t>(1), (3)</w:t>
            </w:r>
            <w:r w:rsidR="2834F115" w:rsidRPr="00166E0C">
              <w:rPr>
                <w:rFonts w:ascii="Times New Roman" w:hAnsi="Times New Roman" w:cs="Times New Roman"/>
                <w:sz w:val="24"/>
              </w:rPr>
              <w:t>, (4)</w:t>
            </w:r>
            <w:r w:rsidR="0B701945" w:rsidRPr="00166E0C">
              <w:rPr>
                <w:rFonts w:ascii="Times New Roman" w:hAnsi="Times New Roman" w:cs="Times New Roman"/>
                <w:sz w:val="24"/>
              </w:rPr>
              <w:t xml:space="preserve"> and (5) </w:t>
            </w:r>
            <w:r w:rsidR="00FB64CF">
              <w:rPr>
                <w:rFonts w:ascii="Times New Roman" w:hAnsi="Times New Roman" w:cs="Times New Roman"/>
                <w:sz w:val="24"/>
              </w:rPr>
              <w:t xml:space="preserve">of </w:t>
            </w:r>
            <w:r w:rsidR="2810D356" w:rsidRPr="00166E0C">
              <w:rPr>
                <w:rFonts w:ascii="Times New Roman" w:eastAsia="Times New Roman" w:hAnsi="Times New Roman" w:cs="Times New Roman"/>
                <w:color w:val="000000" w:themeColor="text1"/>
                <w:sz w:val="24"/>
              </w:rPr>
              <w:t>Regulation (EU) No 575/2013</w:t>
            </w:r>
            <w:r w:rsidR="2810D356" w:rsidRPr="00166E0C">
              <w:rPr>
                <w:rFonts w:ascii="Times New Roman" w:eastAsia="Times New Roman" w:hAnsi="Times New Roman" w:cs="Times New Roman"/>
                <w:sz w:val="24"/>
              </w:rPr>
              <w:t xml:space="preserve"> </w:t>
            </w:r>
            <w:r w:rsidR="0B701945" w:rsidRPr="00166E0C">
              <w:rPr>
                <w:rFonts w:ascii="Times New Roman" w:hAnsi="Times New Roman" w:cs="Times New Roman"/>
                <w:sz w:val="24"/>
              </w:rPr>
              <w:t>for SA exposures</w:t>
            </w:r>
            <w:r w:rsidR="0B701945" w:rsidRPr="00166E0C">
              <w:rPr>
                <w:rFonts w:ascii="Times New Roman" w:hAnsi="Times New Roman" w:cs="Times New Roman"/>
              </w:rPr>
              <w:t>.</w:t>
            </w:r>
          </w:p>
        </w:tc>
      </w:tr>
      <w:tr w:rsidR="00B731E6" w:rsidRPr="00BC439A" w14:paraId="5C5BD0AC" w14:textId="77777777" w:rsidTr="5A0D947F">
        <w:trPr>
          <w:trHeight w:val="507"/>
        </w:trPr>
        <w:tc>
          <w:tcPr>
            <w:tcW w:w="1413" w:type="dxa"/>
            <w:shd w:val="clear" w:color="auto" w:fill="auto"/>
          </w:tcPr>
          <w:p w14:paraId="4E17DAB0" w14:textId="48A8906B" w:rsidR="00B731E6" w:rsidRPr="00BC439A" w:rsidRDefault="00B731E6" w:rsidP="00B731E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EU 2b</w:t>
            </w:r>
          </w:p>
        </w:tc>
        <w:tc>
          <w:tcPr>
            <w:tcW w:w="7654" w:type="dxa"/>
            <w:shd w:val="clear" w:color="auto" w:fill="auto"/>
          </w:tcPr>
          <w:p w14:paraId="6B0874A8" w14:textId="7C1E20B6" w:rsidR="00F26067" w:rsidRPr="00FB64CF" w:rsidRDefault="0B701945"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Public sector entities</w:t>
            </w:r>
          </w:p>
          <w:p w14:paraId="042D63D7" w14:textId="03ACF4BC" w:rsidR="00B731E6" w:rsidRPr="00BC439A" w:rsidRDefault="00F26067" w:rsidP="5A0D947F">
            <w:pPr>
              <w:spacing w:after="120"/>
              <w:jc w:val="both"/>
              <w:rPr>
                <w:rFonts w:ascii="Times New Roman" w:hAnsi="Times New Roman" w:cs="Times New Roman"/>
                <w:sz w:val="24"/>
              </w:rPr>
            </w:pPr>
            <w:r>
              <w:rPr>
                <w:rFonts w:ascii="Times New Roman" w:hAnsi="Times New Roman" w:cs="Times New Roman"/>
                <w:sz w:val="24"/>
              </w:rPr>
              <w:t>E</w:t>
            </w:r>
            <w:r w:rsidR="0B701945" w:rsidRPr="00BC439A">
              <w:rPr>
                <w:rFonts w:ascii="Times New Roman" w:hAnsi="Times New Roman" w:cs="Times New Roman"/>
                <w:sz w:val="24"/>
              </w:rPr>
              <w:t>xposures as defined in Article 4 (1) (8)</w:t>
            </w:r>
            <w:r w:rsidR="00FB64CF">
              <w:rPr>
                <w:rFonts w:ascii="Times New Roman" w:hAnsi="Times New Roman" w:cs="Times New Roman"/>
                <w:sz w:val="24"/>
              </w:rPr>
              <w:t xml:space="preserve"> of</w:t>
            </w:r>
            <w:r w:rsidR="077B8912" w:rsidRPr="00BC439A">
              <w:rPr>
                <w:rFonts w:ascii="Times New Roman" w:eastAsia="Times New Roman" w:hAnsi="Times New Roman" w:cs="Times New Roman"/>
                <w:color w:val="000000" w:themeColor="text1"/>
                <w:sz w:val="24"/>
              </w:rPr>
              <w:t xml:space="preserve"> Regulation (EU) No 575/2013</w:t>
            </w:r>
            <w:r w:rsidR="0B701945" w:rsidRPr="00BC439A">
              <w:rPr>
                <w:rFonts w:ascii="Times New Roman" w:hAnsi="Times New Roman" w:cs="Times New Roman"/>
                <w:sz w:val="24"/>
              </w:rPr>
              <w:t>, Article 112 (c) and Article 116(1), (2), (3)</w:t>
            </w:r>
            <w:r w:rsidR="37BD3F3E" w:rsidRPr="00BC439A">
              <w:rPr>
                <w:rFonts w:ascii="Times New Roman" w:hAnsi="Times New Roman" w:cs="Times New Roman"/>
                <w:sz w:val="24"/>
              </w:rPr>
              <w:t>, (4)</w:t>
            </w:r>
            <w:r w:rsidR="0B701945" w:rsidRPr="00BC439A">
              <w:rPr>
                <w:rFonts w:ascii="Times New Roman" w:hAnsi="Times New Roman" w:cs="Times New Roman"/>
                <w:sz w:val="24"/>
              </w:rPr>
              <w:t xml:space="preserve"> and (5) </w:t>
            </w:r>
            <w:r w:rsidR="06468360" w:rsidRPr="00BC439A">
              <w:rPr>
                <w:rFonts w:ascii="Times New Roman" w:eastAsia="Times New Roman" w:hAnsi="Times New Roman" w:cs="Times New Roman"/>
                <w:color w:val="000000" w:themeColor="text1"/>
                <w:sz w:val="24"/>
              </w:rPr>
              <w:t>Regulation (EU) No 575/2013</w:t>
            </w:r>
            <w:r w:rsidR="06468360" w:rsidRPr="00BC439A">
              <w:rPr>
                <w:rFonts w:ascii="Times New Roman" w:eastAsia="Times New Roman" w:hAnsi="Times New Roman" w:cs="Times New Roman"/>
                <w:sz w:val="24"/>
              </w:rPr>
              <w:t xml:space="preserve"> </w:t>
            </w:r>
            <w:r w:rsidR="0B701945" w:rsidRPr="00BC439A">
              <w:rPr>
                <w:rFonts w:ascii="Times New Roman" w:hAnsi="Times New Roman" w:cs="Times New Roman"/>
                <w:sz w:val="24"/>
              </w:rPr>
              <w:t>for SA exposures.</w:t>
            </w:r>
          </w:p>
        </w:tc>
      </w:tr>
      <w:tr w:rsidR="00B731E6" w:rsidRPr="00BC439A" w14:paraId="31C58E90" w14:textId="77777777" w:rsidTr="5A0D947F">
        <w:trPr>
          <w:trHeight w:val="507"/>
        </w:trPr>
        <w:tc>
          <w:tcPr>
            <w:tcW w:w="1413" w:type="dxa"/>
            <w:shd w:val="clear" w:color="auto" w:fill="auto"/>
          </w:tcPr>
          <w:p w14:paraId="688254C4" w14:textId="5508F69D" w:rsidR="00B731E6" w:rsidRPr="00BC439A" w:rsidRDefault="00B731E6" w:rsidP="00B731E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lastRenderedPageBreak/>
              <w:t>6</w:t>
            </w:r>
          </w:p>
        </w:tc>
        <w:tc>
          <w:tcPr>
            <w:tcW w:w="7654" w:type="dxa"/>
            <w:shd w:val="clear" w:color="auto" w:fill="auto"/>
          </w:tcPr>
          <w:p w14:paraId="0D63781E" w14:textId="3D73F3E2" w:rsidR="00F26067" w:rsidRPr="00FB64CF" w:rsidRDefault="0B701945"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Corporates</w:t>
            </w:r>
          </w:p>
          <w:p w14:paraId="6AFAC788" w14:textId="55730926" w:rsidR="00B731E6" w:rsidRPr="00BC439A" w:rsidRDefault="00F26067" w:rsidP="5A0D947F">
            <w:pPr>
              <w:spacing w:after="120"/>
              <w:jc w:val="both"/>
              <w:rPr>
                <w:rFonts w:ascii="Times New Roman" w:hAnsi="Times New Roman" w:cs="Times New Roman"/>
                <w:sz w:val="24"/>
              </w:rPr>
            </w:pPr>
            <w:r>
              <w:rPr>
                <w:rFonts w:ascii="Times New Roman" w:hAnsi="Times New Roman" w:cs="Times New Roman"/>
                <w:sz w:val="24"/>
              </w:rPr>
              <w:t>E</w:t>
            </w:r>
            <w:r w:rsidR="0B701945" w:rsidRPr="00BC439A">
              <w:rPr>
                <w:rFonts w:ascii="Times New Roman" w:hAnsi="Times New Roman" w:cs="Times New Roman"/>
                <w:sz w:val="24"/>
              </w:rPr>
              <w:t xml:space="preserve">xposures as defined in Article 112 (g) and Article 122 </w:t>
            </w:r>
            <w:r w:rsidR="00FB64CF">
              <w:rPr>
                <w:rFonts w:ascii="Times New Roman" w:hAnsi="Times New Roman" w:cs="Times New Roman"/>
                <w:sz w:val="24"/>
              </w:rPr>
              <w:t>of</w:t>
            </w:r>
            <w:r w:rsidR="47925ACA" w:rsidRPr="00BC439A">
              <w:rPr>
                <w:rFonts w:ascii="Times New Roman" w:eastAsia="Times New Roman" w:hAnsi="Times New Roman" w:cs="Times New Roman"/>
                <w:color w:val="000000" w:themeColor="text1"/>
                <w:sz w:val="24"/>
              </w:rPr>
              <w:t xml:space="preserve"> Regulation (EU) No 575/2013</w:t>
            </w:r>
            <w:r w:rsidR="0B701945" w:rsidRPr="00BC439A">
              <w:rPr>
                <w:rFonts w:ascii="Times New Roman" w:hAnsi="Times New Roman" w:cs="Times New Roman"/>
                <w:sz w:val="24"/>
              </w:rPr>
              <w:t>.</w:t>
            </w:r>
          </w:p>
        </w:tc>
      </w:tr>
      <w:tr w:rsidR="00B731E6" w:rsidRPr="00BC439A" w14:paraId="15791A2F" w14:textId="77777777" w:rsidTr="5A0D947F">
        <w:trPr>
          <w:trHeight w:val="507"/>
        </w:trPr>
        <w:tc>
          <w:tcPr>
            <w:tcW w:w="1413" w:type="dxa"/>
            <w:shd w:val="clear" w:color="auto" w:fill="auto"/>
          </w:tcPr>
          <w:p w14:paraId="2C67CA19" w14:textId="46E29F06" w:rsidR="00B731E6" w:rsidRPr="00BC439A" w:rsidRDefault="00F9364E" w:rsidP="00B731E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6.1</w:t>
            </w:r>
          </w:p>
        </w:tc>
        <w:tc>
          <w:tcPr>
            <w:tcW w:w="7654" w:type="dxa"/>
            <w:shd w:val="clear" w:color="auto" w:fill="auto"/>
          </w:tcPr>
          <w:p w14:paraId="7434934B" w14:textId="62424925" w:rsidR="00F26067" w:rsidRPr="00FB64CF" w:rsidRDefault="00F26067" w:rsidP="5A0D947F">
            <w:pPr>
              <w:spacing w:after="120"/>
              <w:jc w:val="both"/>
              <w:rPr>
                <w:rFonts w:ascii="Times New Roman" w:hAnsi="Times New Roman" w:cs="Times New Roman"/>
                <w:b/>
                <w:bCs/>
                <w:sz w:val="24"/>
              </w:rPr>
            </w:pPr>
            <w:r>
              <w:rPr>
                <w:rFonts w:ascii="Times New Roman" w:hAnsi="Times New Roman" w:cs="Times New Roman"/>
                <w:sz w:val="24"/>
              </w:rPr>
              <w:t xml:space="preserve">  </w:t>
            </w:r>
            <w:r w:rsidR="1F87C345" w:rsidRPr="00FB64CF">
              <w:rPr>
                <w:rFonts w:ascii="Times New Roman" w:hAnsi="Times New Roman" w:cs="Times New Roman"/>
                <w:b/>
                <w:bCs/>
                <w:sz w:val="24"/>
              </w:rPr>
              <w:t xml:space="preserve">Of which: </w:t>
            </w:r>
            <w:r w:rsidR="0B701945" w:rsidRPr="00FB64CF">
              <w:rPr>
                <w:rFonts w:ascii="Times New Roman" w:hAnsi="Times New Roman" w:cs="Times New Roman"/>
                <w:b/>
                <w:bCs/>
                <w:sz w:val="24"/>
              </w:rPr>
              <w:t>Specialised Lending</w:t>
            </w:r>
          </w:p>
          <w:p w14:paraId="24C0DA08" w14:textId="36A32BF7" w:rsidR="00B731E6" w:rsidRPr="00BC439A" w:rsidRDefault="00F26067" w:rsidP="5A0D947F">
            <w:pPr>
              <w:spacing w:after="120"/>
              <w:jc w:val="both"/>
              <w:rPr>
                <w:rFonts w:ascii="Times New Roman" w:hAnsi="Times New Roman" w:cs="Times New Roman"/>
                <w:sz w:val="24"/>
              </w:rPr>
            </w:pPr>
            <w:r>
              <w:rPr>
                <w:rFonts w:ascii="Times New Roman" w:hAnsi="Times New Roman" w:cs="Times New Roman"/>
                <w:sz w:val="24"/>
              </w:rPr>
              <w:t>E</w:t>
            </w:r>
            <w:r w:rsidR="0B701945" w:rsidRPr="00BC439A">
              <w:rPr>
                <w:rFonts w:ascii="Times New Roman" w:hAnsi="Times New Roman" w:cs="Times New Roman"/>
                <w:sz w:val="24"/>
              </w:rPr>
              <w:t>xposures as defined in Article 122a</w:t>
            </w:r>
            <w:r w:rsidR="00FB64CF">
              <w:rPr>
                <w:rFonts w:ascii="Times New Roman" w:hAnsi="Times New Roman" w:cs="Times New Roman"/>
                <w:sz w:val="24"/>
              </w:rPr>
              <w:t xml:space="preserve"> of</w:t>
            </w:r>
            <w:r w:rsidR="0B701945" w:rsidRPr="00BC439A">
              <w:rPr>
                <w:rFonts w:ascii="Times New Roman" w:hAnsi="Times New Roman" w:cs="Times New Roman"/>
                <w:sz w:val="24"/>
              </w:rPr>
              <w:t xml:space="preserve"> </w:t>
            </w:r>
            <w:r w:rsidR="0174C094" w:rsidRPr="00BC439A">
              <w:rPr>
                <w:rFonts w:ascii="Times New Roman" w:eastAsia="Times New Roman" w:hAnsi="Times New Roman" w:cs="Times New Roman"/>
                <w:color w:val="000000" w:themeColor="text1"/>
                <w:sz w:val="24"/>
              </w:rPr>
              <w:t>Regulation (EU) No 575/2013</w:t>
            </w:r>
            <w:r w:rsidR="0B701945" w:rsidRPr="00BC439A">
              <w:rPr>
                <w:rFonts w:ascii="Times New Roman" w:hAnsi="Times New Roman" w:cs="Times New Roman"/>
                <w:sz w:val="24"/>
              </w:rPr>
              <w:t xml:space="preserve">. </w:t>
            </w:r>
          </w:p>
        </w:tc>
      </w:tr>
      <w:tr w:rsidR="00B731E6" w:rsidRPr="00BC439A" w14:paraId="5C84CA61" w14:textId="77777777" w:rsidTr="5A0D947F">
        <w:trPr>
          <w:trHeight w:val="507"/>
        </w:trPr>
        <w:tc>
          <w:tcPr>
            <w:tcW w:w="1413" w:type="dxa"/>
            <w:shd w:val="clear" w:color="auto" w:fill="auto"/>
          </w:tcPr>
          <w:p w14:paraId="61EE362B" w14:textId="6EA863F3" w:rsidR="00B731E6" w:rsidRPr="00BC439A" w:rsidRDefault="00B731E6" w:rsidP="00B731E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7</w:t>
            </w:r>
          </w:p>
        </w:tc>
        <w:tc>
          <w:tcPr>
            <w:tcW w:w="7654" w:type="dxa"/>
            <w:shd w:val="clear" w:color="auto" w:fill="auto"/>
          </w:tcPr>
          <w:p w14:paraId="4D223688" w14:textId="3E9BBE9B" w:rsidR="00F26067" w:rsidRPr="00FB64CF" w:rsidRDefault="00B731E6" w:rsidP="00B731E6">
            <w:pPr>
              <w:spacing w:after="120"/>
              <w:jc w:val="both"/>
              <w:rPr>
                <w:rFonts w:ascii="Times New Roman" w:eastAsiaTheme="minorHAnsi" w:hAnsi="Times New Roman" w:cs="Times New Roman"/>
                <w:b/>
                <w:bCs/>
                <w:sz w:val="24"/>
              </w:rPr>
            </w:pPr>
            <w:r w:rsidRPr="00FB64CF">
              <w:rPr>
                <w:rFonts w:ascii="Times New Roman" w:eastAsiaTheme="minorHAnsi" w:hAnsi="Times New Roman" w:cs="Times New Roman"/>
                <w:b/>
                <w:bCs/>
                <w:sz w:val="24"/>
              </w:rPr>
              <w:t>Subordinated debt exposures and equity</w:t>
            </w:r>
          </w:p>
          <w:p w14:paraId="0AA0F933" w14:textId="77EC0BD5" w:rsidR="00B731E6" w:rsidRPr="00BC439A" w:rsidRDefault="00F26067" w:rsidP="00B731E6">
            <w:pPr>
              <w:spacing w:after="120"/>
              <w:jc w:val="both"/>
              <w:rPr>
                <w:rFonts w:ascii="Times New Roman" w:eastAsiaTheme="minorHAnsi" w:hAnsi="Times New Roman" w:cs="Times New Roman"/>
                <w:sz w:val="24"/>
              </w:rPr>
            </w:pPr>
            <w:r>
              <w:rPr>
                <w:rFonts w:ascii="Times New Roman" w:eastAsiaTheme="minorHAnsi" w:hAnsi="Times New Roman" w:cs="Times New Roman"/>
                <w:sz w:val="24"/>
              </w:rPr>
              <w:t>I</w:t>
            </w:r>
            <w:r w:rsidR="00B731E6" w:rsidRPr="00BC439A">
              <w:rPr>
                <w:rFonts w:ascii="Times New Roman" w:eastAsiaTheme="minorHAnsi" w:hAnsi="Times New Roman" w:cs="Times New Roman"/>
                <w:sz w:val="24"/>
              </w:rPr>
              <w:t>t is the sum of rows defined below (EU 7a and EU 7b).</w:t>
            </w:r>
          </w:p>
        </w:tc>
      </w:tr>
      <w:tr w:rsidR="00B731E6" w:rsidRPr="00BC439A" w14:paraId="75520DAB" w14:textId="77777777" w:rsidTr="5A0D947F">
        <w:trPr>
          <w:trHeight w:val="507"/>
        </w:trPr>
        <w:tc>
          <w:tcPr>
            <w:tcW w:w="1413" w:type="dxa"/>
            <w:shd w:val="clear" w:color="auto" w:fill="auto"/>
          </w:tcPr>
          <w:p w14:paraId="6D54D58F" w14:textId="40B5DA6A" w:rsidR="00B731E6" w:rsidRPr="00BC439A" w:rsidRDefault="00B731E6" w:rsidP="00B731E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EU 7a</w:t>
            </w:r>
          </w:p>
        </w:tc>
        <w:tc>
          <w:tcPr>
            <w:tcW w:w="7654" w:type="dxa"/>
            <w:shd w:val="clear" w:color="auto" w:fill="auto"/>
          </w:tcPr>
          <w:p w14:paraId="2087D858" w14:textId="358EEE2E" w:rsidR="00F26067" w:rsidRPr="00FB64CF" w:rsidRDefault="0B701945"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Subordinated debt exposures</w:t>
            </w:r>
          </w:p>
          <w:p w14:paraId="6A91C57C" w14:textId="5BCEFCB5" w:rsidR="00B731E6" w:rsidRPr="00BC439A" w:rsidRDefault="00F26067" w:rsidP="5A0D947F">
            <w:pPr>
              <w:spacing w:after="120"/>
              <w:jc w:val="both"/>
              <w:rPr>
                <w:rFonts w:ascii="Times New Roman" w:hAnsi="Times New Roman" w:cs="Times New Roman"/>
                <w:sz w:val="24"/>
              </w:rPr>
            </w:pPr>
            <w:r>
              <w:rPr>
                <w:rFonts w:ascii="Times New Roman" w:hAnsi="Times New Roman" w:cs="Times New Roman"/>
                <w:sz w:val="24"/>
              </w:rPr>
              <w:t>E</w:t>
            </w:r>
            <w:r w:rsidR="0B701945" w:rsidRPr="00BC439A">
              <w:rPr>
                <w:rFonts w:ascii="Times New Roman" w:hAnsi="Times New Roman" w:cs="Times New Roman"/>
                <w:sz w:val="24"/>
              </w:rPr>
              <w:t>xposures as defined in Article 112 (k)</w:t>
            </w:r>
            <w:r w:rsidR="00FB64CF">
              <w:rPr>
                <w:rFonts w:ascii="Times New Roman" w:hAnsi="Times New Roman" w:cs="Times New Roman"/>
                <w:sz w:val="24"/>
              </w:rPr>
              <w:t xml:space="preserve"> of</w:t>
            </w:r>
            <w:r w:rsidR="0B701945" w:rsidRPr="00BC439A">
              <w:rPr>
                <w:rFonts w:ascii="Times New Roman" w:hAnsi="Times New Roman" w:cs="Times New Roman"/>
                <w:sz w:val="24"/>
              </w:rPr>
              <w:t xml:space="preserve"> </w:t>
            </w:r>
            <w:r w:rsidR="58C31359" w:rsidRPr="00BC439A">
              <w:rPr>
                <w:rFonts w:ascii="Times New Roman" w:eastAsia="Times New Roman" w:hAnsi="Times New Roman" w:cs="Times New Roman"/>
                <w:color w:val="000000" w:themeColor="text1"/>
                <w:sz w:val="24"/>
              </w:rPr>
              <w:t>Regulation (EU) No 575/2013</w:t>
            </w:r>
            <w:r w:rsidR="58C31359" w:rsidRPr="00BC439A">
              <w:rPr>
                <w:rFonts w:ascii="Times New Roman" w:eastAsia="Times New Roman" w:hAnsi="Times New Roman" w:cs="Times New Roman"/>
                <w:sz w:val="24"/>
              </w:rPr>
              <w:t xml:space="preserve"> </w:t>
            </w:r>
            <w:r w:rsidR="0B701945" w:rsidRPr="00BC439A">
              <w:rPr>
                <w:rFonts w:ascii="Times New Roman" w:hAnsi="Times New Roman" w:cs="Times New Roman"/>
                <w:sz w:val="24"/>
              </w:rPr>
              <w:t xml:space="preserve">and Article 128 </w:t>
            </w:r>
            <w:r w:rsidR="00FB64CF">
              <w:rPr>
                <w:rFonts w:ascii="Times New Roman" w:hAnsi="Times New Roman" w:cs="Times New Roman"/>
                <w:sz w:val="24"/>
              </w:rPr>
              <w:t>of</w:t>
            </w:r>
            <w:r w:rsidR="4E2B0C1C" w:rsidRPr="00BC439A">
              <w:rPr>
                <w:rFonts w:ascii="Times New Roman" w:eastAsia="Times New Roman" w:hAnsi="Times New Roman" w:cs="Times New Roman"/>
                <w:color w:val="000000" w:themeColor="text1"/>
                <w:sz w:val="24"/>
              </w:rPr>
              <w:t xml:space="preserve"> Regulation (EU) No 575/2013</w:t>
            </w:r>
            <w:r w:rsidR="0B701945" w:rsidRPr="00BC439A">
              <w:rPr>
                <w:rFonts w:ascii="Times New Roman" w:hAnsi="Times New Roman" w:cs="Times New Roman"/>
                <w:sz w:val="24"/>
              </w:rPr>
              <w:t>.</w:t>
            </w:r>
          </w:p>
        </w:tc>
      </w:tr>
      <w:tr w:rsidR="00B731E6" w:rsidRPr="00BC439A" w14:paraId="1BA8F816" w14:textId="77777777" w:rsidTr="5A0D947F">
        <w:trPr>
          <w:trHeight w:val="507"/>
        </w:trPr>
        <w:tc>
          <w:tcPr>
            <w:tcW w:w="1413" w:type="dxa"/>
            <w:shd w:val="clear" w:color="auto" w:fill="auto"/>
          </w:tcPr>
          <w:p w14:paraId="67E36157" w14:textId="40601992" w:rsidR="00B731E6" w:rsidRPr="00BC439A" w:rsidRDefault="00B731E6" w:rsidP="00B731E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EU 7b</w:t>
            </w:r>
          </w:p>
        </w:tc>
        <w:tc>
          <w:tcPr>
            <w:tcW w:w="7654" w:type="dxa"/>
            <w:shd w:val="clear" w:color="auto" w:fill="auto"/>
          </w:tcPr>
          <w:p w14:paraId="1433F3D8" w14:textId="30F87742" w:rsidR="00F26067" w:rsidRPr="00FB64CF" w:rsidRDefault="0B701945"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Equity</w:t>
            </w:r>
          </w:p>
          <w:p w14:paraId="191A2924" w14:textId="2CDA6797" w:rsidR="00B731E6" w:rsidRPr="00BC439A" w:rsidRDefault="00F26067" w:rsidP="5A0D947F">
            <w:pPr>
              <w:spacing w:after="120"/>
              <w:jc w:val="both"/>
              <w:rPr>
                <w:rFonts w:ascii="Times New Roman" w:hAnsi="Times New Roman" w:cs="Times New Roman"/>
                <w:sz w:val="24"/>
              </w:rPr>
            </w:pPr>
            <w:r>
              <w:rPr>
                <w:rFonts w:ascii="Times New Roman" w:hAnsi="Times New Roman" w:cs="Times New Roman"/>
                <w:sz w:val="24"/>
              </w:rPr>
              <w:t>E</w:t>
            </w:r>
            <w:r w:rsidR="0B701945" w:rsidRPr="00BC439A">
              <w:rPr>
                <w:rFonts w:ascii="Times New Roman" w:hAnsi="Times New Roman" w:cs="Times New Roman"/>
                <w:sz w:val="24"/>
              </w:rPr>
              <w:t>xposures as defined in Article 112 (p)</w:t>
            </w:r>
            <w:r w:rsidR="00FB64CF">
              <w:rPr>
                <w:rFonts w:ascii="Times New Roman" w:hAnsi="Times New Roman" w:cs="Times New Roman"/>
                <w:sz w:val="24"/>
              </w:rPr>
              <w:t xml:space="preserve"> of</w:t>
            </w:r>
            <w:r w:rsidR="0B701945" w:rsidRPr="00BC439A">
              <w:rPr>
                <w:rFonts w:ascii="Times New Roman" w:hAnsi="Times New Roman" w:cs="Times New Roman"/>
                <w:sz w:val="24"/>
              </w:rPr>
              <w:t xml:space="preserve"> </w:t>
            </w:r>
            <w:r w:rsidR="17214809" w:rsidRPr="00BC439A">
              <w:rPr>
                <w:rFonts w:ascii="Times New Roman" w:eastAsia="Times New Roman" w:hAnsi="Times New Roman" w:cs="Times New Roman"/>
                <w:color w:val="000000" w:themeColor="text1"/>
                <w:sz w:val="24"/>
              </w:rPr>
              <w:t>Regulation (EU) No 575/2013</w:t>
            </w:r>
            <w:r w:rsidR="17214809" w:rsidRPr="00BC439A">
              <w:rPr>
                <w:rFonts w:ascii="Times New Roman" w:eastAsia="Times New Roman" w:hAnsi="Times New Roman" w:cs="Times New Roman"/>
                <w:sz w:val="24"/>
              </w:rPr>
              <w:t xml:space="preserve"> </w:t>
            </w:r>
            <w:r w:rsidR="0B701945" w:rsidRPr="00BC439A">
              <w:rPr>
                <w:rFonts w:ascii="Times New Roman" w:hAnsi="Times New Roman" w:cs="Times New Roman"/>
                <w:sz w:val="24"/>
              </w:rPr>
              <w:t>and Article 133 (1)</w:t>
            </w:r>
            <w:r w:rsidR="00FB64CF">
              <w:rPr>
                <w:rFonts w:ascii="Times New Roman" w:hAnsi="Times New Roman" w:cs="Times New Roman"/>
                <w:sz w:val="24"/>
              </w:rPr>
              <w:t xml:space="preserve"> of</w:t>
            </w:r>
            <w:r w:rsidR="0B701945" w:rsidRPr="00BC439A">
              <w:rPr>
                <w:rFonts w:ascii="Times New Roman" w:hAnsi="Times New Roman" w:cs="Times New Roman"/>
                <w:sz w:val="24"/>
              </w:rPr>
              <w:t xml:space="preserve"> </w:t>
            </w:r>
            <w:r w:rsidR="33DA278F" w:rsidRPr="00BC439A">
              <w:rPr>
                <w:rFonts w:ascii="Times New Roman" w:eastAsia="Times New Roman" w:hAnsi="Times New Roman" w:cs="Times New Roman"/>
                <w:color w:val="000000" w:themeColor="text1"/>
                <w:sz w:val="24"/>
              </w:rPr>
              <w:t>Regulation (EU) No 575/2013</w:t>
            </w:r>
            <w:r w:rsidR="0B701945" w:rsidRPr="00BC439A">
              <w:rPr>
                <w:rFonts w:ascii="Times New Roman" w:hAnsi="Times New Roman" w:cs="Times New Roman"/>
                <w:sz w:val="24"/>
              </w:rPr>
              <w:t>.</w:t>
            </w:r>
          </w:p>
        </w:tc>
      </w:tr>
      <w:tr w:rsidR="00B731E6" w:rsidRPr="00166E0C" w14:paraId="2F5024A7" w14:textId="77777777" w:rsidTr="5A0D947F">
        <w:trPr>
          <w:trHeight w:val="507"/>
        </w:trPr>
        <w:tc>
          <w:tcPr>
            <w:tcW w:w="1413" w:type="dxa"/>
            <w:shd w:val="clear" w:color="auto" w:fill="auto"/>
          </w:tcPr>
          <w:p w14:paraId="6C8D4DD7" w14:textId="53CC0B91" w:rsidR="00B731E6" w:rsidRPr="00166E0C" w:rsidRDefault="00B731E6" w:rsidP="00B731E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9</w:t>
            </w:r>
          </w:p>
        </w:tc>
        <w:tc>
          <w:tcPr>
            <w:tcW w:w="7654" w:type="dxa"/>
            <w:shd w:val="clear" w:color="auto" w:fill="auto"/>
          </w:tcPr>
          <w:p w14:paraId="6F18D30C" w14:textId="20BDB687" w:rsidR="00F26067" w:rsidRPr="00FB64CF" w:rsidRDefault="0B701945"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 xml:space="preserve">Secured by mortgages on immovable property and ADC </w:t>
            </w:r>
            <w:proofErr w:type="gramStart"/>
            <w:r w:rsidRPr="00FB64CF">
              <w:rPr>
                <w:rFonts w:ascii="Times New Roman" w:hAnsi="Times New Roman" w:cs="Times New Roman"/>
                <w:b/>
                <w:bCs/>
                <w:sz w:val="24"/>
              </w:rPr>
              <w:t>exposures</w:t>
            </w:r>
            <w:proofErr w:type="gramEnd"/>
          </w:p>
          <w:p w14:paraId="652029AE" w14:textId="28474DBD" w:rsidR="00B731E6" w:rsidRPr="00166E0C" w:rsidRDefault="00F26067" w:rsidP="5A0D947F">
            <w:pPr>
              <w:spacing w:after="120"/>
              <w:jc w:val="both"/>
              <w:rPr>
                <w:rFonts w:ascii="Times New Roman" w:hAnsi="Times New Roman" w:cs="Times New Roman"/>
                <w:sz w:val="24"/>
              </w:rPr>
            </w:pPr>
            <w:r>
              <w:rPr>
                <w:rFonts w:ascii="Times New Roman" w:hAnsi="Times New Roman" w:cs="Times New Roman"/>
                <w:sz w:val="24"/>
              </w:rPr>
              <w:t>E</w:t>
            </w:r>
            <w:r w:rsidR="0B701945" w:rsidRPr="00166E0C">
              <w:rPr>
                <w:rFonts w:ascii="Times New Roman" w:hAnsi="Times New Roman" w:cs="Times New Roman"/>
                <w:sz w:val="24"/>
              </w:rPr>
              <w:t>xposures secured by immovable properties defined in Article 4 (1)</w:t>
            </w:r>
            <w:r w:rsidR="00CE61A5">
              <w:rPr>
                <w:rFonts w:ascii="Times New Roman" w:hAnsi="Times New Roman" w:cs="Times New Roman"/>
                <w:sz w:val="24"/>
              </w:rPr>
              <w:t>,</w:t>
            </w:r>
            <w:r w:rsidR="0B701945" w:rsidRPr="00166E0C">
              <w:rPr>
                <w:rFonts w:ascii="Times New Roman" w:hAnsi="Times New Roman" w:cs="Times New Roman"/>
                <w:sz w:val="24"/>
              </w:rPr>
              <w:t xml:space="preserve"> point</w:t>
            </w:r>
            <w:r w:rsidR="00CE61A5">
              <w:rPr>
                <w:rFonts w:ascii="Times New Roman" w:hAnsi="Times New Roman" w:cs="Times New Roman"/>
                <w:sz w:val="24"/>
              </w:rPr>
              <w:t>s</w:t>
            </w:r>
            <w:r w:rsidR="0B701945" w:rsidRPr="00166E0C">
              <w:rPr>
                <w:rFonts w:ascii="Times New Roman" w:hAnsi="Times New Roman" w:cs="Times New Roman"/>
                <w:sz w:val="24"/>
              </w:rPr>
              <w:t xml:space="preserve"> (75) </w:t>
            </w:r>
            <w:r w:rsidR="00CE61A5">
              <w:rPr>
                <w:rFonts w:ascii="Times New Roman" w:hAnsi="Times New Roman" w:cs="Times New Roman"/>
                <w:sz w:val="24"/>
              </w:rPr>
              <w:t>to</w:t>
            </w:r>
            <w:r w:rsidR="0B701945" w:rsidRPr="00166E0C">
              <w:rPr>
                <w:rFonts w:ascii="Times New Roman" w:hAnsi="Times New Roman" w:cs="Times New Roman"/>
                <w:sz w:val="24"/>
              </w:rPr>
              <w:t xml:space="preserve"> (75</w:t>
            </w:r>
            <w:r w:rsidR="00CE61A5">
              <w:rPr>
                <w:rFonts w:ascii="Times New Roman" w:hAnsi="Times New Roman" w:cs="Times New Roman"/>
                <w:sz w:val="24"/>
              </w:rPr>
              <w:t>f</w:t>
            </w:r>
            <w:r w:rsidR="0B701945" w:rsidRPr="00166E0C">
              <w:rPr>
                <w:rFonts w:ascii="Times New Roman" w:hAnsi="Times New Roman" w:cs="Times New Roman"/>
                <w:sz w:val="24"/>
              </w:rPr>
              <w:t xml:space="preserve">) of </w:t>
            </w:r>
            <w:r w:rsidR="4539F054" w:rsidRPr="00166E0C">
              <w:rPr>
                <w:rFonts w:ascii="Times New Roman" w:eastAsia="Times New Roman" w:hAnsi="Times New Roman" w:cs="Times New Roman"/>
                <w:color w:val="000000" w:themeColor="text1"/>
                <w:sz w:val="24"/>
              </w:rPr>
              <w:t>Regulation (EU) No 575/2013</w:t>
            </w:r>
            <w:r w:rsidR="4539F054" w:rsidRPr="00166E0C">
              <w:rPr>
                <w:rFonts w:ascii="Times New Roman" w:eastAsia="Times New Roman" w:hAnsi="Times New Roman" w:cs="Times New Roman"/>
                <w:sz w:val="24"/>
              </w:rPr>
              <w:t xml:space="preserve"> </w:t>
            </w:r>
            <w:r w:rsidR="0B701945" w:rsidRPr="00166E0C">
              <w:rPr>
                <w:rFonts w:ascii="Times New Roman" w:hAnsi="Times New Roman" w:cs="Times New Roman"/>
                <w:sz w:val="24"/>
              </w:rPr>
              <w:t>and exposures as defined in Article 4 (</w:t>
            </w:r>
            <w:r w:rsidR="0B7993BE" w:rsidRPr="00166E0C">
              <w:rPr>
                <w:rFonts w:ascii="Times New Roman" w:hAnsi="Times New Roman" w:cs="Times New Roman"/>
                <w:sz w:val="24"/>
              </w:rPr>
              <w:t>1</w:t>
            </w:r>
            <w:r w:rsidR="0B701945" w:rsidRPr="00166E0C">
              <w:rPr>
                <w:rFonts w:ascii="Times New Roman" w:hAnsi="Times New Roman" w:cs="Times New Roman"/>
                <w:sz w:val="24"/>
              </w:rPr>
              <w:t>), point (7</w:t>
            </w:r>
            <w:r w:rsidR="00CE61A5">
              <w:rPr>
                <w:rFonts w:ascii="Times New Roman" w:hAnsi="Times New Roman" w:cs="Times New Roman"/>
                <w:sz w:val="24"/>
              </w:rPr>
              <w:t>8a</w:t>
            </w:r>
            <w:r w:rsidR="0B701945" w:rsidRPr="00166E0C">
              <w:rPr>
                <w:rFonts w:ascii="Times New Roman" w:hAnsi="Times New Roman" w:cs="Times New Roman"/>
                <w:sz w:val="24"/>
              </w:rPr>
              <w:t xml:space="preserve">) </w:t>
            </w:r>
            <w:r w:rsidR="0B701945" w:rsidRPr="00166E0C">
              <w:rPr>
                <w:rFonts w:ascii="Times New Roman" w:hAnsi="Times New Roman" w:cs="Times New Roman"/>
                <w:sz w:val="24"/>
                <w:lang w:val="en-US"/>
              </w:rPr>
              <w:t xml:space="preserve">of </w:t>
            </w:r>
            <w:r w:rsidR="4E5D19A6" w:rsidRPr="00166E0C">
              <w:rPr>
                <w:rFonts w:ascii="Times New Roman" w:eastAsia="Times New Roman" w:hAnsi="Times New Roman" w:cs="Times New Roman"/>
                <w:color w:val="000000" w:themeColor="text1"/>
                <w:sz w:val="24"/>
              </w:rPr>
              <w:t>Regulation (EU) No 575/2013</w:t>
            </w:r>
            <w:r w:rsidR="4E5D19A6" w:rsidRPr="00166E0C">
              <w:rPr>
                <w:rFonts w:ascii="Times New Roman" w:eastAsia="Times New Roman" w:hAnsi="Times New Roman" w:cs="Times New Roman"/>
                <w:sz w:val="24"/>
              </w:rPr>
              <w:t xml:space="preserve"> </w:t>
            </w:r>
            <w:r w:rsidR="0B701945" w:rsidRPr="00166E0C">
              <w:rPr>
                <w:rFonts w:ascii="Times New Roman" w:hAnsi="Times New Roman" w:cs="Times New Roman"/>
                <w:sz w:val="24"/>
              </w:rPr>
              <w:t>shall be reported here.</w:t>
            </w:r>
          </w:p>
          <w:p w14:paraId="03F0288C" w14:textId="5F4104D7" w:rsidR="00324117" w:rsidRPr="00166E0C" w:rsidRDefault="00324117" w:rsidP="00B731E6">
            <w:pPr>
              <w:spacing w:after="120"/>
              <w:jc w:val="both"/>
              <w:rPr>
                <w:rFonts w:ascii="Times New Roman" w:eastAsiaTheme="minorHAnsi" w:hAnsi="Times New Roman" w:cs="Times New Roman"/>
                <w:sz w:val="24"/>
              </w:rPr>
            </w:pPr>
            <w:r w:rsidRPr="00166E0C">
              <w:rPr>
                <w:rFonts w:ascii="Times New Roman" w:hAnsi="Times New Roman" w:cs="Times New Roman"/>
                <w:bCs/>
                <w:sz w:val="24"/>
              </w:rPr>
              <w:t>This row is the sum of rows 9.1; 9.2</w:t>
            </w:r>
            <w:r w:rsidR="00DD25C2" w:rsidRPr="00166E0C">
              <w:rPr>
                <w:rFonts w:ascii="Times New Roman" w:hAnsi="Times New Roman" w:cs="Times New Roman"/>
                <w:bCs/>
                <w:sz w:val="24"/>
              </w:rPr>
              <w:t>; 9.3; 9.4; 9.5.</w:t>
            </w:r>
          </w:p>
        </w:tc>
      </w:tr>
      <w:tr w:rsidR="00B731E6" w:rsidRPr="00166E0C" w14:paraId="33B98B6E" w14:textId="77777777" w:rsidTr="5A0D947F">
        <w:trPr>
          <w:trHeight w:val="507"/>
        </w:trPr>
        <w:tc>
          <w:tcPr>
            <w:tcW w:w="1413" w:type="dxa"/>
            <w:shd w:val="clear" w:color="auto" w:fill="auto"/>
          </w:tcPr>
          <w:p w14:paraId="309AF170" w14:textId="317795BB" w:rsidR="00B731E6" w:rsidRPr="00166E0C" w:rsidRDefault="00B731E6" w:rsidP="00B731E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9.1</w:t>
            </w:r>
          </w:p>
        </w:tc>
        <w:tc>
          <w:tcPr>
            <w:tcW w:w="7654" w:type="dxa"/>
            <w:shd w:val="clear" w:color="auto" w:fill="auto"/>
          </w:tcPr>
          <w:p w14:paraId="0DE2BD5F" w14:textId="7880F40C" w:rsidR="00F26067" w:rsidRPr="00FB64CF" w:rsidRDefault="00B731E6" w:rsidP="007750BC">
            <w:pPr>
              <w:spacing w:after="120"/>
              <w:jc w:val="both"/>
              <w:rPr>
                <w:rFonts w:ascii="Times New Roman" w:eastAsiaTheme="minorHAnsi" w:hAnsi="Times New Roman" w:cs="Times New Roman"/>
                <w:b/>
                <w:bCs/>
                <w:sz w:val="24"/>
              </w:rPr>
            </w:pPr>
            <w:r w:rsidRPr="00FB64CF">
              <w:rPr>
                <w:rFonts w:ascii="Times New Roman" w:eastAsiaTheme="minorHAnsi" w:hAnsi="Times New Roman" w:cs="Times New Roman"/>
                <w:b/>
                <w:bCs/>
                <w:sz w:val="24"/>
              </w:rPr>
              <w:t xml:space="preserve">Secured by mortgages on residential immovable property - non </w:t>
            </w:r>
            <w:proofErr w:type="gramStart"/>
            <w:r w:rsidRPr="00FB64CF">
              <w:rPr>
                <w:rFonts w:ascii="Times New Roman" w:eastAsiaTheme="minorHAnsi" w:hAnsi="Times New Roman" w:cs="Times New Roman"/>
                <w:b/>
                <w:bCs/>
                <w:sz w:val="24"/>
              </w:rPr>
              <w:t>IPRE</w:t>
            </w:r>
            <w:proofErr w:type="gramEnd"/>
          </w:p>
          <w:p w14:paraId="1A8747F6" w14:textId="045D4EEB" w:rsidR="00F26067" w:rsidRPr="00166E0C" w:rsidRDefault="00F26067" w:rsidP="007750BC">
            <w:pPr>
              <w:spacing w:after="120"/>
              <w:jc w:val="both"/>
              <w:rPr>
                <w:rFonts w:ascii="Times New Roman" w:hAnsi="Times New Roman" w:cs="Times New Roman"/>
                <w:bCs/>
                <w:sz w:val="24"/>
              </w:rPr>
            </w:pPr>
            <w:r>
              <w:rPr>
                <w:rFonts w:ascii="Times New Roman" w:hAnsi="Times New Roman" w:cs="Times New Roman"/>
                <w:bCs/>
                <w:sz w:val="24"/>
              </w:rPr>
              <w:t>E</w:t>
            </w:r>
            <w:r w:rsidR="00B731E6" w:rsidRPr="00166E0C">
              <w:rPr>
                <w:rFonts w:ascii="Times New Roman" w:hAnsi="Times New Roman" w:cs="Times New Roman"/>
                <w:bCs/>
                <w:sz w:val="24"/>
              </w:rPr>
              <w:t xml:space="preserve">xposures </w:t>
            </w:r>
            <w:r w:rsidR="003F5A5D" w:rsidRPr="00166E0C">
              <w:rPr>
                <w:rFonts w:ascii="Times New Roman" w:hAnsi="Times New Roman" w:cs="Times New Roman"/>
                <w:bCs/>
                <w:sz w:val="24"/>
                <w:lang w:val="en-US"/>
              </w:rPr>
              <w:t>treated in accordance with</w:t>
            </w:r>
            <w:r w:rsidR="001C3FDD" w:rsidRPr="00166E0C">
              <w:rPr>
                <w:rFonts w:ascii="Times New Roman" w:hAnsi="Times New Roman" w:cs="Times New Roman"/>
                <w:bCs/>
                <w:sz w:val="24"/>
                <w:lang w:val="en-US"/>
              </w:rPr>
              <w:t xml:space="preserve"> Article 125</w:t>
            </w:r>
            <w:r w:rsidR="00DC6346" w:rsidRPr="00166E0C">
              <w:rPr>
                <w:rFonts w:ascii="Times New Roman" w:hAnsi="Times New Roman" w:cs="Times New Roman"/>
                <w:bCs/>
                <w:sz w:val="24"/>
                <w:lang w:val="en-US"/>
              </w:rPr>
              <w:t xml:space="preserve"> (1)</w:t>
            </w:r>
            <w:r w:rsidR="006A3C2C" w:rsidRPr="00166E0C">
              <w:rPr>
                <w:rFonts w:ascii="Times New Roman" w:hAnsi="Times New Roman" w:cs="Times New Roman"/>
                <w:bCs/>
                <w:sz w:val="24"/>
                <w:lang w:val="en-US"/>
              </w:rPr>
              <w:t xml:space="preserve"> of Regul</w:t>
            </w:r>
            <w:r w:rsidR="00F65129" w:rsidRPr="00166E0C">
              <w:rPr>
                <w:rFonts w:ascii="Times New Roman" w:hAnsi="Times New Roman" w:cs="Times New Roman"/>
                <w:bCs/>
                <w:sz w:val="24"/>
                <w:lang w:val="en-US"/>
              </w:rPr>
              <w:t>ation (EU) No 575/2013</w:t>
            </w:r>
            <w:r w:rsidR="00B731E6" w:rsidRPr="00166E0C">
              <w:rPr>
                <w:rFonts w:ascii="Times New Roman" w:hAnsi="Times New Roman" w:cs="Times New Roman"/>
                <w:bCs/>
                <w:sz w:val="24"/>
              </w:rPr>
              <w:t xml:space="preserve"> shall be </w:t>
            </w:r>
            <w:r w:rsidR="00FB5EB0" w:rsidRPr="00166E0C">
              <w:rPr>
                <w:rFonts w:ascii="Times New Roman" w:hAnsi="Times New Roman" w:cs="Times New Roman"/>
                <w:bCs/>
                <w:sz w:val="24"/>
              </w:rPr>
              <w:t>disclosed</w:t>
            </w:r>
            <w:r w:rsidR="00B731E6" w:rsidRPr="00166E0C">
              <w:rPr>
                <w:rFonts w:ascii="Times New Roman" w:hAnsi="Times New Roman" w:cs="Times New Roman"/>
                <w:bCs/>
                <w:sz w:val="24"/>
              </w:rPr>
              <w:t xml:space="preserve"> here.</w:t>
            </w:r>
          </w:p>
          <w:p w14:paraId="739769BE" w14:textId="77777777" w:rsidR="00FB64CF" w:rsidRDefault="007750BC" w:rsidP="007750BC">
            <w:pPr>
              <w:spacing w:after="120"/>
              <w:jc w:val="both"/>
              <w:rPr>
                <w:rFonts w:ascii="Times New Roman" w:eastAsiaTheme="minorHAnsi" w:hAnsi="Times New Roman"/>
                <w:sz w:val="24"/>
              </w:rPr>
            </w:pPr>
            <w:r w:rsidRPr="00166E0C">
              <w:rPr>
                <w:rFonts w:ascii="Times New Roman" w:hAnsi="Times New Roman" w:cs="Times New Roman"/>
                <w:bCs/>
                <w:sz w:val="24"/>
              </w:rPr>
              <w:br/>
            </w:r>
            <w:r w:rsidR="006C3E03" w:rsidRPr="00166E0C">
              <w:rPr>
                <w:rFonts w:ascii="Times New Roman" w:hAnsi="Times New Roman" w:cs="Times New Roman"/>
                <w:bCs/>
                <w:sz w:val="24"/>
              </w:rPr>
              <w:t>In this row</w:t>
            </w:r>
            <w:r w:rsidR="00BC234D" w:rsidRPr="00166E0C">
              <w:rPr>
                <w:rFonts w:ascii="Times New Roman" w:hAnsi="Times New Roman" w:cs="Times New Roman"/>
                <w:bCs/>
                <w:sz w:val="24"/>
              </w:rPr>
              <w:t xml:space="preserve"> they are also </w:t>
            </w:r>
            <w:r w:rsidR="00933A1E" w:rsidRPr="00166E0C">
              <w:rPr>
                <w:rFonts w:ascii="Times New Roman" w:hAnsi="Times New Roman" w:cs="Times New Roman"/>
                <w:bCs/>
                <w:sz w:val="24"/>
              </w:rPr>
              <w:t>disclosed</w:t>
            </w:r>
            <w:r w:rsidR="00323171" w:rsidRPr="00166E0C">
              <w:rPr>
                <w:rFonts w:ascii="Times New Roman" w:hAnsi="Times New Roman" w:cs="Times New Roman"/>
                <w:bCs/>
                <w:sz w:val="24"/>
              </w:rPr>
              <w:t>:</w:t>
            </w:r>
            <w:r w:rsidR="00076BFB" w:rsidRPr="00166E0C">
              <w:rPr>
                <w:rFonts w:ascii="Times New Roman" w:hAnsi="Times New Roman" w:cs="Times New Roman"/>
                <w:bCs/>
                <w:sz w:val="24"/>
              </w:rPr>
              <w:t xml:space="preserve"> </w:t>
            </w:r>
            <w:r w:rsidR="00BC2787" w:rsidRPr="00FB64CF">
              <w:rPr>
                <w:rFonts w:ascii="Times New Roman" w:eastAsiaTheme="minorHAnsi" w:hAnsi="Times New Roman"/>
                <w:sz w:val="24"/>
              </w:rPr>
              <w:t>other exposures secured by mortgages on residential immovable property- non-IPRE that do not meet the conditions in Article 124(3)</w:t>
            </w:r>
            <w:r w:rsidR="00F26067">
              <w:rPr>
                <w:rFonts w:ascii="Times New Roman" w:eastAsiaTheme="minorHAnsi" w:hAnsi="Times New Roman"/>
                <w:sz w:val="24"/>
              </w:rPr>
              <w:t>;</w:t>
            </w:r>
            <w:r w:rsidR="00790935" w:rsidRPr="00FB64CF">
              <w:rPr>
                <w:rFonts w:ascii="Times New Roman" w:eastAsiaTheme="minorHAnsi" w:hAnsi="Times New Roman"/>
                <w:sz w:val="24"/>
              </w:rPr>
              <w:t xml:space="preserve"> or any part of a non -ADC exposure that exceeds the nominal amount of the lien of the property</w:t>
            </w:r>
            <w:r w:rsidR="00BC2787" w:rsidRPr="00FB64CF">
              <w:rPr>
                <w:rFonts w:ascii="Times New Roman" w:eastAsiaTheme="minorHAnsi" w:hAnsi="Times New Roman"/>
                <w:sz w:val="24"/>
              </w:rPr>
              <w:t>, referred to in Article 124(1), point (a) of Regulation (EU) No 575/2013</w:t>
            </w:r>
            <w:r w:rsidR="00F26067">
              <w:rPr>
                <w:rFonts w:ascii="Times New Roman" w:eastAsiaTheme="minorHAnsi" w:hAnsi="Times New Roman"/>
                <w:sz w:val="24"/>
              </w:rPr>
              <w:t>.</w:t>
            </w:r>
          </w:p>
          <w:p w14:paraId="432D1633" w14:textId="5C6396A7" w:rsidR="004E3D87" w:rsidRPr="00166E0C" w:rsidRDefault="004E3D87" w:rsidP="007750BC">
            <w:pPr>
              <w:spacing w:after="120"/>
              <w:jc w:val="both"/>
              <w:rPr>
                <w:rFonts w:ascii="Times New Roman" w:hAnsi="Times New Roman" w:cs="Times New Roman"/>
                <w:bCs/>
                <w:sz w:val="24"/>
              </w:rPr>
            </w:pPr>
            <w:r w:rsidRPr="00166E0C">
              <w:rPr>
                <w:rFonts w:ascii="Times New Roman" w:hAnsi="Times New Roman" w:cs="Times New Roman"/>
                <w:bCs/>
                <w:sz w:val="24"/>
              </w:rPr>
              <w:t>This row is the sum of rows 9.1.1</w:t>
            </w:r>
            <w:r w:rsidR="00BC2787" w:rsidRPr="00166E0C">
              <w:rPr>
                <w:rFonts w:ascii="Times New Roman" w:hAnsi="Times New Roman" w:cs="Times New Roman"/>
                <w:bCs/>
                <w:sz w:val="24"/>
              </w:rPr>
              <w:t>,</w:t>
            </w:r>
            <w:r w:rsidRPr="00166E0C">
              <w:rPr>
                <w:rFonts w:ascii="Times New Roman" w:hAnsi="Times New Roman" w:cs="Times New Roman"/>
                <w:bCs/>
                <w:sz w:val="24"/>
              </w:rPr>
              <w:t xml:space="preserve"> 9.1.2</w:t>
            </w:r>
            <w:r w:rsidR="00BC2787" w:rsidRPr="00166E0C">
              <w:rPr>
                <w:rFonts w:ascii="Times New Roman" w:hAnsi="Times New Roman" w:cs="Times New Roman"/>
                <w:bCs/>
                <w:sz w:val="24"/>
              </w:rPr>
              <w:t xml:space="preserve"> and 9.1.3.</w:t>
            </w:r>
          </w:p>
        </w:tc>
      </w:tr>
      <w:tr w:rsidR="00B731E6" w:rsidRPr="00166E0C" w14:paraId="3757A5E1" w14:textId="77777777" w:rsidTr="5A0D947F">
        <w:trPr>
          <w:trHeight w:val="507"/>
        </w:trPr>
        <w:tc>
          <w:tcPr>
            <w:tcW w:w="1413" w:type="dxa"/>
            <w:shd w:val="clear" w:color="auto" w:fill="auto"/>
          </w:tcPr>
          <w:p w14:paraId="6947CF4E" w14:textId="20DCDB33" w:rsidR="00B731E6" w:rsidRPr="00166E0C" w:rsidRDefault="00B731E6" w:rsidP="00B731E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9.1.1</w:t>
            </w:r>
          </w:p>
        </w:tc>
        <w:tc>
          <w:tcPr>
            <w:tcW w:w="7654" w:type="dxa"/>
            <w:shd w:val="clear" w:color="auto" w:fill="auto"/>
          </w:tcPr>
          <w:p w14:paraId="7643D411" w14:textId="53D2093F" w:rsidR="00F26067" w:rsidRPr="00FB64CF" w:rsidRDefault="00F26067" w:rsidP="00B731E6">
            <w:pPr>
              <w:spacing w:after="120"/>
              <w:jc w:val="both"/>
              <w:rPr>
                <w:rFonts w:ascii="Times New Roman" w:eastAsiaTheme="minorHAnsi" w:hAnsi="Times New Roman" w:cs="Times New Roman"/>
                <w:b/>
                <w:bCs/>
                <w:sz w:val="24"/>
              </w:rPr>
            </w:pPr>
            <w:r w:rsidRPr="00FB64CF">
              <w:rPr>
                <w:rFonts w:ascii="Times New Roman" w:eastAsiaTheme="minorHAnsi" w:hAnsi="Times New Roman" w:cs="Times New Roman"/>
                <w:b/>
                <w:bCs/>
                <w:sz w:val="24"/>
              </w:rPr>
              <w:t>N</w:t>
            </w:r>
            <w:r w:rsidR="00B731E6" w:rsidRPr="00FB64CF">
              <w:rPr>
                <w:rFonts w:ascii="Times New Roman" w:eastAsiaTheme="minorHAnsi" w:hAnsi="Times New Roman" w:cs="Times New Roman"/>
                <w:b/>
                <w:bCs/>
                <w:sz w:val="24"/>
              </w:rPr>
              <w:t xml:space="preserve">o loan splitting </w:t>
            </w:r>
            <w:proofErr w:type="gramStart"/>
            <w:r w:rsidR="00B731E6" w:rsidRPr="00FB64CF">
              <w:rPr>
                <w:rFonts w:ascii="Times New Roman" w:eastAsiaTheme="minorHAnsi" w:hAnsi="Times New Roman" w:cs="Times New Roman"/>
                <w:b/>
                <w:bCs/>
                <w:sz w:val="24"/>
              </w:rPr>
              <w:t>applied</w:t>
            </w:r>
            <w:proofErr w:type="gramEnd"/>
          </w:p>
          <w:p w14:paraId="02E8C845" w14:textId="57A0B1B1" w:rsidR="00B731E6" w:rsidRPr="00166E0C" w:rsidRDefault="00F26067" w:rsidP="00B731E6">
            <w:pPr>
              <w:spacing w:after="120"/>
              <w:jc w:val="both"/>
              <w:rPr>
                <w:rFonts w:ascii="Times New Roman" w:eastAsiaTheme="minorHAnsi" w:hAnsi="Times New Roman" w:cs="Times New Roman"/>
                <w:sz w:val="24"/>
              </w:rPr>
            </w:pPr>
            <w:r>
              <w:rPr>
                <w:rFonts w:ascii="Times New Roman" w:eastAsiaTheme="minorHAnsi" w:hAnsi="Times New Roman" w:cs="Times New Roman"/>
                <w:sz w:val="24"/>
              </w:rPr>
              <w:t>E</w:t>
            </w:r>
            <w:r w:rsidR="00B731E6" w:rsidRPr="00166E0C">
              <w:rPr>
                <w:rFonts w:ascii="Times New Roman" w:eastAsiaTheme="minorHAnsi" w:hAnsi="Times New Roman" w:cs="Times New Roman"/>
                <w:sz w:val="24"/>
              </w:rPr>
              <w:t>xposures secured by mortgages on residential immovable property-non IPRE to which the loan splitting approach as described in Article 125(1)</w:t>
            </w:r>
            <w:r>
              <w:rPr>
                <w:rFonts w:ascii="Times New Roman" w:eastAsiaTheme="minorHAnsi" w:hAnsi="Times New Roman" w:cs="Times New Roman"/>
                <w:sz w:val="24"/>
              </w:rPr>
              <w:t xml:space="preserve"> </w:t>
            </w:r>
            <w:r w:rsidRPr="0029573F">
              <w:rPr>
                <w:rFonts w:ascii="Times New Roman" w:eastAsiaTheme="minorHAnsi" w:hAnsi="Times New Roman"/>
                <w:sz w:val="24"/>
              </w:rPr>
              <w:t>of Regulation (EU) No 575/2013</w:t>
            </w:r>
            <w:r w:rsidR="00B731E6" w:rsidRPr="00166E0C">
              <w:rPr>
                <w:rFonts w:ascii="Times New Roman" w:eastAsiaTheme="minorHAnsi" w:hAnsi="Times New Roman" w:cs="Times New Roman"/>
                <w:sz w:val="24"/>
              </w:rPr>
              <w:t xml:space="preserve"> does not apply. </w:t>
            </w:r>
          </w:p>
        </w:tc>
      </w:tr>
      <w:tr w:rsidR="00B731E6" w:rsidRPr="00BC439A" w14:paraId="7102D657" w14:textId="77777777" w:rsidTr="5A0D947F">
        <w:trPr>
          <w:trHeight w:val="507"/>
        </w:trPr>
        <w:tc>
          <w:tcPr>
            <w:tcW w:w="1413" w:type="dxa"/>
            <w:shd w:val="clear" w:color="auto" w:fill="auto"/>
          </w:tcPr>
          <w:p w14:paraId="38838607" w14:textId="5063C525" w:rsidR="00B731E6" w:rsidRPr="00166E0C" w:rsidRDefault="00B731E6" w:rsidP="00B731E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9.1.</w:t>
            </w:r>
            <w:r w:rsidR="00BC2787" w:rsidRPr="00166E0C">
              <w:rPr>
                <w:rFonts w:ascii="Times New Roman" w:eastAsia="Times New Roman" w:hAnsi="Times New Roman" w:cs="Times New Roman"/>
                <w:sz w:val="24"/>
              </w:rPr>
              <w:t>2</w:t>
            </w:r>
          </w:p>
        </w:tc>
        <w:tc>
          <w:tcPr>
            <w:tcW w:w="7654" w:type="dxa"/>
            <w:shd w:val="clear" w:color="auto" w:fill="auto"/>
          </w:tcPr>
          <w:p w14:paraId="0F9D3D69" w14:textId="1E8EFD2D" w:rsidR="00F26067" w:rsidRPr="00FB64CF" w:rsidRDefault="00F26067"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L</w:t>
            </w:r>
            <w:r w:rsidR="0B701945" w:rsidRPr="00FB64CF">
              <w:rPr>
                <w:rFonts w:ascii="Times New Roman" w:hAnsi="Times New Roman" w:cs="Times New Roman"/>
                <w:b/>
                <w:bCs/>
                <w:sz w:val="24"/>
              </w:rPr>
              <w:t>oan splitting applied (secured)</w:t>
            </w:r>
          </w:p>
          <w:p w14:paraId="28B98A7E" w14:textId="6E936DED" w:rsidR="00B731E6" w:rsidRPr="00BC439A" w:rsidRDefault="00F26067" w:rsidP="5A0D947F">
            <w:pPr>
              <w:spacing w:after="120"/>
              <w:jc w:val="both"/>
              <w:rPr>
                <w:rFonts w:ascii="Times New Roman" w:hAnsi="Times New Roman" w:cs="Times New Roman"/>
                <w:sz w:val="24"/>
              </w:rPr>
            </w:pPr>
            <w:r>
              <w:rPr>
                <w:rFonts w:ascii="Times New Roman" w:hAnsi="Times New Roman" w:cs="Times New Roman"/>
                <w:sz w:val="24"/>
              </w:rPr>
              <w:t>S</w:t>
            </w:r>
            <w:r w:rsidR="0B701945" w:rsidRPr="00166E0C">
              <w:rPr>
                <w:rFonts w:ascii="Times New Roman" w:hAnsi="Times New Roman" w:cs="Times New Roman"/>
                <w:sz w:val="24"/>
              </w:rPr>
              <w:t>ecured part of exposures secured by mortgages on residential immovable property to which the loan splitting approach as described in Articles 125 (1)</w:t>
            </w:r>
            <w:r w:rsidR="13FAC8EF" w:rsidRPr="00166E0C">
              <w:rPr>
                <w:rFonts w:ascii="Times New Roman" w:hAnsi="Times New Roman" w:cs="Times New Roman"/>
                <w:sz w:val="24"/>
              </w:rPr>
              <w:t>, point (a)</w:t>
            </w:r>
            <w:r w:rsidR="4CA703BE" w:rsidRPr="00166E0C">
              <w:rPr>
                <w:rFonts w:ascii="Times New Roman" w:hAnsi="Times New Roman" w:cs="Times New Roman"/>
                <w:sz w:val="24"/>
              </w:rPr>
              <w:t xml:space="preserve"> of the </w:t>
            </w:r>
            <w:r w:rsidR="08A24672" w:rsidRPr="00166E0C">
              <w:rPr>
                <w:rFonts w:ascii="Times New Roman" w:eastAsia="Times New Roman" w:hAnsi="Times New Roman" w:cs="Times New Roman"/>
                <w:color w:val="000000" w:themeColor="text1"/>
                <w:sz w:val="24"/>
              </w:rPr>
              <w:t>Regulation (EU) No 575/2013</w:t>
            </w:r>
            <w:r w:rsidR="08A24672" w:rsidRPr="00166E0C">
              <w:rPr>
                <w:rFonts w:ascii="Times New Roman" w:eastAsia="Times New Roman" w:hAnsi="Times New Roman" w:cs="Times New Roman"/>
                <w:sz w:val="24"/>
              </w:rPr>
              <w:t xml:space="preserve"> </w:t>
            </w:r>
            <w:r w:rsidR="0B701945" w:rsidRPr="00166E0C">
              <w:rPr>
                <w:rFonts w:ascii="Times New Roman" w:hAnsi="Times New Roman" w:cs="Times New Roman"/>
                <w:sz w:val="24"/>
              </w:rPr>
              <w:t>applies.</w:t>
            </w:r>
          </w:p>
        </w:tc>
      </w:tr>
      <w:tr w:rsidR="00B731E6" w:rsidRPr="00BC439A" w14:paraId="0CDDB3DF" w14:textId="77777777" w:rsidTr="5A0D947F">
        <w:trPr>
          <w:trHeight w:val="507"/>
        </w:trPr>
        <w:tc>
          <w:tcPr>
            <w:tcW w:w="1413" w:type="dxa"/>
            <w:shd w:val="clear" w:color="auto" w:fill="auto"/>
          </w:tcPr>
          <w:p w14:paraId="14E5CE41" w14:textId="2C251DBD" w:rsidR="00B731E6" w:rsidRPr="00BC439A" w:rsidRDefault="00B731E6" w:rsidP="00B731E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9.1.</w:t>
            </w:r>
            <w:r w:rsidR="00BC2787">
              <w:rPr>
                <w:rFonts w:ascii="Times New Roman" w:eastAsia="Times New Roman" w:hAnsi="Times New Roman" w:cs="Times New Roman"/>
                <w:sz w:val="24"/>
              </w:rPr>
              <w:t>3</w:t>
            </w:r>
          </w:p>
        </w:tc>
        <w:tc>
          <w:tcPr>
            <w:tcW w:w="7654" w:type="dxa"/>
            <w:shd w:val="clear" w:color="auto" w:fill="auto"/>
          </w:tcPr>
          <w:p w14:paraId="276011BB" w14:textId="26F29D4D" w:rsidR="00F26067" w:rsidRPr="00FB64CF" w:rsidRDefault="00F26067"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L</w:t>
            </w:r>
            <w:r w:rsidR="0B701945" w:rsidRPr="00FB64CF">
              <w:rPr>
                <w:rFonts w:ascii="Times New Roman" w:hAnsi="Times New Roman" w:cs="Times New Roman"/>
                <w:b/>
                <w:bCs/>
                <w:sz w:val="24"/>
              </w:rPr>
              <w:t>oan splitting applied (unsecured)</w:t>
            </w:r>
          </w:p>
          <w:p w14:paraId="4F2656D3" w14:textId="59CF83C6" w:rsidR="00B731E6" w:rsidRPr="00BC439A" w:rsidRDefault="00F26067" w:rsidP="5A0D947F">
            <w:pPr>
              <w:spacing w:after="120"/>
              <w:jc w:val="both"/>
              <w:rPr>
                <w:rFonts w:ascii="Times New Roman" w:hAnsi="Times New Roman" w:cs="Times New Roman"/>
                <w:sz w:val="24"/>
              </w:rPr>
            </w:pPr>
            <w:r>
              <w:rPr>
                <w:rFonts w:ascii="Times New Roman" w:hAnsi="Times New Roman" w:cs="Times New Roman"/>
                <w:sz w:val="24"/>
              </w:rPr>
              <w:lastRenderedPageBreak/>
              <w:t xml:space="preserve">The </w:t>
            </w:r>
            <w:r w:rsidR="0B701945" w:rsidRPr="00BC439A">
              <w:rPr>
                <w:rFonts w:ascii="Times New Roman" w:hAnsi="Times New Roman" w:cs="Times New Roman"/>
                <w:sz w:val="24"/>
              </w:rPr>
              <w:t xml:space="preserve">remaining part of exposures secured by mortgages on residential immovable property to which the loan splitting approach as described in Article 125 (1) of the </w:t>
            </w:r>
            <w:r w:rsidR="6BE3510E" w:rsidRPr="00BC439A">
              <w:rPr>
                <w:rFonts w:ascii="Times New Roman" w:eastAsia="Times New Roman" w:hAnsi="Times New Roman" w:cs="Times New Roman"/>
                <w:color w:val="000000" w:themeColor="text1"/>
                <w:sz w:val="24"/>
              </w:rPr>
              <w:t>Regulation (EU) No 575/2013</w:t>
            </w:r>
            <w:r w:rsidR="6BE3510E" w:rsidRPr="00BC439A">
              <w:rPr>
                <w:rFonts w:ascii="Times New Roman" w:eastAsia="Times New Roman" w:hAnsi="Times New Roman" w:cs="Times New Roman"/>
                <w:sz w:val="24"/>
              </w:rPr>
              <w:t xml:space="preserve"> </w:t>
            </w:r>
            <w:r w:rsidR="0B701945" w:rsidRPr="00BC439A">
              <w:rPr>
                <w:rFonts w:ascii="Times New Roman" w:hAnsi="Times New Roman" w:cs="Times New Roman"/>
                <w:sz w:val="24"/>
              </w:rPr>
              <w:t xml:space="preserve">applies. </w:t>
            </w:r>
          </w:p>
        </w:tc>
      </w:tr>
      <w:tr w:rsidR="00B731E6" w:rsidRPr="00166E0C" w14:paraId="2B7F44F7" w14:textId="77777777" w:rsidTr="5A0D947F">
        <w:trPr>
          <w:trHeight w:val="507"/>
        </w:trPr>
        <w:tc>
          <w:tcPr>
            <w:tcW w:w="1413" w:type="dxa"/>
            <w:shd w:val="clear" w:color="auto" w:fill="auto"/>
          </w:tcPr>
          <w:p w14:paraId="304A35F9" w14:textId="540EF342" w:rsidR="00B731E6" w:rsidRPr="00166E0C" w:rsidRDefault="00B731E6" w:rsidP="00B731E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lastRenderedPageBreak/>
              <w:t>9.2</w:t>
            </w:r>
          </w:p>
        </w:tc>
        <w:tc>
          <w:tcPr>
            <w:tcW w:w="7654" w:type="dxa"/>
            <w:shd w:val="clear" w:color="auto" w:fill="auto"/>
          </w:tcPr>
          <w:p w14:paraId="70C82B6D" w14:textId="2D504FDB" w:rsidR="00AF5657" w:rsidRPr="00FB64CF" w:rsidRDefault="0B701945"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 xml:space="preserve">Secured by mortgages on residential immovable property – </w:t>
            </w:r>
            <w:proofErr w:type="gramStart"/>
            <w:r w:rsidRPr="00FB64CF">
              <w:rPr>
                <w:rFonts w:ascii="Times New Roman" w:hAnsi="Times New Roman" w:cs="Times New Roman"/>
                <w:b/>
                <w:bCs/>
                <w:sz w:val="24"/>
              </w:rPr>
              <w:t>IPRE</w:t>
            </w:r>
            <w:proofErr w:type="gramEnd"/>
          </w:p>
          <w:p w14:paraId="4E83C986" w14:textId="06AEEF5B" w:rsidR="00B731E6" w:rsidRPr="00166E0C" w:rsidRDefault="00AF5657" w:rsidP="5A0D947F">
            <w:pPr>
              <w:spacing w:after="120"/>
              <w:jc w:val="both"/>
              <w:rPr>
                <w:rFonts w:ascii="Times New Roman" w:hAnsi="Times New Roman" w:cs="Times New Roman"/>
                <w:sz w:val="24"/>
              </w:rPr>
            </w:pPr>
            <w:r>
              <w:rPr>
                <w:rFonts w:ascii="Times New Roman" w:hAnsi="Times New Roman" w:cs="Times New Roman"/>
                <w:sz w:val="24"/>
              </w:rPr>
              <w:t>E</w:t>
            </w:r>
            <w:r w:rsidR="0B701945" w:rsidRPr="00166E0C">
              <w:rPr>
                <w:rFonts w:ascii="Times New Roman" w:hAnsi="Times New Roman" w:cs="Times New Roman"/>
                <w:sz w:val="24"/>
              </w:rPr>
              <w:t>xposures which meet the definition of Article 4 (</w:t>
            </w:r>
            <w:r w:rsidR="4CA703BE" w:rsidRPr="00166E0C">
              <w:rPr>
                <w:rFonts w:ascii="Times New Roman" w:hAnsi="Times New Roman" w:cs="Times New Roman"/>
                <w:sz w:val="24"/>
              </w:rPr>
              <w:t>1</w:t>
            </w:r>
            <w:r w:rsidR="0B701945" w:rsidRPr="00166E0C">
              <w:rPr>
                <w:rFonts w:ascii="Times New Roman" w:hAnsi="Times New Roman" w:cs="Times New Roman"/>
                <w:sz w:val="24"/>
              </w:rPr>
              <w:t>), point (75</w:t>
            </w:r>
            <w:r w:rsidR="4CA703BE" w:rsidRPr="00166E0C">
              <w:rPr>
                <w:rFonts w:ascii="Times New Roman" w:hAnsi="Times New Roman" w:cs="Times New Roman"/>
                <w:sz w:val="24"/>
              </w:rPr>
              <w:t>b</w:t>
            </w:r>
            <w:r w:rsidR="0B701945" w:rsidRPr="00166E0C">
              <w:rPr>
                <w:rFonts w:ascii="Times New Roman" w:hAnsi="Times New Roman" w:cs="Times New Roman"/>
                <w:sz w:val="24"/>
              </w:rPr>
              <w:t xml:space="preserve">) </w:t>
            </w:r>
            <w:r w:rsidR="0B701945" w:rsidRPr="00166E0C">
              <w:rPr>
                <w:rFonts w:ascii="Times New Roman" w:hAnsi="Times New Roman" w:cs="Times New Roman"/>
                <w:sz w:val="24"/>
                <w:lang w:val="en-US"/>
              </w:rPr>
              <w:t xml:space="preserve">of the </w:t>
            </w:r>
            <w:r w:rsidR="0BA82B25" w:rsidRPr="00166E0C">
              <w:rPr>
                <w:rFonts w:ascii="Times New Roman" w:eastAsia="Times New Roman" w:hAnsi="Times New Roman" w:cs="Times New Roman"/>
                <w:color w:val="000000" w:themeColor="text1"/>
                <w:sz w:val="24"/>
              </w:rPr>
              <w:t>Regulation (EU) No 575/2013</w:t>
            </w:r>
            <w:r w:rsidR="0BA82B25" w:rsidRPr="00166E0C">
              <w:rPr>
                <w:rFonts w:ascii="Times New Roman" w:eastAsia="Times New Roman" w:hAnsi="Times New Roman" w:cs="Times New Roman"/>
                <w:sz w:val="24"/>
              </w:rPr>
              <w:t xml:space="preserve"> </w:t>
            </w:r>
            <w:r w:rsidR="0B701945" w:rsidRPr="00166E0C">
              <w:rPr>
                <w:rFonts w:ascii="Times New Roman" w:hAnsi="Times New Roman" w:cs="Times New Roman"/>
                <w:sz w:val="24"/>
              </w:rPr>
              <w:t>shall be reported here</w:t>
            </w:r>
            <w:r w:rsidR="008D77B1" w:rsidRPr="00166E0C">
              <w:rPr>
                <w:rFonts w:ascii="Times New Roman" w:hAnsi="Times New Roman" w:cs="Times New Roman"/>
                <w:sz w:val="24"/>
              </w:rPr>
              <w:t>.</w:t>
            </w:r>
          </w:p>
          <w:p w14:paraId="46AB10B2" w14:textId="77777777" w:rsidR="008D77B1" w:rsidRPr="00166E0C" w:rsidRDefault="00BC2787" w:rsidP="5A0D947F">
            <w:pPr>
              <w:spacing w:after="120"/>
              <w:jc w:val="both"/>
              <w:rPr>
                <w:rFonts w:ascii="Times New Roman" w:hAnsi="Times New Roman" w:cs="Times New Roman"/>
                <w:sz w:val="24"/>
              </w:rPr>
            </w:pPr>
            <w:r w:rsidRPr="00166E0C">
              <w:rPr>
                <w:rFonts w:ascii="Times New Roman" w:hAnsi="Times New Roman" w:cs="Times New Roman"/>
                <w:sz w:val="24"/>
              </w:rPr>
              <w:t>In this row they are also disclosed</w:t>
            </w:r>
            <w:r w:rsidR="008D77B1" w:rsidRPr="00166E0C">
              <w:rPr>
                <w:rFonts w:ascii="Times New Roman" w:hAnsi="Times New Roman" w:cs="Times New Roman"/>
                <w:sz w:val="24"/>
              </w:rPr>
              <w:t>:</w:t>
            </w:r>
            <w:r w:rsidRPr="00166E0C">
              <w:rPr>
                <w:rFonts w:ascii="Times New Roman" w:hAnsi="Times New Roman" w:cs="Times New Roman"/>
                <w:sz w:val="24"/>
              </w:rPr>
              <w:t xml:space="preserve"> </w:t>
            </w:r>
          </w:p>
          <w:p w14:paraId="56D10EDE" w14:textId="53C433B5" w:rsidR="008D77B1" w:rsidRPr="00166E0C" w:rsidRDefault="008D77B1" w:rsidP="5A0D947F">
            <w:pPr>
              <w:spacing w:after="120"/>
              <w:jc w:val="both"/>
              <w:rPr>
                <w:rFonts w:ascii="Times New Roman" w:eastAsiaTheme="minorHAnsi" w:hAnsi="Times New Roman" w:cs="Times New Roman"/>
                <w:sz w:val="24"/>
              </w:rPr>
            </w:pPr>
            <w:r w:rsidRPr="00166E0C">
              <w:rPr>
                <w:rFonts w:ascii="Times New Roman" w:hAnsi="Times New Roman" w:cs="Times New Roman"/>
                <w:sz w:val="24"/>
              </w:rPr>
              <w:t xml:space="preserve">- </w:t>
            </w:r>
            <w:r w:rsidR="00BC2787" w:rsidRPr="00166E0C">
              <w:rPr>
                <w:rFonts w:ascii="Times New Roman" w:eastAsiaTheme="minorHAnsi" w:hAnsi="Times New Roman" w:cs="Times New Roman"/>
                <w:sz w:val="24"/>
              </w:rPr>
              <w:t>other exposures secured by mortgages on residential immovable property- IPRE that do not meet the conditions in Article 124(3)</w:t>
            </w:r>
            <w:r w:rsidR="00790935" w:rsidRPr="00166E0C">
              <w:rPr>
                <w:rFonts w:ascii="Times New Roman" w:eastAsiaTheme="minorHAnsi" w:hAnsi="Times New Roman" w:cs="Times New Roman"/>
                <w:sz w:val="24"/>
              </w:rPr>
              <w:t xml:space="preserve"> or any part of a non -ADC exposure that exceeds the nominal amount of the lien of the property</w:t>
            </w:r>
            <w:r w:rsidR="00BC2787" w:rsidRPr="00166E0C">
              <w:rPr>
                <w:rFonts w:ascii="Times New Roman" w:eastAsiaTheme="minorHAnsi" w:hAnsi="Times New Roman" w:cs="Times New Roman"/>
                <w:sz w:val="24"/>
              </w:rPr>
              <w:t xml:space="preserve">, referred to in Article 124(1), point (b) of Regulation (EU) No </w:t>
            </w:r>
            <w:proofErr w:type="gramStart"/>
            <w:r w:rsidR="00BC2787" w:rsidRPr="00166E0C">
              <w:rPr>
                <w:rFonts w:ascii="Times New Roman" w:eastAsiaTheme="minorHAnsi" w:hAnsi="Times New Roman" w:cs="Times New Roman"/>
                <w:sz w:val="24"/>
              </w:rPr>
              <w:t>575/2013</w:t>
            </w:r>
            <w:r w:rsidRPr="00166E0C">
              <w:rPr>
                <w:rFonts w:ascii="Times New Roman" w:eastAsiaTheme="minorHAnsi" w:hAnsi="Times New Roman" w:cs="Times New Roman"/>
                <w:sz w:val="24"/>
              </w:rPr>
              <w:t>;</w:t>
            </w:r>
            <w:proofErr w:type="gramEnd"/>
          </w:p>
          <w:p w14:paraId="54B1CD31" w14:textId="77777777" w:rsidR="00DE1541" w:rsidRDefault="008D77B1" w:rsidP="5A0D947F">
            <w:pPr>
              <w:spacing w:after="120"/>
              <w:jc w:val="both"/>
              <w:rPr>
                <w:rFonts w:ascii="Times New Roman" w:hAnsi="Times New Roman" w:cs="Times New Roman"/>
                <w:bCs/>
                <w:sz w:val="24"/>
              </w:rPr>
            </w:pPr>
            <w:r w:rsidRPr="00166E0C">
              <w:rPr>
                <w:rFonts w:ascii="Times New Roman" w:eastAsiaTheme="minorHAnsi" w:hAnsi="Times New Roman" w:cs="Times New Roman"/>
                <w:sz w:val="24"/>
              </w:rPr>
              <w:t>-</w:t>
            </w:r>
            <w:r w:rsidRPr="00166E0C">
              <w:rPr>
                <w:rFonts w:ascii="Times New Roman" w:hAnsi="Times New Roman" w:cs="Times New Roman"/>
                <w:bCs/>
                <w:sz w:val="24"/>
              </w:rPr>
              <w:t xml:space="preserve">exposures IPRE meeting any of the conditions laid down in Article 124(2), point (a)(ii), points (1) to (4) of Regulation (EU) No </w:t>
            </w:r>
            <w:proofErr w:type="gramStart"/>
            <w:r w:rsidRPr="00166E0C">
              <w:rPr>
                <w:rFonts w:ascii="Times New Roman" w:hAnsi="Times New Roman" w:cs="Times New Roman"/>
                <w:bCs/>
                <w:sz w:val="24"/>
              </w:rPr>
              <w:t>575/2013;</w:t>
            </w:r>
            <w:proofErr w:type="gramEnd"/>
            <w:r w:rsidRPr="00166E0C">
              <w:rPr>
                <w:rFonts w:ascii="Times New Roman" w:hAnsi="Times New Roman" w:cs="Times New Roman"/>
                <w:bCs/>
                <w:sz w:val="24"/>
              </w:rPr>
              <w:t xml:space="preserve"> </w:t>
            </w:r>
          </w:p>
          <w:p w14:paraId="2A0561A2" w14:textId="62F31EDE" w:rsidR="00BC2787" w:rsidRPr="00166E0C" w:rsidRDefault="00DE1541" w:rsidP="5A0D947F">
            <w:pPr>
              <w:spacing w:after="120"/>
              <w:jc w:val="both"/>
              <w:rPr>
                <w:rFonts w:ascii="Times New Roman" w:hAnsi="Times New Roman" w:cs="Times New Roman"/>
                <w:sz w:val="24"/>
              </w:rPr>
            </w:pPr>
            <w:r>
              <w:rPr>
                <w:rFonts w:ascii="Times New Roman" w:hAnsi="Times New Roman" w:cs="Times New Roman"/>
                <w:bCs/>
                <w:sz w:val="24"/>
              </w:rPr>
              <w:t xml:space="preserve">- </w:t>
            </w:r>
            <w:r w:rsidR="008D77B1" w:rsidRPr="00166E0C">
              <w:rPr>
                <w:rFonts w:ascii="Times New Roman" w:hAnsi="Times New Roman" w:cs="Times New Roman"/>
                <w:bCs/>
                <w:sz w:val="24"/>
              </w:rPr>
              <w:t>exposures IPRE where the derogation set out in Article 125(2) of Regulation (EU) No 575/2013 is applied</w:t>
            </w:r>
            <w:r w:rsidR="00BC2787" w:rsidRPr="00166E0C">
              <w:rPr>
                <w:rFonts w:ascii="Times New Roman" w:eastAsiaTheme="minorHAnsi" w:hAnsi="Times New Roman" w:cs="Times New Roman"/>
                <w:sz w:val="24"/>
              </w:rPr>
              <w:t>.</w:t>
            </w:r>
          </w:p>
        </w:tc>
      </w:tr>
      <w:tr w:rsidR="00B731E6" w:rsidRPr="00166E0C" w14:paraId="755FF524" w14:textId="77777777" w:rsidTr="5A0D947F">
        <w:trPr>
          <w:trHeight w:val="507"/>
        </w:trPr>
        <w:tc>
          <w:tcPr>
            <w:tcW w:w="1413" w:type="dxa"/>
            <w:shd w:val="clear" w:color="auto" w:fill="auto"/>
          </w:tcPr>
          <w:p w14:paraId="4C858BA6" w14:textId="2DD3BA13" w:rsidR="00B731E6" w:rsidRPr="00166E0C" w:rsidRDefault="00B731E6" w:rsidP="00B731E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9.3</w:t>
            </w:r>
          </w:p>
        </w:tc>
        <w:tc>
          <w:tcPr>
            <w:tcW w:w="7654" w:type="dxa"/>
            <w:shd w:val="clear" w:color="auto" w:fill="auto"/>
          </w:tcPr>
          <w:p w14:paraId="1FB5BC8C" w14:textId="150F29C1" w:rsidR="00AF5657" w:rsidRPr="00FB64CF" w:rsidRDefault="00B731E6" w:rsidP="00B731E6">
            <w:pPr>
              <w:spacing w:after="120"/>
              <w:jc w:val="both"/>
              <w:rPr>
                <w:rFonts w:ascii="Times New Roman" w:eastAsiaTheme="minorHAnsi" w:hAnsi="Times New Roman" w:cs="Times New Roman"/>
                <w:b/>
                <w:bCs/>
                <w:sz w:val="24"/>
              </w:rPr>
            </w:pPr>
            <w:r w:rsidRPr="00FB64CF">
              <w:rPr>
                <w:rFonts w:ascii="Times New Roman" w:eastAsiaTheme="minorHAnsi" w:hAnsi="Times New Roman" w:cs="Times New Roman"/>
                <w:b/>
                <w:bCs/>
                <w:sz w:val="24"/>
              </w:rPr>
              <w:t xml:space="preserve">Secured by mortgages on commercial immovable property - non </w:t>
            </w:r>
            <w:proofErr w:type="gramStart"/>
            <w:r w:rsidRPr="00FB64CF">
              <w:rPr>
                <w:rFonts w:ascii="Times New Roman" w:eastAsiaTheme="minorHAnsi" w:hAnsi="Times New Roman" w:cs="Times New Roman"/>
                <w:b/>
                <w:bCs/>
                <w:sz w:val="24"/>
              </w:rPr>
              <w:t>IPRE</w:t>
            </w:r>
            <w:proofErr w:type="gramEnd"/>
          </w:p>
          <w:p w14:paraId="6D774530" w14:textId="076B20CB" w:rsidR="00B731E6" w:rsidRPr="00166E0C" w:rsidRDefault="00AF5657" w:rsidP="00B731E6">
            <w:pPr>
              <w:spacing w:after="120"/>
              <w:jc w:val="both"/>
              <w:rPr>
                <w:rFonts w:ascii="Times New Roman" w:hAnsi="Times New Roman" w:cs="Times New Roman"/>
                <w:bCs/>
                <w:sz w:val="24"/>
              </w:rPr>
            </w:pPr>
            <w:r>
              <w:rPr>
                <w:rFonts w:ascii="Times New Roman" w:hAnsi="Times New Roman" w:cs="Times New Roman"/>
                <w:bCs/>
                <w:sz w:val="24"/>
              </w:rPr>
              <w:t>E</w:t>
            </w:r>
            <w:r w:rsidR="00B731E6" w:rsidRPr="00166E0C">
              <w:rPr>
                <w:rFonts w:ascii="Times New Roman" w:hAnsi="Times New Roman" w:cs="Times New Roman"/>
                <w:bCs/>
                <w:sz w:val="24"/>
              </w:rPr>
              <w:t>xposures</w:t>
            </w:r>
            <w:r w:rsidR="00BB7FE4" w:rsidRPr="00166E0C">
              <w:rPr>
                <w:rFonts w:ascii="Times New Roman" w:hAnsi="Times New Roman" w:cs="Times New Roman"/>
                <w:bCs/>
                <w:sz w:val="24"/>
                <w:lang w:val="en-US"/>
              </w:rPr>
              <w:t xml:space="preserve"> </w:t>
            </w:r>
            <w:r w:rsidR="004A2FB7" w:rsidRPr="00166E0C">
              <w:rPr>
                <w:rFonts w:ascii="Times New Roman" w:hAnsi="Times New Roman" w:cs="Times New Roman"/>
                <w:bCs/>
                <w:sz w:val="24"/>
                <w:lang w:val="en-US"/>
              </w:rPr>
              <w:t xml:space="preserve">treated </w:t>
            </w:r>
            <w:r w:rsidR="00453692" w:rsidRPr="00166E0C">
              <w:rPr>
                <w:rFonts w:ascii="Times New Roman" w:hAnsi="Times New Roman" w:cs="Times New Roman"/>
                <w:bCs/>
                <w:sz w:val="24"/>
                <w:lang w:val="en-US"/>
              </w:rPr>
              <w:t>in accordance with Article 126 (1) of Regulation (EU) No 575/2013</w:t>
            </w:r>
            <w:r w:rsidR="00B731E6" w:rsidRPr="00166E0C">
              <w:rPr>
                <w:rFonts w:ascii="Times New Roman" w:hAnsi="Times New Roman" w:cs="Times New Roman"/>
                <w:bCs/>
                <w:sz w:val="24"/>
              </w:rPr>
              <w:t xml:space="preserve"> shall be </w:t>
            </w:r>
            <w:r w:rsidR="0033556A" w:rsidRPr="00166E0C">
              <w:rPr>
                <w:rFonts w:ascii="Times New Roman" w:hAnsi="Times New Roman" w:cs="Times New Roman"/>
                <w:bCs/>
                <w:sz w:val="24"/>
              </w:rPr>
              <w:t>disclosed</w:t>
            </w:r>
            <w:r w:rsidR="00B731E6" w:rsidRPr="00166E0C">
              <w:rPr>
                <w:rFonts w:ascii="Times New Roman" w:hAnsi="Times New Roman" w:cs="Times New Roman"/>
                <w:bCs/>
                <w:sz w:val="24"/>
              </w:rPr>
              <w:t xml:space="preserve"> here.</w:t>
            </w:r>
          </w:p>
          <w:p w14:paraId="7E6B1435" w14:textId="2E512A61" w:rsidR="00DA7EF5" w:rsidRPr="00166E0C" w:rsidRDefault="0033556A" w:rsidP="00B731E6">
            <w:pPr>
              <w:spacing w:after="120"/>
              <w:jc w:val="both"/>
              <w:rPr>
                <w:rFonts w:ascii="Times New Roman" w:hAnsi="Times New Roman" w:cs="Times New Roman"/>
                <w:bCs/>
                <w:sz w:val="24"/>
              </w:rPr>
            </w:pPr>
            <w:r w:rsidRPr="00166E0C">
              <w:rPr>
                <w:rFonts w:ascii="Times New Roman" w:hAnsi="Times New Roman" w:cs="Times New Roman"/>
                <w:bCs/>
                <w:sz w:val="24"/>
              </w:rPr>
              <w:t>In this row they are also disclosed</w:t>
            </w:r>
            <w:r w:rsidR="00DA7EF5" w:rsidRPr="00166E0C">
              <w:rPr>
                <w:rFonts w:ascii="Times New Roman" w:hAnsi="Times New Roman" w:cs="Times New Roman"/>
                <w:bCs/>
                <w:sz w:val="24"/>
              </w:rPr>
              <w:t>:</w:t>
            </w:r>
            <w:r w:rsidR="00AF5657">
              <w:rPr>
                <w:rFonts w:ascii="Times New Roman" w:hAnsi="Times New Roman" w:cs="Times New Roman"/>
                <w:bCs/>
                <w:sz w:val="24"/>
              </w:rPr>
              <w:t xml:space="preserve"> </w:t>
            </w:r>
            <w:r w:rsidR="00DA7EF5" w:rsidRPr="00166E0C">
              <w:rPr>
                <w:rFonts w:ascii="Times New Roman" w:eastAsiaTheme="minorHAnsi" w:hAnsi="Times New Roman" w:cs="Times New Roman"/>
                <w:sz w:val="24"/>
              </w:rPr>
              <w:t>other exposures secured by mortgages on commercial immovable property- non-IPRE that do not meet the conditions in Article 124(3)</w:t>
            </w:r>
            <w:r w:rsidR="00790935" w:rsidRPr="00166E0C">
              <w:rPr>
                <w:rFonts w:ascii="Times New Roman" w:eastAsiaTheme="minorHAnsi" w:hAnsi="Times New Roman" w:cs="Times New Roman"/>
                <w:sz w:val="24"/>
              </w:rPr>
              <w:t xml:space="preserve"> or any part of a non -ADC exposure that exceeds the nominal amount of the lien of the property</w:t>
            </w:r>
            <w:r w:rsidR="00DA7EF5" w:rsidRPr="00166E0C">
              <w:rPr>
                <w:rFonts w:ascii="Times New Roman" w:eastAsiaTheme="minorHAnsi" w:hAnsi="Times New Roman" w:cs="Times New Roman"/>
                <w:sz w:val="24"/>
              </w:rPr>
              <w:t>, referred to in Article 124(1), point (a) of Regulation (EU) No 575/2013</w:t>
            </w:r>
            <w:r w:rsidR="00AF5657">
              <w:rPr>
                <w:rFonts w:ascii="Times New Roman" w:eastAsiaTheme="minorHAnsi" w:hAnsi="Times New Roman" w:cs="Times New Roman"/>
                <w:sz w:val="24"/>
              </w:rPr>
              <w:t>.</w:t>
            </w:r>
          </w:p>
          <w:p w14:paraId="3A4B49EE" w14:textId="21BC011B" w:rsidR="007E0548" w:rsidRPr="00166E0C" w:rsidRDefault="007E0548" w:rsidP="00B731E6">
            <w:pPr>
              <w:spacing w:after="120"/>
              <w:jc w:val="both"/>
              <w:rPr>
                <w:rFonts w:ascii="Times New Roman" w:eastAsiaTheme="minorHAnsi" w:hAnsi="Times New Roman" w:cs="Times New Roman"/>
                <w:sz w:val="24"/>
              </w:rPr>
            </w:pPr>
            <w:r w:rsidRPr="00166E0C">
              <w:rPr>
                <w:rFonts w:ascii="Times New Roman" w:hAnsi="Times New Roman" w:cs="Times New Roman"/>
                <w:bCs/>
                <w:sz w:val="24"/>
              </w:rPr>
              <w:t>This row is the sum of rows 9.3.1</w:t>
            </w:r>
            <w:r w:rsidR="00DA7EF5" w:rsidRPr="00166E0C">
              <w:rPr>
                <w:rFonts w:ascii="Times New Roman" w:hAnsi="Times New Roman" w:cs="Times New Roman"/>
                <w:bCs/>
                <w:sz w:val="24"/>
              </w:rPr>
              <w:t>,</w:t>
            </w:r>
            <w:r w:rsidRPr="00166E0C">
              <w:rPr>
                <w:rFonts w:ascii="Times New Roman" w:hAnsi="Times New Roman" w:cs="Times New Roman"/>
                <w:bCs/>
                <w:sz w:val="24"/>
              </w:rPr>
              <w:t xml:space="preserve"> 9.3.2</w:t>
            </w:r>
            <w:r w:rsidR="00DA7EF5" w:rsidRPr="00166E0C">
              <w:rPr>
                <w:rFonts w:ascii="Times New Roman" w:hAnsi="Times New Roman" w:cs="Times New Roman"/>
                <w:bCs/>
                <w:sz w:val="24"/>
              </w:rPr>
              <w:t xml:space="preserve"> and 9.3.3.</w:t>
            </w:r>
          </w:p>
        </w:tc>
      </w:tr>
      <w:tr w:rsidR="00B731E6" w:rsidRPr="00BC439A" w14:paraId="2A6FA185" w14:textId="77777777" w:rsidTr="5A0D947F">
        <w:trPr>
          <w:trHeight w:val="507"/>
        </w:trPr>
        <w:tc>
          <w:tcPr>
            <w:tcW w:w="1413" w:type="dxa"/>
            <w:shd w:val="clear" w:color="auto" w:fill="auto"/>
          </w:tcPr>
          <w:p w14:paraId="49DC0412" w14:textId="50C2D05B" w:rsidR="00B731E6" w:rsidRPr="00166E0C" w:rsidRDefault="00B731E6" w:rsidP="00B731E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9.3.1.</w:t>
            </w:r>
          </w:p>
        </w:tc>
        <w:tc>
          <w:tcPr>
            <w:tcW w:w="7654" w:type="dxa"/>
            <w:shd w:val="clear" w:color="auto" w:fill="auto"/>
          </w:tcPr>
          <w:p w14:paraId="6F533409" w14:textId="44833E01" w:rsidR="00AF5657" w:rsidRPr="00FB64CF" w:rsidRDefault="00AF5657"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N</w:t>
            </w:r>
            <w:r w:rsidR="00166E0C" w:rsidRPr="00FB64CF">
              <w:rPr>
                <w:rFonts w:ascii="Times New Roman" w:hAnsi="Times New Roman" w:cs="Times New Roman"/>
                <w:b/>
                <w:bCs/>
                <w:sz w:val="24"/>
              </w:rPr>
              <w:t xml:space="preserve">o loan splitting </w:t>
            </w:r>
            <w:proofErr w:type="gramStart"/>
            <w:r w:rsidR="00166E0C" w:rsidRPr="00FB64CF">
              <w:rPr>
                <w:rFonts w:ascii="Times New Roman" w:hAnsi="Times New Roman" w:cs="Times New Roman"/>
                <w:b/>
                <w:bCs/>
                <w:sz w:val="24"/>
              </w:rPr>
              <w:t>applied</w:t>
            </w:r>
            <w:proofErr w:type="gramEnd"/>
          </w:p>
          <w:p w14:paraId="189515BD" w14:textId="4BE4C9FD" w:rsidR="00B731E6" w:rsidRPr="00166E0C" w:rsidRDefault="00AF5657" w:rsidP="5A0D947F">
            <w:pPr>
              <w:spacing w:after="120"/>
              <w:jc w:val="both"/>
              <w:rPr>
                <w:rFonts w:ascii="Times New Roman" w:hAnsi="Times New Roman" w:cs="Times New Roman"/>
                <w:sz w:val="24"/>
              </w:rPr>
            </w:pPr>
            <w:r>
              <w:rPr>
                <w:rFonts w:ascii="Times New Roman" w:hAnsi="Times New Roman" w:cs="Times New Roman"/>
                <w:sz w:val="24"/>
              </w:rPr>
              <w:t>E</w:t>
            </w:r>
            <w:r w:rsidR="00166E0C" w:rsidRPr="00166E0C">
              <w:rPr>
                <w:rFonts w:ascii="Times New Roman" w:hAnsi="Times New Roman" w:cs="Times New Roman"/>
                <w:sz w:val="24"/>
              </w:rPr>
              <w:t xml:space="preserve">xposures secured by mortgages on commercial immovable property to which the loan splitting approach as described in Article 126 (1) of </w:t>
            </w:r>
            <w:r w:rsidR="7CDD5443" w:rsidRPr="00166E0C">
              <w:rPr>
                <w:rFonts w:ascii="Times New Roman" w:eastAsia="Times New Roman" w:hAnsi="Times New Roman" w:cs="Times New Roman"/>
                <w:color w:val="000000" w:themeColor="text1"/>
                <w:sz w:val="24"/>
              </w:rPr>
              <w:t>Regulation (EU) No 575/2013</w:t>
            </w:r>
            <w:r w:rsidR="7CDD5443" w:rsidRPr="00166E0C">
              <w:rPr>
                <w:rFonts w:ascii="Times New Roman" w:eastAsia="Times New Roman" w:hAnsi="Times New Roman" w:cs="Times New Roman"/>
                <w:sz w:val="24"/>
              </w:rPr>
              <w:t xml:space="preserve"> </w:t>
            </w:r>
            <w:r w:rsidR="00B731E6" w:rsidRPr="00166E0C">
              <w:rPr>
                <w:rFonts w:ascii="Times New Roman" w:hAnsi="Times New Roman" w:cs="Times New Roman"/>
                <w:sz w:val="24"/>
              </w:rPr>
              <w:t>does not apply.</w:t>
            </w:r>
          </w:p>
        </w:tc>
      </w:tr>
      <w:tr w:rsidR="00B731E6" w:rsidRPr="00BC439A" w14:paraId="536C5813" w14:textId="77777777" w:rsidTr="5A0D947F">
        <w:trPr>
          <w:trHeight w:val="507"/>
        </w:trPr>
        <w:tc>
          <w:tcPr>
            <w:tcW w:w="1413" w:type="dxa"/>
            <w:shd w:val="clear" w:color="auto" w:fill="auto"/>
          </w:tcPr>
          <w:p w14:paraId="17942517" w14:textId="2325CC59" w:rsidR="00B731E6" w:rsidRPr="00BC439A" w:rsidRDefault="00B731E6" w:rsidP="00B731E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9.3.</w:t>
            </w:r>
            <w:r w:rsidR="00DA7EF5">
              <w:rPr>
                <w:rFonts w:ascii="Times New Roman" w:eastAsia="Times New Roman" w:hAnsi="Times New Roman" w:cs="Times New Roman"/>
                <w:sz w:val="24"/>
              </w:rPr>
              <w:t>2</w:t>
            </w:r>
            <w:r w:rsidRPr="00BC439A">
              <w:rPr>
                <w:rFonts w:ascii="Times New Roman" w:eastAsia="Times New Roman" w:hAnsi="Times New Roman" w:cs="Times New Roman"/>
                <w:sz w:val="24"/>
              </w:rPr>
              <w:t>.</w:t>
            </w:r>
          </w:p>
        </w:tc>
        <w:tc>
          <w:tcPr>
            <w:tcW w:w="7654" w:type="dxa"/>
            <w:shd w:val="clear" w:color="auto" w:fill="auto"/>
          </w:tcPr>
          <w:p w14:paraId="2A4977BE" w14:textId="7C1D3936" w:rsidR="00AF5657" w:rsidRPr="00FB64CF" w:rsidRDefault="00AF5657"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L</w:t>
            </w:r>
            <w:r w:rsidR="0B701945" w:rsidRPr="00FB64CF">
              <w:rPr>
                <w:rFonts w:ascii="Times New Roman" w:hAnsi="Times New Roman" w:cs="Times New Roman"/>
                <w:b/>
                <w:bCs/>
                <w:sz w:val="24"/>
              </w:rPr>
              <w:t>oan splitting applied (secured)</w:t>
            </w:r>
          </w:p>
          <w:p w14:paraId="295F988E" w14:textId="163AC587" w:rsidR="00B731E6" w:rsidRPr="00BC439A" w:rsidRDefault="00AF5657" w:rsidP="5A0D947F">
            <w:pPr>
              <w:spacing w:after="120"/>
              <w:jc w:val="both"/>
              <w:rPr>
                <w:rFonts w:ascii="Times New Roman" w:hAnsi="Times New Roman" w:cs="Times New Roman"/>
                <w:sz w:val="24"/>
              </w:rPr>
            </w:pPr>
            <w:r>
              <w:rPr>
                <w:rFonts w:ascii="Times New Roman" w:hAnsi="Times New Roman" w:cs="Times New Roman"/>
                <w:sz w:val="24"/>
              </w:rPr>
              <w:t>S</w:t>
            </w:r>
            <w:r w:rsidR="0B701945" w:rsidRPr="00BC439A">
              <w:rPr>
                <w:rFonts w:ascii="Times New Roman" w:hAnsi="Times New Roman" w:cs="Times New Roman"/>
                <w:sz w:val="24"/>
              </w:rPr>
              <w:t xml:space="preserve">ecured part of exposures secured by mortgages on commercial immovable property to which the loan splitting approach as described in Article 126 (1) of the </w:t>
            </w:r>
            <w:r w:rsidR="2C126FE4" w:rsidRPr="00BC439A">
              <w:rPr>
                <w:rFonts w:ascii="Times New Roman" w:eastAsia="Times New Roman" w:hAnsi="Times New Roman" w:cs="Times New Roman"/>
                <w:color w:val="000000" w:themeColor="text1"/>
                <w:sz w:val="24"/>
              </w:rPr>
              <w:t>Regulation (EU) No 575/2013</w:t>
            </w:r>
            <w:r w:rsidR="2C126FE4" w:rsidRPr="00BC439A">
              <w:rPr>
                <w:rFonts w:ascii="Times New Roman" w:eastAsia="Times New Roman" w:hAnsi="Times New Roman" w:cs="Times New Roman"/>
                <w:sz w:val="24"/>
              </w:rPr>
              <w:t xml:space="preserve"> </w:t>
            </w:r>
            <w:r w:rsidR="0B701945" w:rsidRPr="00BC439A">
              <w:rPr>
                <w:rFonts w:ascii="Times New Roman" w:hAnsi="Times New Roman" w:cs="Times New Roman"/>
                <w:sz w:val="24"/>
              </w:rPr>
              <w:t>applies.</w:t>
            </w:r>
          </w:p>
        </w:tc>
      </w:tr>
      <w:tr w:rsidR="00B731E6" w:rsidRPr="00BC439A" w14:paraId="32A17F28" w14:textId="77777777" w:rsidTr="5A0D947F">
        <w:trPr>
          <w:trHeight w:val="507"/>
        </w:trPr>
        <w:tc>
          <w:tcPr>
            <w:tcW w:w="1413" w:type="dxa"/>
            <w:shd w:val="clear" w:color="auto" w:fill="auto"/>
          </w:tcPr>
          <w:p w14:paraId="7E7BBE98" w14:textId="308FFA9D" w:rsidR="00B731E6" w:rsidRPr="00BC439A" w:rsidRDefault="00B731E6" w:rsidP="00B731E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9.3.</w:t>
            </w:r>
            <w:r w:rsidR="00DA7EF5">
              <w:rPr>
                <w:rFonts w:ascii="Times New Roman" w:eastAsia="Times New Roman" w:hAnsi="Times New Roman" w:cs="Times New Roman"/>
                <w:sz w:val="24"/>
              </w:rPr>
              <w:t>3</w:t>
            </w:r>
            <w:r w:rsidRPr="00BC439A">
              <w:rPr>
                <w:rFonts w:ascii="Times New Roman" w:eastAsia="Times New Roman" w:hAnsi="Times New Roman" w:cs="Times New Roman"/>
                <w:sz w:val="24"/>
              </w:rPr>
              <w:t>.</w:t>
            </w:r>
          </w:p>
        </w:tc>
        <w:tc>
          <w:tcPr>
            <w:tcW w:w="7654" w:type="dxa"/>
            <w:shd w:val="clear" w:color="auto" w:fill="auto"/>
          </w:tcPr>
          <w:p w14:paraId="4ECB5244" w14:textId="1E8E28D6" w:rsidR="00AF5657" w:rsidRPr="00FB64CF" w:rsidRDefault="00AF5657"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L</w:t>
            </w:r>
            <w:r w:rsidR="0B701945" w:rsidRPr="00FB64CF">
              <w:rPr>
                <w:rFonts w:ascii="Times New Roman" w:hAnsi="Times New Roman" w:cs="Times New Roman"/>
                <w:b/>
                <w:bCs/>
                <w:sz w:val="24"/>
              </w:rPr>
              <w:t>oan splitting applied (unsecured)</w:t>
            </w:r>
          </w:p>
          <w:p w14:paraId="6C4BCA6C" w14:textId="42BC1D87" w:rsidR="00B731E6" w:rsidRPr="00BC439A" w:rsidRDefault="00AF5657" w:rsidP="5A0D947F">
            <w:pPr>
              <w:spacing w:after="120"/>
              <w:jc w:val="both"/>
              <w:rPr>
                <w:rFonts w:ascii="Times New Roman" w:hAnsi="Times New Roman" w:cs="Times New Roman"/>
                <w:sz w:val="24"/>
              </w:rPr>
            </w:pPr>
            <w:r>
              <w:rPr>
                <w:rFonts w:ascii="Times New Roman" w:hAnsi="Times New Roman" w:cs="Times New Roman"/>
                <w:sz w:val="24"/>
              </w:rPr>
              <w:t>The r</w:t>
            </w:r>
            <w:r w:rsidR="0B701945" w:rsidRPr="00BC439A">
              <w:rPr>
                <w:rFonts w:ascii="Times New Roman" w:hAnsi="Times New Roman" w:cs="Times New Roman"/>
                <w:sz w:val="24"/>
              </w:rPr>
              <w:t xml:space="preserve">emaining part of exposures secured by mortgages on commercial immovable property to which the loan splitting approach as described in Article 126 (1) of the </w:t>
            </w:r>
            <w:r w:rsidR="772572A9" w:rsidRPr="00BC439A">
              <w:rPr>
                <w:rFonts w:ascii="Times New Roman" w:eastAsia="Times New Roman" w:hAnsi="Times New Roman" w:cs="Times New Roman"/>
                <w:color w:val="000000" w:themeColor="text1"/>
                <w:sz w:val="24"/>
              </w:rPr>
              <w:t>Regulation (EU) No 575/2013</w:t>
            </w:r>
            <w:r w:rsidR="772572A9" w:rsidRPr="00BC439A">
              <w:rPr>
                <w:rFonts w:ascii="Times New Roman" w:eastAsia="Times New Roman" w:hAnsi="Times New Roman" w:cs="Times New Roman"/>
                <w:sz w:val="24"/>
              </w:rPr>
              <w:t xml:space="preserve"> </w:t>
            </w:r>
            <w:r w:rsidR="0B701945" w:rsidRPr="00BC439A">
              <w:rPr>
                <w:rFonts w:ascii="Times New Roman" w:hAnsi="Times New Roman" w:cs="Times New Roman"/>
                <w:sz w:val="24"/>
              </w:rPr>
              <w:t>applies.</w:t>
            </w:r>
          </w:p>
        </w:tc>
      </w:tr>
      <w:tr w:rsidR="00B731E6" w:rsidRPr="00166E0C" w14:paraId="75CE8B5A" w14:textId="77777777" w:rsidTr="5A0D947F">
        <w:trPr>
          <w:trHeight w:val="507"/>
        </w:trPr>
        <w:tc>
          <w:tcPr>
            <w:tcW w:w="1413" w:type="dxa"/>
            <w:shd w:val="clear" w:color="auto" w:fill="auto"/>
          </w:tcPr>
          <w:p w14:paraId="7897E6FD" w14:textId="412E48BE" w:rsidR="00B731E6" w:rsidRPr="00166E0C" w:rsidRDefault="00B731E6" w:rsidP="00B731E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9.4</w:t>
            </w:r>
          </w:p>
        </w:tc>
        <w:tc>
          <w:tcPr>
            <w:tcW w:w="7654" w:type="dxa"/>
            <w:shd w:val="clear" w:color="auto" w:fill="auto"/>
          </w:tcPr>
          <w:p w14:paraId="5DC2F5DD" w14:textId="1CB33C48" w:rsidR="00AF5657" w:rsidRPr="00FB64CF" w:rsidRDefault="0B701945"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 xml:space="preserve">Secured by mortgages on commercial immovable property – </w:t>
            </w:r>
            <w:proofErr w:type="gramStart"/>
            <w:r w:rsidRPr="00FB64CF">
              <w:rPr>
                <w:rFonts w:ascii="Times New Roman" w:hAnsi="Times New Roman" w:cs="Times New Roman"/>
                <w:b/>
                <w:bCs/>
                <w:sz w:val="24"/>
              </w:rPr>
              <w:t>IPRE</w:t>
            </w:r>
            <w:proofErr w:type="gramEnd"/>
          </w:p>
          <w:p w14:paraId="6B5C20F3" w14:textId="231C48A9" w:rsidR="00B731E6" w:rsidRPr="00166E0C" w:rsidRDefault="00AF5657" w:rsidP="5A0D947F">
            <w:pPr>
              <w:spacing w:after="120"/>
              <w:jc w:val="both"/>
              <w:rPr>
                <w:rFonts w:ascii="Times New Roman" w:hAnsi="Times New Roman" w:cs="Times New Roman"/>
                <w:sz w:val="24"/>
              </w:rPr>
            </w:pPr>
            <w:r>
              <w:rPr>
                <w:rFonts w:ascii="Times New Roman" w:hAnsi="Times New Roman" w:cs="Times New Roman"/>
                <w:sz w:val="24"/>
              </w:rPr>
              <w:t>O</w:t>
            </w:r>
            <w:r w:rsidR="0B701945" w:rsidRPr="00166E0C">
              <w:rPr>
                <w:rFonts w:ascii="Times New Roman" w:hAnsi="Times New Roman" w:cs="Times New Roman"/>
                <w:sz w:val="24"/>
              </w:rPr>
              <w:t>nly exposures which meet the definition of Article 4 (</w:t>
            </w:r>
            <w:r w:rsidR="030392D4" w:rsidRPr="00166E0C">
              <w:rPr>
                <w:rFonts w:ascii="Times New Roman" w:hAnsi="Times New Roman" w:cs="Times New Roman"/>
                <w:sz w:val="24"/>
              </w:rPr>
              <w:t>1</w:t>
            </w:r>
            <w:r w:rsidR="0B701945" w:rsidRPr="00166E0C">
              <w:rPr>
                <w:rFonts w:ascii="Times New Roman" w:hAnsi="Times New Roman" w:cs="Times New Roman"/>
                <w:sz w:val="24"/>
              </w:rPr>
              <w:t>), point (75</w:t>
            </w:r>
            <w:r w:rsidR="030392D4" w:rsidRPr="00166E0C">
              <w:rPr>
                <w:rFonts w:ascii="Times New Roman" w:hAnsi="Times New Roman" w:cs="Times New Roman"/>
                <w:sz w:val="24"/>
              </w:rPr>
              <w:t>b</w:t>
            </w:r>
            <w:r w:rsidR="0B701945" w:rsidRPr="00166E0C">
              <w:rPr>
                <w:rFonts w:ascii="Times New Roman" w:hAnsi="Times New Roman" w:cs="Times New Roman"/>
                <w:sz w:val="24"/>
              </w:rPr>
              <w:t>) and Article 124 (2)</w:t>
            </w:r>
            <w:r w:rsidR="3B5ED09E" w:rsidRPr="00166E0C">
              <w:rPr>
                <w:rFonts w:ascii="Times New Roman" w:hAnsi="Times New Roman" w:cs="Times New Roman"/>
                <w:sz w:val="24"/>
              </w:rPr>
              <w:t>,</w:t>
            </w:r>
            <w:r w:rsidR="0B701945" w:rsidRPr="00166E0C">
              <w:rPr>
                <w:rFonts w:ascii="Times New Roman" w:hAnsi="Times New Roman" w:cs="Times New Roman"/>
                <w:sz w:val="24"/>
              </w:rPr>
              <w:t xml:space="preserve"> point (b) (ii) </w:t>
            </w:r>
            <w:r w:rsidR="0B701945" w:rsidRPr="00166E0C">
              <w:rPr>
                <w:rFonts w:ascii="Times New Roman" w:hAnsi="Times New Roman" w:cs="Times New Roman"/>
                <w:sz w:val="24"/>
                <w:lang w:val="en-US"/>
              </w:rPr>
              <w:t xml:space="preserve">of the </w:t>
            </w:r>
            <w:r w:rsidR="51EDB44B" w:rsidRPr="00166E0C">
              <w:rPr>
                <w:rFonts w:ascii="Times New Roman" w:eastAsia="Times New Roman" w:hAnsi="Times New Roman" w:cs="Times New Roman"/>
                <w:color w:val="000000" w:themeColor="text1"/>
                <w:sz w:val="24"/>
              </w:rPr>
              <w:t>Regulation (EU) No 575/2013</w:t>
            </w:r>
            <w:r w:rsidR="51EDB44B" w:rsidRPr="00166E0C">
              <w:rPr>
                <w:rFonts w:ascii="Times New Roman" w:eastAsia="Times New Roman" w:hAnsi="Times New Roman" w:cs="Times New Roman"/>
                <w:sz w:val="24"/>
              </w:rPr>
              <w:t xml:space="preserve"> </w:t>
            </w:r>
            <w:r w:rsidR="0B701945" w:rsidRPr="00166E0C">
              <w:rPr>
                <w:rFonts w:ascii="Times New Roman" w:hAnsi="Times New Roman" w:cs="Times New Roman"/>
                <w:sz w:val="24"/>
              </w:rPr>
              <w:t>shall be reported here.</w:t>
            </w:r>
            <w:r w:rsidR="21EDBB12" w:rsidRPr="00166E0C">
              <w:rPr>
                <w:rFonts w:ascii="Times New Roman" w:hAnsi="Times New Roman" w:cs="Times New Roman"/>
                <w:sz w:val="24"/>
              </w:rPr>
              <w:t xml:space="preserve"> </w:t>
            </w:r>
          </w:p>
          <w:p w14:paraId="753C2F57" w14:textId="77777777" w:rsidR="008D77B1" w:rsidRPr="00166E0C" w:rsidRDefault="00DA7EF5" w:rsidP="5A0D947F">
            <w:pPr>
              <w:spacing w:after="120"/>
              <w:jc w:val="both"/>
              <w:rPr>
                <w:rFonts w:ascii="Times New Roman" w:hAnsi="Times New Roman" w:cs="Times New Roman"/>
                <w:sz w:val="24"/>
              </w:rPr>
            </w:pPr>
            <w:r w:rsidRPr="00166E0C">
              <w:rPr>
                <w:rFonts w:ascii="Times New Roman" w:hAnsi="Times New Roman" w:cs="Times New Roman"/>
                <w:sz w:val="24"/>
              </w:rPr>
              <w:t>In this row they are also disclosed</w:t>
            </w:r>
            <w:r w:rsidR="008D77B1" w:rsidRPr="00166E0C">
              <w:rPr>
                <w:rFonts w:ascii="Times New Roman" w:hAnsi="Times New Roman" w:cs="Times New Roman"/>
                <w:sz w:val="24"/>
              </w:rPr>
              <w:t>:</w:t>
            </w:r>
          </w:p>
          <w:p w14:paraId="5FECF5F7" w14:textId="5AE5B58A" w:rsidR="008D77B1" w:rsidRPr="00166E0C" w:rsidRDefault="008D77B1" w:rsidP="5A0D947F">
            <w:pPr>
              <w:spacing w:after="120"/>
              <w:jc w:val="both"/>
              <w:rPr>
                <w:rFonts w:ascii="Times New Roman" w:eastAsiaTheme="minorHAnsi" w:hAnsi="Times New Roman" w:cs="Times New Roman"/>
                <w:sz w:val="24"/>
              </w:rPr>
            </w:pPr>
            <w:r w:rsidRPr="00166E0C">
              <w:rPr>
                <w:rFonts w:ascii="Times New Roman" w:hAnsi="Times New Roman" w:cs="Times New Roman"/>
                <w:sz w:val="24"/>
              </w:rPr>
              <w:lastRenderedPageBreak/>
              <w:t>-</w:t>
            </w:r>
            <w:r w:rsidR="00DA7EF5" w:rsidRPr="00166E0C">
              <w:rPr>
                <w:rFonts w:ascii="Times New Roman" w:hAnsi="Times New Roman" w:cs="Times New Roman"/>
                <w:sz w:val="24"/>
              </w:rPr>
              <w:t xml:space="preserve"> </w:t>
            </w:r>
            <w:r w:rsidR="00DA7EF5" w:rsidRPr="00166E0C">
              <w:rPr>
                <w:rFonts w:ascii="Times New Roman" w:eastAsiaTheme="minorHAnsi" w:hAnsi="Times New Roman" w:cs="Times New Roman"/>
                <w:sz w:val="24"/>
              </w:rPr>
              <w:t>other exposures secured by mortgages on commercial immovable property- IPRE that do not meet the conditions in Article 124(3)</w:t>
            </w:r>
            <w:r w:rsidR="00790935" w:rsidRPr="00166E0C">
              <w:rPr>
                <w:rFonts w:ascii="Times New Roman" w:eastAsiaTheme="minorHAnsi" w:hAnsi="Times New Roman" w:cs="Times New Roman"/>
                <w:sz w:val="24"/>
              </w:rPr>
              <w:t xml:space="preserve"> or any part of a non -ADC exposure that exceeds the nominal amount of the lien of the property</w:t>
            </w:r>
            <w:r w:rsidR="00DA7EF5" w:rsidRPr="00166E0C">
              <w:rPr>
                <w:rFonts w:ascii="Times New Roman" w:eastAsiaTheme="minorHAnsi" w:hAnsi="Times New Roman" w:cs="Times New Roman"/>
                <w:sz w:val="24"/>
              </w:rPr>
              <w:t>, referred to in Article 124(1), point (b) of Regulation (EU) No 575/2013</w:t>
            </w:r>
          </w:p>
          <w:p w14:paraId="7685605B" w14:textId="29DF1160" w:rsidR="00DA7EF5" w:rsidRPr="00166E0C" w:rsidRDefault="008D77B1" w:rsidP="5A0D947F">
            <w:pPr>
              <w:spacing w:after="120"/>
              <w:jc w:val="both"/>
              <w:rPr>
                <w:rFonts w:ascii="Times New Roman" w:hAnsi="Times New Roman" w:cs="Times New Roman"/>
                <w:bCs/>
                <w:sz w:val="24"/>
              </w:rPr>
            </w:pPr>
            <w:r w:rsidRPr="00166E0C">
              <w:rPr>
                <w:rFonts w:ascii="Times New Roman" w:eastAsiaTheme="minorHAnsi" w:hAnsi="Times New Roman" w:cs="Times New Roman"/>
                <w:sz w:val="24"/>
              </w:rPr>
              <w:t>-</w:t>
            </w:r>
            <w:r w:rsidR="00A95FF8" w:rsidRPr="00166E0C">
              <w:rPr>
                <w:rFonts w:ascii="Times New Roman" w:hAnsi="Times New Roman" w:cs="Times New Roman"/>
                <w:bCs/>
                <w:sz w:val="24"/>
              </w:rPr>
              <w:t xml:space="preserve"> </w:t>
            </w:r>
            <w:r w:rsidRPr="00166E0C">
              <w:rPr>
                <w:rFonts w:ascii="Times New Roman" w:hAnsi="Times New Roman" w:cs="Times New Roman"/>
                <w:bCs/>
                <w:sz w:val="24"/>
              </w:rPr>
              <w:t>exposures IPRE where the derogation set out in Article 126 (</w:t>
            </w:r>
            <w:r w:rsidR="006F45EA" w:rsidRPr="00166E0C">
              <w:rPr>
                <w:rFonts w:ascii="Times New Roman" w:hAnsi="Times New Roman" w:cs="Times New Roman"/>
                <w:bCs/>
                <w:sz w:val="24"/>
              </w:rPr>
              <w:t>2</w:t>
            </w:r>
            <w:r w:rsidRPr="00166E0C">
              <w:rPr>
                <w:rFonts w:ascii="Times New Roman" w:hAnsi="Times New Roman" w:cs="Times New Roman"/>
                <w:bCs/>
                <w:sz w:val="24"/>
              </w:rPr>
              <w:t>) of Regulation (EU) No 575/2014 is applied</w:t>
            </w:r>
            <w:r w:rsidR="00DA7EF5" w:rsidRPr="00166E0C">
              <w:rPr>
                <w:rFonts w:ascii="Times New Roman" w:eastAsiaTheme="minorHAnsi" w:hAnsi="Times New Roman" w:cs="Times New Roman"/>
                <w:sz w:val="24"/>
              </w:rPr>
              <w:t>.</w:t>
            </w:r>
          </w:p>
        </w:tc>
      </w:tr>
      <w:tr w:rsidR="00B731E6" w:rsidRPr="00BC439A" w14:paraId="20764392" w14:textId="77777777" w:rsidTr="5A0D947F">
        <w:trPr>
          <w:trHeight w:val="507"/>
        </w:trPr>
        <w:tc>
          <w:tcPr>
            <w:tcW w:w="1413" w:type="dxa"/>
            <w:shd w:val="clear" w:color="auto" w:fill="auto"/>
          </w:tcPr>
          <w:p w14:paraId="0FC4E51F" w14:textId="36B43C49" w:rsidR="00B731E6" w:rsidRPr="00166E0C" w:rsidRDefault="00B731E6" w:rsidP="00B731E6">
            <w:pPr>
              <w:autoSpaceDE w:val="0"/>
              <w:autoSpaceDN w:val="0"/>
              <w:adjustRightInd w:val="0"/>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lastRenderedPageBreak/>
              <w:t>9.5</w:t>
            </w:r>
          </w:p>
        </w:tc>
        <w:tc>
          <w:tcPr>
            <w:tcW w:w="7654" w:type="dxa"/>
            <w:shd w:val="clear" w:color="auto" w:fill="auto"/>
          </w:tcPr>
          <w:p w14:paraId="341A3252" w14:textId="49B1967E" w:rsidR="00AF5657" w:rsidRPr="00FB64CF" w:rsidRDefault="0B701945" w:rsidP="5A0D947F">
            <w:pPr>
              <w:spacing w:after="120"/>
              <w:jc w:val="both"/>
              <w:rPr>
                <w:rFonts w:ascii="Times New Roman" w:hAnsi="Times New Roman" w:cs="Times New Roman"/>
                <w:b/>
                <w:bCs/>
                <w:sz w:val="24"/>
              </w:rPr>
            </w:pPr>
            <w:r w:rsidRPr="00FB64CF">
              <w:rPr>
                <w:rFonts w:ascii="Times New Roman" w:hAnsi="Times New Roman" w:cs="Times New Roman"/>
                <w:b/>
                <w:bCs/>
                <w:sz w:val="24"/>
              </w:rPr>
              <w:t>Acquisition, Development and Construction (ADC)</w:t>
            </w:r>
          </w:p>
          <w:p w14:paraId="0F969F9F" w14:textId="52C7FD3B" w:rsidR="00B731E6" w:rsidRPr="00BC439A" w:rsidRDefault="00AF5657" w:rsidP="5A0D947F">
            <w:pPr>
              <w:spacing w:after="120"/>
              <w:jc w:val="both"/>
              <w:rPr>
                <w:rFonts w:ascii="Times New Roman" w:hAnsi="Times New Roman" w:cs="Times New Roman"/>
                <w:sz w:val="24"/>
              </w:rPr>
            </w:pPr>
            <w:r>
              <w:rPr>
                <w:rFonts w:ascii="Times New Roman" w:hAnsi="Times New Roman" w:cs="Times New Roman"/>
                <w:sz w:val="24"/>
              </w:rPr>
              <w:t>O</w:t>
            </w:r>
            <w:r w:rsidR="0B701945" w:rsidRPr="00166E0C">
              <w:rPr>
                <w:rFonts w:ascii="Times New Roman" w:hAnsi="Times New Roman" w:cs="Times New Roman"/>
                <w:sz w:val="24"/>
              </w:rPr>
              <w:t>nly exposures which meet the definition of Article 4 (</w:t>
            </w:r>
            <w:r w:rsidR="030392D4" w:rsidRPr="00166E0C">
              <w:rPr>
                <w:rFonts w:ascii="Times New Roman" w:hAnsi="Times New Roman" w:cs="Times New Roman"/>
                <w:sz w:val="24"/>
              </w:rPr>
              <w:t>1</w:t>
            </w:r>
            <w:r w:rsidR="0B701945" w:rsidRPr="00166E0C">
              <w:rPr>
                <w:rFonts w:ascii="Times New Roman" w:hAnsi="Times New Roman" w:cs="Times New Roman"/>
                <w:sz w:val="24"/>
              </w:rPr>
              <w:t>), point (7</w:t>
            </w:r>
            <w:r w:rsidR="00CE61A5">
              <w:rPr>
                <w:rFonts w:ascii="Times New Roman" w:hAnsi="Times New Roman" w:cs="Times New Roman"/>
                <w:sz w:val="24"/>
              </w:rPr>
              <w:t>8a</w:t>
            </w:r>
            <w:r w:rsidR="0B701945" w:rsidRPr="00166E0C">
              <w:rPr>
                <w:rFonts w:ascii="Times New Roman" w:hAnsi="Times New Roman" w:cs="Times New Roman"/>
                <w:sz w:val="24"/>
              </w:rPr>
              <w:t xml:space="preserve">) </w:t>
            </w:r>
            <w:r w:rsidR="0B701945" w:rsidRPr="00166E0C">
              <w:rPr>
                <w:rFonts w:ascii="Times New Roman" w:hAnsi="Times New Roman" w:cs="Times New Roman"/>
                <w:sz w:val="24"/>
                <w:lang w:val="en-US"/>
              </w:rPr>
              <w:t xml:space="preserve">of </w:t>
            </w:r>
            <w:r w:rsidR="56A447B0" w:rsidRPr="00166E0C">
              <w:rPr>
                <w:rFonts w:ascii="Times New Roman" w:eastAsia="Times New Roman" w:hAnsi="Times New Roman" w:cs="Times New Roman"/>
                <w:color w:val="000000" w:themeColor="text1"/>
                <w:sz w:val="24"/>
              </w:rPr>
              <w:t>Regulation (EU) No 575/2013</w:t>
            </w:r>
            <w:r w:rsidR="56A447B0" w:rsidRPr="00166E0C">
              <w:rPr>
                <w:rFonts w:ascii="Times New Roman" w:eastAsia="Times New Roman" w:hAnsi="Times New Roman" w:cs="Times New Roman"/>
                <w:sz w:val="24"/>
              </w:rPr>
              <w:t xml:space="preserve"> </w:t>
            </w:r>
            <w:r w:rsidR="0B701945" w:rsidRPr="00166E0C">
              <w:rPr>
                <w:rFonts w:ascii="Times New Roman" w:hAnsi="Times New Roman" w:cs="Times New Roman"/>
                <w:sz w:val="24"/>
              </w:rPr>
              <w:t>shall be reported here.</w:t>
            </w:r>
          </w:p>
        </w:tc>
      </w:tr>
      <w:tr w:rsidR="00B731E6" w:rsidRPr="00BC439A" w14:paraId="55E6C904" w14:textId="77777777" w:rsidTr="5A0D947F">
        <w:trPr>
          <w:trHeight w:val="4791"/>
        </w:trPr>
        <w:tc>
          <w:tcPr>
            <w:tcW w:w="1413" w:type="dxa"/>
          </w:tcPr>
          <w:p w14:paraId="1A19FACE" w14:textId="25B6BF34" w:rsidR="00B731E6" w:rsidRPr="00166E0C" w:rsidRDefault="6D7E96F7">
            <w:pPr>
              <w:spacing w:after="120"/>
              <w:jc w:val="both"/>
              <w:rPr>
                <w:rFonts w:ascii="Times New Roman" w:eastAsia="Times New Roman" w:hAnsi="Times New Roman" w:cs="Times New Roman"/>
                <w:sz w:val="24"/>
              </w:rPr>
            </w:pPr>
            <w:r w:rsidRPr="00166E0C">
              <w:rPr>
                <w:rFonts w:ascii="Times New Roman" w:eastAsia="Times New Roman" w:hAnsi="Times New Roman" w:cs="Times New Roman"/>
                <w:sz w:val="24"/>
              </w:rPr>
              <w:t>EU 10c</w:t>
            </w:r>
          </w:p>
        </w:tc>
        <w:tc>
          <w:tcPr>
            <w:tcW w:w="7654" w:type="dxa"/>
          </w:tcPr>
          <w:p w14:paraId="44064BA9" w14:textId="08D5F5C0" w:rsidR="00AF5657" w:rsidRPr="00FB64CF" w:rsidRDefault="00B731E6" w:rsidP="00B731E6">
            <w:pPr>
              <w:spacing w:after="120"/>
              <w:jc w:val="both"/>
              <w:rPr>
                <w:rFonts w:ascii="Times New Roman" w:eastAsiaTheme="minorHAnsi" w:hAnsi="Times New Roman" w:cs="Times New Roman"/>
                <w:b/>
                <w:bCs/>
                <w:sz w:val="24"/>
              </w:rPr>
            </w:pPr>
            <w:r w:rsidRPr="00FB64CF">
              <w:rPr>
                <w:rFonts w:ascii="Times New Roman" w:eastAsiaTheme="minorHAnsi" w:hAnsi="Times New Roman" w:cs="Times New Roman"/>
                <w:b/>
                <w:bCs/>
                <w:sz w:val="24"/>
              </w:rPr>
              <w:t>Other items</w:t>
            </w:r>
          </w:p>
          <w:p w14:paraId="71B77EE9" w14:textId="278AF798" w:rsidR="00B731E6" w:rsidRPr="00166E0C" w:rsidRDefault="00AF5657" w:rsidP="00B731E6">
            <w:pPr>
              <w:spacing w:after="120"/>
              <w:jc w:val="both"/>
              <w:rPr>
                <w:rFonts w:ascii="Times New Roman" w:eastAsiaTheme="minorHAnsi" w:hAnsi="Times New Roman" w:cs="Times New Roman"/>
                <w:sz w:val="24"/>
              </w:rPr>
            </w:pPr>
            <w:r>
              <w:rPr>
                <w:rFonts w:ascii="Times New Roman" w:eastAsiaTheme="minorHAnsi" w:hAnsi="Times New Roman" w:cs="Times New Roman"/>
                <w:sz w:val="24"/>
              </w:rPr>
              <w:t xml:space="preserve">The </w:t>
            </w:r>
            <w:r w:rsidR="00B731E6" w:rsidRPr="00166E0C">
              <w:rPr>
                <w:rFonts w:ascii="Times New Roman" w:eastAsiaTheme="minorHAnsi" w:hAnsi="Times New Roman" w:cs="Times New Roman"/>
                <w:sz w:val="24"/>
              </w:rPr>
              <w:t>exposure class refers to:</w:t>
            </w:r>
          </w:p>
          <w:p w14:paraId="278C94D3" w14:textId="1D604FCC" w:rsidR="00B731E6" w:rsidRPr="00166E0C" w:rsidRDefault="00B731E6" w:rsidP="00B731E6">
            <w:pPr>
              <w:spacing w:after="120"/>
              <w:jc w:val="both"/>
              <w:rPr>
                <w:rFonts w:ascii="Times New Roman" w:eastAsiaTheme="minorHAnsi" w:hAnsi="Times New Roman" w:cs="Times New Roman"/>
                <w:sz w:val="24"/>
              </w:rPr>
            </w:pPr>
            <w:r w:rsidRPr="00166E0C">
              <w:rPr>
                <w:rFonts w:ascii="Times New Roman" w:eastAsiaTheme="minorHAnsi" w:hAnsi="Times New Roman" w:cs="Times New Roman"/>
                <w:sz w:val="24"/>
              </w:rPr>
              <w:t xml:space="preserve">- assets subject to a specific risk weight set out in Article 134 of Chapter 4 of Title II of Part Three </w:t>
            </w:r>
            <w:r w:rsidR="005A70FA" w:rsidRPr="00166E0C">
              <w:rPr>
                <w:rFonts w:ascii="Times New Roman" w:eastAsia="Times New Roman" w:hAnsi="Times New Roman" w:cs="Times New Roman"/>
                <w:iCs/>
                <w:sz w:val="24"/>
              </w:rPr>
              <w:t xml:space="preserve">of </w:t>
            </w:r>
            <w:r w:rsidR="005A70FA" w:rsidRPr="00166E0C">
              <w:rPr>
                <w:rFonts w:ascii="Times New Roman" w:eastAsia="Times New Roman" w:hAnsi="Times New Roman"/>
                <w:color w:val="000000" w:themeColor="text1"/>
                <w:sz w:val="24"/>
              </w:rPr>
              <w:t xml:space="preserve">Regulation (EU) No </w:t>
            </w:r>
            <w:proofErr w:type="gramStart"/>
            <w:r w:rsidR="005A70FA" w:rsidRPr="00166E0C">
              <w:rPr>
                <w:rFonts w:ascii="Times New Roman" w:eastAsia="Times New Roman" w:hAnsi="Times New Roman"/>
                <w:color w:val="000000" w:themeColor="text1"/>
                <w:sz w:val="24"/>
              </w:rPr>
              <w:t>575/2013</w:t>
            </w:r>
            <w:r w:rsidRPr="00166E0C">
              <w:rPr>
                <w:rFonts w:ascii="Times New Roman" w:eastAsiaTheme="minorHAnsi" w:hAnsi="Times New Roman" w:cs="Times New Roman"/>
                <w:sz w:val="24"/>
              </w:rPr>
              <w:t>;</w:t>
            </w:r>
            <w:proofErr w:type="gramEnd"/>
          </w:p>
          <w:p w14:paraId="573636F2" w14:textId="044BB2FD" w:rsidR="00B731E6" w:rsidRPr="00BC439A" w:rsidRDefault="0B701945" w:rsidP="5A0D947F">
            <w:pPr>
              <w:spacing w:after="120"/>
              <w:jc w:val="both"/>
              <w:rPr>
                <w:rFonts w:ascii="Times New Roman" w:hAnsi="Times New Roman" w:cs="Times New Roman"/>
                <w:sz w:val="24"/>
              </w:rPr>
            </w:pPr>
            <w:r w:rsidRPr="00166E0C">
              <w:rPr>
                <w:rFonts w:ascii="Times New Roman" w:hAnsi="Times New Roman" w:cs="Times New Roman"/>
                <w:sz w:val="24"/>
              </w:rPr>
              <w:t xml:space="preserve">- assets not deducted in application of Article 39 </w:t>
            </w:r>
            <w:r w:rsidR="356B7199" w:rsidRPr="00166E0C">
              <w:rPr>
                <w:rFonts w:ascii="Times New Roman" w:eastAsia="Times New Roman" w:hAnsi="Times New Roman" w:cs="Times New Roman"/>
                <w:color w:val="000000" w:themeColor="text1"/>
                <w:sz w:val="24"/>
              </w:rPr>
              <w:t xml:space="preserve"> Regulation (EU) No 575/2013</w:t>
            </w:r>
            <w:r w:rsidR="356B7199" w:rsidRPr="00166E0C">
              <w:rPr>
                <w:rFonts w:ascii="Times New Roman" w:eastAsia="Times New Roman" w:hAnsi="Times New Roman" w:cs="Times New Roman"/>
                <w:sz w:val="24"/>
              </w:rPr>
              <w:t xml:space="preserve"> </w:t>
            </w:r>
            <w:r w:rsidRPr="00166E0C">
              <w:rPr>
                <w:rFonts w:ascii="Times New Roman" w:hAnsi="Times New Roman" w:cs="Times New Roman"/>
                <w:sz w:val="24"/>
              </w:rPr>
              <w:t>(tax overpayments, tax loss carry</w:t>
            </w:r>
            <w:r w:rsidR="00166E0C">
              <w:rPr>
                <w:rFonts w:ascii="Times New Roman" w:hAnsi="Times New Roman" w:cs="Times New Roman"/>
                <w:sz w:val="24"/>
              </w:rPr>
              <w:t xml:space="preserve"> </w:t>
            </w:r>
            <w:r w:rsidRPr="00166E0C">
              <w:rPr>
                <w:rFonts w:ascii="Times New Roman" w:hAnsi="Times New Roman" w:cs="Times New Roman"/>
                <w:sz w:val="24"/>
              </w:rPr>
              <w:t xml:space="preserve">backs and deferred tax assets that do not rely on future profitability), Article 41 </w:t>
            </w:r>
            <w:r w:rsidR="7278B49B" w:rsidRPr="00166E0C">
              <w:rPr>
                <w:rFonts w:ascii="Times New Roman" w:eastAsia="Times New Roman" w:hAnsi="Times New Roman" w:cs="Times New Roman"/>
                <w:color w:val="000000" w:themeColor="text1"/>
                <w:sz w:val="24"/>
              </w:rPr>
              <w:t xml:space="preserve"> Regulation (EU) No 575/2013</w:t>
            </w:r>
            <w:r w:rsidR="7278B49B" w:rsidRPr="00166E0C">
              <w:rPr>
                <w:rFonts w:ascii="Times New Roman" w:eastAsia="Times New Roman" w:hAnsi="Times New Roman" w:cs="Times New Roman"/>
                <w:sz w:val="24"/>
              </w:rPr>
              <w:t xml:space="preserve"> </w:t>
            </w:r>
            <w:r w:rsidRPr="00166E0C">
              <w:rPr>
                <w:rFonts w:ascii="Times New Roman" w:hAnsi="Times New Roman" w:cs="Times New Roman"/>
                <w:sz w:val="24"/>
              </w:rPr>
              <w:t xml:space="preserve">(defined benefit pension fund assets), Article 46 and Article 469 </w:t>
            </w:r>
            <w:r w:rsidR="00DA7EF5" w:rsidRPr="00166E0C">
              <w:rPr>
                <w:rFonts w:ascii="Times New Roman" w:hAnsi="Times New Roman" w:cs="Times New Roman"/>
                <w:sz w:val="24"/>
              </w:rPr>
              <w:t xml:space="preserve">of </w:t>
            </w:r>
            <w:r w:rsidR="285345E0" w:rsidRPr="00166E0C">
              <w:rPr>
                <w:rFonts w:ascii="Times New Roman" w:eastAsia="Times New Roman" w:hAnsi="Times New Roman" w:cs="Times New Roman"/>
                <w:color w:val="000000" w:themeColor="text1"/>
                <w:sz w:val="24"/>
              </w:rPr>
              <w:t>Regulation (EU) No 575/2013</w:t>
            </w:r>
            <w:r w:rsidR="285345E0" w:rsidRPr="00166E0C">
              <w:rPr>
                <w:rFonts w:ascii="Times New Roman" w:eastAsia="Times New Roman" w:hAnsi="Times New Roman" w:cs="Times New Roman"/>
                <w:sz w:val="24"/>
              </w:rPr>
              <w:t xml:space="preserve"> </w:t>
            </w:r>
            <w:r w:rsidRPr="00166E0C">
              <w:rPr>
                <w:rFonts w:ascii="Times New Roman" w:hAnsi="Times New Roman" w:cs="Times New Roman"/>
                <w:sz w:val="24"/>
              </w:rPr>
              <w:t xml:space="preserve">(non-significant investments in CET1 of financial sector entities), Article 49 and Article 471 </w:t>
            </w:r>
            <w:r w:rsidR="0F79A292" w:rsidRPr="00166E0C">
              <w:rPr>
                <w:rFonts w:ascii="Times New Roman" w:eastAsia="Times New Roman" w:hAnsi="Times New Roman" w:cs="Times New Roman"/>
                <w:color w:val="000000" w:themeColor="text1"/>
                <w:sz w:val="24"/>
              </w:rPr>
              <w:t>Regulation (EU) No 575/2013</w:t>
            </w:r>
            <w:r w:rsidR="0F79A292" w:rsidRPr="00166E0C">
              <w:rPr>
                <w:rFonts w:ascii="Times New Roman" w:eastAsia="Times New Roman" w:hAnsi="Times New Roman" w:cs="Times New Roman"/>
                <w:sz w:val="24"/>
              </w:rPr>
              <w:t xml:space="preserve"> </w:t>
            </w:r>
            <w:r w:rsidRPr="00166E0C">
              <w:rPr>
                <w:rFonts w:ascii="Times New Roman" w:hAnsi="Times New Roman" w:cs="Times New Roman"/>
                <w:sz w:val="24"/>
              </w:rPr>
              <w:t xml:space="preserve">(participations in insurance entities whether or not insurance entities are supervised under the conglomerate directive), Article 60 and Article 475 </w:t>
            </w:r>
            <w:r w:rsidR="00DA7EF5" w:rsidRPr="00166E0C">
              <w:rPr>
                <w:rFonts w:ascii="Times New Roman" w:hAnsi="Times New Roman" w:cs="Times New Roman"/>
                <w:sz w:val="24"/>
              </w:rPr>
              <w:t xml:space="preserve">of </w:t>
            </w:r>
            <w:r w:rsidR="47ED6249" w:rsidRPr="00166E0C">
              <w:rPr>
                <w:rFonts w:ascii="Times New Roman" w:eastAsia="Times New Roman" w:hAnsi="Times New Roman" w:cs="Times New Roman"/>
                <w:color w:val="000000" w:themeColor="text1"/>
                <w:sz w:val="24"/>
              </w:rPr>
              <w:t>Regulation (EU) No 575/2013</w:t>
            </w:r>
            <w:r w:rsidR="47ED6249" w:rsidRPr="00166E0C">
              <w:rPr>
                <w:rFonts w:ascii="Times New Roman" w:eastAsia="Times New Roman" w:hAnsi="Times New Roman" w:cs="Times New Roman"/>
                <w:sz w:val="24"/>
              </w:rPr>
              <w:t xml:space="preserve"> </w:t>
            </w:r>
            <w:r w:rsidRPr="00166E0C">
              <w:rPr>
                <w:rFonts w:ascii="Times New Roman" w:hAnsi="Times New Roman" w:cs="Times New Roman"/>
                <w:sz w:val="24"/>
              </w:rPr>
              <w:t xml:space="preserve">(non-significant and significant direct, indirect and synthetic investments in additional tier 1 (AT1) of financial sector entities), Article 70 and Article 477 </w:t>
            </w:r>
            <w:r w:rsidR="00DA7EF5" w:rsidRPr="00166E0C">
              <w:rPr>
                <w:rFonts w:ascii="Times New Roman" w:hAnsi="Times New Roman" w:cs="Times New Roman"/>
                <w:sz w:val="24"/>
              </w:rPr>
              <w:t xml:space="preserve">of </w:t>
            </w:r>
            <w:r w:rsidR="12FC444F" w:rsidRPr="00166E0C">
              <w:rPr>
                <w:rFonts w:ascii="Times New Roman" w:eastAsia="Times New Roman" w:hAnsi="Times New Roman" w:cs="Times New Roman"/>
                <w:color w:val="000000" w:themeColor="text1"/>
                <w:sz w:val="24"/>
              </w:rPr>
              <w:t>Regulation (EU) No 575/2013</w:t>
            </w:r>
            <w:r w:rsidR="12FC444F" w:rsidRPr="00166E0C">
              <w:rPr>
                <w:rFonts w:ascii="Times New Roman" w:eastAsia="Times New Roman" w:hAnsi="Times New Roman" w:cs="Times New Roman"/>
                <w:sz w:val="24"/>
              </w:rPr>
              <w:t xml:space="preserve"> </w:t>
            </w:r>
            <w:r w:rsidRPr="00166E0C">
              <w:rPr>
                <w:rFonts w:ascii="Times New Roman" w:hAnsi="Times New Roman" w:cs="Times New Roman"/>
                <w:sz w:val="24"/>
              </w:rPr>
              <w:t>(insignificant and significant direct, indirect and synthetic holdings of T2 from a financial sector entity) when not allocated to other exposure classes, and to qualifying holdings outside the financial sector when they are not 1250% risk-weighted (in application of point (k) of Article 36 of Chapter 1 of Title I of Part Two</w:t>
            </w:r>
            <w:r w:rsidR="00DA7EF5" w:rsidRPr="00166E0C">
              <w:rPr>
                <w:rFonts w:ascii="Times New Roman" w:hAnsi="Times New Roman" w:cs="Times New Roman"/>
                <w:sz w:val="24"/>
              </w:rPr>
              <w:t xml:space="preserve"> of  </w:t>
            </w:r>
            <w:r w:rsidR="00DA7EF5" w:rsidRPr="00166E0C">
              <w:rPr>
                <w:rFonts w:ascii="Times New Roman" w:eastAsia="Times New Roman" w:hAnsi="Times New Roman" w:cs="Times New Roman"/>
                <w:color w:val="000000" w:themeColor="text1"/>
                <w:sz w:val="24"/>
              </w:rPr>
              <w:t>Regulation (EU) No 575/2013</w:t>
            </w:r>
            <w:r w:rsidRPr="00166E0C">
              <w:rPr>
                <w:rFonts w:ascii="Times New Roman" w:hAnsi="Times New Roman" w:cs="Times New Roman"/>
                <w:sz w:val="24"/>
              </w:rPr>
              <w:t>).</w:t>
            </w:r>
          </w:p>
        </w:tc>
      </w:tr>
      <w:tr w:rsidR="006D3144" w:rsidRPr="00BC439A" w14:paraId="5BD2F47E" w14:textId="77777777" w:rsidTr="00FB64CF">
        <w:trPr>
          <w:trHeight w:val="643"/>
        </w:trPr>
        <w:tc>
          <w:tcPr>
            <w:tcW w:w="1413" w:type="dxa"/>
            <w:shd w:val="clear" w:color="auto" w:fill="D9D9D9" w:themeFill="background1" w:themeFillShade="D9"/>
          </w:tcPr>
          <w:p w14:paraId="264F36FD" w14:textId="11D07211" w:rsidR="006D3144" w:rsidRPr="00BC439A" w:rsidRDefault="006D3144">
            <w:pPr>
              <w:spacing w:after="120"/>
              <w:jc w:val="both"/>
              <w:rPr>
                <w:rFonts w:ascii="Times New Roman" w:eastAsia="Times New Roman" w:hAnsi="Times New Roman" w:cs="Times New Roman"/>
                <w:sz w:val="24"/>
              </w:rPr>
            </w:pPr>
            <w:r>
              <w:rPr>
                <w:rFonts w:ascii="Times New Roman" w:eastAsia="Times New Roman" w:hAnsi="Times New Roman" w:cs="Times New Roman"/>
                <w:sz w:val="24"/>
              </w:rPr>
              <w:t>11</w:t>
            </w:r>
          </w:p>
        </w:tc>
        <w:tc>
          <w:tcPr>
            <w:tcW w:w="7654" w:type="dxa"/>
            <w:shd w:val="clear" w:color="auto" w:fill="D9D9D9" w:themeFill="background1" w:themeFillShade="D9"/>
          </w:tcPr>
          <w:p w14:paraId="47FD4F2B" w14:textId="1FCF9627" w:rsidR="006D3144" w:rsidRPr="00BC439A" w:rsidRDefault="006D3144" w:rsidP="00B731E6">
            <w:pPr>
              <w:spacing w:after="120"/>
              <w:jc w:val="both"/>
              <w:rPr>
                <w:rFonts w:ascii="Times New Roman" w:eastAsiaTheme="minorHAnsi" w:hAnsi="Times New Roman" w:cs="Times New Roman"/>
                <w:sz w:val="24"/>
              </w:rPr>
            </w:pPr>
            <w:r>
              <w:rPr>
                <w:rFonts w:ascii="Times New Roman" w:eastAsiaTheme="minorHAnsi" w:hAnsi="Times New Roman" w:cs="Times New Roman"/>
                <w:sz w:val="24"/>
              </w:rPr>
              <w:t>Not applicable</w:t>
            </w:r>
          </w:p>
        </w:tc>
      </w:tr>
      <w:tr w:rsidR="00B731E6" w:rsidRPr="00AF5657" w14:paraId="11F0EEAC" w14:textId="77777777" w:rsidTr="5A0D947F">
        <w:trPr>
          <w:trHeight w:val="713"/>
        </w:trPr>
        <w:tc>
          <w:tcPr>
            <w:tcW w:w="1413" w:type="dxa"/>
            <w:tcBorders>
              <w:top w:val="single" w:sz="4" w:space="0" w:color="auto"/>
              <w:left w:val="single" w:sz="4" w:space="0" w:color="auto"/>
              <w:bottom w:val="single" w:sz="4" w:space="0" w:color="auto"/>
              <w:right w:val="single" w:sz="4" w:space="0" w:color="auto"/>
            </w:tcBorders>
          </w:tcPr>
          <w:p w14:paraId="1C0350B7" w14:textId="216B59DC" w:rsidR="00B731E6" w:rsidRPr="00BC439A" w:rsidRDefault="00B731E6" w:rsidP="00B731E6">
            <w:pPr>
              <w:autoSpaceDE w:val="0"/>
              <w:autoSpaceDN w:val="0"/>
              <w:adjustRightInd w:val="0"/>
              <w:spacing w:after="120"/>
              <w:jc w:val="both"/>
              <w:rPr>
                <w:rFonts w:ascii="Times New Roman" w:eastAsia="Times New Roman" w:hAnsi="Times New Roman" w:cs="Times New Roman"/>
                <w:sz w:val="24"/>
              </w:rPr>
            </w:pPr>
            <w:r w:rsidRPr="00BC439A">
              <w:rPr>
                <w:rFonts w:ascii="Times New Roman" w:eastAsia="Times New Roman" w:hAnsi="Times New Roman" w:cs="Times New Roman"/>
                <w:sz w:val="24"/>
              </w:rPr>
              <w:t>11c</w:t>
            </w:r>
          </w:p>
        </w:tc>
        <w:tc>
          <w:tcPr>
            <w:tcW w:w="7654" w:type="dxa"/>
            <w:tcBorders>
              <w:top w:val="single" w:sz="4" w:space="0" w:color="auto"/>
              <w:left w:val="single" w:sz="4" w:space="0" w:color="auto"/>
              <w:bottom w:val="single" w:sz="4" w:space="0" w:color="auto"/>
              <w:right w:val="single" w:sz="4" w:space="0" w:color="auto"/>
            </w:tcBorders>
          </w:tcPr>
          <w:p w14:paraId="4375F137" w14:textId="1E994679" w:rsidR="00AF5657" w:rsidRPr="00FB64CF" w:rsidRDefault="00B731E6" w:rsidP="00B731E6">
            <w:pPr>
              <w:spacing w:after="120"/>
              <w:jc w:val="both"/>
              <w:rPr>
                <w:rFonts w:ascii="Times New Roman" w:hAnsi="Times New Roman" w:cs="Times New Roman"/>
                <w:b/>
                <w:bCs/>
                <w:sz w:val="24"/>
              </w:rPr>
            </w:pPr>
            <w:r w:rsidRPr="00FB64CF">
              <w:rPr>
                <w:rFonts w:ascii="Times New Roman" w:hAnsi="Times New Roman" w:cs="Times New Roman"/>
                <w:b/>
                <w:bCs/>
                <w:sz w:val="24"/>
              </w:rPr>
              <w:t>Total</w:t>
            </w:r>
          </w:p>
          <w:p w14:paraId="463C4A08" w14:textId="7392B85F" w:rsidR="00B731E6" w:rsidRPr="00FB64CF" w:rsidRDefault="00AF5657" w:rsidP="00B731E6">
            <w:pPr>
              <w:spacing w:after="120"/>
              <w:jc w:val="both"/>
              <w:rPr>
                <w:rFonts w:ascii="Times New Roman" w:hAnsi="Times New Roman" w:cs="Times New Roman"/>
                <w:sz w:val="24"/>
                <w:lang w:val="fr-FR"/>
              </w:rPr>
            </w:pPr>
            <w:r>
              <w:rPr>
                <w:rFonts w:ascii="Times New Roman" w:hAnsi="Times New Roman" w:cs="Times New Roman"/>
                <w:sz w:val="24"/>
              </w:rPr>
              <w:t>S</w:t>
            </w:r>
            <w:r w:rsidR="00B731E6" w:rsidRPr="00FB64CF">
              <w:rPr>
                <w:rFonts w:ascii="Times New Roman" w:hAnsi="Times New Roman" w:cs="Times New Roman"/>
                <w:sz w:val="24"/>
                <w:lang w:val="fr-FR"/>
              </w:rPr>
              <w:t xml:space="preserve">um of </w:t>
            </w:r>
            <w:proofErr w:type="spellStart"/>
            <w:r w:rsidR="00B731E6" w:rsidRPr="00FB64CF">
              <w:rPr>
                <w:rFonts w:ascii="Times New Roman" w:hAnsi="Times New Roman" w:cs="Times New Roman"/>
                <w:sz w:val="24"/>
                <w:lang w:val="fr-FR"/>
              </w:rPr>
              <w:t>rows</w:t>
            </w:r>
            <w:proofErr w:type="spellEnd"/>
            <w:r w:rsidR="00B731E6" w:rsidRPr="00FB64CF">
              <w:rPr>
                <w:rFonts w:ascii="Times New Roman" w:hAnsi="Times New Roman" w:cs="Times New Roman"/>
                <w:sz w:val="24"/>
                <w:lang w:val="fr-FR"/>
              </w:rPr>
              <w:t xml:space="preserve"> 1, 2, 3, EU 3a, 4, 5, 6, 7, 8, 9, 10,</w:t>
            </w:r>
            <w:r w:rsidR="00CB51E8" w:rsidRPr="00FB64CF">
              <w:rPr>
                <w:rFonts w:ascii="Times New Roman" w:hAnsi="Times New Roman" w:cs="Times New Roman"/>
                <w:sz w:val="24"/>
                <w:lang w:val="fr-FR"/>
              </w:rPr>
              <w:t xml:space="preserve"> EU 10a, EU 10b,</w:t>
            </w:r>
            <w:r w:rsidR="00B731E6" w:rsidRPr="00FB64CF">
              <w:rPr>
                <w:rFonts w:ascii="Times New Roman" w:hAnsi="Times New Roman" w:cs="Times New Roman"/>
                <w:sz w:val="24"/>
                <w:lang w:val="fr-FR"/>
              </w:rPr>
              <w:t xml:space="preserve"> </w:t>
            </w:r>
            <w:r w:rsidR="3B88644F" w:rsidRPr="00FB64CF">
              <w:rPr>
                <w:rFonts w:ascii="Times New Roman" w:hAnsi="Times New Roman" w:cs="Times New Roman"/>
                <w:sz w:val="24"/>
                <w:lang w:val="fr-FR"/>
              </w:rPr>
              <w:t>EU 10c</w:t>
            </w:r>
            <w:r w:rsidR="00B731E6" w:rsidRPr="00FB64CF">
              <w:rPr>
                <w:rFonts w:ascii="Times New Roman" w:hAnsi="Times New Roman" w:cs="Times New Roman"/>
                <w:sz w:val="24"/>
                <w:lang w:val="fr-FR"/>
              </w:rPr>
              <w:t xml:space="preserve"> </w:t>
            </w:r>
            <w:proofErr w:type="spellStart"/>
            <w:r w:rsidR="00B731E6" w:rsidRPr="00FB64CF">
              <w:rPr>
                <w:rFonts w:ascii="Times New Roman" w:hAnsi="Times New Roman" w:cs="Times New Roman"/>
                <w:sz w:val="24"/>
                <w:lang w:val="fr-FR"/>
              </w:rPr>
              <w:t>above</w:t>
            </w:r>
            <w:proofErr w:type="spellEnd"/>
            <w:r>
              <w:rPr>
                <w:rFonts w:ascii="Times New Roman" w:hAnsi="Times New Roman" w:cs="Times New Roman"/>
                <w:sz w:val="24"/>
                <w:lang w:val="fr-FR"/>
              </w:rPr>
              <w:t>.</w:t>
            </w:r>
          </w:p>
        </w:tc>
      </w:tr>
    </w:tbl>
    <w:p w14:paraId="63408E1A" w14:textId="77777777" w:rsidR="008B70BD" w:rsidRPr="00FB64CF" w:rsidRDefault="008B70BD" w:rsidP="0005278F">
      <w:pPr>
        <w:spacing w:after="120"/>
        <w:rPr>
          <w:rFonts w:ascii="Times New Roman" w:hAnsi="Times New Roman" w:cs="Times New Roman"/>
          <w:sz w:val="24"/>
          <w:lang w:val="fr-FR"/>
        </w:rPr>
      </w:pPr>
    </w:p>
    <w:p w14:paraId="137E39BA" w14:textId="67FE8595" w:rsidR="00993FC2" w:rsidRPr="00FB64CF" w:rsidRDefault="00993FC2">
      <w:pPr>
        <w:rPr>
          <w:rFonts w:ascii="Times New Roman" w:hAnsi="Times New Roman" w:cs="Times New Roman"/>
          <w:lang w:val="fr-FR"/>
        </w:rPr>
      </w:pPr>
    </w:p>
    <w:sectPr w:rsidR="00993FC2" w:rsidRPr="00FB64C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DDBB1" w14:textId="77777777" w:rsidR="00105833" w:rsidRDefault="00105833" w:rsidP="0005278F">
      <w:r>
        <w:separator/>
      </w:r>
    </w:p>
  </w:endnote>
  <w:endnote w:type="continuationSeparator" w:id="0">
    <w:p w14:paraId="57CC355F" w14:textId="77777777" w:rsidR="00105833" w:rsidRDefault="00105833" w:rsidP="0005278F">
      <w:r>
        <w:continuationSeparator/>
      </w:r>
    </w:p>
  </w:endnote>
  <w:endnote w:type="continuationNotice" w:id="1">
    <w:p w14:paraId="3971E96D" w14:textId="77777777" w:rsidR="00105833" w:rsidRDefault="00105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680138"/>
      <w:docPartObj>
        <w:docPartGallery w:val="Page Numbers (Bottom of Page)"/>
        <w:docPartUnique/>
      </w:docPartObj>
    </w:sdtPr>
    <w:sdtEndPr>
      <w:rPr>
        <w:noProof/>
      </w:rPr>
    </w:sdtEndPr>
    <w:sdtContent>
      <w:p w14:paraId="137E39BF" w14:textId="34D5F876" w:rsidR="0005278F" w:rsidRDefault="0005278F">
        <w:pPr>
          <w:pStyle w:val="Footer"/>
          <w:jc w:val="right"/>
        </w:pPr>
        <w:r>
          <w:fldChar w:fldCharType="begin"/>
        </w:r>
        <w:r>
          <w:instrText xml:space="preserve"> PAGE   \* MERGEFORMAT </w:instrText>
        </w:r>
        <w:r>
          <w:fldChar w:fldCharType="separate"/>
        </w:r>
        <w:r w:rsidR="00B731E6">
          <w:rPr>
            <w:noProof/>
          </w:rPr>
          <w:t>1</w:t>
        </w:r>
        <w:r>
          <w:rPr>
            <w:noProof/>
          </w:rPr>
          <w:fldChar w:fldCharType="end"/>
        </w:r>
      </w:p>
    </w:sdtContent>
  </w:sdt>
  <w:p w14:paraId="137E39C0" w14:textId="77777777" w:rsidR="0005278F" w:rsidRDefault="00052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40137" w14:textId="77777777" w:rsidR="00105833" w:rsidRDefault="00105833" w:rsidP="0005278F">
      <w:r>
        <w:separator/>
      </w:r>
    </w:p>
  </w:footnote>
  <w:footnote w:type="continuationSeparator" w:id="0">
    <w:p w14:paraId="74AB3C3E" w14:textId="77777777" w:rsidR="00105833" w:rsidRDefault="00105833" w:rsidP="0005278F">
      <w:r>
        <w:continuationSeparator/>
      </w:r>
    </w:p>
  </w:footnote>
  <w:footnote w:type="continuationNotice" w:id="1">
    <w:p w14:paraId="06CE5F6E" w14:textId="77777777" w:rsidR="00105833" w:rsidRDefault="00105833"/>
  </w:footnote>
  <w:footnote w:id="2">
    <w:p w14:paraId="0743D20D" w14:textId="27029937" w:rsidR="00166E0C" w:rsidRPr="00222AAB" w:rsidRDefault="00166E0C" w:rsidP="00166E0C">
      <w:pPr>
        <w:pStyle w:val="FootnoteText"/>
        <w:rPr>
          <w:rFonts w:cstheme="minorHAnsi"/>
        </w:rPr>
      </w:pPr>
      <w:r w:rsidRPr="00346640">
        <w:rPr>
          <w:rStyle w:val="FootnoteReference"/>
          <w:rFonts w:cstheme="minorHAnsi"/>
        </w:rPr>
        <w:footnoteRef/>
      </w:r>
      <w:r w:rsidRPr="00BB5993">
        <w:rPr>
          <w:rFonts w:cstheme="minorHAnsi"/>
        </w:rPr>
        <w:t xml:space="preserve"> </w:t>
      </w:r>
      <w:r>
        <w:rPr>
          <w:rFonts w:cstheme="minorHAnsi"/>
        </w:rPr>
        <w:tab/>
      </w:r>
      <w:r w:rsidR="002C4FA7">
        <w:rPr>
          <w:lang w:eastAsia="en-GB"/>
        </w:rPr>
        <w:t xml:space="preserve">Regulation (EU) No 575/2013 of the European Parliament and of the Council of 26 June 2013 on prudential requirements for credit institutions and investment firms and amending Regulation (EU) No 648/2012 and amending Regulation (EU) No 2024/1623 </w:t>
      </w:r>
      <w:r w:rsidR="002C4FA7">
        <w:rPr>
          <w:color w:val="444444"/>
          <w:lang w:eastAsia="en-GB"/>
        </w:rPr>
        <w:t>(</w:t>
      </w:r>
      <w:hyperlink r:id="rId1" w:history="1">
        <w:r w:rsidR="002C4FA7">
          <w:rPr>
            <w:rStyle w:val="Hyperlink"/>
            <w:color w:val="800080"/>
            <w:lang w:eastAsia="en-GB"/>
          </w:rPr>
          <w:t>OJ L 176, 27.6.2013, p. 1</w:t>
        </w:r>
      </w:hyperlink>
      <w:r w:rsidR="002C4FA7">
        <w:rPr>
          <w:color w:val="800080"/>
          <w:u w:val="single"/>
          <w:lang w:eastAsia="en-GB"/>
        </w:rPr>
        <w:t xml:space="preserve">; </w:t>
      </w:r>
      <w:hyperlink r:id="rId2" w:history="1">
        <w:r w:rsidR="002C4FA7">
          <w:rPr>
            <w:rStyle w:val="Hyperlink"/>
          </w:rPr>
          <w:t>Regulation - EU - 2024/1623 - EN - EUR-Lex (europa.eu)</w:t>
        </w:r>
      </w:hyperlink>
      <w:r w:rsidR="002C4FA7">
        <w:rPr>
          <w:color w:val="444444"/>
          <w:lang w:eastAsia="en-GB"/>
        </w:rPr>
        <w:t>)</w:t>
      </w:r>
      <w:r w:rsidR="002C4FA7">
        <w:rPr>
          <w:lang w:eastAsia="en-GB"/>
        </w:rPr>
        <w:t>.</w:t>
      </w:r>
    </w:p>
  </w:footnote>
  <w:footnote w:id="3">
    <w:p w14:paraId="137E39C2" w14:textId="77777777" w:rsidR="0005278F" w:rsidRPr="00222AAB" w:rsidRDefault="0005278F" w:rsidP="0005278F">
      <w:pPr>
        <w:pStyle w:val="FootnoteText"/>
        <w:rPr>
          <w:rFonts w:cstheme="minorHAnsi"/>
        </w:rPr>
      </w:pPr>
      <w:r w:rsidRPr="00346640">
        <w:rPr>
          <w:rStyle w:val="FootnoteReference"/>
          <w:rFonts w:cstheme="minorHAnsi"/>
        </w:rPr>
        <w:footnoteRef/>
      </w:r>
      <w:r w:rsidRPr="00BB5993">
        <w:rPr>
          <w:rFonts w:cstheme="minorHAnsi"/>
        </w:rPr>
        <w:t xml:space="preserve"> </w:t>
      </w:r>
      <w:r>
        <w:rPr>
          <w:rFonts w:cstheme="minorHAnsi"/>
        </w:rPr>
        <w:tab/>
      </w:r>
      <w:r w:rsidRPr="00BB5993">
        <w:rPr>
          <w:rFonts w:cstheme="minorHAnsi"/>
        </w:rPr>
        <w:t>COMMISSION DELEGATED REGULATION (EU) No 183/2014 of 20 December 2013 supplementing Regulation (EU) No 575/2013 of the European Parliament and of the Council on prud</w:t>
      </w:r>
      <w:r w:rsidRPr="00222AAB">
        <w:rPr>
          <w:rFonts w:cstheme="minorHAnsi"/>
        </w:rPr>
        <w:t xml:space="preserve">ential requirements for credit institutions and investment firms, </w:t>
      </w:r>
      <w:proofErr w:type="gramStart"/>
      <w:r w:rsidRPr="00222AAB">
        <w:rPr>
          <w:rFonts w:cstheme="minorHAnsi"/>
        </w:rPr>
        <w:t>with regard to</w:t>
      </w:r>
      <w:proofErr w:type="gramEnd"/>
      <w:r w:rsidRPr="00222AAB">
        <w:rPr>
          <w:rFonts w:cstheme="minorHAnsi"/>
        </w:rPr>
        <w:t xml:space="preserve"> regulatory technical standards for specifying the calculation of specific and general credit risk adjustments (OJ L 57, 27.2.2014, 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DDC2F" w14:textId="4FD4780F" w:rsidR="00AE1158" w:rsidRDefault="00AE1158">
    <w:pPr>
      <w:pStyle w:val="Header"/>
    </w:pPr>
  </w:p>
  <w:p w14:paraId="6F097C03" w14:textId="77777777" w:rsidR="00D21AB6" w:rsidRDefault="00D21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9254A"/>
    <w:multiLevelType w:val="hybridMultilevel"/>
    <w:tmpl w:val="78304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8018B1"/>
    <w:multiLevelType w:val="hybridMultilevel"/>
    <w:tmpl w:val="82B6FEA0"/>
    <w:lvl w:ilvl="0" w:tplc="8BCE09E8">
      <w:start w:val="1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717083">
    <w:abstractNumId w:val="0"/>
  </w:num>
  <w:num w:numId="2" w16cid:durableId="5027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E4BE4"/>
    <w:rsid w:val="000004A4"/>
    <w:rsid w:val="00004DAA"/>
    <w:rsid w:val="00004E31"/>
    <w:rsid w:val="000109EE"/>
    <w:rsid w:val="0005278F"/>
    <w:rsid w:val="00076BFB"/>
    <w:rsid w:val="00094811"/>
    <w:rsid w:val="000E1984"/>
    <w:rsid w:val="000F5E48"/>
    <w:rsid w:val="00105833"/>
    <w:rsid w:val="00115107"/>
    <w:rsid w:val="00152E53"/>
    <w:rsid w:val="00157B31"/>
    <w:rsid w:val="00164B1E"/>
    <w:rsid w:val="00166E0C"/>
    <w:rsid w:val="00195789"/>
    <w:rsid w:val="001C3FDD"/>
    <w:rsid w:val="001D0015"/>
    <w:rsid w:val="001D48EF"/>
    <w:rsid w:val="001D6B68"/>
    <w:rsid w:val="001E0D83"/>
    <w:rsid w:val="001E3C41"/>
    <w:rsid w:val="002050A2"/>
    <w:rsid w:val="0022219D"/>
    <w:rsid w:val="00240B1D"/>
    <w:rsid w:val="00241526"/>
    <w:rsid w:val="0026300A"/>
    <w:rsid w:val="0027241B"/>
    <w:rsid w:val="002740A6"/>
    <w:rsid w:val="00276065"/>
    <w:rsid w:val="00284FF1"/>
    <w:rsid w:val="00294B8A"/>
    <w:rsid w:val="002A2B60"/>
    <w:rsid w:val="002C4FA7"/>
    <w:rsid w:val="002D0D8E"/>
    <w:rsid w:val="002D1DE6"/>
    <w:rsid w:val="002F744F"/>
    <w:rsid w:val="00301E0E"/>
    <w:rsid w:val="0032013E"/>
    <w:rsid w:val="00323171"/>
    <w:rsid w:val="00324117"/>
    <w:rsid w:val="0033556A"/>
    <w:rsid w:val="00372E04"/>
    <w:rsid w:val="00395831"/>
    <w:rsid w:val="00396B81"/>
    <w:rsid w:val="003D6746"/>
    <w:rsid w:val="003F5A5D"/>
    <w:rsid w:val="0041192F"/>
    <w:rsid w:val="00416282"/>
    <w:rsid w:val="0043232E"/>
    <w:rsid w:val="00451358"/>
    <w:rsid w:val="00453692"/>
    <w:rsid w:val="00462771"/>
    <w:rsid w:val="004645B2"/>
    <w:rsid w:val="00470A0F"/>
    <w:rsid w:val="00496A4C"/>
    <w:rsid w:val="004A2FB7"/>
    <w:rsid w:val="004A5DB1"/>
    <w:rsid w:val="004C11DE"/>
    <w:rsid w:val="004D166A"/>
    <w:rsid w:val="004D2470"/>
    <w:rsid w:val="004E3D87"/>
    <w:rsid w:val="004F0F3D"/>
    <w:rsid w:val="00535F36"/>
    <w:rsid w:val="00540283"/>
    <w:rsid w:val="00570FCF"/>
    <w:rsid w:val="005908B4"/>
    <w:rsid w:val="005929C9"/>
    <w:rsid w:val="005A480B"/>
    <w:rsid w:val="005A5DE7"/>
    <w:rsid w:val="005A70FA"/>
    <w:rsid w:val="005C4B4B"/>
    <w:rsid w:val="005E2CAC"/>
    <w:rsid w:val="005E387C"/>
    <w:rsid w:val="005F2750"/>
    <w:rsid w:val="00603007"/>
    <w:rsid w:val="00606099"/>
    <w:rsid w:val="00607E4F"/>
    <w:rsid w:val="00612F57"/>
    <w:rsid w:val="00622571"/>
    <w:rsid w:val="00626613"/>
    <w:rsid w:val="006624BC"/>
    <w:rsid w:val="006A3C2C"/>
    <w:rsid w:val="006C3E03"/>
    <w:rsid w:val="006D2ED0"/>
    <w:rsid w:val="006D3144"/>
    <w:rsid w:val="006F45EA"/>
    <w:rsid w:val="007013FB"/>
    <w:rsid w:val="007050D6"/>
    <w:rsid w:val="00713EFB"/>
    <w:rsid w:val="00736421"/>
    <w:rsid w:val="0075466E"/>
    <w:rsid w:val="0077150F"/>
    <w:rsid w:val="007750BC"/>
    <w:rsid w:val="007835E0"/>
    <w:rsid w:val="00790935"/>
    <w:rsid w:val="007A6ACF"/>
    <w:rsid w:val="007C38A8"/>
    <w:rsid w:val="007C61C9"/>
    <w:rsid w:val="007E0548"/>
    <w:rsid w:val="007F1438"/>
    <w:rsid w:val="007F180C"/>
    <w:rsid w:val="007F43D5"/>
    <w:rsid w:val="0080088A"/>
    <w:rsid w:val="00827042"/>
    <w:rsid w:val="00842D74"/>
    <w:rsid w:val="00861491"/>
    <w:rsid w:val="008626C2"/>
    <w:rsid w:val="00865C18"/>
    <w:rsid w:val="008673E6"/>
    <w:rsid w:val="00874367"/>
    <w:rsid w:val="00875DED"/>
    <w:rsid w:val="008B112D"/>
    <w:rsid w:val="008B70BD"/>
    <w:rsid w:val="008B725E"/>
    <w:rsid w:val="008D77B1"/>
    <w:rsid w:val="008D79A7"/>
    <w:rsid w:val="008F05D9"/>
    <w:rsid w:val="00900E99"/>
    <w:rsid w:val="0090774B"/>
    <w:rsid w:val="00920232"/>
    <w:rsid w:val="00926A01"/>
    <w:rsid w:val="00933A1E"/>
    <w:rsid w:val="00945A67"/>
    <w:rsid w:val="009710AE"/>
    <w:rsid w:val="00972CE0"/>
    <w:rsid w:val="00976A5B"/>
    <w:rsid w:val="00993FC2"/>
    <w:rsid w:val="009B08A5"/>
    <w:rsid w:val="009B59DD"/>
    <w:rsid w:val="009B6905"/>
    <w:rsid w:val="009D2F8A"/>
    <w:rsid w:val="009F3754"/>
    <w:rsid w:val="00A077EE"/>
    <w:rsid w:val="00A2123C"/>
    <w:rsid w:val="00A218FA"/>
    <w:rsid w:val="00A3539C"/>
    <w:rsid w:val="00A45D00"/>
    <w:rsid w:val="00A50858"/>
    <w:rsid w:val="00A668A1"/>
    <w:rsid w:val="00A904C5"/>
    <w:rsid w:val="00A93447"/>
    <w:rsid w:val="00A95FF8"/>
    <w:rsid w:val="00AC0868"/>
    <w:rsid w:val="00AD03E8"/>
    <w:rsid w:val="00AD25F5"/>
    <w:rsid w:val="00AD2BD2"/>
    <w:rsid w:val="00AE1158"/>
    <w:rsid w:val="00AF4BEA"/>
    <w:rsid w:val="00AF5033"/>
    <w:rsid w:val="00AF5657"/>
    <w:rsid w:val="00AF5A11"/>
    <w:rsid w:val="00AF749F"/>
    <w:rsid w:val="00B10492"/>
    <w:rsid w:val="00B12424"/>
    <w:rsid w:val="00B156A1"/>
    <w:rsid w:val="00B27022"/>
    <w:rsid w:val="00B36691"/>
    <w:rsid w:val="00B42423"/>
    <w:rsid w:val="00B63190"/>
    <w:rsid w:val="00B731E6"/>
    <w:rsid w:val="00B77A89"/>
    <w:rsid w:val="00BB7FE4"/>
    <w:rsid w:val="00BC0308"/>
    <w:rsid w:val="00BC234D"/>
    <w:rsid w:val="00BC2787"/>
    <w:rsid w:val="00BC439A"/>
    <w:rsid w:val="00BD68E5"/>
    <w:rsid w:val="00BE5DF2"/>
    <w:rsid w:val="00BF242C"/>
    <w:rsid w:val="00C01132"/>
    <w:rsid w:val="00C048C9"/>
    <w:rsid w:val="00C167E4"/>
    <w:rsid w:val="00C26E1D"/>
    <w:rsid w:val="00C337F1"/>
    <w:rsid w:val="00C47733"/>
    <w:rsid w:val="00C61252"/>
    <w:rsid w:val="00C80C35"/>
    <w:rsid w:val="00C974B7"/>
    <w:rsid w:val="00CA6E3D"/>
    <w:rsid w:val="00CB51E8"/>
    <w:rsid w:val="00CC31FB"/>
    <w:rsid w:val="00CE5D58"/>
    <w:rsid w:val="00CE61A5"/>
    <w:rsid w:val="00D00E7E"/>
    <w:rsid w:val="00D02341"/>
    <w:rsid w:val="00D15E9B"/>
    <w:rsid w:val="00D21AB6"/>
    <w:rsid w:val="00D4273B"/>
    <w:rsid w:val="00D60B05"/>
    <w:rsid w:val="00D66A1E"/>
    <w:rsid w:val="00D82A01"/>
    <w:rsid w:val="00DA7EF5"/>
    <w:rsid w:val="00DC6346"/>
    <w:rsid w:val="00DC7309"/>
    <w:rsid w:val="00DD25C2"/>
    <w:rsid w:val="00DD57FD"/>
    <w:rsid w:val="00DE1541"/>
    <w:rsid w:val="00DE2242"/>
    <w:rsid w:val="00E00D52"/>
    <w:rsid w:val="00E26DAC"/>
    <w:rsid w:val="00E5072E"/>
    <w:rsid w:val="00E50839"/>
    <w:rsid w:val="00E55526"/>
    <w:rsid w:val="00E7156E"/>
    <w:rsid w:val="00E71D19"/>
    <w:rsid w:val="00E7707F"/>
    <w:rsid w:val="00E86654"/>
    <w:rsid w:val="00F11555"/>
    <w:rsid w:val="00F12632"/>
    <w:rsid w:val="00F17792"/>
    <w:rsid w:val="00F26067"/>
    <w:rsid w:val="00F319A6"/>
    <w:rsid w:val="00F65129"/>
    <w:rsid w:val="00F9364E"/>
    <w:rsid w:val="00FA0245"/>
    <w:rsid w:val="00FB4914"/>
    <w:rsid w:val="00FB5EB0"/>
    <w:rsid w:val="00FB64CF"/>
    <w:rsid w:val="00FC25D3"/>
    <w:rsid w:val="00FD282A"/>
    <w:rsid w:val="00FD6952"/>
    <w:rsid w:val="00FE4BE4"/>
    <w:rsid w:val="00FF13D7"/>
    <w:rsid w:val="00FF5357"/>
    <w:rsid w:val="0174C094"/>
    <w:rsid w:val="0240A7F4"/>
    <w:rsid w:val="030392D4"/>
    <w:rsid w:val="0363508E"/>
    <w:rsid w:val="03A54947"/>
    <w:rsid w:val="05B06C64"/>
    <w:rsid w:val="05F9F8DA"/>
    <w:rsid w:val="06468360"/>
    <w:rsid w:val="077B8912"/>
    <w:rsid w:val="07D60CA4"/>
    <w:rsid w:val="08A24672"/>
    <w:rsid w:val="08CDEABD"/>
    <w:rsid w:val="098ECA13"/>
    <w:rsid w:val="09A02855"/>
    <w:rsid w:val="0B701945"/>
    <w:rsid w:val="0B7993BE"/>
    <w:rsid w:val="0BA82B25"/>
    <w:rsid w:val="0CDBCE93"/>
    <w:rsid w:val="0D0A32D4"/>
    <w:rsid w:val="0D0DA1AB"/>
    <w:rsid w:val="0DEBE262"/>
    <w:rsid w:val="0F4C4848"/>
    <w:rsid w:val="0F628D79"/>
    <w:rsid w:val="0F79A292"/>
    <w:rsid w:val="11016227"/>
    <w:rsid w:val="11E19082"/>
    <w:rsid w:val="12369A42"/>
    <w:rsid w:val="12718659"/>
    <w:rsid w:val="12FC444F"/>
    <w:rsid w:val="138161DE"/>
    <w:rsid w:val="13FAC8EF"/>
    <w:rsid w:val="14B8F34C"/>
    <w:rsid w:val="16B902A0"/>
    <w:rsid w:val="16E75277"/>
    <w:rsid w:val="17214809"/>
    <w:rsid w:val="172B4F2C"/>
    <w:rsid w:val="1760EFCF"/>
    <w:rsid w:val="17DDF193"/>
    <w:rsid w:val="18DE6E8E"/>
    <w:rsid w:val="1A942730"/>
    <w:rsid w:val="1BFC727B"/>
    <w:rsid w:val="1DD5B944"/>
    <w:rsid w:val="1E4487F7"/>
    <w:rsid w:val="1F87C345"/>
    <w:rsid w:val="2046BC89"/>
    <w:rsid w:val="20F2D655"/>
    <w:rsid w:val="214798D6"/>
    <w:rsid w:val="21EDBB12"/>
    <w:rsid w:val="22B4E8B0"/>
    <w:rsid w:val="23EF059E"/>
    <w:rsid w:val="24F44747"/>
    <w:rsid w:val="2565C5B4"/>
    <w:rsid w:val="25C945CD"/>
    <w:rsid w:val="27DB4511"/>
    <w:rsid w:val="2810D356"/>
    <w:rsid w:val="2834F115"/>
    <w:rsid w:val="285345E0"/>
    <w:rsid w:val="2915581B"/>
    <w:rsid w:val="2A218ED9"/>
    <w:rsid w:val="2B0D228D"/>
    <w:rsid w:val="2B5BADB9"/>
    <w:rsid w:val="2C126FE4"/>
    <w:rsid w:val="2CDA9D8F"/>
    <w:rsid w:val="2D3AB304"/>
    <w:rsid w:val="2D63B10F"/>
    <w:rsid w:val="2DB314E8"/>
    <w:rsid w:val="2DCC27B7"/>
    <w:rsid w:val="2E2BF86D"/>
    <w:rsid w:val="2F1C2143"/>
    <w:rsid w:val="307608B0"/>
    <w:rsid w:val="31A6A119"/>
    <w:rsid w:val="323321B0"/>
    <w:rsid w:val="32A211FC"/>
    <w:rsid w:val="32EC73A7"/>
    <w:rsid w:val="331F13C0"/>
    <w:rsid w:val="33DA278F"/>
    <w:rsid w:val="34884408"/>
    <w:rsid w:val="356B7199"/>
    <w:rsid w:val="36241469"/>
    <w:rsid w:val="37BD3F3E"/>
    <w:rsid w:val="395BB52B"/>
    <w:rsid w:val="3B534DEF"/>
    <w:rsid w:val="3B5ED09E"/>
    <w:rsid w:val="3B88644F"/>
    <w:rsid w:val="3C1663F5"/>
    <w:rsid w:val="3C9355ED"/>
    <w:rsid w:val="3CABD484"/>
    <w:rsid w:val="3CDD6D84"/>
    <w:rsid w:val="3FDA5591"/>
    <w:rsid w:val="4166C710"/>
    <w:rsid w:val="4207BF2A"/>
    <w:rsid w:val="43029771"/>
    <w:rsid w:val="449E67D2"/>
    <w:rsid w:val="44CD70E4"/>
    <w:rsid w:val="44D479A0"/>
    <w:rsid w:val="4539F054"/>
    <w:rsid w:val="45EA11DC"/>
    <w:rsid w:val="463A3833"/>
    <w:rsid w:val="46EA3327"/>
    <w:rsid w:val="47925ACA"/>
    <w:rsid w:val="47ED6249"/>
    <w:rsid w:val="496B549E"/>
    <w:rsid w:val="4A58ED9B"/>
    <w:rsid w:val="4A8AE56E"/>
    <w:rsid w:val="4AAAA1B5"/>
    <w:rsid w:val="4ADBD6E4"/>
    <w:rsid w:val="4CA703BE"/>
    <w:rsid w:val="4E2B0C1C"/>
    <w:rsid w:val="4E5D19A6"/>
    <w:rsid w:val="4F14B8E5"/>
    <w:rsid w:val="4F622CF0"/>
    <w:rsid w:val="4FA64758"/>
    <w:rsid w:val="4FE884A7"/>
    <w:rsid w:val="5074C388"/>
    <w:rsid w:val="50BBB50F"/>
    <w:rsid w:val="50E75061"/>
    <w:rsid w:val="51EDB44B"/>
    <w:rsid w:val="522CE5CE"/>
    <w:rsid w:val="5311614F"/>
    <w:rsid w:val="53CCA127"/>
    <w:rsid w:val="554A39C3"/>
    <w:rsid w:val="5571AD77"/>
    <w:rsid w:val="5682D6C4"/>
    <w:rsid w:val="56A447B0"/>
    <w:rsid w:val="56CF15CF"/>
    <w:rsid w:val="57AC65FB"/>
    <w:rsid w:val="5899E76D"/>
    <w:rsid w:val="58C31359"/>
    <w:rsid w:val="59390C61"/>
    <w:rsid w:val="59393C0C"/>
    <w:rsid w:val="59A87682"/>
    <w:rsid w:val="5A0D947F"/>
    <w:rsid w:val="5A6146ED"/>
    <w:rsid w:val="5B4446E3"/>
    <w:rsid w:val="5D5BB453"/>
    <w:rsid w:val="5E6FF55D"/>
    <w:rsid w:val="5FACC789"/>
    <w:rsid w:val="6087E2F8"/>
    <w:rsid w:val="608E1265"/>
    <w:rsid w:val="6255D862"/>
    <w:rsid w:val="625C6E63"/>
    <w:rsid w:val="6375B74C"/>
    <w:rsid w:val="63D653CB"/>
    <w:rsid w:val="63F83EC4"/>
    <w:rsid w:val="64FCE72B"/>
    <w:rsid w:val="6614325F"/>
    <w:rsid w:val="6639C510"/>
    <w:rsid w:val="67AFA134"/>
    <w:rsid w:val="67F11551"/>
    <w:rsid w:val="695CC3FA"/>
    <w:rsid w:val="69779682"/>
    <w:rsid w:val="6BE3510E"/>
    <w:rsid w:val="6C124B9B"/>
    <w:rsid w:val="6D7E96F7"/>
    <w:rsid w:val="6DF738C1"/>
    <w:rsid w:val="6F6CA605"/>
    <w:rsid w:val="6FADF5D0"/>
    <w:rsid w:val="7278B49B"/>
    <w:rsid w:val="72F46A5B"/>
    <w:rsid w:val="73CB1646"/>
    <w:rsid w:val="747A2E8E"/>
    <w:rsid w:val="75752FA8"/>
    <w:rsid w:val="772572A9"/>
    <w:rsid w:val="7970A0C0"/>
    <w:rsid w:val="79E699C8"/>
    <w:rsid w:val="7C1E165D"/>
    <w:rsid w:val="7C458A11"/>
    <w:rsid w:val="7CDD5443"/>
    <w:rsid w:val="7FB33B4D"/>
    <w:rsid w:val="7FC59373"/>
    <w:rsid w:val="7FFCA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39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78F"/>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Professional"/>
    <w:uiPriority w:val="59"/>
    <w:rsid w:val="0005278F"/>
    <w:rPr>
      <w:rFonts w:eastAsiaTheme="minorEastAsia"/>
      <w:sz w:val="20"/>
      <w:szCs w:val="20"/>
      <w:lang w:val="pl-PL"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paragraph" w:styleId="FootnoteText">
    <w:name w:val="footnote text"/>
    <w:basedOn w:val="Normal"/>
    <w:link w:val="FootnoteTextChar"/>
    <w:autoRedefine/>
    <w:qFormat/>
    <w:rsid w:val="0005278F"/>
    <w:pPr>
      <w:spacing w:before="80" w:line="200" w:lineRule="exact"/>
      <w:ind w:left="567" w:hanging="567"/>
      <w:jc w:val="both"/>
    </w:pPr>
    <w:rPr>
      <w:sz w:val="18"/>
      <w:szCs w:val="18"/>
      <w:lang w:val="en-US"/>
    </w:rPr>
  </w:style>
  <w:style w:type="character" w:customStyle="1" w:styleId="FootnoteTextChar">
    <w:name w:val="Footnote Text Char"/>
    <w:basedOn w:val="DefaultParagraphFont"/>
    <w:link w:val="FootnoteText"/>
    <w:rsid w:val="0005278F"/>
    <w:rPr>
      <w:rFonts w:eastAsiaTheme="minorEastAsia"/>
      <w:sz w:val="18"/>
      <w:szCs w:val="18"/>
      <w:lang w:val="en-US"/>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05278F"/>
    <w:rPr>
      <w:rFonts w:asciiTheme="minorHAnsi" w:hAnsiTheme="minorHAnsi"/>
      <w:sz w:val="22"/>
      <w:szCs w:val="18"/>
      <w:vertAlign w:val="superscript"/>
    </w:rPr>
  </w:style>
  <w:style w:type="character" w:styleId="Hyperlink">
    <w:name w:val="Hyperlink"/>
    <w:basedOn w:val="DefaultParagraphFont"/>
    <w:uiPriority w:val="99"/>
    <w:rsid w:val="0005278F"/>
    <w:rPr>
      <w:color w:val="0563C1" w:themeColor="hyperlink"/>
      <w:u w:val="single"/>
    </w:rPr>
  </w:style>
  <w:style w:type="paragraph" w:customStyle="1" w:styleId="Annexetitre">
    <w:name w:val="Annexe titre"/>
    <w:basedOn w:val="Normal"/>
    <w:next w:val="Normal"/>
    <w:rsid w:val="0005278F"/>
    <w:pPr>
      <w:spacing w:before="120" w:after="120"/>
      <w:jc w:val="center"/>
    </w:pPr>
    <w:rPr>
      <w:rFonts w:ascii="Times New Roman" w:eastAsia="Times New Roman" w:hAnsi="Times New Roman" w:cs="Times New Roman"/>
      <w:b/>
      <w:sz w:val="24"/>
      <w:u w:val="single"/>
    </w:rPr>
  </w:style>
  <w:style w:type="paragraph" w:styleId="ListParagraph">
    <w:name w:val="List Paragraph"/>
    <w:basedOn w:val="Normal"/>
    <w:uiPriority w:val="34"/>
    <w:qFormat/>
    <w:rsid w:val="0005278F"/>
    <w:pPr>
      <w:ind w:left="720"/>
    </w:pPr>
    <w:rPr>
      <w:rFonts w:ascii="Calibri" w:eastAsia="Calibri" w:hAnsi="Calibri" w:cs="Times New Roman"/>
      <w:szCs w:val="22"/>
    </w:rPr>
  </w:style>
  <w:style w:type="table" w:styleId="TableProfessional">
    <w:name w:val="Table Professional"/>
    <w:basedOn w:val="TableNormal"/>
    <w:uiPriority w:val="99"/>
    <w:semiHidden/>
    <w:unhideWhenUsed/>
    <w:rsid w:val="0005278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unhideWhenUsed/>
    <w:rsid w:val="0005278F"/>
    <w:pPr>
      <w:tabs>
        <w:tab w:val="center" w:pos="4513"/>
        <w:tab w:val="right" w:pos="9026"/>
      </w:tabs>
    </w:pPr>
  </w:style>
  <w:style w:type="character" w:customStyle="1" w:styleId="HeaderChar">
    <w:name w:val="Header Char"/>
    <w:basedOn w:val="DefaultParagraphFont"/>
    <w:link w:val="Header"/>
    <w:uiPriority w:val="99"/>
    <w:rsid w:val="0005278F"/>
    <w:rPr>
      <w:rFonts w:eastAsiaTheme="minorEastAsia"/>
      <w:szCs w:val="24"/>
    </w:rPr>
  </w:style>
  <w:style w:type="paragraph" w:styleId="Footer">
    <w:name w:val="footer"/>
    <w:basedOn w:val="Normal"/>
    <w:link w:val="FooterChar"/>
    <w:uiPriority w:val="99"/>
    <w:unhideWhenUsed/>
    <w:rsid w:val="0005278F"/>
    <w:pPr>
      <w:tabs>
        <w:tab w:val="center" w:pos="4513"/>
        <w:tab w:val="right" w:pos="9026"/>
      </w:tabs>
    </w:pPr>
  </w:style>
  <w:style w:type="character" w:customStyle="1" w:styleId="FooterChar">
    <w:name w:val="Footer Char"/>
    <w:basedOn w:val="DefaultParagraphFont"/>
    <w:link w:val="Footer"/>
    <w:uiPriority w:val="99"/>
    <w:rsid w:val="0005278F"/>
    <w:rPr>
      <w:rFonts w:eastAsiaTheme="minorEastAsia"/>
      <w:szCs w:val="24"/>
    </w:rPr>
  </w:style>
  <w:style w:type="paragraph" w:styleId="Revision">
    <w:name w:val="Revision"/>
    <w:hidden/>
    <w:uiPriority w:val="99"/>
    <w:semiHidden/>
    <w:rsid w:val="00540283"/>
    <w:pPr>
      <w:spacing w:after="0" w:line="240" w:lineRule="auto"/>
    </w:pPr>
    <w:rPr>
      <w:rFonts w:eastAsiaTheme="minorEastAsia"/>
      <w:szCs w:val="24"/>
    </w:rPr>
  </w:style>
  <w:style w:type="paragraph" w:styleId="BalloonText">
    <w:name w:val="Balloon Text"/>
    <w:basedOn w:val="Normal"/>
    <w:link w:val="BalloonTextChar"/>
    <w:uiPriority w:val="99"/>
    <w:semiHidden/>
    <w:unhideWhenUsed/>
    <w:rsid w:val="0053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F36"/>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904C5"/>
    <w:rPr>
      <w:sz w:val="16"/>
      <w:szCs w:val="16"/>
    </w:rPr>
  </w:style>
  <w:style w:type="paragraph" w:styleId="CommentText">
    <w:name w:val="annotation text"/>
    <w:basedOn w:val="Normal"/>
    <w:link w:val="CommentTextChar"/>
    <w:uiPriority w:val="99"/>
    <w:unhideWhenUsed/>
    <w:rsid w:val="00A904C5"/>
    <w:rPr>
      <w:sz w:val="20"/>
      <w:szCs w:val="20"/>
    </w:rPr>
  </w:style>
  <w:style w:type="character" w:customStyle="1" w:styleId="CommentTextChar">
    <w:name w:val="Comment Text Char"/>
    <w:basedOn w:val="DefaultParagraphFont"/>
    <w:link w:val="CommentText"/>
    <w:uiPriority w:val="99"/>
    <w:rsid w:val="00A904C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904C5"/>
    <w:rPr>
      <w:b/>
      <w:bCs/>
    </w:rPr>
  </w:style>
  <w:style w:type="character" w:customStyle="1" w:styleId="CommentSubjectChar">
    <w:name w:val="Comment Subject Char"/>
    <w:basedOn w:val="CommentTextChar"/>
    <w:link w:val="CommentSubject"/>
    <w:uiPriority w:val="99"/>
    <w:semiHidden/>
    <w:rsid w:val="00A904C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A017E-ABA5-4721-A10C-393119DB2629}">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2024-06-06T14:23:00Z</dcterms:created>
  <dcterms:modified xsi:type="dcterms:W3CDTF">2024-06-19T10:39:00Z</dcterms:modified>
</cp:coreProperties>
</file>