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E59E" w14:textId="77777777" w:rsidR="00965CEB" w:rsidRPr="007F4CC8" w:rsidRDefault="00965CEB" w:rsidP="00965CEB">
      <w:pPr>
        <w:pStyle w:val="Annexetitre"/>
        <w:spacing w:after="240"/>
        <w:rPr>
          <w:u w:val="none"/>
        </w:rPr>
      </w:pPr>
      <w:r w:rsidRPr="007F4CC8">
        <w:rPr>
          <w:u w:val="none"/>
        </w:rPr>
        <w:t>ANNEX XXXIV– Instructions for the disclosure of remuneration policy templates</w:t>
      </w:r>
    </w:p>
    <w:p w14:paraId="27BC952C" w14:textId="77777777" w:rsidR="00965CEB" w:rsidRPr="007F4CC8" w:rsidRDefault="00965CEB" w:rsidP="00965CEB">
      <w:pPr>
        <w:pStyle w:val="Titlelevel2"/>
        <w:spacing w:before="120" w:after="120"/>
        <w:rPr>
          <w:rFonts w:ascii="Times New Roman" w:hAnsi="Times New Roman"/>
          <w:b/>
          <w:color w:val="auto"/>
          <w:sz w:val="22"/>
          <w:lang w:val="en-GB"/>
        </w:rPr>
      </w:pPr>
    </w:p>
    <w:p w14:paraId="08B38A5D" w14:textId="77777777" w:rsidR="00965CEB" w:rsidRPr="00DD0C4D" w:rsidRDefault="00965CEB" w:rsidP="00965CEB">
      <w:pPr>
        <w:pStyle w:val="Titlelevel2"/>
        <w:spacing w:before="120" w:after="120"/>
        <w:rPr>
          <w:rFonts w:ascii="Times New Roman" w:hAnsi="Times New Roman" w:cs="Times New Roman"/>
          <w:b/>
          <w:color w:val="auto"/>
          <w:sz w:val="24"/>
          <w:lang w:val="fr-BE"/>
        </w:rPr>
      </w:pPr>
      <w:r>
        <w:rPr>
          <w:rFonts w:ascii="Times New Roman" w:hAnsi="Times New Roman" w:cs="Times New Roman"/>
          <w:b/>
          <w:color w:val="auto"/>
          <w:sz w:val="24"/>
          <w:lang w:val="fr-BE"/>
        </w:rPr>
        <w:t xml:space="preserve">Table EU </w:t>
      </w:r>
      <w:r w:rsidRPr="00DD0C4D">
        <w:rPr>
          <w:rFonts w:ascii="Times New Roman" w:hAnsi="Times New Roman" w:cs="Times New Roman"/>
          <w:b/>
          <w:color w:val="auto"/>
          <w:sz w:val="24"/>
          <w:lang w:val="fr-BE"/>
        </w:rPr>
        <w:t xml:space="preserve">REMA – Remuneration policy: </w:t>
      </w:r>
      <w:r w:rsidRPr="00DD0C4D">
        <w:rPr>
          <w:rFonts w:ascii="Times New Roman" w:hAnsi="Times New Roman" w:cs="Times New Roman"/>
          <w:color w:val="auto"/>
          <w:sz w:val="24"/>
          <w:lang w:val="fr-BE"/>
        </w:rPr>
        <w:t>Flexible format</w:t>
      </w:r>
    </w:p>
    <w:p w14:paraId="6ACFB470" w14:textId="1A85C375"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Institutions shall disclose the information referred to in points (a), (b), (c), (d), (e), (f), (j) and (k) of Article 450(1) and of Article 450(2) CRR</w:t>
      </w:r>
      <w:r w:rsidRPr="007F4CC8">
        <w:rPr>
          <w:rStyle w:val="FootnoteReference"/>
          <w:rFonts w:ascii="Times New Roman" w:eastAsiaTheme="minorEastAsia" w:hAnsi="Times New Roman" w:cs="Times New Roman"/>
          <w:bCs w:val="0"/>
          <w:color w:val="auto"/>
          <w:sz w:val="24"/>
          <w:lang w:val="en-GB"/>
        </w:rPr>
        <w:footnoteReference w:id="1"/>
      </w:r>
      <w:r w:rsidRPr="007F4CC8">
        <w:rPr>
          <w:rFonts w:ascii="Times New Roman" w:eastAsiaTheme="minorEastAsia" w:hAnsi="Times New Roman" w:cs="Times New Roman"/>
          <w:bCs w:val="0"/>
          <w:color w:val="auto"/>
          <w:sz w:val="24"/>
          <w:lang w:val="en-GB"/>
        </w:rPr>
        <w:t xml:space="preserve"> by following the instructions provided below in this Annex to complete </w:t>
      </w:r>
      <w:r>
        <w:rPr>
          <w:rFonts w:ascii="Times New Roman" w:eastAsiaTheme="minorEastAsia" w:hAnsi="Times New Roman" w:cs="Times New Roman"/>
          <w:bCs w:val="0"/>
          <w:color w:val="auto"/>
          <w:sz w:val="24"/>
          <w:lang w:val="en-GB"/>
        </w:rPr>
        <w:t xml:space="preserve">table EU </w:t>
      </w:r>
      <w:r w:rsidRPr="007F4CC8">
        <w:rPr>
          <w:rFonts w:ascii="Times New Roman" w:eastAsiaTheme="minorEastAsia" w:hAnsi="Times New Roman" w:cs="Times New Roman"/>
          <w:bCs w:val="0"/>
          <w:color w:val="auto"/>
          <w:sz w:val="24"/>
          <w:lang w:val="en-GB"/>
        </w:rPr>
        <w:t xml:space="preserve">REMA which is presented in Annex XXXIII </w:t>
      </w:r>
      <w:r w:rsidR="009E1CBE">
        <w:rPr>
          <w:rFonts w:ascii="Times New Roman" w:eastAsiaTheme="minorEastAsia" w:hAnsi="Times New Roman" w:cs="Times New Roman"/>
          <w:bCs w:val="0"/>
          <w:color w:val="auto"/>
          <w:sz w:val="24"/>
          <w:lang w:val="en-GB"/>
        </w:rPr>
        <w:t>of the EBA IT solutions</w:t>
      </w:r>
      <w:r w:rsidRPr="007F4CC8">
        <w:rPr>
          <w:rFonts w:ascii="Times New Roman" w:eastAsiaTheme="minorEastAsia" w:hAnsi="Times New Roman" w:cs="Times New Roman"/>
          <w:bCs w:val="0"/>
          <w:color w:val="auto"/>
          <w:sz w:val="24"/>
          <w:lang w:val="en-GB"/>
        </w:rPr>
        <w:t>.</w:t>
      </w:r>
    </w:p>
    <w:p w14:paraId="3D4A1A0C"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This table has a flexible format. In case that institutions apply a different format, they shall provide information comparable with the information required in this table, with a similar level of granularity and including all the substance information required.</w:t>
      </w:r>
    </w:p>
    <w:p w14:paraId="5ED60910"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For the purpose of this table and the templates explained in this annex, award means the granting of variable remuneration for a specific accrual period, independently of the actual point in time where the awarded amount is paid.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6548A600"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68852"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965CEB" w:rsidRPr="007F4CC8" w14:paraId="284F051F" w14:textId="77777777" w:rsidTr="004F3087">
        <w:trPr>
          <w:trHeight w:val="238"/>
        </w:trPr>
        <w:tc>
          <w:tcPr>
            <w:tcW w:w="1384" w:type="dxa"/>
            <w:shd w:val="clear" w:color="auto" w:fill="D9D9D9" w:themeFill="background1" w:themeFillShade="D9"/>
          </w:tcPr>
          <w:p w14:paraId="2F1543A4"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5DD0A4CC"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366273C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7A843606" w14:textId="77777777" w:rsidR="00965CEB" w:rsidRPr="007F4CC8" w:rsidRDefault="00965CEB" w:rsidP="004F3087">
            <w:pPr>
              <w:pStyle w:val="Applicationdirecte"/>
              <w:spacing w:before="0" w:after="0"/>
              <w:jc w:val="center"/>
            </w:pPr>
            <w:r>
              <w:t>(</w:t>
            </w:r>
            <w:r w:rsidRPr="007F4CC8">
              <w:t>a</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3D197420"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Information relating to the bodies that oversee remuneration. Disclosures shall include:</w:t>
            </w:r>
          </w:p>
          <w:p w14:paraId="1488B17D" w14:textId="77777777" w:rsidR="00965CEB" w:rsidRPr="007F4CC8" w:rsidRDefault="00965CEB" w:rsidP="00965CEB">
            <w:pPr>
              <w:pStyle w:val="ListParagraph"/>
              <w:numPr>
                <w:ilvl w:val="0"/>
                <w:numId w:val="2"/>
              </w:numPr>
              <w:spacing w:before="60" w:after="120"/>
              <w:jc w:val="both"/>
              <w:rPr>
                <w:rFonts w:ascii="Times New Roman" w:hAnsi="Times New Roman"/>
                <w:sz w:val="24"/>
                <w:szCs w:val="24"/>
              </w:rPr>
            </w:pPr>
            <w:r w:rsidRPr="007F4CC8">
              <w:rPr>
                <w:rFonts w:ascii="Times New Roman" w:hAnsi="Times New Roman"/>
                <w:sz w:val="24"/>
                <w:szCs w:val="24"/>
              </w:rPr>
              <w:t>name, composition and mandate of the main body (management body and remuneration committee where established) overseeing the remuneration policy and the number of meetings held by that main body during the financial year;</w:t>
            </w:r>
          </w:p>
          <w:p w14:paraId="5B0DD549" w14:textId="77777777" w:rsidR="00965CEB" w:rsidRPr="007F4CC8" w:rsidRDefault="00965CEB" w:rsidP="00965CEB">
            <w:pPr>
              <w:pStyle w:val="ListParagraph"/>
              <w:numPr>
                <w:ilvl w:val="0"/>
                <w:numId w:val="2"/>
              </w:numPr>
              <w:spacing w:before="60" w:after="120"/>
              <w:jc w:val="both"/>
              <w:rPr>
                <w:rFonts w:ascii="Times New Roman" w:hAnsi="Times New Roman"/>
                <w:sz w:val="24"/>
                <w:szCs w:val="24"/>
              </w:rPr>
            </w:pPr>
            <w:r w:rsidRPr="007F4CC8">
              <w:rPr>
                <w:rFonts w:ascii="Times New Roman" w:hAnsi="Times New Roman"/>
                <w:sz w:val="24"/>
                <w:szCs w:val="24"/>
              </w:rPr>
              <w:t>external consultants whose advice has been sought, the body by which they were commissioned, and in which areas of the remuneration framework;</w:t>
            </w:r>
          </w:p>
          <w:p w14:paraId="3CBC394C" w14:textId="77777777" w:rsidR="00965CEB" w:rsidRPr="007F4CC8" w:rsidRDefault="00965CEB" w:rsidP="00965CEB">
            <w:pPr>
              <w:pStyle w:val="ListParagraph"/>
              <w:numPr>
                <w:ilvl w:val="0"/>
                <w:numId w:val="2"/>
              </w:numPr>
              <w:spacing w:before="60" w:after="120"/>
              <w:jc w:val="both"/>
              <w:rPr>
                <w:rFonts w:ascii="Times New Roman" w:hAnsi="Times New Roman"/>
                <w:sz w:val="24"/>
                <w:szCs w:val="24"/>
              </w:rPr>
            </w:pPr>
            <w:r w:rsidRPr="007F4CC8">
              <w:rPr>
                <w:rFonts w:ascii="Times New Roman" w:hAnsi="Times New Roman"/>
                <w:sz w:val="24"/>
                <w:szCs w:val="24"/>
              </w:rPr>
              <w:t>a description of the scope of the institution’s remuneration policy (eg by regions, business lines), including the extent to which it is applicable to subsidiaries and branches located in third countries;</w:t>
            </w:r>
          </w:p>
          <w:p w14:paraId="1BEEE20B" w14:textId="77777777" w:rsidR="00965CEB" w:rsidRPr="007F4CC8" w:rsidRDefault="00965CEB" w:rsidP="00965CEB">
            <w:pPr>
              <w:pStyle w:val="ListParagraph"/>
              <w:numPr>
                <w:ilvl w:val="0"/>
                <w:numId w:val="2"/>
              </w:numPr>
              <w:spacing w:before="60" w:after="120"/>
              <w:jc w:val="both"/>
              <w:rPr>
                <w:rFonts w:ascii="Times New Roman" w:hAnsi="Times New Roman"/>
                <w:sz w:val="24"/>
              </w:rPr>
            </w:pPr>
            <w:r w:rsidRPr="007F4CC8">
              <w:rPr>
                <w:rFonts w:ascii="Times New Roman" w:hAnsi="Times New Roman"/>
                <w:sz w:val="24"/>
                <w:szCs w:val="24"/>
              </w:rPr>
              <w:t>a description of the staff or categories of staff whose professional activities have a material impact on institutions' risk profile (identified staff).</w:t>
            </w:r>
          </w:p>
        </w:tc>
      </w:tr>
      <w:tr w:rsidR="00965CEB" w:rsidRPr="007F4CC8" w14:paraId="2FEF2CFD"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7A003A1C" w14:textId="77777777" w:rsidR="00965CEB" w:rsidRPr="007F4CC8" w:rsidRDefault="00965CEB" w:rsidP="004F3087">
            <w:pPr>
              <w:pStyle w:val="Applicationdirecte"/>
              <w:spacing w:before="0" w:after="0"/>
              <w:jc w:val="center"/>
            </w:pPr>
            <w:r>
              <w:t>(</w:t>
            </w:r>
            <w:r w:rsidRPr="007F4CC8">
              <w:t>b</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75C23370"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Information relating to the design and structure of the remuneration system for identified staff. Disclosures shall include:</w:t>
            </w:r>
          </w:p>
          <w:p w14:paraId="363C45DA"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an overview of the key features and objectives of remuneration policy, and information about the decision-making process used for determining the remuneration policy and the role of the relevant stakeholders (e.g. the shareholders’ meeting);</w:t>
            </w:r>
          </w:p>
          <w:p w14:paraId="415080E8"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information on the criteria used for performance measurement and ex ante and ex post risk adjustment;</w:t>
            </w:r>
          </w:p>
          <w:p w14:paraId="486E0D69"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lastRenderedPageBreak/>
              <w:t>whether the management body and the remuneration committee, where established, reviewed the institution’s remuneration policy during the past year, and if so, an overview of any changes that were made, the reasons for those changes and their impact on remuneration;</w:t>
            </w:r>
          </w:p>
          <w:p w14:paraId="410559C6"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information of how the institution ensures that staff in internal control functions are remunerated independently of the businesses they oversee;</w:t>
            </w:r>
          </w:p>
          <w:p w14:paraId="0551D89A"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policies and criteria applied for the award of guaranteed variable remuneration and severance payments.</w:t>
            </w:r>
          </w:p>
        </w:tc>
      </w:tr>
      <w:tr w:rsidR="00965CEB" w:rsidRPr="007F4CC8" w14:paraId="6A1C9518"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059DC3B9" w14:textId="77777777" w:rsidR="00965CEB" w:rsidRPr="007F4CC8" w:rsidRDefault="00965CEB" w:rsidP="004F3087">
            <w:pPr>
              <w:pStyle w:val="Applicationdirecte"/>
              <w:spacing w:before="0" w:after="0"/>
              <w:jc w:val="center"/>
            </w:pPr>
            <w:r>
              <w:lastRenderedPageBreak/>
              <w:t>(</w:t>
            </w:r>
            <w:r w:rsidRPr="007F4CC8">
              <w:t>c</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106A5392"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sz w:val="24"/>
              </w:rPr>
              <w:t>Description of the ways in which current and future risks are taken into account in the remuneration processes</w:t>
            </w:r>
            <w:r w:rsidRPr="007F4CC8">
              <w:rPr>
                <w:rFonts w:ascii="Times New Roman" w:hAnsi="Times New Roman" w:cs="Times New Roman"/>
                <w:sz w:val="24"/>
              </w:rPr>
              <w:t xml:space="preserve"> </w:t>
            </w:r>
          </w:p>
          <w:p w14:paraId="5A14C6D4"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Disclosures shall include an overview of the key risks, their measurement and how these measures affect remuneration.</w:t>
            </w:r>
          </w:p>
        </w:tc>
      </w:tr>
      <w:tr w:rsidR="00965CEB" w:rsidRPr="007F4CC8" w14:paraId="7E128A2E"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590B101" w14:textId="77777777" w:rsidR="00965CEB" w:rsidRPr="007F4CC8" w:rsidRDefault="00965CEB" w:rsidP="004F3087">
            <w:pPr>
              <w:pStyle w:val="Applicationdirecte"/>
              <w:spacing w:before="0" w:after="0"/>
              <w:jc w:val="center"/>
            </w:pPr>
            <w:r>
              <w:t>(</w:t>
            </w:r>
            <w:r w:rsidRPr="007F4CC8">
              <w:t>d</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7AE353CB"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The ratios between fixed and variable remuneration set in accordance with point (g) of Article 94(1) of Directive (EU) 2013/36(“CRD”)</w:t>
            </w:r>
            <w:r w:rsidRPr="007F4CC8">
              <w:rPr>
                <w:rStyle w:val="FootnoteReference"/>
                <w:rFonts w:ascii="Times New Roman" w:hAnsi="Times New Roman"/>
                <w:sz w:val="24"/>
              </w:rPr>
              <w:footnoteReference w:id="2"/>
            </w:r>
          </w:p>
        </w:tc>
      </w:tr>
      <w:tr w:rsidR="00965CEB" w:rsidRPr="007F4CC8" w14:paraId="55F04AE7"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84BF53B" w14:textId="77777777" w:rsidR="00965CEB" w:rsidRPr="007F4CC8" w:rsidRDefault="00965CEB" w:rsidP="004F3087">
            <w:pPr>
              <w:pStyle w:val="Applicationdirecte"/>
              <w:spacing w:before="0" w:after="0"/>
              <w:jc w:val="center"/>
            </w:pPr>
            <w:r>
              <w:t>(</w:t>
            </w:r>
            <w:r w:rsidRPr="007F4CC8">
              <w:t>e</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050BAF48"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Description of the ways in which the institution seeks to link performance during a performance measurement period with levels of remuneration</w:t>
            </w:r>
          </w:p>
          <w:p w14:paraId="2C4FFE47"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sz w:val="24"/>
              </w:rPr>
              <w:t>Disclosures shall include:</w:t>
            </w:r>
          </w:p>
          <w:p w14:paraId="13DAA836"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an overview of main performance criteria and metrics for institution, business lines and individuals.</w:t>
            </w:r>
          </w:p>
          <w:p w14:paraId="4673DEDB"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an overview of how amounts of individual variable remuneration are linked to institution-wide and individual performance.</w:t>
            </w:r>
          </w:p>
          <w:p w14:paraId="66395D16"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information on the criteria used to determine the balance between different types of instruments awarded including shares, equivalent ownership interest, options and other instruments</w:t>
            </w:r>
          </w:p>
          <w:p w14:paraId="41B4F38D" w14:textId="77777777" w:rsidR="00965CEB" w:rsidRPr="007F4CC8" w:rsidRDefault="00965CEB" w:rsidP="00965CEB">
            <w:pPr>
              <w:pStyle w:val="ListParagraph"/>
              <w:numPr>
                <w:ilvl w:val="0"/>
                <w:numId w:val="3"/>
              </w:numPr>
              <w:spacing w:before="60" w:after="120"/>
              <w:jc w:val="both"/>
              <w:rPr>
                <w:rFonts w:ascii="Times New Roman" w:hAnsi="Times New Roman"/>
                <w:sz w:val="24"/>
              </w:rPr>
            </w:pPr>
            <w:r w:rsidRPr="007F4CC8">
              <w:rPr>
                <w:rFonts w:ascii="Times New Roman" w:hAnsi="Times New Roman"/>
                <w:sz w:val="24"/>
                <w:szCs w:val="24"/>
              </w:rPr>
              <w:t>information of the measures the institution will implement to adjust variable remuneration in the event that performance metrics are weak, including the institution’s criteria for determining performance metrics when the performance metrics are considered “weak”. In accordance with point (n) of Article 94(1) CRD, to be paid or vested the variable remuneration has to be justified on the basis of the performance of the institution, the business unit and the individual concerned. Institutions shall explain the criteria/thresholds for determining that the performance is weak and that does not justify that the variable remuneration can be paid or vested.</w:t>
            </w:r>
          </w:p>
        </w:tc>
      </w:tr>
      <w:tr w:rsidR="00965CEB" w:rsidRPr="007F4CC8" w14:paraId="1F6FE8CC"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7E766238" w14:textId="77777777" w:rsidR="00965CEB" w:rsidRPr="007F4CC8" w:rsidRDefault="00965CEB" w:rsidP="004F3087">
            <w:pPr>
              <w:pStyle w:val="Applicationdirecte"/>
              <w:spacing w:before="0" w:after="0"/>
              <w:jc w:val="center"/>
            </w:pPr>
            <w:r>
              <w:t>(</w:t>
            </w:r>
            <w:r w:rsidRPr="007F4CC8">
              <w:t>f</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1EA30A89"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Description of the ways in which the institution seeks to adjust remuneration to take account of long-term performance</w:t>
            </w:r>
          </w:p>
          <w:p w14:paraId="6FD7FDE9"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sz w:val="24"/>
              </w:rPr>
              <w:t>Disclosures shall include:</w:t>
            </w:r>
          </w:p>
          <w:p w14:paraId="4C34D32C"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lastRenderedPageBreak/>
              <w:t>an overview of the institution’s policy on deferral, payout in instrument, retention periods and vesting of variable remuneration including where it is different among staff or categories of staff.</w:t>
            </w:r>
          </w:p>
          <w:p w14:paraId="21961ED2"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information of the institution’ criteria for ex post adjustments (malus during deferral and clawback after vesting, if permitted by national law).</w:t>
            </w:r>
          </w:p>
          <w:p w14:paraId="17291DFB" w14:textId="77777777" w:rsidR="00965CEB" w:rsidRPr="007F4CC8" w:rsidRDefault="00965CEB" w:rsidP="00965CEB">
            <w:pPr>
              <w:pStyle w:val="ListParagraph"/>
              <w:numPr>
                <w:ilvl w:val="0"/>
                <w:numId w:val="3"/>
              </w:numPr>
              <w:spacing w:before="60" w:after="120"/>
              <w:jc w:val="both"/>
              <w:rPr>
                <w:rFonts w:ascii="Times New Roman" w:hAnsi="Times New Roman"/>
                <w:b/>
                <w:sz w:val="24"/>
                <w:szCs w:val="24"/>
              </w:rPr>
            </w:pPr>
            <w:r w:rsidRPr="007F4CC8">
              <w:rPr>
                <w:rFonts w:ascii="Times New Roman" w:hAnsi="Times New Roman"/>
                <w:sz w:val="24"/>
                <w:szCs w:val="24"/>
              </w:rPr>
              <w:t>where applicable, shareholding requirements that may be imposed on identified staff.</w:t>
            </w:r>
          </w:p>
        </w:tc>
      </w:tr>
      <w:tr w:rsidR="00965CEB" w:rsidRPr="007F4CC8" w14:paraId="67C1F135"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3429FF2" w14:textId="77777777" w:rsidR="00965CEB" w:rsidRPr="007F4CC8" w:rsidRDefault="00965CEB" w:rsidP="004F3087">
            <w:pPr>
              <w:pStyle w:val="Applicationdirecte"/>
              <w:spacing w:before="0" w:after="0"/>
              <w:jc w:val="center"/>
            </w:pPr>
            <w:r>
              <w:lastRenderedPageBreak/>
              <w:t>(</w:t>
            </w:r>
            <w:r w:rsidRPr="007F4CC8">
              <w:t>g</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4DFEC57B"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The description of the main parameters and rationale for any variable components scheme and any other non-cash benefit</w:t>
            </w:r>
            <w:r w:rsidRPr="007F4CC8">
              <w:rPr>
                <w:rFonts w:ascii="Times New Roman" w:hAnsi="Times New Roman" w:cs="Times New Roman"/>
                <w:sz w:val="24"/>
              </w:rPr>
              <w:t>, as referred to</w:t>
            </w:r>
            <w:r w:rsidRPr="007F4CC8">
              <w:rPr>
                <w:rFonts w:ascii="Times New Roman" w:hAnsi="Times New Roman"/>
                <w:sz w:val="24"/>
              </w:rPr>
              <w:t xml:space="preserve"> in point (f) of Article 450(1) CRR. Disclosures shall include:</w:t>
            </w:r>
          </w:p>
          <w:p w14:paraId="41EACCDC" w14:textId="77777777" w:rsidR="00965CEB" w:rsidRPr="007F4CC8" w:rsidRDefault="00965CEB" w:rsidP="00965CEB">
            <w:pPr>
              <w:pStyle w:val="ListParagraph"/>
              <w:numPr>
                <w:ilvl w:val="0"/>
                <w:numId w:val="3"/>
              </w:numPr>
              <w:spacing w:before="60" w:after="120"/>
              <w:jc w:val="both"/>
              <w:rPr>
                <w:rFonts w:ascii="Times New Roman" w:hAnsi="Times New Roman"/>
                <w:sz w:val="24"/>
                <w:szCs w:val="24"/>
              </w:rPr>
            </w:pPr>
            <w:r w:rsidRPr="007F4CC8">
              <w:rPr>
                <w:rFonts w:ascii="Times New Roman" w:hAnsi="Times New Roman"/>
                <w:sz w:val="24"/>
                <w:szCs w:val="24"/>
              </w:rPr>
              <w:t>Information on the specific risk/performance indicators used to determine the variable components of remuneration and the criteria used to determine the balance between different types of instruments awarded, including shares, equivalent ownership interests, share-linked instruments, equivalent non cash-instruments, options and other instruments.</w:t>
            </w:r>
          </w:p>
        </w:tc>
      </w:tr>
      <w:tr w:rsidR="00965CEB" w:rsidRPr="007F4CC8" w14:paraId="1226A1BD"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164F5D91" w14:textId="77777777" w:rsidR="00965CEB" w:rsidRPr="007F4CC8" w:rsidRDefault="00965CEB" w:rsidP="004F3087">
            <w:pPr>
              <w:pStyle w:val="Applicationdirecte"/>
              <w:spacing w:before="0" w:after="0"/>
              <w:jc w:val="center"/>
            </w:pPr>
            <w:r>
              <w:t>(</w:t>
            </w:r>
            <w:r w:rsidRPr="007F4CC8">
              <w:t>h</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7DC538F2"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Upon demand from the relevant Member State or competent authority, the total remuneration for each member of the management body or senior management</w:t>
            </w:r>
            <w:r w:rsidRPr="007F4CC8">
              <w:rPr>
                <w:rFonts w:ascii="Times New Roman" w:hAnsi="Times New Roman" w:cs="Times New Roman"/>
                <w:sz w:val="24"/>
              </w:rPr>
              <w:t>, as referred to in point (j) of Article 450(1) CRR</w:t>
            </w:r>
          </w:p>
        </w:tc>
      </w:tr>
      <w:tr w:rsidR="00965CEB" w:rsidRPr="007F4CC8" w14:paraId="55274E1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F179305" w14:textId="77777777" w:rsidR="00965CEB" w:rsidRPr="007F4CC8" w:rsidRDefault="00965CEB" w:rsidP="004F3087">
            <w:pPr>
              <w:pStyle w:val="Applicationdirecte"/>
              <w:spacing w:before="0" w:after="0"/>
              <w:jc w:val="center"/>
            </w:pPr>
            <w:r>
              <w:t>(</w:t>
            </w:r>
            <w:r w:rsidRPr="007F4CC8">
              <w:t>i</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76700BF7"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Information on whether the institution benefits from a derogation laid down in Article 94(3) CRD</w:t>
            </w:r>
            <w:r w:rsidRPr="007F4CC8">
              <w:rPr>
                <w:rFonts w:ascii="Times New Roman" w:hAnsi="Times New Roman" w:cs="Times New Roman"/>
                <w:sz w:val="24"/>
              </w:rPr>
              <w:t>, as referred to</w:t>
            </w:r>
            <w:r w:rsidRPr="007F4CC8">
              <w:rPr>
                <w:rFonts w:ascii="Times New Roman" w:hAnsi="Times New Roman"/>
                <w:sz w:val="24"/>
              </w:rPr>
              <w:t xml:space="preserve"> in point (k) of Article 450(1) CRR</w:t>
            </w:r>
          </w:p>
          <w:p w14:paraId="43880B53" w14:textId="77777777" w:rsidR="00965CEB" w:rsidRPr="007F4CC8" w:rsidRDefault="00965CEB" w:rsidP="004F3087">
            <w:pPr>
              <w:spacing w:before="60" w:after="120"/>
              <w:jc w:val="both"/>
              <w:rPr>
                <w:rFonts w:ascii="Times New Roman" w:hAnsi="Times New Roman"/>
                <w:sz w:val="24"/>
              </w:rPr>
            </w:pPr>
            <w:r w:rsidRPr="007F4CC8">
              <w:rPr>
                <w:rFonts w:ascii="Times New Roman" w:eastAsia="Calibri" w:hAnsi="Times New Roman" w:cs="Times New Roman"/>
                <w:sz w:val="24"/>
              </w:rPr>
              <w:t>For the purposes of this point, institutions that benefit from such a derogation shall indicate whether this is on the basis of point (a) and/or point (b) of Article 94(3) CRD. They shall also indicate which of the remuneration requirements they apply the derogation(s), (</w:t>
            </w:r>
            <w:r w:rsidRPr="007F4CC8">
              <w:rPr>
                <w:rFonts w:ascii="Times New Roman" w:hAnsi="Times New Roman"/>
                <w:sz w:val="24"/>
              </w:rPr>
              <w:t>i.e.</w:t>
            </w:r>
            <w:r w:rsidRPr="007F4CC8">
              <w:rPr>
                <w:rFonts w:ascii="Times New Roman" w:eastAsia="Calibri" w:hAnsi="Times New Roman" w:cs="Times New Roman"/>
                <w:sz w:val="24"/>
              </w:rPr>
              <w:t>, point (l) and/or (m) and/or (o) of Article 94(1) CRD), the number of staff members that benefit from the derogation(s) and their total remuneration, split into fixed and variable remuneration.</w:t>
            </w:r>
          </w:p>
        </w:tc>
      </w:tr>
      <w:tr w:rsidR="00965CEB" w:rsidRPr="007F4CC8" w14:paraId="2297665A"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5FEB8126" w14:textId="77777777" w:rsidR="00965CEB" w:rsidRPr="007F4CC8" w:rsidRDefault="00965CEB" w:rsidP="004F3087">
            <w:pPr>
              <w:pStyle w:val="Applicationdirecte"/>
              <w:spacing w:before="0" w:after="0"/>
              <w:jc w:val="center"/>
            </w:pPr>
            <w:r>
              <w:t>(</w:t>
            </w:r>
            <w:r w:rsidRPr="007F4CC8">
              <w:t>j</w:t>
            </w:r>
            <w:r>
              <w:t>)</w:t>
            </w:r>
          </w:p>
        </w:tc>
        <w:tc>
          <w:tcPr>
            <w:tcW w:w="7655" w:type="dxa"/>
            <w:tcBorders>
              <w:top w:val="single" w:sz="4" w:space="0" w:color="auto"/>
              <w:left w:val="single" w:sz="4" w:space="0" w:color="auto"/>
              <w:bottom w:val="single" w:sz="4" w:space="0" w:color="auto"/>
              <w:right w:val="single" w:sz="4" w:space="0" w:color="auto"/>
            </w:tcBorders>
            <w:vAlign w:val="center"/>
          </w:tcPr>
          <w:p w14:paraId="68C682DE"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sz w:val="24"/>
              </w:rPr>
              <w:t>Large institutions shall disclose the quantitative information on the remuneration of their collective management body, differentiating between executive and non-executive members</w:t>
            </w:r>
            <w:r w:rsidRPr="007F4CC8">
              <w:rPr>
                <w:rFonts w:ascii="Times New Roman" w:hAnsi="Times New Roman" w:cs="Times New Roman"/>
                <w:sz w:val="24"/>
              </w:rPr>
              <w:t>, as referred to</w:t>
            </w:r>
            <w:r w:rsidRPr="007F4CC8">
              <w:rPr>
                <w:rFonts w:ascii="Times New Roman" w:hAnsi="Times New Roman"/>
                <w:sz w:val="24"/>
              </w:rPr>
              <w:t xml:space="preserve"> in Article 450(2) CRR.</w:t>
            </w:r>
          </w:p>
        </w:tc>
      </w:tr>
    </w:tbl>
    <w:p w14:paraId="253E4D29" w14:textId="77777777" w:rsidR="00965CEB" w:rsidRPr="007F4CC8" w:rsidRDefault="00965CEB" w:rsidP="00965CEB">
      <w:pPr>
        <w:pStyle w:val="Titlelevel2"/>
        <w:spacing w:before="120" w:after="120"/>
        <w:rPr>
          <w:rFonts w:ascii="Times New Roman" w:hAnsi="Times New Roman" w:cs="Times New Roman"/>
          <w:b/>
          <w:color w:val="auto"/>
          <w:sz w:val="24"/>
          <w:lang w:val="en-GB"/>
        </w:rPr>
      </w:pPr>
    </w:p>
    <w:p w14:paraId="6222D5CA" w14:textId="77777777" w:rsidR="00965CEB" w:rsidRPr="007F4CC8" w:rsidRDefault="00965CEB" w:rsidP="00965CEB">
      <w:pPr>
        <w:pStyle w:val="Titlelevel2"/>
        <w:spacing w:before="120" w:after="120"/>
        <w:rPr>
          <w:rFonts w:ascii="Times New Roman" w:hAnsi="Times New Roman" w:cs="Times New Roman"/>
          <w:b/>
          <w:color w:val="auto"/>
          <w:sz w:val="24"/>
          <w:lang w:val="en-GB"/>
        </w:rPr>
      </w:pPr>
    </w:p>
    <w:p w14:paraId="6D70938D" w14:textId="77777777" w:rsidR="00965CEB" w:rsidRPr="007F4CC8" w:rsidRDefault="00965CEB" w:rsidP="00965CEB">
      <w:pPr>
        <w:pStyle w:val="Titlelevel2"/>
        <w:spacing w:before="120" w:after="120"/>
        <w:rPr>
          <w:rFonts w:ascii="Times New Roman" w:hAnsi="Times New Roman" w:cs="Times New Roman"/>
          <w:b/>
          <w:color w:val="auto"/>
          <w:sz w:val="24"/>
          <w:lang w:val="en-GB"/>
        </w:rPr>
      </w:pPr>
    </w:p>
    <w:p w14:paraId="12D97B04" w14:textId="77777777" w:rsidR="00965CEB" w:rsidRPr="007F4CC8" w:rsidRDefault="00965CEB" w:rsidP="00965CEB">
      <w:pPr>
        <w:pStyle w:val="Titlelevel2"/>
        <w:spacing w:before="120" w:after="120"/>
        <w:rPr>
          <w:rFonts w:ascii="Times New Roman" w:hAnsi="Times New Roman" w:cs="Times New Roman"/>
          <w:b/>
          <w:color w:val="auto"/>
          <w:sz w:val="24"/>
          <w:lang w:val="en-GB"/>
        </w:rPr>
      </w:pPr>
    </w:p>
    <w:p w14:paraId="3C51066B" w14:textId="77777777" w:rsidR="00965CEB" w:rsidRPr="007F4CC8" w:rsidRDefault="00965CEB" w:rsidP="00965CEB">
      <w:pPr>
        <w:pStyle w:val="Titlelevel2"/>
        <w:spacing w:before="120" w:after="120"/>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REM1 – Remuneration awarded for the financial year: </w:t>
      </w:r>
      <w:r w:rsidRPr="007F4CC8">
        <w:rPr>
          <w:rFonts w:ascii="Times New Roman" w:hAnsi="Times New Roman" w:cs="Times New Roman"/>
          <w:color w:val="auto"/>
          <w:sz w:val="24"/>
          <w:lang w:val="en-GB"/>
        </w:rPr>
        <w:t>Fixed format</w:t>
      </w:r>
    </w:p>
    <w:p w14:paraId="0B701908"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Institutions shall apply the instructions provided below in this Annex to complete </w:t>
      </w:r>
      <w:r>
        <w:rPr>
          <w:rFonts w:ascii="Times New Roman" w:eastAsiaTheme="minorEastAsia" w:hAnsi="Times New Roman" w:cs="Times New Roman"/>
          <w:bCs w:val="0"/>
          <w:color w:val="auto"/>
          <w:sz w:val="24"/>
          <w:lang w:val="en-GB"/>
        </w:rPr>
        <w:t xml:space="preserve">template EU </w:t>
      </w:r>
      <w:r w:rsidRPr="007F4CC8">
        <w:rPr>
          <w:rFonts w:ascii="Times New Roman" w:eastAsiaTheme="minorEastAsia" w:hAnsi="Times New Roman" w:cs="Times New Roman"/>
          <w:bCs w:val="0"/>
          <w:color w:val="auto"/>
          <w:sz w:val="24"/>
          <w:lang w:val="en-GB"/>
        </w:rPr>
        <w:t>REM1 as presented in Annex XXXIII to this Implementing Regulation, in application of point (h)(i)-(ii) of Article 450(1) CRR.</w:t>
      </w:r>
    </w:p>
    <w:p w14:paraId="667CF96F" w14:textId="77777777" w:rsidR="00965CEB" w:rsidRPr="007F4CC8" w:rsidRDefault="00965CEB" w:rsidP="00965CEB">
      <w:pPr>
        <w:pStyle w:val="Titlelevel2"/>
        <w:spacing w:before="120" w:after="120"/>
        <w:ind w:left="720"/>
        <w:jc w:val="both"/>
        <w:rPr>
          <w:rFonts w:ascii="Times New Roman" w:eastAsiaTheme="minorEastAsia" w:hAnsi="Times New Roman" w:cs="Times New Roman"/>
          <w:bCs w:val="0"/>
          <w:color w:val="auto"/>
          <w:sz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588485A9"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9F3A2"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965CEB" w:rsidRPr="007F4CC8" w14:paraId="6BE5DB3C" w14:textId="77777777" w:rsidTr="004F3087">
        <w:trPr>
          <w:trHeight w:val="238"/>
        </w:trPr>
        <w:tc>
          <w:tcPr>
            <w:tcW w:w="1384" w:type="dxa"/>
            <w:shd w:val="clear" w:color="auto" w:fill="D9D9D9" w:themeFill="background1" w:themeFillShade="D9"/>
          </w:tcPr>
          <w:p w14:paraId="6F088F3D"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lastRenderedPageBreak/>
              <w:t>Row number</w:t>
            </w:r>
          </w:p>
        </w:tc>
        <w:tc>
          <w:tcPr>
            <w:tcW w:w="7655" w:type="dxa"/>
            <w:shd w:val="clear" w:color="auto" w:fill="D9D9D9" w:themeFill="background1" w:themeFillShade="D9"/>
          </w:tcPr>
          <w:p w14:paraId="366C181D"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796E366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C1890AB"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1 and 9</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72E457"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Number of identified staff</w:t>
            </w:r>
          </w:p>
          <w:p w14:paraId="23AE8698"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number of staff whose professional activities have a material impact on the institutions` risk profile in accordance with Article 92 CRD and the Commission Delegated Regulation on identified staff</w:t>
            </w:r>
            <w:r w:rsidRPr="007F4CC8">
              <w:rPr>
                <w:rStyle w:val="FootnoteReference"/>
                <w:rFonts w:ascii="Times New Roman" w:hAnsi="Times New Roman" w:cs="Times New Roman"/>
                <w:sz w:val="24"/>
              </w:rPr>
              <w:footnoteReference w:id="3"/>
            </w:r>
            <w:r w:rsidRPr="007F4CC8">
              <w:rPr>
                <w:rFonts w:ascii="Times New Roman" w:hAnsi="Times New Roman" w:cs="Times New Roman"/>
                <w:sz w:val="24"/>
              </w:rPr>
              <w:t xml:space="preserve"> implementing Article 94(2) CRD (identified staff) and are beneficiaries of the remuneration components listed in this template. It shall be calculated using the FTE (full time equivalent) approach for identified staff other than members of the management body where numbers shall be disclosed as headcount.</w:t>
            </w:r>
          </w:p>
        </w:tc>
      </w:tr>
      <w:tr w:rsidR="00965CEB" w:rsidRPr="007F4CC8" w14:paraId="6023846F"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42A0EAC"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819CB3"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Total fixed remuneration</w:t>
            </w:r>
          </w:p>
          <w:p w14:paraId="03654C0F" w14:textId="77777777" w:rsidR="00965CEB" w:rsidRPr="007F4CC8" w:rsidRDefault="00965CEB" w:rsidP="004F3087">
            <w:pPr>
              <w:autoSpaceDE w:val="0"/>
              <w:autoSpaceDN w:val="0"/>
              <w:adjustRightInd w:val="0"/>
              <w:spacing w:after="120"/>
              <w:rPr>
                <w:rFonts w:ascii="Times New Roman" w:hAnsi="Times New Roman" w:cs="Times New Roman"/>
                <w:sz w:val="24"/>
              </w:rPr>
            </w:pPr>
            <w:r w:rsidRPr="007F4CC8">
              <w:rPr>
                <w:rFonts w:ascii="Times New Roman" w:hAnsi="Times New Roman" w:cs="Times New Roman"/>
                <w:sz w:val="24"/>
              </w:rPr>
              <w:t xml:space="preserve">Sum of amounts in rows 3 to 7 </w:t>
            </w:r>
            <w:r w:rsidRPr="007F4CC8">
              <w:rPr>
                <w:rFonts w:ascii="Times New Roman" w:eastAsia="Times New Roman" w:hAnsi="Times New Roman" w:cs="Times New Roman"/>
                <w:sz w:val="24"/>
              </w:rPr>
              <w:t>of this template</w:t>
            </w:r>
          </w:p>
        </w:tc>
      </w:tr>
      <w:tr w:rsidR="00965CEB" w:rsidRPr="007F4CC8" w14:paraId="5807918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D9C7DE0"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795D544"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cash-based</w:t>
            </w:r>
          </w:p>
          <w:p w14:paraId="1A2351D8" w14:textId="77777777" w:rsidR="00965CEB" w:rsidRPr="007F4CC8" w:rsidRDefault="00965CEB" w:rsidP="004F3087">
            <w:pPr>
              <w:autoSpaceDE w:val="0"/>
              <w:autoSpaceDN w:val="0"/>
              <w:adjustRightInd w:val="0"/>
              <w:spacing w:after="120"/>
              <w:rPr>
                <w:rFonts w:ascii="Times New Roman" w:hAnsi="Times New Roman" w:cs="Times New Roman"/>
                <w:sz w:val="24"/>
              </w:rPr>
            </w:pPr>
            <w:r w:rsidRPr="007F4CC8">
              <w:rPr>
                <w:rFonts w:ascii="Times New Roman" w:hAnsi="Times New Roman" w:cs="Times New Roman"/>
                <w:sz w:val="24"/>
              </w:rPr>
              <w:t>The amount of cash-based remuneration within the fixed remuneration</w:t>
            </w:r>
          </w:p>
        </w:tc>
      </w:tr>
      <w:tr w:rsidR="00965CEB" w:rsidRPr="007F4CC8" w14:paraId="7596F3C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566BB84"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EU-4a</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13477C4"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shares or equivalent ownership interests</w:t>
            </w:r>
          </w:p>
          <w:p w14:paraId="14E3789E"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sum of the amounts of shares or equivalent ownership interests, subject to the legal structure of the institution concerned referred to in point (l)(i) of Article 94(1) CRD, within the fixed remuneration.</w:t>
            </w:r>
          </w:p>
        </w:tc>
      </w:tr>
      <w:tr w:rsidR="00965CEB" w:rsidRPr="007F4CC8" w14:paraId="048B3C44"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B1303D7"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3873455"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 xml:space="preserve">Of which: share-linked instruments or equivalent non-cash instruments </w:t>
            </w:r>
          </w:p>
          <w:p w14:paraId="54EF89ED"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The sum of the amounts of share-linked instruments or equivalent non-cash instruments referred to in point (l)(i) of Article 94(1) CRD, within the fixed remuneration</w:t>
            </w:r>
          </w:p>
        </w:tc>
      </w:tr>
      <w:tr w:rsidR="00965CEB" w:rsidRPr="007F4CC8" w14:paraId="67599F4D"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C93B725"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EU-5x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E5FA5A"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other instruments</w:t>
            </w:r>
          </w:p>
          <w:p w14:paraId="06C24EE7"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The amount of other instruments referred to in point (l)(ii) of Article 94(1) CRD, within the fixed remuneration</w:t>
            </w:r>
          </w:p>
        </w:tc>
      </w:tr>
      <w:tr w:rsidR="00965CEB" w:rsidRPr="007F4CC8" w14:paraId="31124981"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4412D54"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7</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374DFFD"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other forms</w:t>
            </w:r>
          </w:p>
          <w:p w14:paraId="35C192C0"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amounts of fixed remuneration awarded for the financial year that are other than disclosed in other rows under the total fixed remuneration heading</w:t>
            </w:r>
          </w:p>
          <w:p w14:paraId="5E279F2C"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This could include proportionate regular pension contributions, or benefits (where such benefits are without consideration of any performance criteria), referred to in recital (64) CRD or other forms of remuneration like car allowances.</w:t>
            </w:r>
          </w:p>
        </w:tc>
      </w:tr>
      <w:tr w:rsidR="00965CEB" w:rsidRPr="007F4CC8" w14:paraId="32ABF286"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59AB0A2"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10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A76F75E"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Total variable remuneration</w:t>
            </w:r>
          </w:p>
          <w:p w14:paraId="00FC93B0"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Sum of amounts in rows 11, EU-13a, EU-13b, EU-14x and 15 </w:t>
            </w:r>
            <w:r w:rsidRPr="007F4CC8">
              <w:rPr>
                <w:rFonts w:ascii="Times New Roman" w:eastAsia="Times New Roman" w:hAnsi="Times New Roman" w:cs="Times New Roman"/>
                <w:sz w:val="24"/>
              </w:rPr>
              <w:t>of this template</w:t>
            </w:r>
          </w:p>
          <w:p w14:paraId="74BA85CD"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The sum of all remuneration components that are not fixed remuneration that is disclosed in row 2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 including guaranteed variable and severance payments awarded during that year.</w:t>
            </w:r>
          </w:p>
        </w:tc>
      </w:tr>
      <w:tr w:rsidR="00965CEB" w:rsidRPr="007F4CC8" w14:paraId="76911A24"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83D706"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lastRenderedPageBreak/>
              <w:t>11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DCBA94"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cash-based</w:t>
            </w:r>
          </w:p>
          <w:p w14:paraId="2BEE787D"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cs="Times New Roman"/>
                <w:sz w:val="24"/>
              </w:rPr>
              <w:t>The amount of cash-based remuneration within the variable remuneration</w:t>
            </w:r>
          </w:p>
        </w:tc>
      </w:tr>
      <w:tr w:rsidR="00965CEB" w:rsidRPr="007F4CC8" w14:paraId="721EE2BE"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7A4C2E7" w14:textId="77777777" w:rsidR="00965CEB" w:rsidRPr="00346640" w:rsidRDefault="00965CEB" w:rsidP="004F3087">
            <w:pPr>
              <w:autoSpaceDE w:val="0"/>
              <w:autoSpaceDN w:val="0"/>
              <w:adjustRightInd w:val="0"/>
              <w:jc w:val="center"/>
              <w:rPr>
                <w:rFonts w:ascii="Times New Roman" w:hAnsi="Times New Roman" w:cs="Times New Roman"/>
                <w:sz w:val="24"/>
                <w:lang w:val="es-ES"/>
              </w:rPr>
            </w:pPr>
            <w:r w:rsidRPr="00346640">
              <w:rPr>
                <w:rFonts w:ascii="Times New Roman" w:hAnsi="Times New Roman" w:cs="Times New Roman"/>
                <w:sz w:val="24"/>
                <w:lang w:val="es-ES"/>
              </w:rPr>
              <w:t>12, EU-14a, EU-14b, EU-14y and 16</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D5DA14"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deferred</w:t>
            </w:r>
          </w:p>
          <w:p w14:paraId="151C1A05"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amounts of variable remuneration by different types of component that are deferred, determined in accordance with Article 94 CRD.</w:t>
            </w:r>
          </w:p>
        </w:tc>
      </w:tr>
      <w:tr w:rsidR="00965CEB" w:rsidRPr="007F4CC8" w14:paraId="2F521362"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5ED8451"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EU-13a</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3F9E37B"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shares or equivalent ownership interests</w:t>
            </w:r>
          </w:p>
          <w:p w14:paraId="4498A72C"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sum of the amounts of shares or equivalent ownership interests, subject to the legal structure of the institution concerned referred to in point (l)(i) of Article 94(1) CRD, within the variable remuneration</w:t>
            </w:r>
          </w:p>
        </w:tc>
      </w:tr>
      <w:tr w:rsidR="00965CEB" w:rsidRPr="007F4CC8" w14:paraId="54AF9B69"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ABE6C9E"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EU-13b</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59D751"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 xml:space="preserve">Of which: share-linked instruments or equivalent non-cash instruments </w:t>
            </w:r>
          </w:p>
          <w:p w14:paraId="6FA62A3F"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The sum of the amounts of share-linked instruments or equivalent non-cash instruments referred to in point (l)(i) of Article 94(1) CRD, within the variable remuneration</w:t>
            </w:r>
          </w:p>
        </w:tc>
      </w:tr>
      <w:tr w:rsidR="00965CEB" w:rsidRPr="007F4CC8" w14:paraId="5FFBFCE4"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FE9F3F7"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EU-14x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D414F5A"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other instruments</w:t>
            </w:r>
          </w:p>
          <w:p w14:paraId="4D8E1D04" w14:textId="77777777" w:rsidR="00965CEB" w:rsidRPr="007F4CC8" w:rsidRDefault="00965CEB" w:rsidP="004F3087">
            <w:pPr>
              <w:autoSpaceDE w:val="0"/>
              <w:autoSpaceDN w:val="0"/>
              <w:adjustRightInd w:val="0"/>
              <w:spacing w:after="120"/>
              <w:jc w:val="both"/>
              <w:rPr>
                <w:rFonts w:ascii="Times New Roman" w:hAnsi="Times New Roman"/>
                <w:b/>
                <w:sz w:val="24"/>
              </w:rPr>
            </w:pPr>
            <w:r w:rsidRPr="007F4CC8">
              <w:rPr>
                <w:rFonts w:ascii="Times New Roman" w:hAnsi="Times New Roman" w:cs="Times New Roman"/>
                <w:sz w:val="24"/>
              </w:rPr>
              <w:t>The amount of other instruments referred to in point (l)(ii) of Article 94(1) CRD, within the variable remuneration</w:t>
            </w:r>
          </w:p>
        </w:tc>
      </w:tr>
      <w:tr w:rsidR="00965CEB" w:rsidRPr="007F4CC8" w14:paraId="4B762FE1"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12199E2"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15</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11951E2"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Of which: other forms</w:t>
            </w:r>
          </w:p>
          <w:p w14:paraId="236742B0"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amounts of variable remuneration awarded for the financial year that are other than those disclosed in other rows under the variable remuneration heading</w:t>
            </w:r>
          </w:p>
        </w:tc>
      </w:tr>
      <w:tr w:rsidR="00965CEB" w:rsidRPr="007F4CC8" w14:paraId="765DE5F9"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017B1B1"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17</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089CCD" w14:textId="77777777" w:rsidR="00965CEB" w:rsidRPr="007F4CC8" w:rsidRDefault="00965CEB" w:rsidP="004F3087">
            <w:pPr>
              <w:autoSpaceDE w:val="0"/>
              <w:autoSpaceDN w:val="0"/>
              <w:adjustRightInd w:val="0"/>
              <w:spacing w:after="120"/>
              <w:rPr>
                <w:rFonts w:ascii="Times New Roman" w:hAnsi="Times New Roman"/>
                <w:sz w:val="24"/>
              </w:rPr>
            </w:pPr>
            <w:r w:rsidRPr="007F4CC8">
              <w:rPr>
                <w:rFonts w:ascii="Times New Roman" w:hAnsi="Times New Roman"/>
                <w:sz w:val="24"/>
              </w:rPr>
              <w:t>Total remuneration</w:t>
            </w:r>
          </w:p>
          <w:p w14:paraId="7D746BF1" w14:textId="77777777" w:rsidR="00965CEB" w:rsidRPr="007F4CC8" w:rsidRDefault="00965CEB" w:rsidP="004F3087">
            <w:pPr>
              <w:autoSpaceDE w:val="0"/>
              <w:autoSpaceDN w:val="0"/>
              <w:adjustRightInd w:val="0"/>
              <w:spacing w:after="120"/>
              <w:rPr>
                <w:rFonts w:ascii="Times New Roman" w:hAnsi="Times New Roman" w:cs="Times New Roman"/>
                <w:sz w:val="24"/>
              </w:rPr>
            </w:pPr>
            <w:r w:rsidRPr="007F4CC8">
              <w:rPr>
                <w:rFonts w:ascii="Times New Roman" w:hAnsi="Times New Roman" w:cs="Times New Roman"/>
                <w:sz w:val="24"/>
              </w:rPr>
              <w:t xml:space="preserve">Sum of amounts in rows 2 and 10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w:t>
            </w:r>
          </w:p>
        </w:tc>
      </w:tr>
      <w:tr w:rsidR="00965CEB" w:rsidRPr="007F4CC8" w14:paraId="7636FF7D"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C712E" w14:textId="77777777" w:rsidR="00965CEB" w:rsidRPr="007F4CC8" w:rsidRDefault="00965CEB" w:rsidP="004F3087">
            <w:pPr>
              <w:pStyle w:val="Applicationdirecte"/>
              <w:spacing w:before="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E9E99" w14:textId="77777777" w:rsidR="00965CEB" w:rsidRPr="007F4CC8" w:rsidRDefault="00965CEB" w:rsidP="004F3087">
            <w:pPr>
              <w:pStyle w:val="TableMainHeading"/>
              <w:spacing w:before="60"/>
              <w:rPr>
                <w:rFonts w:ascii="Times New Roman" w:hAnsi="Times New Roman"/>
                <w:b/>
                <w:sz w:val="24"/>
                <w:szCs w:val="24"/>
              </w:rPr>
            </w:pPr>
            <w:r w:rsidRPr="007F4CC8">
              <w:rPr>
                <w:rFonts w:ascii="Times New Roman" w:hAnsi="Times New Roman"/>
                <w:b/>
                <w:sz w:val="24"/>
                <w:szCs w:val="24"/>
              </w:rPr>
              <w:t>Explanation</w:t>
            </w:r>
          </w:p>
        </w:tc>
      </w:tr>
      <w:tr w:rsidR="00965CEB" w:rsidRPr="007F4CC8" w14:paraId="032AF07C"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6F4492F"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a</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A863C5"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sz w:val="24"/>
              </w:rPr>
              <w:t>MB Supervisory function</w:t>
            </w:r>
          </w:p>
          <w:p w14:paraId="5B085248"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 xml:space="preserve">The Management Body in its Supervisory function, as the management body acting in its role of overseeing and monitoring management decision-making, as defined in point (8) of Article 3(1) CRD </w:t>
            </w:r>
          </w:p>
          <w:p w14:paraId="69498C90"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 xml:space="preserve">Institutions shall disclose information based on headcount. </w:t>
            </w:r>
          </w:p>
          <w:p w14:paraId="45A26C8B"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 accordance with Article 13 CRR, EU parent institutions shall disclose this information on the basis of their consolidated situation and large subsidiaries of EU parents institutions shall disclose this information on an individual basis or, where applicable in accordance with this Regulation and with CRD, on a sub-consolidated basis. The disclosure entity will reflect in this column information on their management body. If following Articles 6 and 13 CRR, the disclosure is at consolidated or sub-consolidated level, information on the identified staff of the management bodies of the subsidiaries shall be disclosed under the relevant business area</w:t>
            </w:r>
          </w:p>
        </w:tc>
      </w:tr>
      <w:tr w:rsidR="00965CEB" w:rsidRPr="007F4CC8" w14:paraId="01418590"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1586C50"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b</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3FF36F"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sz w:val="24"/>
              </w:rPr>
              <w:t xml:space="preserve">MB Management function </w:t>
            </w:r>
          </w:p>
          <w:p w14:paraId="286AC6E9"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lastRenderedPageBreak/>
              <w:t>The members of the Management Body, who are responsible for its Management functions</w:t>
            </w:r>
          </w:p>
          <w:p w14:paraId="235DAD77"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Institutions shall disclose information based on headcount.</w:t>
            </w:r>
          </w:p>
          <w:p w14:paraId="5BD47962"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Institutions shall disclose information based on headcount. In accordance with Article 13 CRR. EU parent institutions shall disclose this information on the basis of their consolidated situation and large subsidiaries of EU parents institutions shall disclose this information on an individual basis or, where applicable in accordance with this Regulation and with CRD, on a sub-consolidated basis .The disclosure entity will reflect in this column information on their management body. If following Articles 6 and 13 CRR, the disclosure is at consolidated or sub-consolidated level, information on the identified staff of the management bodies of the subsidiaries shall be disclosed under the relevant business area</w:t>
            </w:r>
          </w:p>
        </w:tc>
      </w:tr>
      <w:tr w:rsidR="00965CEB" w:rsidRPr="007F4CC8" w14:paraId="07AF1D01"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9AD9A70"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lastRenderedPageBreak/>
              <w:t>c</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0A8C36"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sz w:val="24"/>
              </w:rPr>
              <w:t>Other senior management</w:t>
            </w:r>
          </w:p>
          <w:p w14:paraId="43B1CA89"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Senior management as defined in point (9) of Article 3(1) CRD</w:t>
            </w:r>
          </w:p>
          <w:p w14:paraId="16B3B839"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Institutions shall disclose the number of senior managers that are not disclosed under Management Body in its management function and as Other identified staff. Institutions shall disclose information based on FTE.</w:t>
            </w:r>
          </w:p>
        </w:tc>
      </w:tr>
      <w:tr w:rsidR="00965CEB" w:rsidRPr="007F4CC8" w14:paraId="4E09CB2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3F86EFA"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d</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C64ED3"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sz w:val="24"/>
              </w:rPr>
              <w:t>Other identified staff</w:t>
            </w:r>
          </w:p>
          <w:p w14:paraId="6ECAE4F8"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Other staff than Management Body in its Supervisory function or in its Management function, and other than senior management, whose professional activities have a material impact on the institution`s risk profile in accordance with the criteria set out in the Commission Delegated Regulation on identified staff implementing Article 94(2) CRD</w:t>
            </w:r>
            <w:r w:rsidRPr="007F4CC8" w:rsidDel="009E79EB">
              <w:rPr>
                <w:rFonts w:ascii="Times New Roman" w:hAnsi="Times New Roman" w:cs="Times New Roman"/>
                <w:sz w:val="24"/>
              </w:rPr>
              <w:t xml:space="preserve"> </w:t>
            </w:r>
            <w:r w:rsidRPr="007F4CC8">
              <w:rPr>
                <w:rFonts w:ascii="Times New Roman" w:hAnsi="Times New Roman" w:cs="Times New Roman"/>
                <w:sz w:val="24"/>
              </w:rPr>
              <w:t xml:space="preserve">and where appropriate in addition based on institutions´ criteria </w:t>
            </w:r>
          </w:p>
          <w:p w14:paraId="78BEE2A5"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Institutions may include in this template the breakdown by business areas proposed in template EU REM5. Institutions shall disclose information based on FTE.</w:t>
            </w:r>
          </w:p>
        </w:tc>
      </w:tr>
    </w:tbl>
    <w:p w14:paraId="68C370B5" w14:textId="77777777" w:rsidR="00965CEB" w:rsidRPr="007F4CC8" w:rsidRDefault="00965CEB" w:rsidP="00965CEB">
      <w:pPr>
        <w:pStyle w:val="Titlelevel2"/>
        <w:spacing w:before="120" w:after="120"/>
        <w:rPr>
          <w:rFonts w:ascii="Times New Roman" w:hAnsi="Times New Roman" w:cs="Times New Roman"/>
          <w:color w:val="auto"/>
          <w:sz w:val="24"/>
          <w:lang w:val="en-GB"/>
        </w:rPr>
      </w:pPr>
    </w:p>
    <w:p w14:paraId="2CC7ABEB" w14:textId="77777777" w:rsidR="00965CEB" w:rsidRPr="007F4CC8" w:rsidRDefault="00965CEB" w:rsidP="00965CEB">
      <w:pPr>
        <w:pStyle w:val="Titlelevel2"/>
        <w:spacing w:before="120" w:after="120"/>
        <w:rPr>
          <w:rFonts w:ascii="Times New Roman" w:hAnsi="Times New Roman" w:cs="Times New Roman"/>
          <w:b/>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REM2 – Special payments to staff whose professional activities have a material impact on institutions’ risk profile (identified staff): </w:t>
      </w:r>
      <w:r w:rsidRPr="007F4CC8">
        <w:rPr>
          <w:rFonts w:ascii="Times New Roman" w:hAnsi="Times New Roman" w:cs="Times New Roman"/>
          <w:color w:val="auto"/>
          <w:sz w:val="24"/>
          <w:lang w:val="en-GB"/>
        </w:rPr>
        <w:t>Fixed format</w:t>
      </w:r>
    </w:p>
    <w:p w14:paraId="031B19E3"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Institutions shall disclose the information referred to in point (h)(v)-(vii) of Article 450(1) CRR by following the instructions provided below in this Annex to complete </w:t>
      </w:r>
      <w:r>
        <w:rPr>
          <w:rFonts w:ascii="Times New Roman" w:eastAsiaTheme="minorEastAsia" w:hAnsi="Times New Roman" w:cs="Times New Roman"/>
          <w:bCs w:val="0"/>
          <w:color w:val="auto"/>
          <w:sz w:val="24"/>
          <w:lang w:val="en-GB"/>
        </w:rPr>
        <w:t xml:space="preserve">template EU </w:t>
      </w:r>
      <w:r w:rsidRPr="007F4CC8">
        <w:rPr>
          <w:rFonts w:ascii="Times New Roman" w:eastAsiaTheme="minorEastAsia" w:hAnsi="Times New Roman" w:cs="Times New Roman"/>
          <w:bCs w:val="0"/>
          <w:color w:val="auto"/>
          <w:sz w:val="24"/>
          <w:lang w:val="en-GB"/>
        </w:rPr>
        <w:t>REM2 which is presented in Annex XXXIII to this Implementing Regulation.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011801DC"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CBFD4"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965CEB" w:rsidRPr="007F4CC8" w14:paraId="270A64D0" w14:textId="77777777" w:rsidTr="004F3087">
        <w:trPr>
          <w:trHeight w:val="238"/>
        </w:trPr>
        <w:tc>
          <w:tcPr>
            <w:tcW w:w="1384" w:type="dxa"/>
            <w:shd w:val="clear" w:color="auto" w:fill="D9D9D9" w:themeFill="background1" w:themeFillShade="D9"/>
          </w:tcPr>
          <w:p w14:paraId="110C173D"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17E42920"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79993880"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54CA59E3" w14:textId="77777777" w:rsidR="00965CEB" w:rsidRPr="007F4CC8" w:rsidRDefault="00965CEB" w:rsidP="004F3087">
            <w:pPr>
              <w:pStyle w:val="Applicationdirecte"/>
              <w:spacing w:before="0" w:after="0"/>
              <w:jc w:val="center"/>
            </w:pPr>
            <w:r w:rsidRPr="007F4CC8">
              <w:t>1, 4 and 6</w:t>
            </w:r>
          </w:p>
        </w:tc>
        <w:tc>
          <w:tcPr>
            <w:tcW w:w="7655" w:type="dxa"/>
            <w:tcBorders>
              <w:top w:val="single" w:sz="4" w:space="0" w:color="auto"/>
              <w:left w:val="single" w:sz="4" w:space="0" w:color="auto"/>
              <w:bottom w:val="single" w:sz="4" w:space="0" w:color="auto"/>
              <w:right w:val="single" w:sz="4" w:space="0" w:color="auto"/>
            </w:tcBorders>
            <w:vAlign w:val="center"/>
          </w:tcPr>
          <w:p w14:paraId="71E7453F"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Number of identified staff</w:t>
            </w:r>
          </w:p>
          <w:p w14:paraId="50587A12"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number of identified staff whose professional activities have a material impact on the institutions` risk profile in accordance with Article 92 CRD and the Commission Delegated Regulation on identified staff implementing Article 94(2) CRD, for each specific remuneration components</w:t>
            </w:r>
          </w:p>
          <w:p w14:paraId="6D4FEBDD"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lastRenderedPageBreak/>
              <w:t xml:space="preserve">For columns a and b (MB)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 xml:space="preserve"> the value shall be based on headcount. For columns c and d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 xml:space="preserve"> the value shall be calculated using the FTE (full time equivalent) method.</w:t>
            </w:r>
          </w:p>
          <w:p w14:paraId="2E1869A2"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 xml:space="preserve">Row 4 </w:t>
            </w:r>
            <w:r w:rsidRPr="007F4CC8">
              <w:rPr>
                <w:rFonts w:ascii="Times New Roman" w:eastAsia="Times New Roman" w:hAnsi="Times New Roman" w:cs="Times New Roman"/>
                <w:sz w:val="24"/>
              </w:rPr>
              <w:t xml:space="preserve">of this template </w:t>
            </w:r>
            <w:r w:rsidRPr="007F4CC8">
              <w:rPr>
                <w:rFonts w:ascii="Times New Roman" w:hAnsi="Times New Roman" w:cs="Times New Roman"/>
                <w:sz w:val="24"/>
              </w:rPr>
              <w:t xml:space="preserve">refers to severance payments awarded in previous periods and paid out during the financial year (present year) while row 6 </w:t>
            </w:r>
            <w:r w:rsidRPr="007F4CC8">
              <w:rPr>
                <w:rFonts w:ascii="Times New Roman" w:eastAsia="Times New Roman" w:hAnsi="Times New Roman" w:cs="Times New Roman"/>
                <w:sz w:val="24"/>
              </w:rPr>
              <w:t xml:space="preserve">of this template </w:t>
            </w:r>
            <w:r w:rsidRPr="007F4CC8">
              <w:rPr>
                <w:rFonts w:ascii="Times New Roman" w:hAnsi="Times New Roman" w:cs="Times New Roman"/>
                <w:sz w:val="24"/>
              </w:rPr>
              <w:t>refers to awarded during the financial year (present year).</w:t>
            </w:r>
          </w:p>
        </w:tc>
      </w:tr>
      <w:tr w:rsidR="00965CEB" w:rsidRPr="007F4CC8" w14:paraId="06192E0B"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06197FBD" w14:textId="77777777" w:rsidR="00965CEB" w:rsidRPr="007F4CC8" w:rsidRDefault="00965CEB" w:rsidP="004F3087">
            <w:pPr>
              <w:pStyle w:val="Applicationdirecte"/>
              <w:spacing w:before="0" w:after="0"/>
              <w:jc w:val="center"/>
            </w:pPr>
            <w:r w:rsidRPr="007F4CC8">
              <w:lastRenderedPageBreak/>
              <w:t>2</w:t>
            </w:r>
          </w:p>
        </w:tc>
        <w:tc>
          <w:tcPr>
            <w:tcW w:w="7655" w:type="dxa"/>
            <w:tcBorders>
              <w:top w:val="single" w:sz="4" w:space="0" w:color="auto"/>
              <w:left w:val="single" w:sz="4" w:space="0" w:color="auto"/>
              <w:bottom w:val="single" w:sz="4" w:space="0" w:color="auto"/>
              <w:right w:val="single" w:sz="4" w:space="0" w:color="auto"/>
            </w:tcBorders>
            <w:vAlign w:val="center"/>
          </w:tcPr>
          <w:p w14:paraId="1B46253E"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Guaranteed variable remuneration awards – Total amount</w:t>
            </w:r>
          </w:p>
          <w:p w14:paraId="6D0F7C1C"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amount of guaranteed variable remuneration awards, as referred to in point (e) of Article 94(1) CRD.</w:t>
            </w:r>
          </w:p>
        </w:tc>
      </w:tr>
      <w:tr w:rsidR="00965CEB" w:rsidRPr="007F4CC8" w14:paraId="315511A5"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0F0816D1" w14:textId="77777777" w:rsidR="00965CEB" w:rsidRPr="007F4CC8" w:rsidRDefault="00965CEB" w:rsidP="004F3087">
            <w:pPr>
              <w:pStyle w:val="Applicationdirecte"/>
              <w:spacing w:before="0" w:after="0"/>
              <w:jc w:val="center"/>
            </w:pPr>
            <w:r w:rsidRPr="007F4CC8">
              <w:t>3</w:t>
            </w:r>
          </w:p>
        </w:tc>
        <w:tc>
          <w:tcPr>
            <w:tcW w:w="7655" w:type="dxa"/>
            <w:tcBorders>
              <w:top w:val="single" w:sz="4" w:space="0" w:color="auto"/>
              <w:left w:val="single" w:sz="4" w:space="0" w:color="auto"/>
              <w:bottom w:val="single" w:sz="4" w:space="0" w:color="auto"/>
              <w:right w:val="single" w:sz="4" w:space="0" w:color="auto"/>
            </w:tcBorders>
            <w:vAlign w:val="center"/>
          </w:tcPr>
          <w:p w14:paraId="446019F4"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Of which, guaranteed variable remuneration awards paid during the financial year, that are not taken into account in the bonus cap</w:t>
            </w:r>
          </w:p>
          <w:p w14:paraId="35D0912A"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 xml:space="preserve">The amounts of guaranteed variable remuneration awards as referred to in point (e) of Article 94(1) CRD </w:t>
            </w:r>
            <w:r>
              <w:rPr>
                <w:rFonts w:ascii="Times New Roman" w:hAnsi="Times New Roman" w:cs="Times New Roman"/>
                <w:sz w:val="24"/>
              </w:rPr>
              <w:t>paid</w:t>
            </w:r>
            <w:r w:rsidRPr="007F4CC8">
              <w:rPr>
                <w:rFonts w:ascii="Times New Roman" w:hAnsi="Times New Roman" w:cs="Times New Roman"/>
                <w:sz w:val="24"/>
              </w:rPr>
              <w:t xml:space="preserve"> during the financial year (present year), which are not taken into account in the bonus cap</w:t>
            </w:r>
          </w:p>
          <w:p w14:paraId="1D5DC4D6"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With regard to the disclosed information referred to in points (g) and (h)(v)-(vi) of Article 450(1) CRR, institutions shall clearly state whether the aggregate quantitative information on remuneration broken down by business area reflects the bonus cap when new sign-on and severance payments are involved.</w:t>
            </w:r>
          </w:p>
        </w:tc>
      </w:tr>
      <w:tr w:rsidR="00965CEB" w:rsidRPr="007F4CC8" w14:paraId="0ACB8FB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792C0DB" w14:textId="77777777" w:rsidR="00965CEB" w:rsidRPr="007F4CC8" w:rsidRDefault="00965CEB" w:rsidP="004F3087">
            <w:pPr>
              <w:pStyle w:val="Applicationdirecte"/>
              <w:spacing w:before="0" w:after="0"/>
              <w:jc w:val="center"/>
            </w:pPr>
            <w:r w:rsidRPr="007F4CC8">
              <w:t>5</w:t>
            </w:r>
          </w:p>
        </w:tc>
        <w:tc>
          <w:tcPr>
            <w:tcW w:w="7655" w:type="dxa"/>
            <w:tcBorders>
              <w:top w:val="single" w:sz="4" w:space="0" w:color="auto"/>
              <w:left w:val="single" w:sz="4" w:space="0" w:color="auto"/>
              <w:bottom w:val="single" w:sz="4" w:space="0" w:color="auto"/>
              <w:right w:val="single" w:sz="4" w:space="0" w:color="auto"/>
            </w:tcBorders>
            <w:vAlign w:val="center"/>
          </w:tcPr>
          <w:p w14:paraId="43FD6A33"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Severance payments awarded in previous periods, that have been paid out during the financial year – Total amount</w:t>
            </w:r>
          </w:p>
          <w:p w14:paraId="6BDFFBCB"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amount of severance payments as referred to in point (h) of Article 94(1) CRD that have been awarded in previous periods and have been paid out during the financial year (present year)</w:t>
            </w:r>
          </w:p>
        </w:tc>
      </w:tr>
      <w:tr w:rsidR="00965CEB" w:rsidRPr="007F4CC8" w14:paraId="1CD3B2F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E55016C" w14:textId="77777777" w:rsidR="00965CEB" w:rsidRPr="007F4CC8" w:rsidRDefault="00965CEB" w:rsidP="004F3087">
            <w:pPr>
              <w:pStyle w:val="Applicationdirecte"/>
              <w:spacing w:before="0" w:after="0"/>
              <w:jc w:val="center"/>
            </w:pPr>
            <w:r w:rsidRPr="007F4CC8">
              <w:t>7</w:t>
            </w:r>
          </w:p>
        </w:tc>
        <w:tc>
          <w:tcPr>
            <w:tcW w:w="7655" w:type="dxa"/>
            <w:tcBorders>
              <w:top w:val="single" w:sz="4" w:space="0" w:color="auto"/>
              <w:left w:val="single" w:sz="4" w:space="0" w:color="auto"/>
              <w:bottom w:val="single" w:sz="4" w:space="0" w:color="auto"/>
              <w:right w:val="single" w:sz="4" w:space="0" w:color="auto"/>
            </w:tcBorders>
            <w:vAlign w:val="center"/>
          </w:tcPr>
          <w:p w14:paraId="5E2470F0"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Severance payments awarded during the financial year – Total amount</w:t>
            </w:r>
          </w:p>
          <w:p w14:paraId="370D85D3"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amount of severance payments as referred to in point (h) of Article 94(1) CRD, awarded during the financial year (present year)</w:t>
            </w:r>
          </w:p>
        </w:tc>
      </w:tr>
      <w:tr w:rsidR="00965CEB" w:rsidRPr="007F4CC8" w14:paraId="52F0521C"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00847F60" w14:textId="77777777" w:rsidR="00965CEB" w:rsidRPr="007F4CC8" w:rsidRDefault="00965CEB" w:rsidP="004F3087">
            <w:pPr>
              <w:pStyle w:val="Applicationdirecte"/>
              <w:spacing w:before="0" w:after="0"/>
              <w:jc w:val="center"/>
            </w:pPr>
            <w:r w:rsidRPr="007F4CC8">
              <w:t>8</w:t>
            </w:r>
          </w:p>
        </w:tc>
        <w:tc>
          <w:tcPr>
            <w:tcW w:w="7655" w:type="dxa"/>
            <w:tcBorders>
              <w:top w:val="single" w:sz="4" w:space="0" w:color="auto"/>
              <w:left w:val="single" w:sz="4" w:space="0" w:color="auto"/>
              <w:bottom w:val="single" w:sz="4" w:space="0" w:color="auto"/>
              <w:right w:val="single" w:sz="4" w:space="0" w:color="auto"/>
            </w:tcBorders>
            <w:vAlign w:val="center"/>
          </w:tcPr>
          <w:p w14:paraId="761745B6"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Of which, severance payments awarded during the financial year – Paid during the financial year</w:t>
            </w:r>
          </w:p>
          <w:p w14:paraId="75DA4E07"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The amount of severance payments as referred to in point (h) of Article 94(1) CRD, awarded during the financial year that has been paid during the financial year</w:t>
            </w:r>
          </w:p>
        </w:tc>
      </w:tr>
      <w:tr w:rsidR="00965CEB" w:rsidRPr="007F4CC8" w14:paraId="718151EA"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88AE7D7" w14:textId="77777777" w:rsidR="00965CEB" w:rsidRPr="007F4CC8" w:rsidRDefault="00965CEB" w:rsidP="004F3087">
            <w:pPr>
              <w:pStyle w:val="Applicationdirecte"/>
              <w:spacing w:before="0" w:after="0"/>
              <w:jc w:val="center"/>
            </w:pPr>
            <w:r w:rsidRPr="007F4CC8">
              <w:t>9</w:t>
            </w:r>
          </w:p>
        </w:tc>
        <w:tc>
          <w:tcPr>
            <w:tcW w:w="7655" w:type="dxa"/>
            <w:tcBorders>
              <w:top w:val="single" w:sz="4" w:space="0" w:color="auto"/>
              <w:left w:val="single" w:sz="4" w:space="0" w:color="auto"/>
              <w:bottom w:val="single" w:sz="4" w:space="0" w:color="auto"/>
              <w:right w:val="single" w:sz="4" w:space="0" w:color="auto"/>
            </w:tcBorders>
            <w:vAlign w:val="center"/>
          </w:tcPr>
          <w:p w14:paraId="33ED23FC"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Of which, severance payments awarded during the financial year – Deferred</w:t>
            </w:r>
          </w:p>
          <w:p w14:paraId="2B8A3E35"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amounts of severance payments as referred to in point (h) of Article 94(1) CRD, awarded during the financial year, which are deferred, determined in accordance with Article 94 CRD</w:t>
            </w:r>
          </w:p>
        </w:tc>
      </w:tr>
      <w:tr w:rsidR="00965CEB" w:rsidRPr="007F4CC8" w14:paraId="3FA2D86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093075F9" w14:textId="77777777" w:rsidR="00965CEB" w:rsidRPr="007F4CC8" w:rsidRDefault="00965CEB" w:rsidP="004F3087">
            <w:pPr>
              <w:pStyle w:val="Applicationdirecte"/>
              <w:spacing w:before="0" w:after="0"/>
              <w:jc w:val="center"/>
            </w:pPr>
            <w:r w:rsidRPr="007F4CC8">
              <w:t>10</w:t>
            </w:r>
          </w:p>
        </w:tc>
        <w:tc>
          <w:tcPr>
            <w:tcW w:w="7655" w:type="dxa"/>
            <w:tcBorders>
              <w:top w:val="single" w:sz="4" w:space="0" w:color="auto"/>
              <w:left w:val="single" w:sz="4" w:space="0" w:color="auto"/>
              <w:bottom w:val="single" w:sz="4" w:space="0" w:color="auto"/>
              <w:right w:val="single" w:sz="4" w:space="0" w:color="auto"/>
            </w:tcBorders>
            <w:vAlign w:val="center"/>
          </w:tcPr>
          <w:p w14:paraId="232A7D98"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Of which, severance payments paid during the financial year, that are not taken into account in the bonus cap</w:t>
            </w:r>
          </w:p>
          <w:p w14:paraId="3020E32C"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lastRenderedPageBreak/>
              <w:t xml:space="preserve">The amounts of severance payments as referred to in point (h) of Article 94(1) CRD, </w:t>
            </w:r>
            <w:r>
              <w:rPr>
                <w:rFonts w:ascii="Times New Roman" w:hAnsi="Times New Roman" w:cs="Times New Roman"/>
                <w:sz w:val="24"/>
              </w:rPr>
              <w:t>paid</w:t>
            </w:r>
            <w:r w:rsidRPr="007F4CC8">
              <w:rPr>
                <w:rFonts w:ascii="Times New Roman" w:hAnsi="Times New Roman" w:cs="Times New Roman"/>
                <w:sz w:val="24"/>
              </w:rPr>
              <w:t xml:space="preserve"> during the financial year, which are not taken into account in the bonus cap</w:t>
            </w:r>
          </w:p>
          <w:p w14:paraId="78B7D63D"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With regard to the disclosed information referred to in points (g) and (h)(v)-(vi) of Article 450(1) CRR, institutions shall clearly state whether the aggregate quantitative information on remuneration broken down by business area reflects the bonus cap when new sign-on and severance payments are involved.</w:t>
            </w:r>
          </w:p>
        </w:tc>
      </w:tr>
      <w:tr w:rsidR="00965CEB" w:rsidRPr="007F4CC8" w14:paraId="648B4407"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65548CCE" w14:textId="77777777" w:rsidR="00965CEB" w:rsidRPr="007F4CC8" w:rsidRDefault="00965CEB" w:rsidP="004F3087">
            <w:pPr>
              <w:pStyle w:val="Applicationdirecte"/>
              <w:spacing w:before="0" w:after="0"/>
              <w:jc w:val="center"/>
            </w:pPr>
            <w:r w:rsidRPr="007F4CC8">
              <w:lastRenderedPageBreak/>
              <w:t>11</w:t>
            </w:r>
          </w:p>
        </w:tc>
        <w:tc>
          <w:tcPr>
            <w:tcW w:w="7655" w:type="dxa"/>
            <w:tcBorders>
              <w:top w:val="single" w:sz="4" w:space="0" w:color="auto"/>
              <w:left w:val="single" w:sz="4" w:space="0" w:color="auto"/>
              <w:bottom w:val="single" w:sz="4" w:space="0" w:color="auto"/>
              <w:right w:val="single" w:sz="4" w:space="0" w:color="auto"/>
            </w:tcBorders>
            <w:vAlign w:val="center"/>
          </w:tcPr>
          <w:p w14:paraId="77AAAD2C"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Of which, severance payments awarded during the financial year – Highest payment that has been awarded to a single person</w:t>
            </w:r>
          </w:p>
          <w:p w14:paraId="69C2783A"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The amount of the highest severance payment, as referred to in point (h) of Article 94(1) CRD, that has been awarded to a single person during the financial year.</w:t>
            </w:r>
          </w:p>
        </w:tc>
      </w:tr>
      <w:tr w:rsidR="00965CEB" w:rsidRPr="007F4CC8" w14:paraId="63F86BC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D9D27" w14:textId="77777777" w:rsidR="00965CEB" w:rsidRPr="007F4CC8" w:rsidRDefault="00965CEB" w:rsidP="004F3087">
            <w:pPr>
              <w:pStyle w:val="TableMainHeading"/>
              <w:spacing w:before="60"/>
              <w:jc w:val="center"/>
              <w:rPr>
                <w:rFonts w:ascii="Times New Roman" w:hAnsi="Times New Roman"/>
                <w:b/>
                <w:sz w:val="24"/>
                <w:szCs w:val="24"/>
              </w:rPr>
            </w:pPr>
            <w:r w:rsidRPr="007F4CC8">
              <w:rPr>
                <w:rFonts w:ascii="Times New Roman" w:hAnsi="Times New Roman"/>
                <w:b/>
                <w:sz w:val="24"/>
                <w:szCs w:val="24"/>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2CE7C" w14:textId="77777777" w:rsidR="00965CEB" w:rsidRPr="007F4CC8" w:rsidRDefault="00965CEB" w:rsidP="004F3087">
            <w:pPr>
              <w:pStyle w:val="TableMainHeading"/>
              <w:spacing w:before="60"/>
              <w:jc w:val="both"/>
              <w:rPr>
                <w:rFonts w:ascii="Times New Roman" w:hAnsi="Times New Roman"/>
                <w:b/>
                <w:sz w:val="24"/>
                <w:szCs w:val="24"/>
              </w:rPr>
            </w:pPr>
            <w:r w:rsidRPr="007F4CC8">
              <w:rPr>
                <w:rFonts w:ascii="Times New Roman" w:hAnsi="Times New Roman"/>
                <w:b/>
                <w:sz w:val="24"/>
                <w:szCs w:val="24"/>
              </w:rPr>
              <w:t>Explanation</w:t>
            </w:r>
          </w:p>
        </w:tc>
      </w:tr>
      <w:tr w:rsidR="00965CEB" w:rsidRPr="007F4CC8" w14:paraId="6E4921EF"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C4B672A" w14:textId="77777777" w:rsidR="00965CEB" w:rsidRPr="007F4CC8" w:rsidRDefault="00965CEB" w:rsidP="004F3087">
            <w:pPr>
              <w:pStyle w:val="Applicationdirecte"/>
              <w:spacing w:before="0" w:after="0"/>
              <w:jc w:val="center"/>
            </w:pPr>
            <w:r w:rsidRPr="007F4CC8">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3C1A71B" w14:textId="77777777" w:rsidR="00965CEB" w:rsidRPr="009D2F9B" w:rsidRDefault="00965CEB" w:rsidP="004F3087">
            <w:pPr>
              <w:autoSpaceDE w:val="0"/>
              <w:autoSpaceDN w:val="0"/>
              <w:adjustRightInd w:val="0"/>
              <w:spacing w:before="60" w:after="120"/>
              <w:jc w:val="both"/>
              <w:rPr>
                <w:rFonts w:ascii="Times New Roman" w:hAnsi="Times New Roman"/>
                <w:b/>
                <w:sz w:val="24"/>
              </w:rPr>
            </w:pPr>
            <w:r w:rsidRPr="009D2F9B">
              <w:rPr>
                <w:rFonts w:ascii="Times New Roman" w:hAnsi="Times New Roman"/>
                <w:b/>
                <w:sz w:val="24"/>
              </w:rPr>
              <w:t>MB Supervisory function</w:t>
            </w:r>
          </w:p>
          <w:p w14:paraId="3734590D" w14:textId="77777777" w:rsidR="00965CEB" w:rsidRPr="007F4CC8" w:rsidRDefault="00965CEB" w:rsidP="004F3087">
            <w:pPr>
              <w:spacing w:after="120"/>
              <w:jc w:val="both"/>
              <w:rPr>
                <w:rFonts w:ascii="Times New Roman" w:hAnsi="Times New Roman" w:cs="Times New Roman"/>
                <w:color w:val="000000"/>
                <w:sz w:val="24"/>
              </w:rPr>
            </w:pPr>
            <w:r w:rsidRPr="007F4CC8">
              <w:rPr>
                <w:rFonts w:ascii="Times New Roman" w:hAnsi="Times New Roman" w:cs="Times New Roman"/>
                <w:sz w:val="24"/>
              </w:rPr>
              <w:t>The Management Body in its Supervisory function, as the management body acting in its role of overseeing and monitoring management decision-making, as defined in point (8) of Article 3(1) CRD (Headcount)</w:t>
            </w:r>
          </w:p>
        </w:tc>
      </w:tr>
      <w:tr w:rsidR="00965CEB" w:rsidRPr="007F4CC8" w14:paraId="1FF44426"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6A7C257" w14:textId="77777777" w:rsidR="00965CEB" w:rsidRPr="007F4CC8" w:rsidRDefault="00965CEB" w:rsidP="004F3087">
            <w:pPr>
              <w:pStyle w:val="Applicationdirecte"/>
              <w:spacing w:before="0" w:after="0"/>
              <w:jc w:val="center"/>
            </w:pPr>
            <w:r w:rsidRPr="007F4CC8">
              <w:t>b</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CD74876" w14:textId="77777777" w:rsidR="00965CEB" w:rsidRPr="009D2F9B" w:rsidRDefault="00965CEB" w:rsidP="004F3087">
            <w:pPr>
              <w:autoSpaceDE w:val="0"/>
              <w:autoSpaceDN w:val="0"/>
              <w:adjustRightInd w:val="0"/>
              <w:spacing w:before="60" w:after="120"/>
              <w:jc w:val="both"/>
              <w:rPr>
                <w:rFonts w:ascii="Times New Roman" w:hAnsi="Times New Roman"/>
                <w:b/>
                <w:sz w:val="24"/>
              </w:rPr>
            </w:pPr>
            <w:r w:rsidRPr="009D2F9B">
              <w:rPr>
                <w:rFonts w:ascii="Times New Roman" w:hAnsi="Times New Roman"/>
                <w:b/>
                <w:sz w:val="24"/>
              </w:rPr>
              <w:t>MB Management function</w:t>
            </w:r>
          </w:p>
          <w:p w14:paraId="1A03D44D" w14:textId="77777777" w:rsidR="00965CEB" w:rsidRPr="007F4CC8" w:rsidRDefault="00965CEB" w:rsidP="004F3087">
            <w:pPr>
              <w:spacing w:after="120"/>
              <w:jc w:val="both"/>
              <w:rPr>
                <w:rFonts w:ascii="Times New Roman" w:hAnsi="Times New Roman" w:cs="Times New Roman"/>
                <w:color w:val="000000"/>
                <w:sz w:val="24"/>
              </w:rPr>
            </w:pPr>
            <w:r w:rsidRPr="007F4CC8">
              <w:rPr>
                <w:rFonts w:ascii="Times New Roman" w:hAnsi="Times New Roman" w:cs="Times New Roman"/>
                <w:sz w:val="24"/>
              </w:rPr>
              <w:t>The members of the Management Body, who are responsible for its Management functions (Headcount)</w:t>
            </w:r>
          </w:p>
        </w:tc>
      </w:tr>
      <w:tr w:rsidR="00965CEB" w:rsidRPr="007F4CC8" w14:paraId="1E5ED2FF"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8E725CA" w14:textId="77777777" w:rsidR="00965CEB" w:rsidRPr="007F4CC8" w:rsidRDefault="00965CEB" w:rsidP="004F3087">
            <w:pPr>
              <w:pStyle w:val="Applicationdirecte"/>
              <w:spacing w:before="0" w:after="0"/>
              <w:jc w:val="center"/>
            </w:pPr>
            <w:r w:rsidRPr="007F4CC8">
              <w:t>c</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6A1BB3B" w14:textId="77777777" w:rsidR="00965CEB" w:rsidRPr="009D2F9B" w:rsidRDefault="00965CEB" w:rsidP="004F3087">
            <w:pPr>
              <w:autoSpaceDE w:val="0"/>
              <w:autoSpaceDN w:val="0"/>
              <w:adjustRightInd w:val="0"/>
              <w:spacing w:before="60" w:after="120"/>
              <w:jc w:val="both"/>
              <w:rPr>
                <w:rFonts w:ascii="Times New Roman" w:hAnsi="Times New Roman"/>
                <w:b/>
                <w:sz w:val="24"/>
              </w:rPr>
            </w:pPr>
            <w:r w:rsidRPr="009D2F9B">
              <w:rPr>
                <w:rFonts w:ascii="Times New Roman" w:hAnsi="Times New Roman"/>
                <w:b/>
                <w:sz w:val="24"/>
              </w:rPr>
              <w:t>Other senior management</w:t>
            </w:r>
          </w:p>
          <w:p w14:paraId="1598A239"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Senior management as defined in point (9) of Article 3(1) CRD</w:t>
            </w:r>
          </w:p>
          <w:p w14:paraId="1B942BBE"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cs="Times New Roman"/>
                <w:sz w:val="24"/>
              </w:rPr>
              <w:t>Institutions shall disclose the number of senior managers that are not disclosed under Management Body in its management function and as Other identified staff (FTE).</w:t>
            </w:r>
          </w:p>
        </w:tc>
      </w:tr>
      <w:tr w:rsidR="00965CEB" w:rsidRPr="007F4CC8" w14:paraId="31827D27"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6D1323D" w14:textId="77777777" w:rsidR="00965CEB" w:rsidRPr="007F4CC8" w:rsidRDefault="00965CEB" w:rsidP="004F3087">
            <w:pPr>
              <w:pStyle w:val="Applicationdirecte"/>
              <w:spacing w:before="0" w:after="0"/>
              <w:jc w:val="center"/>
            </w:pPr>
            <w:r w:rsidRPr="007F4CC8">
              <w:t>d</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12813171"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Other identified staff</w:t>
            </w:r>
          </w:p>
          <w:p w14:paraId="01528962"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 xml:space="preserve">Other staff than Management Body in its Supervisory function or in its Management function, and other than senior management, whose professional activities have a material impact on the institution`s risk profile in accordance with the criteria set out in the </w:t>
            </w:r>
            <w:r w:rsidRPr="007F4CC8">
              <w:rPr>
                <w:rFonts w:ascii="Times New Roman" w:eastAsia="Times New Roman" w:hAnsi="Times New Roman" w:cs="Times New Roman"/>
                <w:sz w:val="24"/>
              </w:rPr>
              <w:t>Commission Delegated Regulation on identified staff implementing Article 94(2) CRD</w:t>
            </w:r>
            <w:r w:rsidRPr="007F4CC8">
              <w:rPr>
                <w:rFonts w:ascii="Times New Roman" w:hAnsi="Times New Roman" w:cs="Times New Roman"/>
                <w:sz w:val="24"/>
              </w:rPr>
              <w:t xml:space="preserve"> and where appropriate in addition based on institutions´ criteria</w:t>
            </w:r>
          </w:p>
          <w:p w14:paraId="566D1319" w14:textId="77777777" w:rsidR="00965CEB" w:rsidRPr="007F4CC8" w:rsidRDefault="00965CEB" w:rsidP="004F3087">
            <w:pPr>
              <w:spacing w:after="120"/>
              <w:jc w:val="both"/>
              <w:rPr>
                <w:rFonts w:ascii="Times New Roman" w:hAnsi="Times New Roman" w:cs="Times New Roman"/>
                <w:color w:val="000000"/>
                <w:sz w:val="24"/>
              </w:rPr>
            </w:pPr>
            <w:r w:rsidRPr="007F4CC8">
              <w:rPr>
                <w:rFonts w:ascii="Times New Roman" w:hAnsi="Times New Roman" w:cs="Times New Roman"/>
                <w:sz w:val="24"/>
              </w:rPr>
              <w:t>Institutions may include in this template the breakdown by business areas proposed in template EU REM5 (FTE).</w:t>
            </w:r>
          </w:p>
        </w:tc>
      </w:tr>
    </w:tbl>
    <w:p w14:paraId="760802A7" w14:textId="77777777" w:rsidR="00965CEB" w:rsidRPr="007F4CC8" w:rsidRDefault="00965CEB" w:rsidP="00965CEB">
      <w:pPr>
        <w:rPr>
          <w:rFonts w:ascii="Times New Roman" w:eastAsia="Times New Roman" w:hAnsi="Times New Roman" w:cs="Times New Roman"/>
          <w:sz w:val="24"/>
          <w:highlight w:val="yellow"/>
        </w:rPr>
      </w:pPr>
    </w:p>
    <w:p w14:paraId="2C5AB76E" w14:textId="77777777" w:rsidR="00965CEB" w:rsidRPr="007F4CC8" w:rsidRDefault="00965CEB" w:rsidP="00965CEB">
      <w:pPr>
        <w:pStyle w:val="Titlelevel2"/>
        <w:spacing w:before="120" w:after="120"/>
        <w:rPr>
          <w:rFonts w:ascii="Times New Roman" w:hAnsi="Times New Roman" w:cs="Times New Roman"/>
          <w:b/>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REM3 –Deferred remuneration: </w:t>
      </w:r>
      <w:r w:rsidRPr="007F4CC8">
        <w:rPr>
          <w:rFonts w:ascii="Times New Roman" w:hAnsi="Times New Roman" w:cs="Times New Roman"/>
          <w:color w:val="auto"/>
          <w:sz w:val="24"/>
          <w:lang w:val="en-GB"/>
        </w:rPr>
        <w:t>Fixed format</w:t>
      </w:r>
    </w:p>
    <w:p w14:paraId="2F3BCD0E"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Institutions shall disclose the information referred point (h)(iii)-(iv) of Article 450(1) CRR following the instructions provided below in this Annex to complete </w:t>
      </w:r>
      <w:r>
        <w:rPr>
          <w:rFonts w:ascii="Times New Roman" w:eastAsiaTheme="minorEastAsia" w:hAnsi="Times New Roman" w:cs="Times New Roman"/>
          <w:bCs w:val="0"/>
          <w:color w:val="auto"/>
          <w:sz w:val="24"/>
          <w:lang w:val="en-GB"/>
        </w:rPr>
        <w:t xml:space="preserve">template EU </w:t>
      </w:r>
      <w:r w:rsidRPr="007F4CC8">
        <w:rPr>
          <w:rFonts w:ascii="Times New Roman" w:eastAsiaTheme="minorEastAsia" w:hAnsi="Times New Roman" w:cs="Times New Roman"/>
          <w:bCs w:val="0"/>
          <w:color w:val="auto"/>
          <w:sz w:val="24"/>
          <w:lang w:val="en-GB"/>
        </w:rPr>
        <w:t>REM3 which is presented in Annex XXXIII to this Implementing Regulation.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5525284C"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6609D"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lastRenderedPageBreak/>
              <w:t>Legal references and instructions</w:t>
            </w:r>
          </w:p>
        </w:tc>
      </w:tr>
      <w:tr w:rsidR="00965CEB" w:rsidRPr="007F4CC8" w14:paraId="596FBD77" w14:textId="77777777" w:rsidTr="004F3087">
        <w:trPr>
          <w:trHeight w:val="238"/>
        </w:trPr>
        <w:tc>
          <w:tcPr>
            <w:tcW w:w="1384" w:type="dxa"/>
            <w:shd w:val="clear" w:color="auto" w:fill="D9D9D9" w:themeFill="background1" w:themeFillShade="D9"/>
          </w:tcPr>
          <w:p w14:paraId="0D87CD78"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2DE2309D"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600F239C"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EC4748B" w14:textId="77777777" w:rsidR="00965CEB" w:rsidRPr="007F4CC8" w:rsidRDefault="00965CEB" w:rsidP="004F3087">
            <w:pPr>
              <w:pStyle w:val="Applicationdirecte"/>
              <w:spacing w:before="0" w:after="0"/>
              <w:jc w:val="center"/>
            </w:pPr>
            <w:r w:rsidRPr="007F4CC8">
              <w:t>1</w:t>
            </w:r>
          </w:p>
        </w:tc>
        <w:tc>
          <w:tcPr>
            <w:tcW w:w="7655" w:type="dxa"/>
            <w:tcBorders>
              <w:top w:val="single" w:sz="4" w:space="0" w:color="auto"/>
              <w:left w:val="single" w:sz="4" w:space="0" w:color="auto"/>
              <w:bottom w:val="single" w:sz="4" w:space="0" w:color="auto"/>
              <w:right w:val="single" w:sz="4" w:space="0" w:color="auto"/>
            </w:tcBorders>
            <w:vAlign w:val="center"/>
          </w:tcPr>
          <w:p w14:paraId="41B7CB11" w14:textId="77777777" w:rsidR="00965CEB" w:rsidRPr="009D2F9B" w:rsidRDefault="00965CEB" w:rsidP="004F3087">
            <w:pPr>
              <w:autoSpaceDE w:val="0"/>
              <w:autoSpaceDN w:val="0"/>
              <w:adjustRightInd w:val="0"/>
              <w:spacing w:before="60" w:after="120"/>
              <w:jc w:val="both"/>
              <w:rPr>
                <w:rFonts w:ascii="Times New Roman" w:hAnsi="Times New Roman"/>
                <w:b/>
                <w:sz w:val="24"/>
              </w:rPr>
            </w:pPr>
            <w:r w:rsidRPr="009D2F9B">
              <w:rPr>
                <w:rFonts w:ascii="Times New Roman" w:hAnsi="Times New Roman"/>
                <w:b/>
                <w:sz w:val="24"/>
              </w:rPr>
              <w:t>MB Supervisory function</w:t>
            </w:r>
          </w:p>
          <w:p w14:paraId="42F62B75"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Management Body in its Supervisory function, as the management body acting in its role of overseeing and monitoring management decision-making, as defined in point (8) of Article 3(1) CRD</w:t>
            </w:r>
          </w:p>
          <w:p w14:paraId="78EE1100"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 xml:space="preserve">Sum of amounts in rows 2, 3, 4, 5, and 6 </w:t>
            </w:r>
            <w:r w:rsidRPr="007F4CC8">
              <w:rPr>
                <w:rFonts w:ascii="Times New Roman" w:eastAsia="Times New Roman" w:hAnsi="Times New Roman" w:cs="Times New Roman"/>
                <w:sz w:val="24"/>
              </w:rPr>
              <w:t>of this template</w:t>
            </w:r>
          </w:p>
        </w:tc>
      </w:tr>
      <w:tr w:rsidR="00965CEB" w:rsidRPr="007F4CC8" w14:paraId="7B48C31E"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FD60631" w14:textId="77777777" w:rsidR="00965CEB" w:rsidRPr="007F4CC8" w:rsidRDefault="00965CEB" w:rsidP="004F3087">
            <w:pPr>
              <w:pStyle w:val="Applicationdirecte"/>
              <w:spacing w:before="0" w:after="0"/>
              <w:jc w:val="center"/>
            </w:pPr>
            <w:r w:rsidRPr="007F4CC8">
              <w:t>2, 8, 14 and 20</w:t>
            </w:r>
          </w:p>
        </w:tc>
        <w:tc>
          <w:tcPr>
            <w:tcW w:w="7655" w:type="dxa"/>
            <w:tcBorders>
              <w:top w:val="single" w:sz="4" w:space="0" w:color="auto"/>
              <w:left w:val="single" w:sz="4" w:space="0" w:color="auto"/>
              <w:bottom w:val="single" w:sz="4" w:space="0" w:color="auto"/>
              <w:right w:val="single" w:sz="4" w:space="0" w:color="auto"/>
            </w:tcBorders>
            <w:vAlign w:val="center"/>
          </w:tcPr>
          <w:p w14:paraId="10B85C92" w14:textId="77777777" w:rsidR="00965CEB" w:rsidRPr="009D2F9B" w:rsidRDefault="00965CEB" w:rsidP="004F3087">
            <w:pPr>
              <w:spacing w:before="60" w:after="120"/>
              <w:jc w:val="both"/>
              <w:rPr>
                <w:rFonts w:ascii="Times New Roman" w:hAnsi="Times New Roman"/>
                <w:b/>
                <w:sz w:val="24"/>
              </w:rPr>
            </w:pPr>
            <w:r w:rsidRPr="009D2F9B">
              <w:rPr>
                <w:rFonts w:ascii="Times New Roman" w:hAnsi="Times New Roman"/>
                <w:b/>
                <w:sz w:val="24"/>
              </w:rPr>
              <w:t>Cash-based</w:t>
            </w:r>
          </w:p>
          <w:p w14:paraId="0BC40D8E"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The amount of cash-based remuneration within the variable remuneration</w:t>
            </w:r>
          </w:p>
        </w:tc>
      </w:tr>
      <w:tr w:rsidR="00965CEB" w:rsidRPr="007F4CC8" w14:paraId="33B142D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172617E" w14:textId="77777777" w:rsidR="00965CEB" w:rsidRPr="007F4CC8" w:rsidRDefault="00965CEB" w:rsidP="004F3087">
            <w:pPr>
              <w:pStyle w:val="Applicationdirecte"/>
              <w:spacing w:before="0" w:after="0"/>
              <w:jc w:val="center"/>
            </w:pPr>
            <w:r w:rsidRPr="007F4CC8">
              <w:t>3, 9, 15 and 21</w:t>
            </w:r>
          </w:p>
        </w:tc>
        <w:tc>
          <w:tcPr>
            <w:tcW w:w="7655" w:type="dxa"/>
            <w:tcBorders>
              <w:top w:val="single" w:sz="4" w:space="0" w:color="auto"/>
              <w:left w:val="single" w:sz="4" w:space="0" w:color="auto"/>
              <w:bottom w:val="single" w:sz="4" w:space="0" w:color="auto"/>
              <w:right w:val="single" w:sz="4" w:space="0" w:color="auto"/>
            </w:tcBorders>
            <w:vAlign w:val="center"/>
          </w:tcPr>
          <w:p w14:paraId="0C12E18A" w14:textId="77777777" w:rsidR="00965CEB" w:rsidRPr="009D2F9B" w:rsidRDefault="00965CEB" w:rsidP="004F3087">
            <w:pPr>
              <w:autoSpaceDE w:val="0"/>
              <w:autoSpaceDN w:val="0"/>
              <w:adjustRightInd w:val="0"/>
              <w:spacing w:after="120"/>
              <w:rPr>
                <w:rFonts w:ascii="Times New Roman" w:hAnsi="Times New Roman"/>
                <w:b/>
                <w:sz w:val="24"/>
              </w:rPr>
            </w:pPr>
            <w:r w:rsidRPr="009D2F9B">
              <w:rPr>
                <w:rFonts w:ascii="Times New Roman" w:hAnsi="Times New Roman"/>
                <w:b/>
                <w:sz w:val="24"/>
              </w:rPr>
              <w:t xml:space="preserve">Shares or equivalent ownership interests </w:t>
            </w:r>
          </w:p>
          <w:p w14:paraId="4B63188A" w14:textId="77777777" w:rsidR="00965CEB" w:rsidRPr="007F4CC8" w:rsidRDefault="00965CEB" w:rsidP="004F3087">
            <w:pPr>
              <w:spacing w:before="60" w:after="120"/>
              <w:jc w:val="both"/>
              <w:rPr>
                <w:rFonts w:ascii="Times New Roman" w:hAnsi="Times New Roman"/>
                <w:b/>
                <w:sz w:val="24"/>
              </w:rPr>
            </w:pPr>
            <w:r w:rsidRPr="007F4CC8">
              <w:rPr>
                <w:rFonts w:ascii="Times New Roman" w:hAnsi="Times New Roman" w:cs="Times New Roman"/>
                <w:sz w:val="24"/>
              </w:rPr>
              <w:t>The sum of the amounts of shares or equivalent ownership interests, subject to the legal structure of the institution concerned referred to in point (l)(i) of Article 94(1) CRD, within the variable remuneration</w:t>
            </w:r>
          </w:p>
        </w:tc>
      </w:tr>
      <w:tr w:rsidR="00965CEB" w:rsidRPr="007F4CC8" w14:paraId="7446B000"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325D4037" w14:textId="77777777" w:rsidR="00965CEB" w:rsidRPr="007F4CC8" w:rsidRDefault="00965CEB" w:rsidP="004F3087">
            <w:pPr>
              <w:pStyle w:val="Applicationdirecte"/>
              <w:spacing w:before="0" w:after="0"/>
              <w:jc w:val="center"/>
            </w:pPr>
            <w:r w:rsidRPr="007F4CC8">
              <w:t>4, 10, 16 and 22</w:t>
            </w:r>
          </w:p>
        </w:tc>
        <w:tc>
          <w:tcPr>
            <w:tcW w:w="7655" w:type="dxa"/>
            <w:tcBorders>
              <w:top w:val="single" w:sz="4" w:space="0" w:color="auto"/>
              <w:left w:val="single" w:sz="4" w:space="0" w:color="auto"/>
              <w:bottom w:val="single" w:sz="4" w:space="0" w:color="auto"/>
              <w:right w:val="single" w:sz="4" w:space="0" w:color="auto"/>
            </w:tcBorders>
            <w:vAlign w:val="center"/>
          </w:tcPr>
          <w:p w14:paraId="3E755439" w14:textId="77777777" w:rsidR="00965CEB" w:rsidRPr="00E94B0F" w:rsidRDefault="00965CEB" w:rsidP="004F3087">
            <w:pPr>
              <w:autoSpaceDE w:val="0"/>
              <w:autoSpaceDN w:val="0"/>
              <w:adjustRightInd w:val="0"/>
              <w:spacing w:after="120"/>
              <w:rPr>
                <w:rFonts w:ascii="Times New Roman" w:hAnsi="Times New Roman"/>
                <w:b/>
                <w:sz w:val="24"/>
              </w:rPr>
            </w:pPr>
            <w:r w:rsidRPr="00E94B0F">
              <w:rPr>
                <w:rFonts w:ascii="Times New Roman" w:hAnsi="Times New Roman"/>
                <w:b/>
                <w:sz w:val="24"/>
              </w:rPr>
              <w:t xml:space="preserve">Share-linked instruments or equivalent non-cash instruments </w:t>
            </w:r>
          </w:p>
          <w:p w14:paraId="362CEB2B"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The sum of the amounts of share-linked instruments or equivalent non-cash instruments referred to in point (l)(i) of Article 94(1) CRD, within the variable remuneration</w:t>
            </w:r>
          </w:p>
        </w:tc>
      </w:tr>
      <w:tr w:rsidR="00965CEB" w:rsidRPr="007F4CC8" w14:paraId="00D93458"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56DAF8F8" w14:textId="77777777" w:rsidR="00965CEB" w:rsidRPr="007F4CC8" w:rsidRDefault="00965CEB" w:rsidP="004F3087">
            <w:pPr>
              <w:pStyle w:val="Applicationdirecte"/>
              <w:spacing w:before="0" w:after="0"/>
              <w:jc w:val="center"/>
            </w:pPr>
            <w:r w:rsidRPr="007F4CC8">
              <w:t>5, 11, 17 and 23</w:t>
            </w:r>
          </w:p>
        </w:tc>
        <w:tc>
          <w:tcPr>
            <w:tcW w:w="7655" w:type="dxa"/>
            <w:tcBorders>
              <w:top w:val="single" w:sz="4" w:space="0" w:color="auto"/>
              <w:left w:val="single" w:sz="4" w:space="0" w:color="auto"/>
              <w:bottom w:val="single" w:sz="4" w:space="0" w:color="auto"/>
              <w:right w:val="single" w:sz="4" w:space="0" w:color="auto"/>
            </w:tcBorders>
            <w:vAlign w:val="center"/>
          </w:tcPr>
          <w:p w14:paraId="298E1D6F" w14:textId="77777777" w:rsidR="00965CEB" w:rsidRPr="00E94B0F" w:rsidRDefault="00965CEB" w:rsidP="004F3087">
            <w:pPr>
              <w:spacing w:before="60" w:after="120"/>
              <w:jc w:val="both"/>
              <w:rPr>
                <w:rFonts w:ascii="Times New Roman" w:hAnsi="Times New Roman"/>
                <w:b/>
                <w:sz w:val="24"/>
              </w:rPr>
            </w:pPr>
            <w:r w:rsidRPr="00E94B0F">
              <w:rPr>
                <w:rFonts w:ascii="Times New Roman" w:hAnsi="Times New Roman"/>
                <w:b/>
                <w:sz w:val="24"/>
              </w:rPr>
              <w:t>Other instruments</w:t>
            </w:r>
          </w:p>
          <w:p w14:paraId="4C0BEEE9"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The amount of other instruments referred to in point (l)(ii) of Article 94(1) CRD, within the variable remuneration</w:t>
            </w:r>
          </w:p>
        </w:tc>
      </w:tr>
      <w:tr w:rsidR="00965CEB" w:rsidRPr="007F4CC8" w14:paraId="582939B0"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7B9C353" w14:textId="77777777" w:rsidR="00965CEB" w:rsidRPr="007F4CC8" w:rsidRDefault="00965CEB" w:rsidP="004F3087">
            <w:pPr>
              <w:pStyle w:val="Applicationdirecte"/>
              <w:spacing w:before="0" w:after="0"/>
              <w:jc w:val="center"/>
            </w:pPr>
            <w:r w:rsidRPr="007F4CC8">
              <w:t>6, 12, 18 and 24</w:t>
            </w:r>
          </w:p>
        </w:tc>
        <w:tc>
          <w:tcPr>
            <w:tcW w:w="7655" w:type="dxa"/>
            <w:tcBorders>
              <w:top w:val="single" w:sz="4" w:space="0" w:color="auto"/>
              <w:left w:val="single" w:sz="4" w:space="0" w:color="auto"/>
              <w:bottom w:val="single" w:sz="4" w:space="0" w:color="auto"/>
              <w:right w:val="single" w:sz="4" w:space="0" w:color="auto"/>
            </w:tcBorders>
            <w:vAlign w:val="center"/>
          </w:tcPr>
          <w:p w14:paraId="1C871934" w14:textId="77777777" w:rsidR="00965CEB" w:rsidRPr="00E94B0F" w:rsidRDefault="00965CEB" w:rsidP="004F3087">
            <w:pPr>
              <w:autoSpaceDE w:val="0"/>
              <w:autoSpaceDN w:val="0"/>
              <w:adjustRightInd w:val="0"/>
              <w:spacing w:after="120"/>
              <w:rPr>
                <w:rFonts w:ascii="Times New Roman" w:hAnsi="Times New Roman"/>
                <w:b/>
                <w:sz w:val="24"/>
              </w:rPr>
            </w:pPr>
            <w:r w:rsidRPr="00E94B0F">
              <w:rPr>
                <w:rFonts w:ascii="Times New Roman" w:hAnsi="Times New Roman"/>
                <w:b/>
                <w:sz w:val="24"/>
              </w:rPr>
              <w:t>Other forms</w:t>
            </w:r>
          </w:p>
          <w:p w14:paraId="05DE9AE7"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 xml:space="preserve">The amounts of variable remuneration other than disclosed in rows </w:t>
            </w:r>
            <w:r w:rsidRPr="007F4CC8">
              <w:rPr>
                <w:rFonts w:ascii="Times New Roman" w:hAnsi="Times New Roman"/>
                <w:sz w:val="24"/>
              </w:rPr>
              <w:t>“Cash-based”,</w:t>
            </w:r>
            <w:r w:rsidRPr="007F4CC8">
              <w:rPr>
                <w:rFonts w:ascii="Times New Roman" w:hAnsi="Times New Roman" w:cs="Times New Roman"/>
                <w:sz w:val="24"/>
              </w:rPr>
              <w:t xml:space="preserve"> </w:t>
            </w:r>
            <w:r w:rsidRPr="007F4CC8">
              <w:rPr>
                <w:rFonts w:ascii="Times New Roman" w:hAnsi="Times New Roman"/>
                <w:sz w:val="24"/>
              </w:rPr>
              <w:t>“Shares or equivalent ownership interests, subject to the legal structure of the institution concerned or share-linked instruments or equivalent non-cash instruments”</w:t>
            </w:r>
            <w:r w:rsidRPr="007F4CC8">
              <w:rPr>
                <w:rFonts w:ascii="Times New Roman" w:hAnsi="Times New Roman" w:cs="Times New Roman"/>
                <w:sz w:val="24"/>
              </w:rPr>
              <w:t xml:space="preserve"> and </w:t>
            </w:r>
            <w:r w:rsidRPr="007F4CC8">
              <w:rPr>
                <w:rFonts w:ascii="Times New Roman" w:hAnsi="Times New Roman"/>
                <w:sz w:val="24"/>
              </w:rPr>
              <w:t>“Other instruments</w:t>
            </w:r>
            <w:r w:rsidRPr="007F4CC8">
              <w:rPr>
                <w:rFonts w:ascii="Times New Roman" w:hAnsi="Times New Roman" w:cs="Times New Roman"/>
                <w:sz w:val="24"/>
              </w:rPr>
              <w:t>”</w:t>
            </w:r>
          </w:p>
          <w:p w14:paraId="47E931D3"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This could include proportionate regular pension contributions, or benefits (where such benefits are without consideration of any performance criteria), referred to in recital (64) CRD, or other forms of remuneration like car allowances.</w:t>
            </w:r>
          </w:p>
        </w:tc>
      </w:tr>
      <w:tr w:rsidR="00965CEB" w:rsidRPr="007F4CC8" w14:paraId="1E2113D9"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409708C7" w14:textId="77777777" w:rsidR="00965CEB" w:rsidRPr="007F4CC8" w:rsidRDefault="00965CEB" w:rsidP="004F3087">
            <w:pPr>
              <w:pStyle w:val="Applicationdirecte"/>
              <w:spacing w:before="0" w:after="0"/>
              <w:jc w:val="center"/>
            </w:pPr>
            <w:r w:rsidRPr="007F4CC8">
              <w:t>7</w:t>
            </w:r>
          </w:p>
        </w:tc>
        <w:tc>
          <w:tcPr>
            <w:tcW w:w="7655" w:type="dxa"/>
            <w:tcBorders>
              <w:top w:val="single" w:sz="4" w:space="0" w:color="auto"/>
              <w:left w:val="single" w:sz="4" w:space="0" w:color="auto"/>
              <w:bottom w:val="single" w:sz="4" w:space="0" w:color="auto"/>
              <w:right w:val="single" w:sz="4" w:space="0" w:color="auto"/>
            </w:tcBorders>
            <w:vAlign w:val="center"/>
          </w:tcPr>
          <w:p w14:paraId="7D388D16" w14:textId="77777777" w:rsidR="00965CEB" w:rsidRPr="00E94B0F" w:rsidRDefault="00965CEB" w:rsidP="004F3087">
            <w:pPr>
              <w:autoSpaceDE w:val="0"/>
              <w:autoSpaceDN w:val="0"/>
              <w:adjustRightInd w:val="0"/>
              <w:spacing w:before="60" w:after="120"/>
              <w:jc w:val="both"/>
              <w:rPr>
                <w:rFonts w:ascii="Times New Roman" w:hAnsi="Times New Roman"/>
                <w:b/>
                <w:sz w:val="24"/>
              </w:rPr>
            </w:pPr>
            <w:r w:rsidRPr="00E94B0F">
              <w:rPr>
                <w:rFonts w:ascii="Times New Roman" w:hAnsi="Times New Roman"/>
                <w:b/>
                <w:sz w:val="24"/>
              </w:rPr>
              <w:t xml:space="preserve">MB Management function </w:t>
            </w:r>
          </w:p>
          <w:p w14:paraId="7D897A2D"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The members of the Management Body, who are responsible for its Management functions; sum of amounts in rows 8, 9, 10, 11 and 12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w:t>
            </w:r>
          </w:p>
        </w:tc>
      </w:tr>
      <w:tr w:rsidR="00965CEB" w:rsidRPr="007F4CC8" w14:paraId="6BB9DE7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76033D47" w14:textId="77777777" w:rsidR="00965CEB" w:rsidRPr="007F4CC8" w:rsidRDefault="00965CEB" w:rsidP="004F3087">
            <w:pPr>
              <w:pStyle w:val="Applicationdirecte"/>
              <w:spacing w:before="0" w:after="0"/>
              <w:jc w:val="center"/>
            </w:pPr>
            <w:r w:rsidRPr="007F4CC8">
              <w:t>13</w:t>
            </w:r>
          </w:p>
        </w:tc>
        <w:tc>
          <w:tcPr>
            <w:tcW w:w="7655" w:type="dxa"/>
            <w:tcBorders>
              <w:top w:val="single" w:sz="4" w:space="0" w:color="auto"/>
              <w:left w:val="single" w:sz="4" w:space="0" w:color="auto"/>
              <w:bottom w:val="single" w:sz="4" w:space="0" w:color="auto"/>
              <w:right w:val="single" w:sz="4" w:space="0" w:color="auto"/>
            </w:tcBorders>
            <w:vAlign w:val="center"/>
          </w:tcPr>
          <w:p w14:paraId="7552B7A3" w14:textId="77777777" w:rsidR="00965CEB" w:rsidRPr="00E94B0F" w:rsidRDefault="00965CEB" w:rsidP="004F3087">
            <w:pPr>
              <w:autoSpaceDE w:val="0"/>
              <w:autoSpaceDN w:val="0"/>
              <w:adjustRightInd w:val="0"/>
              <w:spacing w:before="60" w:after="120"/>
              <w:jc w:val="both"/>
              <w:rPr>
                <w:rFonts w:ascii="Times New Roman" w:hAnsi="Times New Roman"/>
                <w:b/>
                <w:sz w:val="24"/>
              </w:rPr>
            </w:pPr>
            <w:r w:rsidRPr="00E94B0F">
              <w:rPr>
                <w:rFonts w:ascii="Times New Roman" w:hAnsi="Times New Roman"/>
                <w:b/>
                <w:sz w:val="24"/>
              </w:rPr>
              <w:t>Other senior management</w:t>
            </w:r>
          </w:p>
          <w:p w14:paraId="015BE952"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 xml:space="preserve">Senior management as defined in point (9) of Article 3(1) CRD; sum of amounts in rows 14, 15, 16, 17 and 18 </w:t>
            </w:r>
            <w:r w:rsidRPr="007F4CC8">
              <w:rPr>
                <w:rFonts w:ascii="Times New Roman" w:eastAsia="Times New Roman" w:hAnsi="Times New Roman" w:cs="Times New Roman"/>
                <w:sz w:val="24"/>
              </w:rPr>
              <w:t>of this template</w:t>
            </w:r>
          </w:p>
          <w:p w14:paraId="3E12A111"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cs="Times New Roman"/>
                <w:sz w:val="24"/>
              </w:rPr>
              <w:t>Institutions shall disclose the number of senior managers that are not disclosed under Management Body in its management function and as Other identified staff.</w:t>
            </w:r>
          </w:p>
        </w:tc>
      </w:tr>
      <w:tr w:rsidR="00965CEB" w:rsidRPr="007F4CC8" w14:paraId="60C2B24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5497957A" w14:textId="77777777" w:rsidR="00965CEB" w:rsidRPr="007F4CC8" w:rsidRDefault="00965CEB" w:rsidP="004F3087">
            <w:pPr>
              <w:pStyle w:val="Applicationdirecte"/>
              <w:spacing w:before="0" w:after="0"/>
              <w:jc w:val="center"/>
            </w:pPr>
            <w:r w:rsidRPr="007F4CC8">
              <w:lastRenderedPageBreak/>
              <w:t>19</w:t>
            </w:r>
          </w:p>
        </w:tc>
        <w:tc>
          <w:tcPr>
            <w:tcW w:w="7655" w:type="dxa"/>
            <w:tcBorders>
              <w:top w:val="single" w:sz="4" w:space="0" w:color="auto"/>
              <w:left w:val="single" w:sz="4" w:space="0" w:color="auto"/>
              <w:bottom w:val="single" w:sz="4" w:space="0" w:color="auto"/>
              <w:right w:val="single" w:sz="4" w:space="0" w:color="auto"/>
            </w:tcBorders>
            <w:vAlign w:val="center"/>
          </w:tcPr>
          <w:p w14:paraId="564E500C" w14:textId="77777777" w:rsidR="00965CEB" w:rsidRPr="00E94B0F" w:rsidRDefault="00965CEB" w:rsidP="004F3087">
            <w:pPr>
              <w:spacing w:before="60" w:after="120"/>
              <w:jc w:val="both"/>
              <w:rPr>
                <w:rFonts w:ascii="Times New Roman" w:hAnsi="Times New Roman"/>
                <w:b/>
                <w:sz w:val="24"/>
              </w:rPr>
            </w:pPr>
            <w:r w:rsidRPr="00E94B0F">
              <w:rPr>
                <w:rFonts w:ascii="Times New Roman" w:hAnsi="Times New Roman"/>
                <w:b/>
                <w:sz w:val="24"/>
              </w:rPr>
              <w:t>Other identified staff</w:t>
            </w:r>
          </w:p>
          <w:p w14:paraId="1561B753" w14:textId="77777777" w:rsidR="00965CEB" w:rsidRPr="007F4CC8" w:rsidRDefault="00965CEB" w:rsidP="004F3087">
            <w:pPr>
              <w:spacing w:before="60" w:after="120"/>
              <w:jc w:val="both"/>
              <w:rPr>
                <w:rFonts w:ascii="Times New Roman" w:hAnsi="Times New Roman"/>
                <w:sz w:val="24"/>
              </w:rPr>
            </w:pPr>
            <w:r w:rsidRPr="007F4CC8">
              <w:rPr>
                <w:rFonts w:ascii="Times New Roman" w:hAnsi="Times New Roman" w:cs="Times New Roman"/>
                <w:sz w:val="24"/>
              </w:rPr>
              <w:t xml:space="preserve">Other staff than Management Body in its Supervisory function or in its Management function, and other than senior management, whose professional activities have a material impact on the institution`s risk profile in accordance with the criteria set out in the </w:t>
            </w:r>
            <w:r w:rsidRPr="007F4CC8">
              <w:rPr>
                <w:rFonts w:ascii="Times New Roman" w:eastAsia="Times New Roman" w:hAnsi="Times New Roman" w:cs="Times New Roman"/>
                <w:sz w:val="24"/>
              </w:rPr>
              <w:t>Commission Delegated Regulation on identified staff implementing Article 94(2) CRD</w:t>
            </w:r>
            <w:r w:rsidRPr="007F4CC8">
              <w:rPr>
                <w:rFonts w:ascii="Times New Roman" w:hAnsi="Times New Roman" w:cs="Times New Roman"/>
                <w:sz w:val="24"/>
              </w:rPr>
              <w:t xml:space="preserve"> and where appropriate in addition based on institutions´ criteria; sum of amounts in rows 20, 21, 22, 23 and 24 </w:t>
            </w:r>
            <w:r w:rsidRPr="007F4CC8">
              <w:rPr>
                <w:rFonts w:ascii="Times New Roman" w:eastAsia="Times New Roman" w:hAnsi="Times New Roman" w:cs="Times New Roman"/>
                <w:sz w:val="24"/>
              </w:rPr>
              <w:t>of this template</w:t>
            </w:r>
          </w:p>
        </w:tc>
      </w:tr>
      <w:tr w:rsidR="00965CEB" w:rsidRPr="007F4CC8" w14:paraId="724701D0"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tcPr>
          <w:p w14:paraId="283D7647" w14:textId="77777777" w:rsidR="00965CEB" w:rsidRPr="007F4CC8" w:rsidRDefault="00965CEB" w:rsidP="004F3087">
            <w:pPr>
              <w:pStyle w:val="Applicationdirecte"/>
              <w:spacing w:before="0" w:after="0"/>
              <w:jc w:val="center"/>
            </w:pPr>
            <w:r w:rsidRPr="007F4CC8">
              <w:t>25</w:t>
            </w:r>
          </w:p>
        </w:tc>
        <w:tc>
          <w:tcPr>
            <w:tcW w:w="7655" w:type="dxa"/>
            <w:tcBorders>
              <w:top w:val="single" w:sz="4" w:space="0" w:color="auto"/>
              <w:left w:val="single" w:sz="4" w:space="0" w:color="auto"/>
              <w:bottom w:val="single" w:sz="4" w:space="0" w:color="auto"/>
              <w:right w:val="single" w:sz="4" w:space="0" w:color="auto"/>
            </w:tcBorders>
            <w:vAlign w:val="center"/>
          </w:tcPr>
          <w:p w14:paraId="58EF55A3" w14:textId="77777777" w:rsidR="00965CEB" w:rsidRPr="00E94B0F" w:rsidRDefault="00965CEB" w:rsidP="004F3087">
            <w:pPr>
              <w:spacing w:before="60" w:after="120"/>
              <w:jc w:val="both"/>
              <w:rPr>
                <w:rFonts w:ascii="Times New Roman" w:hAnsi="Times New Roman"/>
                <w:b/>
                <w:sz w:val="24"/>
              </w:rPr>
            </w:pPr>
            <w:r w:rsidRPr="00E94B0F">
              <w:rPr>
                <w:rFonts w:ascii="Times New Roman" w:hAnsi="Times New Roman"/>
                <w:b/>
                <w:sz w:val="24"/>
              </w:rPr>
              <w:t>Total amount</w:t>
            </w:r>
          </w:p>
          <w:p w14:paraId="70B531DE" w14:textId="77777777" w:rsidR="00965CEB" w:rsidRPr="007F4CC8" w:rsidRDefault="00965CEB" w:rsidP="004F3087">
            <w:pPr>
              <w:spacing w:before="60" w:after="120"/>
              <w:jc w:val="both"/>
              <w:rPr>
                <w:rFonts w:ascii="Times New Roman" w:hAnsi="Times New Roman" w:cs="Times New Roman"/>
                <w:sz w:val="24"/>
              </w:rPr>
            </w:pPr>
            <w:r w:rsidRPr="007F4CC8">
              <w:rPr>
                <w:rFonts w:ascii="Times New Roman" w:hAnsi="Times New Roman" w:cs="Times New Roman"/>
                <w:sz w:val="24"/>
              </w:rPr>
              <w:t xml:space="preserve">Sum of amounts in rows 1, 7, 13 and 19 </w:t>
            </w:r>
            <w:r w:rsidRPr="007F4CC8">
              <w:rPr>
                <w:rFonts w:ascii="Times New Roman" w:eastAsia="Times New Roman" w:hAnsi="Times New Roman" w:cs="Times New Roman"/>
                <w:sz w:val="24"/>
              </w:rPr>
              <w:t>of this template</w:t>
            </w:r>
          </w:p>
        </w:tc>
      </w:tr>
      <w:tr w:rsidR="00965CEB" w:rsidRPr="007F4CC8" w14:paraId="32AF233A"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859F" w14:textId="77777777" w:rsidR="00965CEB" w:rsidRPr="007F4CC8" w:rsidRDefault="00965CEB" w:rsidP="004F3087">
            <w:pPr>
              <w:pStyle w:val="TableMainHeading"/>
              <w:spacing w:before="60"/>
              <w:jc w:val="center"/>
              <w:rPr>
                <w:rFonts w:ascii="Times New Roman" w:hAnsi="Times New Roman"/>
                <w:b/>
                <w:sz w:val="24"/>
                <w:szCs w:val="24"/>
              </w:rPr>
            </w:pPr>
            <w:r w:rsidRPr="007F4CC8">
              <w:rPr>
                <w:rFonts w:ascii="Times New Roman" w:hAnsi="Times New Roman"/>
                <w:b/>
                <w:sz w:val="24"/>
                <w:szCs w:val="24"/>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BDE61" w14:textId="77777777" w:rsidR="00965CEB" w:rsidRPr="007F4CC8" w:rsidRDefault="00965CEB" w:rsidP="004F3087">
            <w:pPr>
              <w:pStyle w:val="TableMainHeading"/>
              <w:spacing w:before="60"/>
              <w:rPr>
                <w:rFonts w:ascii="Times New Roman" w:hAnsi="Times New Roman"/>
                <w:b/>
                <w:sz w:val="24"/>
                <w:szCs w:val="24"/>
              </w:rPr>
            </w:pPr>
            <w:r w:rsidRPr="007F4CC8">
              <w:rPr>
                <w:rFonts w:ascii="Times New Roman" w:hAnsi="Times New Roman"/>
                <w:b/>
                <w:sz w:val="24"/>
                <w:szCs w:val="24"/>
              </w:rPr>
              <w:t>Explanation</w:t>
            </w:r>
          </w:p>
        </w:tc>
      </w:tr>
      <w:tr w:rsidR="00965CEB" w:rsidRPr="007F4CC8" w14:paraId="03A75FCF"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3E748CF" w14:textId="77777777" w:rsidR="00965CEB" w:rsidRPr="007F4CC8" w:rsidRDefault="00965CEB" w:rsidP="004F3087">
            <w:pPr>
              <w:pStyle w:val="Applicationdirecte"/>
              <w:spacing w:before="0" w:after="0"/>
              <w:jc w:val="center"/>
            </w:pPr>
            <w:r w:rsidRPr="007F4CC8">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AE0CD6B" w14:textId="77777777" w:rsidR="00965CEB" w:rsidRPr="00E94B0F" w:rsidRDefault="00965CEB" w:rsidP="004F3087">
            <w:pPr>
              <w:spacing w:after="120"/>
              <w:jc w:val="both"/>
              <w:rPr>
                <w:rFonts w:ascii="Times New Roman" w:hAnsi="Times New Roman"/>
                <w:b/>
                <w:color w:val="000000"/>
                <w:sz w:val="24"/>
              </w:rPr>
            </w:pPr>
            <w:r w:rsidRPr="00E94B0F">
              <w:rPr>
                <w:rFonts w:ascii="Times New Roman" w:hAnsi="Times New Roman"/>
                <w:b/>
                <w:color w:val="000000"/>
                <w:sz w:val="24"/>
              </w:rPr>
              <w:t xml:space="preserve">Total </w:t>
            </w:r>
            <w:r w:rsidRPr="00E94B0F">
              <w:rPr>
                <w:rFonts w:ascii="Times New Roman" w:hAnsi="Times New Roman"/>
                <w:b/>
                <w:sz w:val="24"/>
              </w:rPr>
              <w:t>amount of deferred remuneration awarded for previous performance periods</w:t>
            </w:r>
          </w:p>
          <w:p w14:paraId="7D355FC1"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 xml:space="preserve">The amount of deferred remuneration, as determined in accordance with Article 94 CRD, that has been awarded for previous performance periods (sum of amounts in columns b and c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w:t>
            </w:r>
          </w:p>
        </w:tc>
      </w:tr>
      <w:tr w:rsidR="00965CEB" w:rsidRPr="007F4CC8" w14:paraId="4861A172"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71342DE" w14:textId="77777777" w:rsidR="00965CEB" w:rsidRPr="007F4CC8" w:rsidRDefault="00965CEB" w:rsidP="004F3087">
            <w:pPr>
              <w:pStyle w:val="Applicationdirecte"/>
              <w:spacing w:before="0" w:after="0"/>
              <w:jc w:val="center"/>
            </w:pPr>
            <w:r w:rsidRPr="007F4CC8">
              <w:t>b</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8F9211B"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Of which due to vest in the financial year</w:t>
            </w:r>
          </w:p>
          <w:p w14:paraId="1877D636" w14:textId="77777777" w:rsidR="00965CEB" w:rsidRPr="007F4CC8" w:rsidRDefault="00965CEB" w:rsidP="004F3087">
            <w:pPr>
              <w:spacing w:after="120"/>
              <w:jc w:val="both"/>
              <w:rPr>
                <w:rFonts w:ascii="Times New Roman" w:hAnsi="Times New Roman"/>
                <w:color w:val="000000"/>
                <w:sz w:val="24"/>
              </w:rPr>
            </w:pPr>
            <w:r w:rsidRPr="007F4CC8">
              <w:rPr>
                <w:rFonts w:ascii="Times New Roman" w:hAnsi="Times New Roman" w:cs="Times New Roman"/>
                <w:sz w:val="24"/>
              </w:rPr>
              <w:t>The amount of deferred remuneration awarded for previous performance periods, as determined in accordance with Article 94 CRD, that is due to vest in the financial year</w:t>
            </w:r>
          </w:p>
        </w:tc>
      </w:tr>
      <w:tr w:rsidR="00965CEB" w:rsidRPr="007F4CC8" w14:paraId="4F4F4E4A"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47B655C" w14:textId="77777777" w:rsidR="00965CEB" w:rsidRPr="007F4CC8" w:rsidRDefault="00965CEB" w:rsidP="004F3087">
            <w:pPr>
              <w:pStyle w:val="Applicationdirecte"/>
              <w:spacing w:before="0" w:after="0"/>
              <w:jc w:val="center"/>
            </w:pPr>
            <w:r w:rsidRPr="007F4CC8">
              <w:t>c</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CEC572E"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Of which vesting in subsequent financial years</w:t>
            </w:r>
          </w:p>
          <w:p w14:paraId="41D97AF8" w14:textId="77777777" w:rsidR="00965CEB" w:rsidRPr="007F4CC8" w:rsidRDefault="00965CEB" w:rsidP="004F3087">
            <w:pPr>
              <w:spacing w:after="120"/>
              <w:jc w:val="both"/>
              <w:rPr>
                <w:rFonts w:ascii="Times New Roman" w:hAnsi="Times New Roman"/>
                <w:color w:val="000000"/>
                <w:sz w:val="24"/>
              </w:rPr>
            </w:pPr>
            <w:r w:rsidRPr="007F4CC8">
              <w:rPr>
                <w:rFonts w:ascii="Times New Roman" w:hAnsi="Times New Roman" w:cs="Times New Roman"/>
                <w:sz w:val="24"/>
              </w:rPr>
              <w:t>The amount of deferred remuneration awarded for previous performance periods, as determined in accordance with Article 94 CRD, that will be vested in the subsequent financial years</w:t>
            </w:r>
          </w:p>
        </w:tc>
      </w:tr>
      <w:tr w:rsidR="00965CEB" w:rsidRPr="007F4CC8" w14:paraId="44F6D02E"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07B50B0" w14:textId="77777777" w:rsidR="00965CEB" w:rsidRPr="007F4CC8" w:rsidRDefault="00965CEB" w:rsidP="004F3087">
            <w:pPr>
              <w:pStyle w:val="Applicationdirecte"/>
              <w:spacing w:before="0" w:after="0"/>
              <w:jc w:val="center"/>
            </w:pPr>
            <w:r w:rsidRPr="007F4CC8">
              <w:t>d</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5D347AF"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Amount of performance adjustment</w:t>
            </w:r>
            <w:r w:rsidRPr="00E94B0F">
              <w:rPr>
                <w:rFonts w:ascii="Times New Roman" w:hAnsi="Times New Roman" w:cs="Times New Roman"/>
                <w:b/>
                <w:sz w:val="24"/>
              </w:rPr>
              <w:t xml:space="preserve"> </w:t>
            </w:r>
            <w:r w:rsidRPr="00E94B0F">
              <w:rPr>
                <w:rFonts w:ascii="Times New Roman" w:hAnsi="Times New Roman"/>
                <w:b/>
                <w:sz w:val="24"/>
              </w:rPr>
              <w:t>made in the financial year to deferred remuneration that was due to vest in the financial year</w:t>
            </w:r>
          </w:p>
          <w:p w14:paraId="1571AC97"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The amount of performance adjustment to deferred remuneration, as determined in accordance with Article 94 CRD, that was due to vest in the financial years</w:t>
            </w:r>
          </w:p>
        </w:tc>
      </w:tr>
      <w:tr w:rsidR="00965CEB" w:rsidRPr="007F4CC8" w14:paraId="5B84E88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B9D5ECF" w14:textId="77777777" w:rsidR="00965CEB" w:rsidRPr="007F4CC8" w:rsidRDefault="00965CEB" w:rsidP="004F3087">
            <w:pPr>
              <w:pStyle w:val="Applicationdirecte"/>
              <w:spacing w:before="0" w:after="0"/>
              <w:jc w:val="center"/>
            </w:pPr>
            <w:r w:rsidRPr="007F4CC8">
              <w:t>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F4B0CD4"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Amount of performance adjustment made in the financial year to deferred remuneration that was due to vest in future financial years</w:t>
            </w:r>
          </w:p>
          <w:p w14:paraId="2D3814DB"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The amount of performance adjustment to deferred remuneration, as determined in accordance with Article 94 CRD, that was due to vest in future performance years</w:t>
            </w:r>
          </w:p>
        </w:tc>
      </w:tr>
      <w:tr w:rsidR="00965CEB" w:rsidRPr="007F4CC8" w14:paraId="22206507"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4D879A1" w14:textId="77777777" w:rsidR="00965CEB" w:rsidRPr="007F4CC8" w:rsidRDefault="00965CEB" w:rsidP="004F3087">
            <w:pPr>
              <w:pStyle w:val="Applicationdirecte"/>
              <w:spacing w:before="0" w:after="0"/>
              <w:jc w:val="center"/>
            </w:pPr>
            <w:r w:rsidRPr="007F4CC8">
              <w:t>f</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FBEC405"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Total amount of</w:t>
            </w:r>
            <w:r w:rsidRPr="00E94B0F">
              <w:rPr>
                <w:b/>
              </w:rPr>
              <w:t xml:space="preserve"> </w:t>
            </w:r>
            <w:r w:rsidRPr="00E94B0F">
              <w:rPr>
                <w:rFonts w:ascii="Times New Roman" w:hAnsi="Times New Roman"/>
                <w:b/>
                <w:sz w:val="24"/>
              </w:rPr>
              <w:t>adjustment during the financial year due to ex post implicit adjustments during the financial year (i.e. changes of value of deferred remuneration due to the changes of prices of instruments)</w:t>
            </w:r>
          </w:p>
          <w:p w14:paraId="6472C5F0"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 xml:space="preserve">When relevant the amount of change of value during the financial year due to ex post implicit adjustments, like changes of value of deferred remuneration due to the changes of prices of instruments, estimated on a best effort basis. </w:t>
            </w:r>
          </w:p>
        </w:tc>
      </w:tr>
      <w:tr w:rsidR="00965CEB" w:rsidRPr="007F4CC8" w14:paraId="75104DD1"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FD0730B" w14:textId="77777777" w:rsidR="00965CEB" w:rsidRPr="007F4CC8" w:rsidRDefault="00965CEB" w:rsidP="004F3087">
            <w:pPr>
              <w:pStyle w:val="Applicationdirecte"/>
              <w:spacing w:before="0" w:after="0"/>
              <w:jc w:val="center"/>
            </w:pPr>
            <w:r w:rsidRPr="007F4CC8">
              <w:lastRenderedPageBreak/>
              <w:t>EU - g</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ADA3B00" w14:textId="77777777" w:rsidR="00965CEB" w:rsidRPr="00E94B0F" w:rsidRDefault="00965CEB" w:rsidP="004F3087">
            <w:pPr>
              <w:spacing w:after="120"/>
              <w:jc w:val="both"/>
              <w:rPr>
                <w:rFonts w:ascii="Times New Roman" w:hAnsi="Times New Roman"/>
                <w:b/>
                <w:sz w:val="24"/>
              </w:rPr>
            </w:pPr>
            <w:r w:rsidRPr="00E94B0F">
              <w:rPr>
                <w:rFonts w:ascii="Times New Roman" w:hAnsi="Times New Roman"/>
                <w:b/>
                <w:sz w:val="24"/>
              </w:rPr>
              <w:t>Total amount of deferred remuneration awarded before the financial year actually paid out in the financial year</w:t>
            </w:r>
          </w:p>
          <w:p w14:paraId="711625D8"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The amount of deferred remuneration, as determined in accordance with Article 94 CRD, that has been paid out in the financial year</w:t>
            </w:r>
          </w:p>
          <w:p w14:paraId="79B6CE2B"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As soon as the deferred remuneration is vested it shall be considered as paid out.</w:t>
            </w:r>
          </w:p>
        </w:tc>
      </w:tr>
      <w:tr w:rsidR="00965CEB" w:rsidRPr="007F4CC8" w14:paraId="6F3ADEB8"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D86310E" w14:textId="77777777" w:rsidR="00965CEB" w:rsidRPr="007F4CC8" w:rsidRDefault="00965CEB" w:rsidP="004F3087">
            <w:pPr>
              <w:pStyle w:val="Applicationdirecte"/>
              <w:spacing w:before="0" w:after="0"/>
              <w:jc w:val="center"/>
            </w:pPr>
            <w:r w:rsidRPr="007F4CC8">
              <w:t>EU - h</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014AFBD" w14:textId="77777777" w:rsidR="00965CEB" w:rsidRPr="007479E6" w:rsidRDefault="00965CEB" w:rsidP="004F3087">
            <w:pPr>
              <w:spacing w:after="120"/>
              <w:jc w:val="both"/>
              <w:rPr>
                <w:rFonts w:ascii="Times New Roman" w:hAnsi="Times New Roman"/>
                <w:b/>
                <w:sz w:val="24"/>
              </w:rPr>
            </w:pPr>
            <w:r w:rsidRPr="007479E6">
              <w:rPr>
                <w:rFonts w:ascii="Times New Roman" w:hAnsi="Times New Roman"/>
                <w:b/>
                <w:sz w:val="24"/>
              </w:rPr>
              <w:t>Total of amount of deferred remuneration awarded for previous performance period that has vested but is subject to retention periods</w:t>
            </w:r>
          </w:p>
          <w:p w14:paraId="64A6D4B4" w14:textId="77777777" w:rsidR="00965CEB" w:rsidRPr="007F4CC8" w:rsidRDefault="00965CEB" w:rsidP="004F3087">
            <w:pPr>
              <w:spacing w:after="120"/>
              <w:jc w:val="both"/>
              <w:rPr>
                <w:rFonts w:ascii="Times New Roman" w:hAnsi="Times New Roman" w:cs="Times New Roman"/>
                <w:sz w:val="24"/>
              </w:rPr>
            </w:pPr>
            <w:r w:rsidRPr="007F4CC8">
              <w:rPr>
                <w:rFonts w:ascii="Times New Roman" w:hAnsi="Times New Roman" w:cs="Times New Roman"/>
                <w:sz w:val="24"/>
              </w:rPr>
              <w:t>The amount of deferred remuneration, awarded for previous performance periods, that has been vested but is subject to retention periods, as determined in accordance with Article 94 CRD</w:t>
            </w:r>
          </w:p>
        </w:tc>
      </w:tr>
    </w:tbl>
    <w:p w14:paraId="407F372C" w14:textId="77777777" w:rsidR="00965CEB" w:rsidRPr="007F4CC8" w:rsidRDefault="00965CEB" w:rsidP="00965CEB">
      <w:pPr>
        <w:rPr>
          <w:rFonts w:ascii="Times New Roman" w:hAnsi="Times New Roman" w:cs="Times New Roman"/>
          <w:sz w:val="24"/>
        </w:rPr>
      </w:pPr>
    </w:p>
    <w:p w14:paraId="6B747669" w14:textId="77777777" w:rsidR="00965CEB" w:rsidRPr="007F4CC8" w:rsidRDefault="00965CEB" w:rsidP="00965CEB">
      <w:pPr>
        <w:pStyle w:val="Titlelevel2"/>
        <w:spacing w:before="120" w:after="120"/>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REM4 – Remuneration of 1 million EUR or more per year: </w:t>
      </w:r>
      <w:r w:rsidRPr="007F4CC8">
        <w:rPr>
          <w:rFonts w:ascii="Times New Roman" w:hAnsi="Times New Roman" w:cs="Times New Roman"/>
          <w:color w:val="auto"/>
          <w:sz w:val="24"/>
          <w:lang w:val="en-GB"/>
        </w:rPr>
        <w:t>Fixed format</w:t>
      </w:r>
    </w:p>
    <w:p w14:paraId="6DEF9BC5"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Institutions shall disclose the information referred to point (i) of Article 450(1) CRR by following the instructions provided below in this Annex to complete </w:t>
      </w:r>
      <w:r>
        <w:rPr>
          <w:rFonts w:ascii="Times New Roman" w:eastAsiaTheme="minorEastAsia" w:hAnsi="Times New Roman" w:cs="Times New Roman"/>
          <w:bCs w:val="0"/>
          <w:color w:val="auto"/>
          <w:sz w:val="24"/>
          <w:lang w:val="en-GB"/>
        </w:rPr>
        <w:t xml:space="preserve">template EU </w:t>
      </w:r>
      <w:r w:rsidRPr="007F4CC8">
        <w:rPr>
          <w:rFonts w:ascii="Times New Roman" w:eastAsiaTheme="minorEastAsia" w:hAnsi="Times New Roman" w:cs="Times New Roman"/>
          <w:bCs w:val="0"/>
          <w:color w:val="auto"/>
          <w:sz w:val="24"/>
          <w:lang w:val="en-GB"/>
        </w:rPr>
        <w:t>REM4 which is presented in Annex XXXIII to this Implementing Regulation.</w:t>
      </w:r>
    </w:p>
    <w:p w14:paraId="1C37B7B3"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Data shall be submitted using accounting year-end figures in EUR. All amounts shall be disclosed as full amounts, i.e. not rounded amounts, in euro (e.g. EUR 1 234 567 instead of EUR 1.2 million). Where remuneration is in a currency other than EUR, the exchange rate used by the Commission for financial programming and the budget for December of the reporting year shall be used for the conversion of the consolidated figures to be disclosed.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2B056ED8"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0D7E"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965CEB" w:rsidRPr="007F4CC8" w14:paraId="6BD60B0D" w14:textId="77777777" w:rsidTr="004F3087">
        <w:trPr>
          <w:trHeight w:val="238"/>
        </w:trPr>
        <w:tc>
          <w:tcPr>
            <w:tcW w:w="1384" w:type="dxa"/>
            <w:shd w:val="clear" w:color="auto" w:fill="D9D9D9" w:themeFill="background1" w:themeFillShade="D9"/>
          </w:tcPr>
          <w:p w14:paraId="0A7A26AB"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0B2A2B91"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7A73EF6C"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D72E677"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1 to 8</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C0016B6" w14:textId="77777777" w:rsidR="00965CEB" w:rsidRPr="007F4CC8" w:rsidRDefault="00965CEB" w:rsidP="004F3087">
            <w:pPr>
              <w:autoSpaceDE w:val="0"/>
              <w:autoSpaceDN w:val="0"/>
              <w:adjustRightInd w:val="0"/>
              <w:spacing w:after="120"/>
              <w:rPr>
                <w:rFonts w:ascii="Times New Roman" w:hAnsi="Times New Roman" w:cs="Times New Roman"/>
                <w:sz w:val="24"/>
              </w:rPr>
            </w:pPr>
            <w:r w:rsidRPr="007F4CC8">
              <w:rPr>
                <w:rFonts w:ascii="Times New Roman" w:hAnsi="Times New Roman" w:cs="Times New Roman"/>
                <w:sz w:val="24"/>
              </w:rPr>
              <w:t>Remuneration between 1 and 5 million EUR per financial year, broken down by 500.000 EUR bands</w:t>
            </w:r>
          </w:p>
        </w:tc>
      </w:tr>
      <w:tr w:rsidR="00965CEB" w:rsidRPr="007F4CC8" w14:paraId="1EAC8B5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CB501FD"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9 to 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71A1536" w14:textId="77777777" w:rsidR="00965CEB" w:rsidRPr="007F4CC8" w:rsidRDefault="00965CEB" w:rsidP="004F3087">
            <w:pPr>
              <w:autoSpaceDE w:val="0"/>
              <w:autoSpaceDN w:val="0"/>
              <w:adjustRightInd w:val="0"/>
              <w:spacing w:after="120"/>
              <w:rPr>
                <w:rFonts w:ascii="Times New Roman" w:hAnsi="Times New Roman" w:cs="Times New Roman"/>
                <w:sz w:val="24"/>
              </w:rPr>
            </w:pPr>
            <w:r w:rsidRPr="007F4CC8">
              <w:rPr>
                <w:rFonts w:ascii="Times New Roman" w:hAnsi="Times New Roman" w:cs="Times New Roman"/>
                <w:sz w:val="24"/>
              </w:rPr>
              <w:t>Remuneration more than 5 million EUR per financial year, broken down by 1 million EUR bands</w:t>
            </w:r>
          </w:p>
        </w:tc>
      </w:tr>
      <w:tr w:rsidR="00965CEB" w:rsidRPr="007F4CC8" w14:paraId="3B14BCA0"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A5076" w14:textId="77777777" w:rsidR="00965CEB" w:rsidRPr="007F4CC8" w:rsidRDefault="00965CEB" w:rsidP="004F3087">
            <w:pPr>
              <w:pStyle w:val="Applicationdirecte"/>
              <w:spacing w:before="0"/>
              <w:jc w:val="center"/>
              <w:rPr>
                <w:b/>
              </w:rPr>
            </w:pPr>
            <w:r w:rsidRPr="007F4CC8">
              <w:rPr>
                <w:b/>
              </w:rPr>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DA01F" w14:textId="77777777" w:rsidR="00965CEB" w:rsidRPr="007F4CC8" w:rsidRDefault="00965CEB" w:rsidP="004F3087">
            <w:pPr>
              <w:pStyle w:val="TableMainHeading"/>
              <w:spacing w:before="60"/>
              <w:rPr>
                <w:rFonts w:ascii="Times New Roman" w:hAnsi="Times New Roman"/>
                <w:b/>
                <w:sz w:val="24"/>
                <w:szCs w:val="24"/>
              </w:rPr>
            </w:pPr>
            <w:r w:rsidRPr="007F4CC8">
              <w:rPr>
                <w:rFonts w:ascii="Times New Roman" w:hAnsi="Times New Roman"/>
                <w:b/>
                <w:sz w:val="24"/>
                <w:szCs w:val="24"/>
              </w:rPr>
              <w:t>Explanation</w:t>
            </w:r>
          </w:p>
        </w:tc>
      </w:tr>
      <w:tr w:rsidR="00965CEB" w:rsidRPr="007F4CC8" w14:paraId="3F457083"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595073D" w14:textId="77777777" w:rsidR="00965CEB" w:rsidRPr="007F4CC8" w:rsidRDefault="00965CEB" w:rsidP="004F3087">
            <w:pPr>
              <w:autoSpaceDE w:val="0"/>
              <w:autoSpaceDN w:val="0"/>
              <w:adjustRightInd w:val="0"/>
              <w:jc w:val="center"/>
              <w:rPr>
                <w:rFonts w:ascii="Times New Roman" w:hAnsi="Times New Roman" w:cs="Times New Roman"/>
                <w:sz w:val="24"/>
              </w:rPr>
            </w:pPr>
            <w:r w:rsidRPr="007F4CC8">
              <w:rPr>
                <w:rFonts w:ascii="Times New Roman" w:hAnsi="Times New Roman" w:cs="Times New Roman"/>
                <w:sz w:val="24"/>
              </w:rPr>
              <w:t>a</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1438314"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sz w:val="24"/>
              </w:rPr>
              <w:t>Number of identified staff that have been remunerated EUR 1 million or more per financial year</w:t>
            </w:r>
          </w:p>
          <w:p w14:paraId="760880E3" w14:textId="77777777" w:rsidR="00965CEB" w:rsidRPr="007F4CC8" w:rsidRDefault="00965CEB" w:rsidP="004F3087">
            <w:pPr>
              <w:autoSpaceDE w:val="0"/>
              <w:autoSpaceDN w:val="0"/>
              <w:adjustRightInd w:val="0"/>
              <w:spacing w:before="60" w:after="120"/>
              <w:jc w:val="both"/>
              <w:rPr>
                <w:rFonts w:ascii="Times New Roman" w:hAnsi="Times New Roman"/>
                <w:sz w:val="24"/>
              </w:rPr>
            </w:pPr>
            <w:r w:rsidRPr="007F4CC8">
              <w:rPr>
                <w:rFonts w:ascii="Times New Roman" w:hAnsi="Times New Roman" w:cs="Times New Roman"/>
                <w:sz w:val="24"/>
              </w:rPr>
              <w:t>Institutions</w:t>
            </w:r>
            <w:r w:rsidRPr="007F4CC8">
              <w:rPr>
                <w:rFonts w:ascii="Times New Roman" w:hAnsi="Times New Roman"/>
                <w:sz w:val="24"/>
              </w:rPr>
              <w:t xml:space="preserve"> shall </w:t>
            </w:r>
            <w:r w:rsidRPr="007F4CC8">
              <w:rPr>
                <w:rFonts w:ascii="Times New Roman" w:hAnsi="Times New Roman" w:cs="Times New Roman"/>
                <w:sz w:val="24"/>
              </w:rPr>
              <w:t>disclose information</w:t>
            </w:r>
            <w:r w:rsidRPr="007F4CC8">
              <w:rPr>
                <w:rFonts w:ascii="Times New Roman" w:hAnsi="Times New Roman"/>
                <w:sz w:val="24"/>
              </w:rPr>
              <w:t xml:space="preserve"> based on headcount.</w:t>
            </w:r>
          </w:p>
        </w:tc>
      </w:tr>
    </w:tbl>
    <w:p w14:paraId="65FA28BB" w14:textId="77777777" w:rsidR="00965CEB" w:rsidRPr="007F4CC8" w:rsidRDefault="00965CEB" w:rsidP="00965CEB">
      <w:pPr>
        <w:rPr>
          <w:rFonts w:ascii="Times New Roman" w:hAnsi="Times New Roman" w:cs="Times New Roman"/>
          <w:sz w:val="24"/>
        </w:rPr>
      </w:pPr>
    </w:p>
    <w:p w14:paraId="48F9714A" w14:textId="77777777" w:rsidR="00965CEB" w:rsidRPr="007F4CC8" w:rsidRDefault="00965CEB" w:rsidP="00965CEB">
      <w:pPr>
        <w:pStyle w:val="Titlelevel2"/>
        <w:spacing w:before="120" w:after="120"/>
        <w:rPr>
          <w:rFonts w:ascii="Times New Roman" w:hAnsi="Times New Roman" w:cs="Times New Roman"/>
          <w:color w:val="auto"/>
          <w:sz w:val="24"/>
          <w:lang w:val="en-GB"/>
        </w:rPr>
      </w:pPr>
      <w:r>
        <w:rPr>
          <w:rFonts w:ascii="Times New Roman" w:hAnsi="Times New Roman" w:cs="Times New Roman"/>
          <w:b/>
          <w:color w:val="auto"/>
          <w:sz w:val="24"/>
          <w:lang w:val="en-GB"/>
        </w:rPr>
        <w:t xml:space="preserve">Template EU </w:t>
      </w:r>
      <w:r w:rsidRPr="007F4CC8">
        <w:rPr>
          <w:rFonts w:ascii="Times New Roman" w:hAnsi="Times New Roman" w:cs="Times New Roman"/>
          <w:b/>
          <w:color w:val="auto"/>
          <w:sz w:val="24"/>
          <w:lang w:val="en-GB"/>
        </w:rPr>
        <w:t xml:space="preserve">REM5 – Information of staff whose professional activities have a material impact on institutions’ risk profile (identified staff): </w:t>
      </w:r>
      <w:r w:rsidRPr="007F4CC8">
        <w:rPr>
          <w:rFonts w:ascii="Times New Roman" w:hAnsi="Times New Roman" w:cs="Times New Roman"/>
          <w:color w:val="auto"/>
          <w:sz w:val="24"/>
          <w:lang w:val="en-GB"/>
        </w:rPr>
        <w:t>Fixed format</w:t>
      </w:r>
    </w:p>
    <w:p w14:paraId="247BF82E"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Institutions shall disclose the information referred to point (g) of Article 450(1) CRR by following the instructions provided below in this Annex to complete </w:t>
      </w:r>
      <w:r>
        <w:rPr>
          <w:rFonts w:ascii="Times New Roman" w:eastAsiaTheme="minorEastAsia" w:hAnsi="Times New Roman" w:cs="Times New Roman"/>
          <w:bCs w:val="0"/>
          <w:color w:val="auto"/>
          <w:sz w:val="24"/>
          <w:lang w:val="en-GB"/>
        </w:rPr>
        <w:t xml:space="preserve">template EU </w:t>
      </w:r>
      <w:r w:rsidRPr="007F4CC8">
        <w:rPr>
          <w:rFonts w:ascii="Times New Roman" w:eastAsiaTheme="minorEastAsia" w:hAnsi="Times New Roman" w:cs="Times New Roman"/>
          <w:bCs w:val="0"/>
          <w:color w:val="auto"/>
          <w:sz w:val="24"/>
          <w:lang w:val="en-GB"/>
        </w:rPr>
        <w:t>REM5 which is presented in Annex XXXIII to this Implementing Regulation.</w:t>
      </w:r>
    </w:p>
    <w:p w14:paraId="42ECBD73" w14:textId="77777777" w:rsidR="00965CEB" w:rsidRPr="007F4CC8" w:rsidRDefault="00965CEB" w:rsidP="00965CEB">
      <w:pPr>
        <w:pStyle w:val="Titlelevel2"/>
        <w:numPr>
          <w:ilvl w:val="0"/>
          <w:numId w:val="4"/>
        </w:numPr>
        <w:spacing w:before="120" w:after="120"/>
        <w:jc w:val="both"/>
        <w:rPr>
          <w:rFonts w:ascii="Times New Roman" w:eastAsiaTheme="minorEastAsia" w:hAnsi="Times New Roman" w:cs="Times New Roman"/>
          <w:bCs w:val="0"/>
          <w:color w:val="auto"/>
          <w:sz w:val="24"/>
          <w:lang w:val="en-GB"/>
        </w:rPr>
      </w:pPr>
      <w:r w:rsidRPr="007F4CC8">
        <w:rPr>
          <w:rFonts w:ascii="Times New Roman" w:eastAsiaTheme="minorEastAsia" w:hAnsi="Times New Roman" w:cs="Times New Roman"/>
          <w:bCs w:val="0"/>
          <w:color w:val="auto"/>
          <w:sz w:val="24"/>
          <w:lang w:val="en-GB"/>
        </w:rPr>
        <w:t xml:space="preserve">Regarding the columns with the business areas breakdown, all lending, including wholesale lending, shall be included in retail lending. For investment banking, it shall </w:t>
      </w:r>
      <w:r w:rsidRPr="007F4CC8">
        <w:rPr>
          <w:rFonts w:ascii="Times New Roman" w:eastAsiaTheme="minorEastAsia" w:hAnsi="Times New Roman" w:cs="Times New Roman"/>
          <w:bCs w:val="0"/>
          <w:color w:val="auto"/>
          <w:sz w:val="24"/>
          <w:lang w:val="en-GB"/>
        </w:rPr>
        <w:lastRenderedPageBreak/>
        <w:t>include corporate finance and trading and sales. Further guidance on the activities comprised in those business lines can be found in Article 317 CRR within the table defining the business lines within the standardised approach for operational risk.</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965CEB" w:rsidRPr="007F4CC8" w14:paraId="423D8935" w14:textId="77777777" w:rsidTr="004F3087">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CBC39" w14:textId="77777777" w:rsidR="00965CEB" w:rsidRPr="007F4CC8" w:rsidRDefault="00965CEB" w:rsidP="004F3087">
            <w:pPr>
              <w:rPr>
                <w:rFonts w:ascii="Times New Roman" w:hAnsi="Times New Roman" w:cs="Times New Roman"/>
                <w:b/>
                <w:sz w:val="24"/>
              </w:rPr>
            </w:pPr>
            <w:r w:rsidRPr="007F4CC8">
              <w:rPr>
                <w:rFonts w:ascii="Times New Roman" w:hAnsi="Times New Roman" w:cs="Times New Roman"/>
                <w:b/>
                <w:sz w:val="24"/>
              </w:rPr>
              <w:t>Legal references and instructions</w:t>
            </w:r>
          </w:p>
        </w:tc>
      </w:tr>
      <w:tr w:rsidR="00965CEB" w:rsidRPr="007F4CC8" w14:paraId="233293E2" w14:textId="77777777" w:rsidTr="004F3087">
        <w:trPr>
          <w:trHeight w:val="687"/>
        </w:trPr>
        <w:tc>
          <w:tcPr>
            <w:tcW w:w="1384" w:type="dxa"/>
            <w:shd w:val="clear" w:color="auto" w:fill="D9D9D9" w:themeFill="background1" w:themeFillShade="D9"/>
          </w:tcPr>
          <w:p w14:paraId="4DC5A06D" w14:textId="77777777" w:rsidR="00965CEB" w:rsidRPr="007F4CC8" w:rsidRDefault="00965CEB" w:rsidP="004F3087">
            <w:pPr>
              <w:autoSpaceDE w:val="0"/>
              <w:autoSpaceDN w:val="0"/>
              <w:adjustRightInd w:val="0"/>
              <w:rPr>
                <w:rFonts w:ascii="Times New Roman" w:hAnsi="Times New Roman" w:cs="Times New Roman"/>
                <w:b/>
                <w:sz w:val="24"/>
              </w:rPr>
            </w:pPr>
            <w:r w:rsidRPr="007F4CC8">
              <w:rPr>
                <w:rFonts w:ascii="Times New Roman" w:hAnsi="Times New Roman" w:cs="Times New Roman"/>
                <w:b/>
                <w:sz w:val="24"/>
              </w:rPr>
              <w:t>Row number</w:t>
            </w:r>
          </w:p>
        </w:tc>
        <w:tc>
          <w:tcPr>
            <w:tcW w:w="7655" w:type="dxa"/>
            <w:shd w:val="clear" w:color="auto" w:fill="D9D9D9" w:themeFill="background1" w:themeFillShade="D9"/>
          </w:tcPr>
          <w:p w14:paraId="31A85E33" w14:textId="77777777" w:rsidR="00965CEB" w:rsidRPr="007F4CC8" w:rsidRDefault="00965CEB" w:rsidP="004F3087">
            <w:pPr>
              <w:autoSpaceDE w:val="0"/>
              <w:autoSpaceDN w:val="0"/>
              <w:adjustRightInd w:val="0"/>
              <w:rPr>
                <w:rFonts w:ascii="Times New Roman" w:hAnsi="Times New Roman" w:cs="Times New Roman"/>
                <w:color w:val="000000"/>
                <w:sz w:val="24"/>
              </w:rPr>
            </w:pPr>
            <w:r w:rsidRPr="007F4CC8">
              <w:rPr>
                <w:rFonts w:ascii="Times New Roman" w:hAnsi="Times New Roman" w:cs="Times New Roman"/>
                <w:b/>
                <w:sz w:val="24"/>
              </w:rPr>
              <w:t>Explanation</w:t>
            </w:r>
          </w:p>
        </w:tc>
      </w:tr>
      <w:tr w:rsidR="00965CEB" w:rsidRPr="007F4CC8" w14:paraId="01F5A89D"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6601845"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 xml:space="preserve">1 </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9000BC" w14:textId="77777777" w:rsidR="00965CEB" w:rsidRPr="007479E6" w:rsidRDefault="00965CEB" w:rsidP="004F3087">
            <w:pPr>
              <w:autoSpaceDE w:val="0"/>
              <w:autoSpaceDN w:val="0"/>
              <w:adjustRightInd w:val="0"/>
              <w:spacing w:after="120"/>
              <w:jc w:val="both"/>
              <w:rPr>
                <w:rFonts w:ascii="Times New Roman" w:hAnsi="Times New Roman" w:cs="Times New Roman"/>
                <w:b/>
                <w:sz w:val="24"/>
              </w:rPr>
            </w:pPr>
            <w:r w:rsidRPr="007479E6">
              <w:rPr>
                <w:rFonts w:ascii="Times New Roman" w:hAnsi="Times New Roman"/>
                <w:b/>
                <w:sz w:val="24"/>
              </w:rPr>
              <w:t>Total number of identified staff</w:t>
            </w:r>
          </w:p>
          <w:p w14:paraId="2278F4D4"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Staff members, whose professional activities have a material impact on institutions’ risk profile (identified staff) of an institution and its subsidiaries, including subsidiaries not subject to the CRD and all members of their respective management bodies</w:t>
            </w:r>
          </w:p>
          <w:p w14:paraId="15553C44"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The value shall be disclosed based on FTE.</w:t>
            </w:r>
          </w:p>
        </w:tc>
      </w:tr>
      <w:tr w:rsidR="00965CEB" w:rsidRPr="007F4CC8" w14:paraId="66892647"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8525372"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58100A" w14:textId="77777777" w:rsidR="00965CEB" w:rsidRPr="007479E6" w:rsidRDefault="00965CEB" w:rsidP="004F3087">
            <w:pPr>
              <w:autoSpaceDE w:val="0"/>
              <w:autoSpaceDN w:val="0"/>
              <w:adjustRightInd w:val="0"/>
              <w:spacing w:after="120"/>
              <w:jc w:val="both"/>
              <w:rPr>
                <w:rFonts w:ascii="Times New Roman" w:hAnsi="Times New Roman"/>
                <w:b/>
                <w:sz w:val="24"/>
              </w:rPr>
            </w:pPr>
            <w:r w:rsidRPr="007479E6">
              <w:rPr>
                <w:rFonts w:ascii="Times New Roman" w:hAnsi="Times New Roman"/>
                <w:b/>
                <w:sz w:val="24"/>
              </w:rPr>
              <w:t>Of which: members of the MB</w:t>
            </w:r>
          </w:p>
          <w:p w14:paraId="626C0F05"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The number of members in the respective Management body in its Supervisory function and in its Management function, and in the whole Management body</w:t>
            </w:r>
          </w:p>
        </w:tc>
      </w:tr>
      <w:tr w:rsidR="00965CEB" w:rsidRPr="007F4CC8" w14:paraId="7E2EF40C"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68E6E79"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30FB64" w14:textId="77777777" w:rsidR="00965CEB" w:rsidRPr="007479E6" w:rsidRDefault="00965CEB" w:rsidP="004F3087">
            <w:pPr>
              <w:autoSpaceDE w:val="0"/>
              <w:autoSpaceDN w:val="0"/>
              <w:adjustRightInd w:val="0"/>
              <w:spacing w:before="60" w:after="120"/>
              <w:jc w:val="both"/>
              <w:rPr>
                <w:rFonts w:ascii="Times New Roman" w:hAnsi="Times New Roman"/>
                <w:b/>
                <w:sz w:val="24"/>
              </w:rPr>
            </w:pPr>
            <w:r w:rsidRPr="007479E6">
              <w:rPr>
                <w:rFonts w:ascii="Times New Roman" w:hAnsi="Times New Roman"/>
                <w:b/>
                <w:sz w:val="24"/>
              </w:rPr>
              <w:t>Of which: other senior management</w:t>
            </w:r>
          </w:p>
          <w:p w14:paraId="1F28E03B" w14:textId="77777777" w:rsidR="00965CEB" w:rsidRPr="007F4CC8" w:rsidRDefault="00965CEB" w:rsidP="004F3087">
            <w:pPr>
              <w:autoSpaceDE w:val="0"/>
              <w:autoSpaceDN w:val="0"/>
              <w:adjustRightInd w:val="0"/>
              <w:spacing w:after="120"/>
              <w:jc w:val="both"/>
              <w:rPr>
                <w:rFonts w:ascii="Times New Roman" w:hAnsi="Times New Roman"/>
                <w:sz w:val="24"/>
              </w:rPr>
            </w:pPr>
            <w:r w:rsidRPr="007F4CC8">
              <w:rPr>
                <w:rFonts w:ascii="Times New Roman" w:hAnsi="Times New Roman" w:cs="Times New Roman"/>
                <w:sz w:val="24"/>
              </w:rPr>
              <w:t>Other staff than the members of the Management Body, who are senior management as defined in point (9) of Article 3(1) CRD</w:t>
            </w:r>
          </w:p>
        </w:tc>
      </w:tr>
      <w:tr w:rsidR="00965CEB" w:rsidRPr="007F4CC8" w14:paraId="576C78F0"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A556E89"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4</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A7E7979" w14:textId="77777777" w:rsidR="00965CEB" w:rsidRPr="007479E6" w:rsidRDefault="00965CEB" w:rsidP="004F3087">
            <w:pPr>
              <w:autoSpaceDE w:val="0"/>
              <w:autoSpaceDN w:val="0"/>
              <w:adjustRightInd w:val="0"/>
              <w:spacing w:before="60" w:after="120"/>
              <w:jc w:val="both"/>
              <w:rPr>
                <w:rFonts w:ascii="Times New Roman" w:hAnsi="Times New Roman"/>
                <w:b/>
                <w:sz w:val="24"/>
              </w:rPr>
            </w:pPr>
            <w:r w:rsidRPr="007479E6">
              <w:rPr>
                <w:rFonts w:ascii="Times New Roman" w:hAnsi="Times New Roman"/>
                <w:b/>
                <w:sz w:val="24"/>
              </w:rPr>
              <w:t>Of which: other identified staff</w:t>
            </w:r>
          </w:p>
          <w:p w14:paraId="110712E4" w14:textId="77777777" w:rsidR="00965CEB" w:rsidRPr="007F4CC8" w:rsidRDefault="00965CEB" w:rsidP="004F3087">
            <w:pPr>
              <w:autoSpaceDE w:val="0"/>
              <w:autoSpaceDN w:val="0"/>
              <w:adjustRightInd w:val="0"/>
              <w:spacing w:before="60" w:after="120"/>
              <w:jc w:val="both"/>
              <w:rPr>
                <w:rFonts w:ascii="Times New Roman" w:hAnsi="Times New Roman"/>
                <w:sz w:val="24"/>
                <w:highlight w:val="yellow"/>
              </w:rPr>
            </w:pPr>
            <w:r w:rsidRPr="007F4CC8">
              <w:rPr>
                <w:rFonts w:ascii="Times New Roman" w:hAnsi="Times New Roman" w:cs="Times New Roman"/>
                <w:sz w:val="24"/>
              </w:rPr>
              <w:t>Other staff than members of the Management Body, and other than senior management, whose professional activities have a material impact on the institution`s risk profile in accordance with the criteria set out in the Commission Delegated Regulation on identified staff implementing Article 94(2) CRD and where appropriate in addition based on institutions´ criteria</w:t>
            </w:r>
          </w:p>
        </w:tc>
      </w:tr>
      <w:tr w:rsidR="00965CEB" w:rsidRPr="007F4CC8" w14:paraId="5E0A7C3D"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7686D4B"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35DBD7" w14:textId="77777777" w:rsidR="00965CEB" w:rsidRPr="007479E6" w:rsidRDefault="00965CEB" w:rsidP="004F3087">
            <w:pPr>
              <w:autoSpaceDE w:val="0"/>
              <w:autoSpaceDN w:val="0"/>
              <w:adjustRightInd w:val="0"/>
              <w:spacing w:after="120"/>
              <w:jc w:val="both"/>
              <w:rPr>
                <w:rFonts w:ascii="Times New Roman" w:hAnsi="Times New Roman"/>
                <w:b/>
                <w:sz w:val="24"/>
              </w:rPr>
            </w:pPr>
            <w:r w:rsidRPr="007479E6">
              <w:rPr>
                <w:rFonts w:ascii="Times New Roman" w:hAnsi="Times New Roman"/>
                <w:b/>
                <w:sz w:val="24"/>
              </w:rPr>
              <w:t>Total remuneration of identified staff</w:t>
            </w:r>
          </w:p>
          <w:p w14:paraId="393FC237"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The total amount of remuneration shall mean all forms of fixed and variable remuneration and shall include payments and benefits, monetary or non-monetary, awarded directly to staff by or on behalf of institutions in exchange for professional services rendered by staff, carried interest payments within the meaning of point (d) of Article 4(1) </w:t>
            </w:r>
            <w:r>
              <w:rPr>
                <w:rFonts w:ascii="Times New Roman" w:hAnsi="Times New Roman" w:cs="Times New Roman"/>
                <w:sz w:val="24"/>
              </w:rPr>
              <w:t>of Directive 2011/61/EU</w:t>
            </w:r>
            <w:r>
              <w:rPr>
                <w:rStyle w:val="FootnoteReference"/>
                <w:rFonts w:cs="Times New Roman"/>
              </w:rPr>
              <w:footnoteReference w:id="4"/>
            </w:r>
            <w:r w:rsidRPr="007F4CC8">
              <w:rPr>
                <w:rFonts w:ascii="Times New Roman" w:hAnsi="Times New Roman" w:cs="Times New Roman"/>
                <w:sz w:val="24"/>
              </w:rPr>
              <w:t>, and other payments made via methods and vehicles which, if they were not considered as remuneration, would lead to a circumvention of the remuneration requirements of CRD.</w:t>
            </w:r>
          </w:p>
        </w:tc>
      </w:tr>
      <w:tr w:rsidR="00965CEB" w:rsidRPr="007F4CC8" w14:paraId="05EE8EE0"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34D1C35"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6</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3FF43F" w14:textId="77777777" w:rsidR="00965CEB" w:rsidRPr="007479E6" w:rsidRDefault="00965CEB" w:rsidP="004F3087">
            <w:pPr>
              <w:autoSpaceDE w:val="0"/>
              <w:autoSpaceDN w:val="0"/>
              <w:adjustRightInd w:val="0"/>
              <w:spacing w:after="120"/>
              <w:jc w:val="both"/>
              <w:rPr>
                <w:rFonts w:ascii="Times New Roman" w:hAnsi="Times New Roman"/>
                <w:b/>
                <w:sz w:val="24"/>
              </w:rPr>
            </w:pPr>
            <w:r w:rsidRPr="007479E6">
              <w:rPr>
                <w:rFonts w:ascii="Times New Roman" w:hAnsi="Times New Roman"/>
                <w:b/>
                <w:sz w:val="24"/>
              </w:rPr>
              <w:t>Of which: variable remuneration</w:t>
            </w:r>
          </w:p>
          <w:p w14:paraId="4089EA4E"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t xml:space="preserve">The sum of all remuneration components which are not fixed remuneration that are referred to in row 7 </w:t>
            </w:r>
            <w:r w:rsidRPr="007F4CC8">
              <w:rPr>
                <w:rFonts w:ascii="Times New Roman" w:eastAsia="Times New Roman" w:hAnsi="Times New Roman" w:cs="Times New Roman"/>
                <w:sz w:val="24"/>
              </w:rPr>
              <w:t>of this template</w:t>
            </w:r>
            <w:r w:rsidRPr="007F4CC8">
              <w:rPr>
                <w:rFonts w:ascii="Times New Roman" w:hAnsi="Times New Roman" w:cs="Times New Roman"/>
                <w:sz w:val="24"/>
              </w:rPr>
              <w:t>.</w:t>
            </w:r>
          </w:p>
        </w:tc>
      </w:tr>
      <w:tr w:rsidR="00965CEB" w:rsidRPr="007F4CC8" w14:paraId="141C01A8"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BEBE75E"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7</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417B946" w14:textId="77777777" w:rsidR="00965CEB" w:rsidRPr="007479E6" w:rsidRDefault="00965CEB" w:rsidP="004F3087">
            <w:pPr>
              <w:autoSpaceDE w:val="0"/>
              <w:autoSpaceDN w:val="0"/>
              <w:adjustRightInd w:val="0"/>
              <w:spacing w:after="120"/>
              <w:jc w:val="both"/>
              <w:rPr>
                <w:rFonts w:ascii="Times New Roman" w:hAnsi="Times New Roman"/>
                <w:b/>
                <w:sz w:val="24"/>
              </w:rPr>
            </w:pPr>
            <w:r w:rsidRPr="007479E6">
              <w:rPr>
                <w:rFonts w:ascii="Times New Roman" w:hAnsi="Times New Roman"/>
                <w:b/>
                <w:sz w:val="24"/>
              </w:rPr>
              <w:t>Of which: fixed remuneration</w:t>
            </w:r>
          </w:p>
          <w:p w14:paraId="6D2B67C7" w14:textId="77777777" w:rsidR="00965CEB" w:rsidRPr="007F4CC8" w:rsidRDefault="00965CEB" w:rsidP="004F3087">
            <w:pPr>
              <w:autoSpaceDE w:val="0"/>
              <w:autoSpaceDN w:val="0"/>
              <w:adjustRightInd w:val="0"/>
              <w:spacing w:after="120"/>
              <w:jc w:val="both"/>
              <w:rPr>
                <w:rFonts w:ascii="Times New Roman" w:hAnsi="Times New Roman" w:cs="Times New Roman"/>
                <w:sz w:val="24"/>
              </w:rPr>
            </w:pPr>
            <w:r w:rsidRPr="007F4CC8">
              <w:rPr>
                <w:rFonts w:ascii="Times New Roman" w:hAnsi="Times New Roman" w:cs="Times New Roman"/>
                <w:sz w:val="24"/>
              </w:rPr>
              <w:lastRenderedPageBreak/>
              <w:t xml:space="preserve">Institutions shall consider remuneration fixed where the conditions for its award and its amount: </w:t>
            </w:r>
          </w:p>
          <w:p w14:paraId="353923B9"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are based on a predetermined criteria;</w:t>
            </w:r>
          </w:p>
          <w:p w14:paraId="6C1C2F5F"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are non-discretionary reflecting the level of professional experience and seniority of staff;</w:t>
            </w:r>
          </w:p>
          <w:p w14:paraId="10522E13"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are transparent with respect to the individual amount awarded to the individual staff member;</w:t>
            </w:r>
          </w:p>
          <w:p w14:paraId="3BBE4B5F"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are permanent, i.e. maintained over a period tied to the specific role and organisational responsibilities;</w:t>
            </w:r>
          </w:p>
          <w:p w14:paraId="0E5E4565"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are non-revocable; the permanent amount i</w:t>
            </w:r>
            <w:r>
              <w:rPr>
                <w:rFonts w:ascii="Times New Roman" w:hAnsi="Times New Roman"/>
                <w:sz w:val="24"/>
                <w:szCs w:val="24"/>
              </w:rPr>
              <w:t>s</w:t>
            </w:r>
            <w:r w:rsidRPr="007F4CC8">
              <w:rPr>
                <w:rFonts w:ascii="Times New Roman" w:hAnsi="Times New Roman"/>
                <w:sz w:val="24"/>
                <w:szCs w:val="24"/>
              </w:rPr>
              <w:t xml:space="preserve"> only changed via collective bargaining or following renegotiation in line with national criteria on wage setting;</w:t>
            </w:r>
          </w:p>
          <w:p w14:paraId="5198EAEA"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cannot be reduced, suspended or cancelled by the institution;</w:t>
            </w:r>
          </w:p>
          <w:p w14:paraId="7278E7D3"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 xml:space="preserve">do not provide incentives for risk assumption; and </w:t>
            </w:r>
          </w:p>
          <w:p w14:paraId="23627B2C" w14:textId="77777777" w:rsidR="00965CEB" w:rsidRPr="007F4CC8" w:rsidRDefault="00965CEB" w:rsidP="00965CEB">
            <w:pPr>
              <w:pStyle w:val="ListParagraph"/>
              <w:numPr>
                <w:ilvl w:val="0"/>
                <w:numId w:val="1"/>
              </w:numPr>
              <w:autoSpaceDE w:val="0"/>
              <w:autoSpaceDN w:val="0"/>
              <w:adjustRightInd w:val="0"/>
              <w:spacing w:after="120"/>
              <w:jc w:val="both"/>
              <w:rPr>
                <w:rFonts w:ascii="Times New Roman" w:hAnsi="Times New Roman"/>
                <w:sz w:val="24"/>
                <w:szCs w:val="24"/>
              </w:rPr>
            </w:pPr>
            <w:r w:rsidRPr="007F4CC8">
              <w:rPr>
                <w:rFonts w:ascii="Times New Roman" w:hAnsi="Times New Roman"/>
                <w:sz w:val="24"/>
                <w:szCs w:val="24"/>
              </w:rPr>
              <w:t xml:space="preserve">do not depend on performance. </w:t>
            </w:r>
          </w:p>
        </w:tc>
      </w:tr>
      <w:tr w:rsidR="00965CEB" w:rsidRPr="007F4CC8" w14:paraId="4A45635F" w14:textId="77777777" w:rsidTr="004F3087">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84620" w14:textId="77777777" w:rsidR="00965CEB" w:rsidRPr="007F4CC8" w:rsidRDefault="00965CEB" w:rsidP="004F3087">
            <w:pPr>
              <w:pStyle w:val="Applicationdirecte"/>
              <w:spacing w:before="0"/>
              <w:jc w:val="left"/>
              <w:rPr>
                <w:b/>
              </w:rPr>
            </w:pPr>
            <w:r w:rsidRPr="007F4CC8">
              <w:rPr>
                <w:b/>
              </w:rPr>
              <w:lastRenderedPageBreak/>
              <w:t>Column letter</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70706" w14:textId="77777777" w:rsidR="00965CEB" w:rsidRPr="007F4CC8" w:rsidRDefault="00965CEB" w:rsidP="004F3087">
            <w:pPr>
              <w:pStyle w:val="TableMainHeading"/>
              <w:spacing w:before="60"/>
              <w:jc w:val="both"/>
              <w:rPr>
                <w:rFonts w:ascii="Times New Roman" w:hAnsi="Times New Roman"/>
                <w:b/>
                <w:sz w:val="24"/>
                <w:szCs w:val="24"/>
              </w:rPr>
            </w:pPr>
            <w:r w:rsidRPr="007F4CC8">
              <w:rPr>
                <w:rFonts w:ascii="Times New Roman" w:hAnsi="Times New Roman"/>
                <w:b/>
                <w:sz w:val="24"/>
                <w:szCs w:val="24"/>
              </w:rPr>
              <w:t>Explanation</w:t>
            </w:r>
          </w:p>
        </w:tc>
      </w:tr>
      <w:tr w:rsidR="00965CEB" w:rsidRPr="007F4CC8" w14:paraId="2ED3053A"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3020675"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a, b and c</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E9343" w14:textId="77777777" w:rsidR="00965CEB" w:rsidRPr="007479E6" w:rsidRDefault="00965CEB" w:rsidP="004F3087">
            <w:pPr>
              <w:autoSpaceDE w:val="0"/>
              <w:autoSpaceDN w:val="0"/>
              <w:adjustRightInd w:val="0"/>
              <w:spacing w:before="60" w:after="120"/>
              <w:jc w:val="both"/>
              <w:rPr>
                <w:rFonts w:ascii="Times New Roman" w:hAnsi="Times New Roman"/>
                <w:b/>
                <w:sz w:val="24"/>
              </w:rPr>
            </w:pPr>
            <w:r w:rsidRPr="007479E6">
              <w:rPr>
                <w:rFonts w:ascii="Times New Roman" w:hAnsi="Times New Roman"/>
                <w:b/>
                <w:sz w:val="24"/>
              </w:rPr>
              <w:t>Management body (MB)</w:t>
            </w:r>
          </w:p>
          <w:p w14:paraId="2D246C99"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The Management body of the institution, with the breakdown of Supervisory function and Management function</w:t>
            </w:r>
          </w:p>
          <w:p w14:paraId="6966FBB4"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Institutions shall disclose information based on headcount.</w:t>
            </w:r>
          </w:p>
        </w:tc>
      </w:tr>
      <w:tr w:rsidR="00965CEB" w:rsidRPr="007F4CC8" w14:paraId="69B617A4"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07C5DEE"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d to h</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2C67D2" w14:textId="77777777" w:rsidR="00965CEB" w:rsidRPr="007479E6" w:rsidRDefault="00965CEB" w:rsidP="004F3087">
            <w:pPr>
              <w:autoSpaceDE w:val="0"/>
              <w:autoSpaceDN w:val="0"/>
              <w:adjustRightInd w:val="0"/>
              <w:spacing w:before="60" w:after="120"/>
              <w:jc w:val="both"/>
              <w:rPr>
                <w:rFonts w:ascii="Times New Roman" w:hAnsi="Times New Roman"/>
                <w:b/>
                <w:sz w:val="24"/>
              </w:rPr>
            </w:pPr>
            <w:r w:rsidRPr="007479E6">
              <w:rPr>
                <w:rFonts w:ascii="Times New Roman" w:hAnsi="Times New Roman"/>
                <w:b/>
                <w:sz w:val="24"/>
              </w:rPr>
              <w:t>Business areas</w:t>
            </w:r>
          </w:p>
          <w:p w14:paraId="3897E6F0"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 xml:space="preserve">The major business areas of the institution, as Investment banking, Retail banking, Asset management, Corporate functions, Independent internal control functions </w:t>
            </w:r>
          </w:p>
          <w:p w14:paraId="36836492"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Information shall be disclosed based on FTE.</w:t>
            </w:r>
          </w:p>
        </w:tc>
      </w:tr>
      <w:tr w:rsidR="00965CEB" w:rsidRPr="007F4CC8" w14:paraId="427F8B5C" w14:textId="77777777" w:rsidTr="004F3087">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B5F048" w14:textId="77777777" w:rsidR="00965CEB" w:rsidRPr="007F4CC8" w:rsidRDefault="00965CEB" w:rsidP="004F3087">
            <w:pPr>
              <w:autoSpaceDE w:val="0"/>
              <w:autoSpaceDN w:val="0"/>
              <w:adjustRightInd w:val="0"/>
              <w:rPr>
                <w:rFonts w:ascii="Times New Roman" w:hAnsi="Times New Roman" w:cs="Times New Roman"/>
                <w:sz w:val="24"/>
              </w:rPr>
            </w:pPr>
            <w:r w:rsidRPr="007F4CC8">
              <w:rPr>
                <w:rFonts w:ascii="Times New Roman" w:hAnsi="Times New Roman" w:cs="Times New Roman"/>
                <w:sz w:val="24"/>
              </w:rPr>
              <w:t>i</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3CFBDBE" w14:textId="77777777" w:rsidR="00965CEB" w:rsidRPr="007479E6" w:rsidRDefault="00965CEB" w:rsidP="004F3087">
            <w:pPr>
              <w:autoSpaceDE w:val="0"/>
              <w:autoSpaceDN w:val="0"/>
              <w:adjustRightInd w:val="0"/>
              <w:spacing w:before="60" w:after="120"/>
              <w:jc w:val="both"/>
              <w:rPr>
                <w:rFonts w:ascii="Times New Roman" w:hAnsi="Times New Roman"/>
                <w:b/>
                <w:sz w:val="24"/>
              </w:rPr>
            </w:pPr>
            <w:r w:rsidRPr="007479E6">
              <w:rPr>
                <w:rFonts w:ascii="Times New Roman" w:hAnsi="Times New Roman"/>
                <w:b/>
                <w:sz w:val="24"/>
              </w:rPr>
              <w:t>All other</w:t>
            </w:r>
          </w:p>
          <w:p w14:paraId="73AEF5B7"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 xml:space="preserve">All other business areas that were not covered in the previous columns separately </w:t>
            </w:r>
          </w:p>
          <w:p w14:paraId="1A156990" w14:textId="77777777" w:rsidR="00965CEB" w:rsidRPr="007F4CC8" w:rsidRDefault="00965CEB" w:rsidP="004F3087">
            <w:pPr>
              <w:autoSpaceDE w:val="0"/>
              <w:autoSpaceDN w:val="0"/>
              <w:adjustRightInd w:val="0"/>
              <w:spacing w:before="60" w:after="120"/>
              <w:jc w:val="both"/>
              <w:rPr>
                <w:rFonts w:ascii="Times New Roman" w:hAnsi="Times New Roman" w:cs="Times New Roman"/>
                <w:sz w:val="24"/>
              </w:rPr>
            </w:pPr>
            <w:r w:rsidRPr="007F4CC8">
              <w:rPr>
                <w:rFonts w:ascii="Times New Roman" w:hAnsi="Times New Roman" w:cs="Times New Roman"/>
                <w:sz w:val="24"/>
              </w:rPr>
              <w:t>Information shall be disclosed based on FTE.</w:t>
            </w:r>
          </w:p>
        </w:tc>
      </w:tr>
    </w:tbl>
    <w:p w14:paraId="32121E4A" w14:textId="77777777" w:rsidR="00993FC2" w:rsidRDefault="00993FC2"/>
    <w:sectPr w:rsidR="00993FC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2089B" w14:textId="77777777" w:rsidR="0088399E" w:rsidRDefault="0088399E" w:rsidP="00965CEB">
      <w:r>
        <w:separator/>
      </w:r>
    </w:p>
  </w:endnote>
  <w:endnote w:type="continuationSeparator" w:id="0">
    <w:p w14:paraId="336A4547" w14:textId="77777777" w:rsidR="0088399E" w:rsidRDefault="0088399E" w:rsidP="0096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236931"/>
      <w:docPartObj>
        <w:docPartGallery w:val="Page Numbers (Bottom of Page)"/>
        <w:docPartUnique/>
      </w:docPartObj>
    </w:sdtPr>
    <w:sdtEndPr>
      <w:rPr>
        <w:noProof/>
      </w:rPr>
    </w:sdtEndPr>
    <w:sdtContent>
      <w:p w14:paraId="3D775035" w14:textId="77777777" w:rsidR="00965CEB" w:rsidRDefault="00965CE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4CC37E" w14:textId="77777777" w:rsidR="00965CEB" w:rsidRDefault="00965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5FE47" w14:textId="77777777" w:rsidR="0088399E" w:rsidRDefault="0088399E" w:rsidP="00965CEB">
      <w:r>
        <w:separator/>
      </w:r>
    </w:p>
  </w:footnote>
  <w:footnote w:type="continuationSeparator" w:id="0">
    <w:p w14:paraId="1F7EA5D8" w14:textId="77777777" w:rsidR="0088399E" w:rsidRDefault="0088399E" w:rsidP="00965CEB">
      <w:r>
        <w:continuationSeparator/>
      </w:r>
    </w:p>
  </w:footnote>
  <w:footnote w:id="1">
    <w:p w14:paraId="0750D410" w14:textId="7988BDA9" w:rsidR="00965CEB" w:rsidRPr="00222AAB" w:rsidRDefault="00965CEB" w:rsidP="00965CEB">
      <w:pPr>
        <w:pStyle w:val="FootnoteText"/>
        <w:rPr>
          <w:rFonts w:cstheme="minorHAnsi"/>
        </w:rPr>
      </w:pPr>
      <w:r w:rsidRPr="00346640">
        <w:rPr>
          <w:rStyle w:val="FootnoteReference"/>
          <w:rFonts w:cstheme="minorHAnsi"/>
        </w:rPr>
        <w:footnoteRef/>
      </w:r>
      <w:r w:rsidRPr="00222AAB">
        <w:rPr>
          <w:rFonts w:cstheme="minorHAnsi"/>
        </w:rPr>
        <w:t xml:space="preserve"> </w:t>
      </w:r>
      <w:r>
        <w:rPr>
          <w:rFonts w:cstheme="minorHAnsi"/>
        </w:rPr>
        <w:tab/>
      </w:r>
      <w:r w:rsidR="009E1CBE">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9E1CBE">
        <w:rPr>
          <w:color w:val="444444"/>
          <w:lang w:eastAsia="en-GB"/>
        </w:rPr>
        <w:t>(</w:t>
      </w:r>
      <w:hyperlink r:id="rId1" w:history="1">
        <w:r w:rsidR="009E1CBE">
          <w:rPr>
            <w:rStyle w:val="Hyperlink"/>
            <w:color w:val="800080"/>
            <w:lang w:eastAsia="en-GB"/>
          </w:rPr>
          <w:t>OJ L 176, 27.6.2013, p. 1</w:t>
        </w:r>
      </w:hyperlink>
      <w:r w:rsidR="009E1CBE">
        <w:rPr>
          <w:color w:val="800080"/>
          <w:u w:val="single"/>
          <w:lang w:eastAsia="en-GB"/>
        </w:rPr>
        <w:t xml:space="preserve">; </w:t>
      </w:r>
      <w:hyperlink r:id="rId2" w:history="1">
        <w:r w:rsidR="009E1CBE">
          <w:rPr>
            <w:rStyle w:val="Hyperlink"/>
          </w:rPr>
          <w:t>Regulation - EU - 2024/1623 - EN - EUR-Lex (europa.eu)</w:t>
        </w:r>
      </w:hyperlink>
      <w:r w:rsidR="009E1CBE">
        <w:rPr>
          <w:color w:val="444444"/>
          <w:lang w:eastAsia="en-GB"/>
        </w:rPr>
        <w:t>)</w:t>
      </w:r>
      <w:r w:rsidR="009E1CBE">
        <w:rPr>
          <w:lang w:eastAsia="en-GB"/>
        </w:rPr>
        <w:t>.</w:t>
      </w:r>
    </w:p>
  </w:footnote>
  <w:footnote w:id="2">
    <w:p w14:paraId="42E416B2" w14:textId="77777777" w:rsidR="00965CEB" w:rsidRPr="00222AAB" w:rsidRDefault="00965CEB" w:rsidP="00965CEB">
      <w:pPr>
        <w:pStyle w:val="FootnoteText"/>
        <w:rPr>
          <w:rFonts w:cstheme="minorHAnsi"/>
        </w:rPr>
      </w:pPr>
      <w:r w:rsidRPr="00346640">
        <w:rPr>
          <w:rStyle w:val="FootnoteReference"/>
          <w:rFonts w:cstheme="minorHAnsi"/>
        </w:rPr>
        <w:footnoteRef/>
      </w:r>
      <w:r w:rsidRPr="00222AAB">
        <w:rPr>
          <w:rFonts w:cstheme="minorHAnsi"/>
        </w:rPr>
        <w:t xml:space="preserve"> </w:t>
      </w:r>
      <w:r>
        <w:rPr>
          <w:rFonts w:cstheme="minorHAnsi"/>
        </w:rPr>
        <w:tab/>
      </w:r>
      <w:r w:rsidRPr="00222AAB">
        <w:rPr>
          <w:rFonts w:cstheme="minorHAnsi"/>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3">
    <w:p w14:paraId="43477CEF" w14:textId="77777777" w:rsidR="00965CEB" w:rsidRPr="00346640" w:rsidRDefault="00965CEB" w:rsidP="00965CEB">
      <w:pPr>
        <w:pStyle w:val="FootnoteText"/>
        <w:rPr>
          <w:rFonts w:cstheme="minorHAnsi"/>
        </w:rPr>
      </w:pPr>
      <w:r w:rsidRPr="00222AAB">
        <w:rPr>
          <w:rStyle w:val="FootnoteReference"/>
          <w:rFonts w:cstheme="minorHAnsi"/>
        </w:rPr>
        <w:footnoteRef/>
      </w:r>
      <w:r w:rsidRPr="00222AAB">
        <w:rPr>
          <w:rFonts w:cstheme="minorHAnsi"/>
        </w:rPr>
        <w:t xml:space="preserve"> </w:t>
      </w:r>
      <w:r>
        <w:rPr>
          <w:rFonts w:cstheme="minorHAnsi"/>
        </w:rPr>
        <w:tab/>
      </w:r>
      <w:r w:rsidRPr="00346640">
        <w:rPr>
          <w:rFonts w:cstheme="minorHAnsi"/>
          <w:bCs/>
        </w:rPr>
        <w:t>COMMISSION DELEGATED REGULATION (EU) No 604/2014 of 4 March 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 (OJ L 167, 6.6.2014, p. 30).</w:t>
      </w:r>
    </w:p>
  </w:footnote>
  <w:footnote w:id="4">
    <w:p w14:paraId="2890C799" w14:textId="77777777" w:rsidR="00965CEB" w:rsidRDefault="00965CEB" w:rsidP="00965CEB">
      <w:pPr>
        <w:pStyle w:val="FootnoteText"/>
      </w:pPr>
      <w:r>
        <w:rPr>
          <w:rStyle w:val="FootnoteReference"/>
        </w:rPr>
        <w:footnoteRef/>
      </w:r>
      <w:r>
        <w:t xml:space="preserve"> </w:t>
      </w:r>
      <w:r w:rsidRPr="00972012">
        <w:t>Directive 2011/61/EU of the European Parliament and of the Council of 8 June 2011 on Alternative Investment Fund Managers and amending Directives 2003/41/EC and 2009/65/EC and Regulations (EC) No 1060/2009 and (EU) No 1095/2010 (OJ L 174, 1.7.2011,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2050C" w14:textId="67949571" w:rsidR="009E1CBE" w:rsidRDefault="009E1CBE">
    <w:pPr>
      <w:pStyle w:val="Header"/>
    </w:pPr>
    <w:r>
      <w:rPr>
        <w:noProof/>
      </w:rPr>
      <mc:AlternateContent>
        <mc:Choice Requires="wps">
          <w:drawing>
            <wp:anchor distT="0" distB="0" distL="0" distR="0" simplePos="0" relativeHeight="251659264" behindDoc="0" locked="0" layoutInCell="1" allowOverlap="1" wp14:anchorId="4A3600E4" wp14:editId="57B7623D">
              <wp:simplePos x="635" y="635"/>
              <wp:positionH relativeFrom="page">
                <wp:align>left</wp:align>
              </wp:positionH>
              <wp:positionV relativeFrom="page">
                <wp:align>top</wp:align>
              </wp:positionV>
              <wp:extent cx="1273175" cy="376555"/>
              <wp:effectExtent l="0" t="0" r="3175" b="4445"/>
              <wp:wrapNone/>
              <wp:docPr id="1712024400"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53651B4D" w14:textId="68D5441E"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3600E4" id="_x0000_t202" coordsize="21600,21600" o:spt="202" path="m,l,21600r21600,l21600,xe">
              <v:stroke joinstyle="miter"/>
              <v:path gradientshapeok="t" o:connecttype="rect"/>
            </v:shapetype>
            <v:shape id="Text Box 2" o:spid="_x0000_s1026" type="#_x0000_t202" alt="EBA Regular Use" style="position:absolute;margin-left:0;margin-top:0;width:100.2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" filled="f" stroked="f">
              <v:fill o:detectmouseclick="t"/>
              <v:textbox style="mso-fit-shape-to-text:t" inset="20pt,15pt,0,0">
                <w:txbxContent>
                  <w:p w14:paraId="53651B4D" w14:textId="68D5441E"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7E81" w14:textId="1522948A" w:rsidR="009E1CBE" w:rsidRDefault="009E1CBE">
    <w:pPr>
      <w:pStyle w:val="Header"/>
    </w:pPr>
    <w:r>
      <w:rPr>
        <w:noProof/>
      </w:rPr>
      <mc:AlternateContent>
        <mc:Choice Requires="wps">
          <w:drawing>
            <wp:anchor distT="0" distB="0" distL="0" distR="0" simplePos="0" relativeHeight="251660288" behindDoc="0" locked="0" layoutInCell="1" allowOverlap="1" wp14:anchorId="6AA9260E" wp14:editId="4A671498">
              <wp:simplePos x="914400" y="447675"/>
              <wp:positionH relativeFrom="page">
                <wp:align>left</wp:align>
              </wp:positionH>
              <wp:positionV relativeFrom="page">
                <wp:align>top</wp:align>
              </wp:positionV>
              <wp:extent cx="1273175" cy="376555"/>
              <wp:effectExtent l="0" t="0" r="3175" b="4445"/>
              <wp:wrapNone/>
              <wp:docPr id="1625552795"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743AB8F0" w14:textId="0BD5B325"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A9260E" id="_x0000_t202" coordsize="21600,21600" o:spt="202" path="m,l,21600r21600,l21600,xe">
              <v:stroke joinstyle="miter"/>
              <v:path gradientshapeok="t" o:connecttype="rect"/>
            </v:shapetype>
            <v:shape id="Text Box 3" o:spid="_x0000_s1027" type="#_x0000_t202" alt="EBA Regular Use" style="position:absolute;margin-left:0;margin-top:0;width:100.2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YdFAIAACIEAAAOAAAAZHJzL2Uyb0RvYy54bWysU01v2zAMvQ/YfxB0X+ykc7M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" filled="f" stroked="f">
              <v:fill o:detectmouseclick="t"/>
              <v:textbox style="mso-fit-shape-to-text:t" inset="20pt,15pt,0,0">
                <w:txbxContent>
                  <w:p w14:paraId="743AB8F0" w14:textId="0BD5B325"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A06F" w14:textId="625CECFB" w:rsidR="009E1CBE" w:rsidRDefault="009E1CBE">
    <w:pPr>
      <w:pStyle w:val="Header"/>
    </w:pPr>
    <w:r>
      <w:rPr>
        <w:noProof/>
      </w:rPr>
      <mc:AlternateContent>
        <mc:Choice Requires="wps">
          <w:drawing>
            <wp:anchor distT="0" distB="0" distL="0" distR="0" simplePos="0" relativeHeight="251658240" behindDoc="0" locked="0" layoutInCell="1" allowOverlap="1" wp14:anchorId="21FC368C" wp14:editId="050D03EB">
              <wp:simplePos x="635" y="635"/>
              <wp:positionH relativeFrom="page">
                <wp:align>left</wp:align>
              </wp:positionH>
              <wp:positionV relativeFrom="page">
                <wp:align>top</wp:align>
              </wp:positionV>
              <wp:extent cx="1273175" cy="376555"/>
              <wp:effectExtent l="0" t="0" r="3175" b="4445"/>
              <wp:wrapNone/>
              <wp:docPr id="835041480"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175" cy="376555"/>
                      </a:xfrm>
                      <a:prstGeom prst="rect">
                        <a:avLst/>
                      </a:prstGeom>
                      <a:noFill/>
                      <a:ln>
                        <a:noFill/>
                      </a:ln>
                    </wps:spPr>
                    <wps:txbx>
                      <w:txbxContent>
                        <w:p w14:paraId="78EBA43F" w14:textId="0308EAF1"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FC368C" id="_x0000_t202" coordsize="21600,21600" o:spt="202" path="m,l,21600r21600,l21600,xe">
              <v:stroke joinstyle="miter"/>
              <v:path gradientshapeok="t" o:connecttype="rect"/>
            </v:shapetype>
            <v:shape id="Text Box 1" o:spid="_x0000_s1028" type="#_x0000_t202" alt="EBA Regular Use" style="position:absolute;margin-left:0;margin-top:0;width:100.2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zQDgIAABsEAAAOAAAAZHJzL2Uyb0RvYy54bWysU1tv2yAUfp+0/4B4X+ykc7N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" filled="f" stroked="f">
              <v:fill o:detectmouseclick="t"/>
              <v:textbox style="mso-fit-shape-to-text:t" inset="20pt,15pt,0,0">
                <w:txbxContent>
                  <w:p w14:paraId="78EBA43F" w14:textId="0308EAF1" w:rsidR="009E1CBE" w:rsidRPr="009E1CBE" w:rsidRDefault="009E1CBE" w:rsidP="009E1CBE">
                    <w:pPr>
                      <w:rPr>
                        <w:rFonts w:ascii="Calibri" w:eastAsia="Calibri" w:hAnsi="Calibri" w:cs="Calibri"/>
                        <w:noProof/>
                        <w:color w:val="000000"/>
                        <w:sz w:val="24"/>
                      </w:rPr>
                    </w:pPr>
                    <w:r w:rsidRPr="009E1CBE">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308493">
    <w:abstractNumId w:val="0"/>
  </w:num>
  <w:num w:numId="2" w16cid:durableId="840851798">
    <w:abstractNumId w:val="2"/>
  </w:num>
  <w:num w:numId="3" w16cid:durableId="1724059957">
    <w:abstractNumId w:val="3"/>
  </w:num>
  <w:num w:numId="4" w16cid:durableId="75517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F1AA5"/>
    <w:rsid w:val="005F1AA5"/>
    <w:rsid w:val="0088399E"/>
    <w:rsid w:val="00965CEB"/>
    <w:rsid w:val="00993FC2"/>
    <w:rsid w:val="009E1CBE"/>
    <w:rsid w:val="00A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6ABF"/>
  <w15:chartTrackingRefBased/>
  <w15:docId w15:val="{40220555-E8B0-4E2E-A6C4-034D1DD0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EB"/>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965CE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styleId="FootnoteText">
    <w:name w:val="footnote text"/>
    <w:basedOn w:val="Normal"/>
    <w:link w:val="FootnoteTextChar"/>
    <w:autoRedefine/>
    <w:qFormat/>
    <w:rsid w:val="00965CEB"/>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965CEB"/>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965CEB"/>
    <w:rPr>
      <w:rFonts w:asciiTheme="minorHAnsi" w:hAnsiTheme="minorHAnsi"/>
      <w:sz w:val="22"/>
      <w:szCs w:val="18"/>
      <w:vertAlign w:val="superscript"/>
    </w:rPr>
  </w:style>
  <w:style w:type="character" w:styleId="Hyperlink">
    <w:name w:val="Hyperlink"/>
    <w:basedOn w:val="DefaultParagraphFont"/>
    <w:uiPriority w:val="99"/>
    <w:rsid w:val="00965CEB"/>
    <w:rPr>
      <w:color w:val="0563C1" w:themeColor="hyperlink"/>
      <w:u w:val="single"/>
    </w:rPr>
  </w:style>
  <w:style w:type="paragraph" w:customStyle="1" w:styleId="Annexetitre">
    <w:name w:val="Annexe titre"/>
    <w:basedOn w:val="Normal"/>
    <w:next w:val="Normal"/>
    <w:rsid w:val="00965CEB"/>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965CEB"/>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65CEB"/>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965CEB"/>
    <w:pPr>
      <w:spacing w:before="120" w:after="120"/>
    </w:pPr>
    <w:rPr>
      <w:rFonts w:ascii="Segoe UI" w:eastAsia="Times New Roman" w:hAnsi="Segoe UI" w:cs="Times New Roman"/>
      <w:szCs w:val="20"/>
    </w:rPr>
  </w:style>
  <w:style w:type="paragraph" w:styleId="Header">
    <w:name w:val="header"/>
    <w:basedOn w:val="Normal"/>
    <w:link w:val="HeaderChar"/>
    <w:uiPriority w:val="99"/>
    <w:unhideWhenUsed/>
    <w:rsid w:val="00965CEB"/>
    <w:pPr>
      <w:tabs>
        <w:tab w:val="center" w:pos="4513"/>
        <w:tab w:val="right" w:pos="9026"/>
      </w:tabs>
    </w:pPr>
  </w:style>
  <w:style w:type="character" w:customStyle="1" w:styleId="HeaderChar">
    <w:name w:val="Header Char"/>
    <w:basedOn w:val="DefaultParagraphFont"/>
    <w:link w:val="Header"/>
    <w:uiPriority w:val="99"/>
    <w:rsid w:val="00965CEB"/>
    <w:rPr>
      <w:rFonts w:eastAsiaTheme="minorEastAsia"/>
      <w:szCs w:val="24"/>
    </w:rPr>
  </w:style>
  <w:style w:type="paragraph" w:styleId="Footer">
    <w:name w:val="footer"/>
    <w:basedOn w:val="Normal"/>
    <w:link w:val="FooterChar"/>
    <w:uiPriority w:val="99"/>
    <w:unhideWhenUsed/>
    <w:rsid w:val="00965CEB"/>
    <w:pPr>
      <w:tabs>
        <w:tab w:val="center" w:pos="4513"/>
        <w:tab w:val="right" w:pos="9026"/>
      </w:tabs>
    </w:pPr>
  </w:style>
  <w:style w:type="character" w:customStyle="1" w:styleId="FooterChar">
    <w:name w:val="Footer Char"/>
    <w:basedOn w:val="DefaultParagraphFont"/>
    <w:link w:val="Footer"/>
    <w:uiPriority w:val="99"/>
    <w:rsid w:val="00965CEB"/>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4304</Words>
  <Characters>24533</Characters>
  <Application>Microsoft Office Word</Application>
  <DocSecurity>0</DocSecurity>
  <Lines>204</Lines>
  <Paragraphs>57</Paragraphs>
  <ScaleCrop>false</ScaleCrop>
  <Company>European Banking Authority</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 Chilan</dc:creator>
  <cp:keywords/>
  <dc:description/>
  <cp:lastModifiedBy>Lidja Schiavo</cp:lastModifiedBy>
  <cp:revision>4</cp:revision>
  <dcterms:created xsi:type="dcterms:W3CDTF">2021-03-11T13:58:00Z</dcterms:created>
  <dcterms:modified xsi:type="dcterms:W3CDTF">2024-06-19T10:30:00Z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31c5b8c8,660b6b50,60e3f79b</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ies>
</file>