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C826" w14:textId="1C9C9479" w:rsidR="000C4BC8" w:rsidRPr="00932B3E" w:rsidRDefault="000C4BC8" w:rsidP="00932B3E">
      <w:pPr>
        <w:pStyle w:val="Annexetitre"/>
        <w:jc w:val="both"/>
        <w:rPr>
          <w:b w:val="0"/>
          <w:bCs/>
          <w:i/>
          <w:iCs/>
          <w:u w:val="none"/>
        </w:rPr>
      </w:pPr>
      <w:r w:rsidRPr="00932B3E">
        <w:rPr>
          <w:b w:val="0"/>
          <w:bCs/>
          <w:i/>
          <w:iCs/>
          <w:u w:val="none"/>
        </w:rPr>
        <w:t>The E</w:t>
      </w:r>
      <w:r>
        <w:rPr>
          <w:b w:val="0"/>
          <w:bCs/>
          <w:i/>
          <w:iCs/>
          <w:u w:val="none"/>
        </w:rPr>
        <w:t>BA</w:t>
      </w:r>
      <w:r w:rsidRPr="00932B3E">
        <w:rPr>
          <w:b w:val="0"/>
          <w:bCs/>
          <w:i/>
          <w:iCs/>
          <w:u w:val="none"/>
        </w:rPr>
        <w:t xml:space="preserve"> is presenting the instructions</w:t>
      </w:r>
      <w:r>
        <w:rPr>
          <w:b w:val="0"/>
          <w:bCs/>
          <w:i/>
          <w:iCs/>
          <w:u w:val="none"/>
        </w:rPr>
        <w:t xml:space="preserve"> on ESG supervisory reporting</w:t>
      </w:r>
      <w:r w:rsidRPr="00932B3E">
        <w:rPr>
          <w:b w:val="0"/>
          <w:bCs/>
          <w:i/>
          <w:iCs/>
          <w:u w:val="none"/>
        </w:rPr>
        <w:t xml:space="preserve"> in this format</w:t>
      </w:r>
      <w:r>
        <w:rPr>
          <w:b w:val="0"/>
          <w:bCs/>
          <w:i/>
          <w:iCs/>
          <w:u w:val="none"/>
        </w:rPr>
        <w:t>,</w:t>
      </w:r>
      <w:r w:rsidRPr="00932B3E">
        <w:rPr>
          <w:b w:val="0"/>
          <w:bCs/>
          <w:i/>
          <w:iCs/>
          <w:u w:val="none"/>
        </w:rPr>
        <w:t xml:space="preserve"> </w:t>
      </w:r>
      <w:proofErr w:type="gramStart"/>
      <w:r w:rsidRPr="00932B3E">
        <w:rPr>
          <w:b w:val="0"/>
          <w:bCs/>
          <w:i/>
          <w:iCs/>
          <w:u w:val="none"/>
        </w:rPr>
        <w:t>in light of</w:t>
      </w:r>
      <w:proofErr w:type="gramEnd"/>
      <w:r w:rsidRPr="00932B3E">
        <w:rPr>
          <w:b w:val="0"/>
          <w:bCs/>
          <w:i/>
          <w:iCs/>
          <w:u w:val="none"/>
        </w:rPr>
        <w:t xml:space="preserve"> the forthcoming finalisation of the</w:t>
      </w:r>
      <w:r>
        <w:rPr>
          <w:b w:val="0"/>
          <w:bCs/>
          <w:i/>
          <w:iCs/>
          <w:u w:val="none"/>
        </w:rPr>
        <w:t xml:space="preserve"> Draft</w:t>
      </w:r>
      <w:r w:rsidRPr="00932B3E">
        <w:rPr>
          <w:b w:val="0"/>
          <w:bCs/>
          <w:i/>
          <w:iCs/>
          <w:u w:val="none"/>
        </w:rPr>
        <w:t xml:space="preserve"> ITS on ESG disclosures, which is expected to be published in the coming weeks. Following the consultation period,</w:t>
      </w:r>
      <w:r>
        <w:rPr>
          <w:b w:val="0"/>
          <w:bCs/>
          <w:i/>
          <w:iCs/>
          <w:u w:val="none"/>
        </w:rPr>
        <w:t xml:space="preserve"> and once both frameworks are stable,</w:t>
      </w:r>
      <w:r w:rsidRPr="00932B3E">
        <w:rPr>
          <w:b w:val="0"/>
          <w:bCs/>
          <w:i/>
          <w:iCs/>
          <w:u w:val="none"/>
        </w:rPr>
        <w:t xml:space="preserve"> the EBA expects to pool all instructions within the IT solutions for ESG supervisory reporting.</w:t>
      </w:r>
    </w:p>
    <w:p w14:paraId="6E8BD1A4" w14:textId="77777777" w:rsidR="000C4BC8" w:rsidRDefault="000C4BC8" w:rsidP="004073C4">
      <w:pPr>
        <w:pStyle w:val="Annexetitre"/>
      </w:pPr>
    </w:p>
    <w:p w14:paraId="6F394EE1" w14:textId="3B094AEA" w:rsidR="004073C4" w:rsidRPr="00BE72CB" w:rsidRDefault="004073C4" w:rsidP="004073C4">
      <w:pPr>
        <w:pStyle w:val="Annexetitre"/>
      </w:pPr>
      <w:r w:rsidRPr="00BE72CB">
        <w:t xml:space="preserve">ANNEX </w:t>
      </w:r>
      <w:r w:rsidR="00D25700" w:rsidRPr="00BE72CB">
        <w:t>XXXI</w:t>
      </w:r>
    </w:p>
    <w:p w14:paraId="265F3ECF" w14:textId="77777777" w:rsidR="00C12307" w:rsidRPr="00BE72CB" w:rsidRDefault="00C12307" w:rsidP="004073C4">
      <w:pPr>
        <w:pStyle w:val="Annexetitre"/>
      </w:pPr>
    </w:p>
    <w:p w14:paraId="7897A285" w14:textId="0ED8CF8E" w:rsidR="00724C3C" w:rsidRPr="00BE72CB" w:rsidRDefault="004073C4" w:rsidP="00C56AFC">
      <w:pPr>
        <w:pStyle w:val="Annexetitre"/>
      </w:pPr>
      <w:r w:rsidRPr="00BE72CB">
        <w:t xml:space="preserve">Instructions </w:t>
      </w:r>
      <w:r w:rsidR="00C56AFC" w:rsidRPr="00BE72CB">
        <w:t>on</w:t>
      </w:r>
      <w:r w:rsidR="00C12307" w:rsidRPr="00BE72CB">
        <w:t xml:space="preserve"> </w:t>
      </w:r>
      <w:r w:rsidR="00C56AFC" w:rsidRPr="00BE72CB">
        <w:t xml:space="preserve">ESG risks exposures </w:t>
      </w:r>
      <w:r w:rsidR="00C12307" w:rsidRPr="00BE72CB">
        <w:t>reporting</w:t>
      </w:r>
      <w:r w:rsidRPr="00BE72CB">
        <w:t xml:space="preserve"> </w:t>
      </w:r>
      <w:r w:rsidR="00C12307" w:rsidRPr="00BE72CB">
        <w:t xml:space="preserve">and </w:t>
      </w:r>
      <w:r w:rsidR="006C5217" w:rsidRPr="00BE72CB">
        <w:t>information</w:t>
      </w:r>
      <w:r w:rsidR="00F63738" w:rsidRPr="00BE72CB">
        <w:t xml:space="preserve"> related to the EU</w:t>
      </w:r>
      <w:r w:rsidR="00A07CFE">
        <w:t>-wide</w:t>
      </w:r>
      <w:r w:rsidR="00F63738" w:rsidRPr="00BE72CB">
        <w:t xml:space="preserve"> </w:t>
      </w:r>
      <w:r w:rsidR="00C56AFC" w:rsidRPr="00BE72CB">
        <w:t>Stress Test</w:t>
      </w:r>
    </w:p>
    <w:sdt>
      <w:sdtPr>
        <w:rPr>
          <w:rFonts w:asciiTheme="minorHAnsi" w:eastAsiaTheme="minorEastAsia" w:hAnsiTheme="minorHAnsi" w:cstheme="minorBidi"/>
          <w:color w:val="auto"/>
          <w:kern w:val="2"/>
          <w:sz w:val="22"/>
          <w:szCs w:val="22"/>
          <w:lang w:val="en-GB"/>
          <w14:ligatures w14:val="standardContextual"/>
        </w:rPr>
        <w:id w:val="1862923420"/>
        <w:docPartObj>
          <w:docPartGallery w:val="Table of Contents"/>
          <w:docPartUnique/>
        </w:docPartObj>
      </w:sdtPr>
      <w:sdtEndPr>
        <w:rPr>
          <w:b/>
        </w:rPr>
      </w:sdtEndPr>
      <w:sdtContent>
        <w:p w14:paraId="66A1C47E" w14:textId="50BE81C2" w:rsidR="00CE412F" w:rsidRPr="00166EBA" w:rsidRDefault="00CE412F">
          <w:pPr>
            <w:pStyle w:val="TOCHeading"/>
            <w:rPr>
              <w:rFonts w:ascii="Times New Roman" w:hAnsi="Times New Roman" w:cs="Times New Roman"/>
              <w:lang w:val="en-GB"/>
            </w:rPr>
          </w:pPr>
          <w:r w:rsidRPr="00166EBA">
            <w:rPr>
              <w:rFonts w:ascii="Times New Roman" w:hAnsi="Times New Roman" w:cs="Times New Roman"/>
              <w:lang w:val="en-GB"/>
            </w:rPr>
            <w:t>Contents</w:t>
          </w:r>
        </w:p>
        <w:p w14:paraId="3CB918B3" w14:textId="3983F8C8" w:rsidR="00AF54AE" w:rsidRDefault="00CE412F">
          <w:pPr>
            <w:pStyle w:val="TOC2"/>
            <w:tabs>
              <w:tab w:val="right" w:leader="dot" w:pos="9016"/>
            </w:tabs>
            <w:rPr>
              <w:rFonts w:eastAsiaTheme="minorEastAsia"/>
              <w:noProof/>
              <w:sz w:val="24"/>
              <w:szCs w:val="24"/>
              <w:lang w:eastAsia="en-GB"/>
            </w:rPr>
          </w:pPr>
          <w:r w:rsidRPr="00166EBA">
            <w:rPr>
              <w:rFonts w:ascii="Times New Roman" w:hAnsi="Times New Roman" w:cs="Times New Roman"/>
            </w:rPr>
            <w:fldChar w:fldCharType="begin"/>
          </w:r>
          <w:r w:rsidRPr="00166EBA">
            <w:rPr>
              <w:rFonts w:ascii="Times New Roman" w:hAnsi="Times New Roman" w:cs="Times New Roman"/>
            </w:rPr>
            <w:instrText xml:space="preserve"> TOC \o "1-3" \h \z \u </w:instrText>
          </w:r>
          <w:r w:rsidRPr="00166EBA">
            <w:rPr>
              <w:rFonts w:ascii="Times New Roman" w:hAnsi="Times New Roman" w:cs="Times New Roman"/>
            </w:rPr>
            <w:fldChar w:fldCharType="separate"/>
          </w:r>
          <w:hyperlink w:anchor="_Toc225353452" w:history="1">
            <w:r w:rsidR="00AF54AE" w:rsidRPr="00D47305">
              <w:rPr>
                <w:rStyle w:val="Hyperlink"/>
                <w:b/>
                <w:bCs/>
                <w:noProof/>
              </w:rPr>
              <w:t>Template related instructions</w:t>
            </w:r>
            <w:r w:rsidR="00AF54AE">
              <w:rPr>
                <w:noProof/>
                <w:webHidden/>
              </w:rPr>
              <w:tab/>
            </w:r>
            <w:r w:rsidR="00AF54AE">
              <w:rPr>
                <w:noProof/>
                <w:webHidden/>
              </w:rPr>
              <w:fldChar w:fldCharType="begin"/>
            </w:r>
            <w:r w:rsidR="00AF54AE">
              <w:rPr>
                <w:noProof/>
                <w:webHidden/>
              </w:rPr>
              <w:instrText xml:space="preserve"> PAGEREF _Toc225353452 \h </w:instrText>
            </w:r>
            <w:r w:rsidR="00AF54AE">
              <w:rPr>
                <w:noProof/>
                <w:webHidden/>
              </w:rPr>
            </w:r>
            <w:r w:rsidR="00AF54AE">
              <w:rPr>
                <w:noProof/>
                <w:webHidden/>
              </w:rPr>
              <w:fldChar w:fldCharType="separate"/>
            </w:r>
            <w:r w:rsidR="00AF54AE">
              <w:rPr>
                <w:noProof/>
                <w:webHidden/>
              </w:rPr>
              <w:t>1</w:t>
            </w:r>
            <w:r w:rsidR="00AF54AE">
              <w:rPr>
                <w:noProof/>
                <w:webHidden/>
              </w:rPr>
              <w:fldChar w:fldCharType="end"/>
            </w:r>
          </w:hyperlink>
        </w:p>
        <w:p w14:paraId="23F54F24" w14:textId="747B9133" w:rsidR="00AF54AE" w:rsidRDefault="00AF54AE">
          <w:pPr>
            <w:pStyle w:val="TOC2"/>
            <w:tabs>
              <w:tab w:val="left" w:pos="720"/>
              <w:tab w:val="right" w:leader="dot" w:pos="9016"/>
            </w:tabs>
            <w:rPr>
              <w:rFonts w:eastAsiaTheme="minorEastAsia"/>
              <w:noProof/>
              <w:sz w:val="24"/>
              <w:szCs w:val="24"/>
              <w:lang w:eastAsia="en-GB"/>
            </w:rPr>
          </w:pPr>
          <w:hyperlink w:anchor="_Toc225353453" w:history="1">
            <w:r w:rsidRPr="00D47305">
              <w:rPr>
                <w:rStyle w:val="Hyperlink"/>
                <w:b/>
                <w:bCs/>
                <w:noProof/>
              </w:rPr>
              <w:t>1.</w:t>
            </w:r>
            <w:r>
              <w:rPr>
                <w:rFonts w:eastAsiaTheme="minorEastAsia"/>
                <w:noProof/>
                <w:sz w:val="24"/>
                <w:szCs w:val="24"/>
                <w:lang w:eastAsia="en-GB"/>
              </w:rPr>
              <w:tab/>
            </w:r>
            <w:r w:rsidRPr="00D47305">
              <w:rPr>
                <w:rStyle w:val="Hyperlink"/>
                <w:b/>
                <w:bCs/>
                <w:noProof/>
              </w:rPr>
              <w:t>D 01.00 - Climate change transition risk - Credit quality of exposures by sector, emissions and residual maturity</w:t>
            </w:r>
            <w:r>
              <w:rPr>
                <w:noProof/>
                <w:webHidden/>
              </w:rPr>
              <w:tab/>
            </w:r>
            <w:r>
              <w:rPr>
                <w:noProof/>
                <w:webHidden/>
              </w:rPr>
              <w:fldChar w:fldCharType="begin"/>
            </w:r>
            <w:r>
              <w:rPr>
                <w:noProof/>
                <w:webHidden/>
              </w:rPr>
              <w:instrText xml:space="preserve"> PAGEREF _Toc225353453 \h </w:instrText>
            </w:r>
            <w:r>
              <w:rPr>
                <w:noProof/>
                <w:webHidden/>
              </w:rPr>
            </w:r>
            <w:r>
              <w:rPr>
                <w:noProof/>
                <w:webHidden/>
              </w:rPr>
              <w:fldChar w:fldCharType="separate"/>
            </w:r>
            <w:r>
              <w:rPr>
                <w:noProof/>
                <w:webHidden/>
              </w:rPr>
              <w:t>1</w:t>
            </w:r>
            <w:r>
              <w:rPr>
                <w:noProof/>
                <w:webHidden/>
              </w:rPr>
              <w:fldChar w:fldCharType="end"/>
            </w:r>
          </w:hyperlink>
        </w:p>
        <w:p w14:paraId="14E9CFD4" w14:textId="611AB8C8" w:rsidR="00AF54AE" w:rsidRDefault="00AF54AE">
          <w:pPr>
            <w:pStyle w:val="TOC2"/>
            <w:tabs>
              <w:tab w:val="left" w:pos="720"/>
              <w:tab w:val="right" w:leader="dot" w:pos="9016"/>
            </w:tabs>
            <w:rPr>
              <w:rFonts w:eastAsiaTheme="minorEastAsia"/>
              <w:noProof/>
              <w:sz w:val="24"/>
              <w:szCs w:val="24"/>
              <w:lang w:eastAsia="en-GB"/>
            </w:rPr>
          </w:pPr>
          <w:hyperlink w:anchor="_Toc225353454" w:history="1">
            <w:r w:rsidRPr="00D47305">
              <w:rPr>
                <w:rStyle w:val="Hyperlink"/>
                <w:b/>
                <w:bCs/>
                <w:noProof/>
              </w:rPr>
              <w:t>2.</w:t>
            </w:r>
            <w:r>
              <w:rPr>
                <w:rFonts w:eastAsiaTheme="minorEastAsia"/>
                <w:noProof/>
                <w:sz w:val="24"/>
                <w:szCs w:val="24"/>
                <w:lang w:eastAsia="en-GB"/>
              </w:rPr>
              <w:tab/>
            </w:r>
            <w:r w:rsidRPr="00D47305">
              <w:rPr>
                <w:rStyle w:val="Hyperlink"/>
                <w:b/>
                <w:bCs/>
                <w:noProof/>
              </w:rPr>
              <w:t>D 01.02 - Climate change transition risk - Credit quality of exposures by sector, emissions and residual maturity</w:t>
            </w:r>
            <w:r>
              <w:rPr>
                <w:noProof/>
                <w:webHidden/>
              </w:rPr>
              <w:tab/>
            </w:r>
            <w:r>
              <w:rPr>
                <w:noProof/>
                <w:webHidden/>
              </w:rPr>
              <w:fldChar w:fldCharType="begin"/>
            </w:r>
            <w:r>
              <w:rPr>
                <w:noProof/>
                <w:webHidden/>
              </w:rPr>
              <w:instrText xml:space="preserve"> PAGEREF _Toc225353454 \h </w:instrText>
            </w:r>
            <w:r>
              <w:rPr>
                <w:noProof/>
                <w:webHidden/>
              </w:rPr>
            </w:r>
            <w:r>
              <w:rPr>
                <w:noProof/>
                <w:webHidden/>
              </w:rPr>
              <w:fldChar w:fldCharType="separate"/>
            </w:r>
            <w:r>
              <w:rPr>
                <w:noProof/>
                <w:webHidden/>
              </w:rPr>
              <w:t>4</w:t>
            </w:r>
            <w:r>
              <w:rPr>
                <w:noProof/>
                <w:webHidden/>
              </w:rPr>
              <w:fldChar w:fldCharType="end"/>
            </w:r>
          </w:hyperlink>
        </w:p>
        <w:p w14:paraId="68D6B0E2" w14:textId="165328CD" w:rsidR="00AF54AE" w:rsidRDefault="00AF54AE">
          <w:pPr>
            <w:pStyle w:val="TOC2"/>
            <w:tabs>
              <w:tab w:val="left" w:pos="720"/>
              <w:tab w:val="right" w:leader="dot" w:pos="9016"/>
            </w:tabs>
            <w:rPr>
              <w:rFonts w:eastAsiaTheme="minorEastAsia"/>
              <w:noProof/>
              <w:sz w:val="24"/>
              <w:szCs w:val="24"/>
              <w:lang w:eastAsia="en-GB"/>
            </w:rPr>
          </w:pPr>
          <w:hyperlink w:anchor="_Toc225353455" w:history="1">
            <w:r w:rsidRPr="00D47305">
              <w:rPr>
                <w:rStyle w:val="Hyperlink"/>
                <w:b/>
                <w:bCs/>
                <w:noProof/>
              </w:rPr>
              <w:t>3.</w:t>
            </w:r>
            <w:r>
              <w:rPr>
                <w:rFonts w:eastAsiaTheme="minorEastAsia"/>
                <w:noProof/>
                <w:sz w:val="24"/>
                <w:szCs w:val="24"/>
                <w:lang w:eastAsia="en-GB"/>
              </w:rPr>
              <w:tab/>
            </w:r>
            <w:r w:rsidRPr="00D47305">
              <w:rPr>
                <w:rStyle w:val="Hyperlink"/>
                <w:b/>
                <w:bCs/>
                <w:noProof/>
              </w:rPr>
              <w:t>D 01.01 - Simplified ESG information for SNCI and Other non-listed institutions covering both transition and physical risk</w:t>
            </w:r>
            <w:r>
              <w:rPr>
                <w:noProof/>
                <w:webHidden/>
              </w:rPr>
              <w:tab/>
            </w:r>
            <w:r>
              <w:rPr>
                <w:noProof/>
                <w:webHidden/>
              </w:rPr>
              <w:fldChar w:fldCharType="begin"/>
            </w:r>
            <w:r>
              <w:rPr>
                <w:noProof/>
                <w:webHidden/>
              </w:rPr>
              <w:instrText xml:space="preserve"> PAGEREF _Toc225353455 \h </w:instrText>
            </w:r>
            <w:r>
              <w:rPr>
                <w:noProof/>
                <w:webHidden/>
              </w:rPr>
            </w:r>
            <w:r>
              <w:rPr>
                <w:noProof/>
                <w:webHidden/>
              </w:rPr>
              <w:fldChar w:fldCharType="separate"/>
            </w:r>
            <w:r>
              <w:rPr>
                <w:noProof/>
                <w:webHidden/>
              </w:rPr>
              <w:t>4</w:t>
            </w:r>
            <w:r>
              <w:rPr>
                <w:noProof/>
                <w:webHidden/>
              </w:rPr>
              <w:fldChar w:fldCharType="end"/>
            </w:r>
          </w:hyperlink>
        </w:p>
        <w:p w14:paraId="0F4CC923" w14:textId="30CDD5E3" w:rsidR="00AF54AE" w:rsidRDefault="00AF54AE">
          <w:pPr>
            <w:pStyle w:val="TOC2"/>
            <w:tabs>
              <w:tab w:val="left" w:pos="720"/>
              <w:tab w:val="right" w:leader="dot" w:pos="9016"/>
            </w:tabs>
            <w:rPr>
              <w:rFonts w:eastAsiaTheme="minorEastAsia"/>
              <w:noProof/>
              <w:sz w:val="24"/>
              <w:szCs w:val="24"/>
              <w:lang w:eastAsia="en-GB"/>
            </w:rPr>
          </w:pPr>
          <w:hyperlink w:anchor="_Toc225353456" w:history="1">
            <w:r w:rsidRPr="00D47305">
              <w:rPr>
                <w:rStyle w:val="Hyperlink"/>
                <w:b/>
                <w:bCs/>
                <w:noProof/>
              </w:rPr>
              <w:t>4.</w:t>
            </w:r>
            <w:r>
              <w:rPr>
                <w:rFonts w:eastAsiaTheme="minorEastAsia"/>
                <w:noProof/>
                <w:sz w:val="24"/>
                <w:szCs w:val="24"/>
                <w:lang w:eastAsia="en-GB"/>
              </w:rPr>
              <w:tab/>
            </w:r>
            <w:r w:rsidRPr="00D47305">
              <w:rPr>
                <w:rStyle w:val="Hyperlink"/>
                <w:b/>
                <w:bCs/>
                <w:noProof/>
              </w:rPr>
              <w:t>D 02.00 - Climate change transition risk - Loans collateralised by immovable property, energy performance of the collateral</w:t>
            </w:r>
            <w:r>
              <w:rPr>
                <w:noProof/>
                <w:webHidden/>
              </w:rPr>
              <w:tab/>
            </w:r>
            <w:r>
              <w:rPr>
                <w:noProof/>
                <w:webHidden/>
              </w:rPr>
              <w:fldChar w:fldCharType="begin"/>
            </w:r>
            <w:r>
              <w:rPr>
                <w:noProof/>
                <w:webHidden/>
              </w:rPr>
              <w:instrText xml:space="preserve"> PAGEREF _Toc225353456 \h </w:instrText>
            </w:r>
            <w:r>
              <w:rPr>
                <w:noProof/>
                <w:webHidden/>
              </w:rPr>
            </w:r>
            <w:r>
              <w:rPr>
                <w:noProof/>
                <w:webHidden/>
              </w:rPr>
              <w:fldChar w:fldCharType="separate"/>
            </w:r>
            <w:r>
              <w:rPr>
                <w:noProof/>
                <w:webHidden/>
              </w:rPr>
              <w:t>5</w:t>
            </w:r>
            <w:r>
              <w:rPr>
                <w:noProof/>
                <w:webHidden/>
              </w:rPr>
              <w:fldChar w:fldCharType="end"/>
            </w:r>
          </w:hyperlink>
        </w:p>
        <w:p w14:paraId="0FCD00EF" w14:textId="23BC7BD4" w:rsidR="00AF54AE" w:rsidRDefault="00AF54AE">
          <w:pPr>
            <w:pStyle w:val="TOC2"/>
            <w:tabs>
              <w:tab w:val="left" w:pos="720"/>
              <w:tab w:val="right" w:leader="dot" w:pos="9016"/>
            </w:tabs>
            <w:rPr>
              <w:rFonts w:eastAsiaTheme="minorEastAsia"/>
              <w:noProof/>
              <w:sz w:val="24"/>
              <w:szCs w:val="24"/>
              <w:lang w:eastAsia="en-GB"/>
            </w:rPr>
          </w:pPr>
          <w:hyperlink w:anchor="_Toc225353457" w:history="1">
            <w:r w:rsidRPr="00D47305">
              <w:rPr>
                <w:rStyle w:val="Hyperlink"/>
                <w:b/>
                <w:bCs/>
                <w:noProof/>
              </w:rPr>
              <w:t>5.</w:t>
            </w:r>
            <w:r>
              <w:rPr>
                <w:rFonts w:eastAsiaTheme="minorEastAsia"/>
                <w:noProof/>
                <w:sz w:val="24"/>
                <w:szCs w:val="24"/>
                <w:lang w:eastAsia="en-GB"/>
              </w:rPr>
              <w:tab/>
            </w:r>
            <w:r w:rsidRPr="00D47305">
              <w:rPr>
                <w:rStyle w:val="Hyperlink"/>
                <w:b/>
                <w:bCs/>
                <w:noProof/>
              </w:rPr>
              <w:t>D 03.00 - Indicators of potential climate change transition risk: emission intensity per physical output and by sector</w:t>
            </w:r>
            <w:r>
              <w:rPr>
                <w:noProof/>
                <w:webHidden/>
              </w:rPr>
              <w:tab/>
            </w:r>
            <w:r>
              <w:rPr>
                <w:noProof/>
                <w:webHidden/>
              </w:rPr>
              <w:fldChar w:fldCharType="begin"/>
            </w:r>
            <w:r>
              <w:rPr>
                <w:noProof/>
                <w:webHidden/>
              </w:rPr>
              <w:instrText xml:space="preserve"> PAGEREF _Toc225353457 \h </w:instrText>
            </w:r>
            <w:r>
              <w:rPr>
                <w:noProof/>
                <w:webHidden/>
              </w:rPr>
            </w:r>
            <w:r>
              <w:rPr>
                <w:noProof/>
                <w:webHidden/>
              </w:rPr>
              <w:fldChar w:fldCharType="separate"/>
            </w:r>
            <w:r>
              <w:rPr>
                <w:noProof/>
                <w:webHidden/>
              </w:rPr>
              <w:t>6</w:t>
            </w:r>
            <w:r>
              <w:rPr>
                <w:noProof/>
                <w:webHidden/>
              </w:rPr>
              <w:fldChar w:fldCharType="end"/>
            </w:r>
          </w:hyperlink>
        </w:p>
        <w:p w14:paraId="46A993A9" w14:textId="10F6A686" w:rsidR="00AF54AE" w:rsidRDefault="00AF54AE">
          <w:pPr>
            <w:pStyle w:val="TOC2"/>
            <w:tabs>
              <w:tab w:val="left" w:pos="720"/>
              <w:tab w:val="right" w:leader="dot" w:pos="9016"/>
            </w:tabs>
            <w:rPr>
              <w:rFonts w:eastAsiaTheme="minorEastAsia"/>
              <w:noProof/>
              <w:sz w:val="24"/>
              <w:szCs w:val="24"/>
              <w:lang w:eastAsia="en-GB"/>
            </w:rPr>
          </w:pPr>
          <w:hyperlink w:anchor="_Toc225353458" w:history="1">
            <w:r w:rsidRPr="00D47305">
              <w:rPr>
                <w:rStyle w:val="Hyperlink"/>
                <w:b/>
                <w:bCs/>
                <w:noProof/>
              </w:rPr>
              <w:t>6.</w:t>
            </w:r>
            <w:r>
              <w:rPr>
                <w:rFonts w:eastAsiaTheme="minorEastAsia"/>
                <w:noProof/>
                <w:sz w:val="24"/>
                <w:szCs w:val="24"/>
                <w:lang w:eastAsia="en-GB"/>
              </w:rPr>
              <w:tab/>
            </w:r>
            <w:r w:rsidRPr="00D47305">
              <w:rPr>
                <w:rStyle w:val="Hyperlink"/>
                <w:b/>
                <w:bCs/>
                <w:noProof/>
              </w:rPr>
              <w:t>D 04.00 - Obligor-level environment-related corporate exposures</w:t>
            </w:r>
            <w:r>
              <w:rPr>
                <w:noProof/>
                <w:webHidden/>
              </w:rPr>
              <w:tab/>
            </w:r>
            <w:r>
              <w:rPr>
                <w:noProof/>
                <w:webHidden/>
              </w:rPr>
              <w:fldChar w:fldCharType="begin"/>
            </w:r>
            <w:r>
              <w:rPr>
                <w:noProof/>
                <w:webHidden/>
              </w:rPr>
              <w:instrText xml:space="preserve"> PAGEREF _Toc225353458 \h </w:instrText>
            </w:r>
            <w:r>
              <w:rPr>
                <w:noProof/>
                <w:webHidden/>
              </w:rPr>
            </w:r>
            <w:r>
              <w:rPr>
                <w:noProof/>
                <w:webHidden/>
              </w:rPr>
              <w:fldChar w:fldCharType="separate"/>
            </w:r>
            <w:r>
              <w:rPr>
                <w:noProof/>
                <w:webHidden/>
              </w:rPr>
              <w:t>6</w:t>
            </w:r>
            <w:r>
              <w:rPr>
                <w:noProof/>
                <w:webHidden/>
              </w:rPr>
              <w:fldChar w:fldCharType="end"/>
            </w:r>
          </w:hyperlink>
        </w:p>
        <w:p w14:paraId="72929521" w14:textId="188B6693" w:rsidR="00AF54AE" w:rsidRDefault="00AF54AE">
          <w:pPr>
            <w:pStyle w:val="TOC2"/>
            <w:tabs>
              <w:tab w:val="left" w:pos="720"/>
              <w:tab w:val="right" w:leader="dot" w:pos="9016"/>
            </w:tabs>
            <w:rPr>
              <w:rFonts w:eastAsiaTheme="minorEastAsia"/>
              <w:noProof/>
              <w:sz w:val="24"/>
              <w:szCs w:val="24"/>
              <w:lang w:eastAsia="en-GB"/>
            </w:rPr>
          </w:pPr>
          <w:hyperlink w:anchor="_Toc225353459" w:history="1">
            <w:r w:rsidRPr="00D47305">
              <w:rPr>
                <w:rStyle w:val="Hyperlink"/>
                <w:b/>
                <w:bCs/>
                <w:noProof/>
              </w:rPr>
              <w:t>7.</w:t>
            </w:r>
            <w:r>
              <w:rPr>
                <w:rFonts w:eastAsiaTheme="minorEastAsia"/>
                <w:noProof/>
                <w:sz w:val="24"/>
                <w:szCs w:val="24"/>
                <w:lang w:eastAsia="en-GB"/>
              </w:rPr>
              <w:tab/>
            </w:r>
            <w:r w:rsidRPr="00D47305">
              <w:rPr>
                <w:rStyle w:val="Hyperlink"/>
                <w:b/>
                <w:bCs/>
                <w:noProof/>
              </w:rPr>
              <w:t>D 05.00 – Climate-related physical risk: Exposures subject to physical risk</w:t>
            </w:r>
            <w:r>
              <w:rPr>
                <w:noProof/>
                <w:webHidden/>
              </w:rPr>
              <w:tab/>
            </w:r>
            <w:r>
              <w:rPr>
                <w:noProof/>
                <w:webHidden/>
              </w:rPr>
              <w:fldChar w:fldCharType="begin"/>
            </w:r>
            <w:r>
              <w:rPr>
                <w:noProof/>
                <w:webHidden/>
              </w:rPr>
              <w:instrText xml:space="preserve"> PAGEREF _Toc225353459 \h </w:instrText>
            </w:r>
            <w:r>
              <w:rPr>
                <w:noProof/>
                <w:webHidden/>
              </w:rPr>
            </w:r>
            <w:r>
              <w:rPr>
                <w:noProof/>
                <w:webHidden/>
              </w:rPr>
              <w:fldChar w:fldCharType="separate"/>
            </w:r>
            <w:r>
              <w:rPr>
                <w:noProof/>
                <w:webHidden/>
              </w:rPr>
              <w:t>10</w:t>
            </w:r>
            <w:r>
              <w:rPr>
                <w:noProof/>
                <w:webHidden/>
              </w:rPr>
              <w:fldChar w:fldCharType="end"/>
            </w:r>
          </w:hyperlink>
        </w:p>
        <w:p w14:paraId="7C7011EA" w14:textId="6BE66658" w:rsidR="00AF54AE" w:rsidRDefault="00AF54AE">
          <w:pPr>
            <w:pStyle w:val="TOC2"/>
            <w:tabs>
              <w:tab w:val="left" w:pos="720"/>
              <w:tab w:val="right" w:leader="dot" w:pos="9016"/>
            </w:tabs>
            <w:rPr>
              <w:rFonts w:eastAsiaTheme="minorEastAsia"/>
              <w:noProof/>
              <w:sz w:val="24"/>
              <w:szCs w:val="24"/>
              <w:lang w:eastAsia="en-GB"/>
            </w:rPr>
          </w:pPr>
          <w:hyperlink w:anchor="_Toc225353460" w:history="1">
            <w:r w:rsidRPr="00D47305">
              <w:rPr>
                <w:rStyle w:val="Hyperlink"/>
                <w:b/>
                <w:bCs/>
                <w:noProof/>
              </w:rPr>
              <w:t>8.</w:t>
            </w:r>
            <w:r>
              <w:rPr>
                <w:rFonts w:eastAsiaTheme="minorEastAsia"/>
                <w:noProof/>
                <w:sz w:val="24"/>
                <w:szCs w:val="24"/>
                <w:lang w:eastAsia="en-GB"/>
              </w:rPr>
              <w:tab/>
            </w:r>
            <w:r w:rsidRPr="00D47305">
              <w:rPr>
                <w:rStyle w:val="Hyperlink"/>
                <w:b/>
                <w:bCs/>
                <w:noProof/>
              </w:rPr>
              <w:t>D 05.01 – Climate-related physical risk: Exposures subject to physical risk (simplified)</w:t>
            </w:r>
            <w:r>
              <w:rPr>
                <w:noProof/>
                <w:webHidden/>
              </w:rPr>
              <w:tab/>
            </w:r>
            <w:r>
              <w:rPr>
                <w:noProof/>
                <w:webHidden/>
              </w:rPr>
              <w:fldChar w:fldCharType="begin"/>
            </w:r>
            <w:r>
              <w:rPr>
                <w:noProof/>
                <w:webHidden/>
              </w:rPr>
              <w:instrText xml:space="preserve"> PAGEREF _Toc225353460 \h </w:instrText>
            </w:r>
            <w:r>
              <w:rPr>
                <w:noProof/>
                <w:webHidden/>
              </w:rPr>
            </w:r>
            <w:r>
              <w:rPr>
                <w:noProof/>
                <w:webHidden/>
              </w:rPr>
              <w:fldChar w:fldCharType="separate"/>
            </w:r>
            <w:r>
              <w:rPr>
                <w:noProof/>
                <w:webHidden/>
              </w:rPr>
              <w:t>11</w:t>
            </w:r>
            <w:r>
              <w:rPr>
                <w:noProof/>
                <w:webHidden/>
              </w:rPr>
              <w:fldChar w:fldCharType="end"/>
            </w:r>
          </w:hyperlink>
        </w:p>
        <w:p w14:paraId="726C32D1" w14:textId="3D6A43AB" w:rsidR="00AF54AE" w:rsidRDefault="00AF54AE">
          <w:pPr>
            <w:pStyle w:val="TOC2"/>
            <w:tabs>
              <w:tab w:val="left" w:pos="720"/>
              <w:tab w:val="right" w:leader="dot" w:pos="9016"/>
            </w:tabs>
            <w:rPr>
              <w:rFonts w:eastAsiaTheme="minorEastAsia"/>
              <w:noProof/>
              <w:sz w:val="24"/>
              <w:szCs w:val="24"/>
              <w:lang w:eastAsia="en-GB"/>
            </w:rPr>
          </w:pPr>
          <w:hyperlink w:anchor="_Toc225353461" w:history="1">
            <w:r w:rsidRPr="00D47305">
              <w:rPr>
                <w:rStyle w:val="Hyperlink"/>
                <w:b/>
                <w:bCs/>
                <w:noProof/>
              </w:rPr>
              <w:t>9.</w:t>
            </w:r>
            <w:r>
              <w:rPr>
                <w:rFonts w:eastAsiaTheme="minorEastAsia"/>
                <w:noProof/>
                <w:sz w:val="24"/>
                <w:szCs w:val="24"/>
                <w:lang w:eastAsia="en-GB"/>
              </w:rPr>
              <w:tab/>
            </w:r>
            <w:r w:rsidRPr="00D47305">
              <w:rPr>
                <w:rStyle w:val="Hyperlink"/>
                <w:b/>
                <w:bCs/>
                <w:noProof/>
              </w:rPr>
              <w:t>D 10.00 - Mitigating actions: Exposures contributing to sustainability objectives</w:t>
            </w:r>
            <w:r>
              <w:rPr>
                <w:noProof/>
                <w:webHidden/>
              </w:rPr>
              <w:tab/>
            </w:r>
            <w:r>
              <w:rPr>
                <w:noProof/>
                <w:webHidden/>
              </w:rPr>
              <w:fldChar w:fldCharType="begin"/>
            </w:r>
            <w:r>
              <w:rPr>
                <w:noProof/>
                <w:webHidden/>
              </w:rPr>
              <w:instrText xml:space="preserve"> PAGEREF _Toc225353461 \h </w:instrText>
            </w:r>
            <w:r>
              <w:rPr>
                <w:noProof/>
                <w:webHidden/>
              </w:rPr>
            </w:r>
            <w:r>
              <w:rPr>
                <w:noProof/>
                <w:webHidden/>
              </w:rPr>
              <w:fldChar w:fldCharType="separate"/>
            </w:r>
            <w:r>
              <w:rPr>
                <w:noProof/>
                <w:webHidden/>
              </w:rPr>
              <w:t>11</w:t>
            </w:r>
            <w:r>
              <w:rPr>
                <w:noProof/>
                <w:webHidden/>
              </w:rPr>
              <w:fldChar w:fldCharType="end"/>
            </w:r>
          </w:hyperlink>
        </w:p>
        <w:p w14:paraId="3BE68306" w14:textId="53BD1065" w:rsidR="00AF54AE" w:rsidRDefault="00AF54AE">
          <w:pPr>
            <w:pStyle w:val="TOC2"/>
            <w:tabs>
              <w:tab w:val="left" w:pos="960"/>
              <w:tab w:val="right" w:leader="dot" w:pos="9016"/>
            </w:tabs>
            <w:rPr>
              <w:rFonts w:eastAsiaTheme="minorEastAsia"/>
              <w:noProof/>
              <w:sz w:val="24"/>
              <w:szCs w:val="24"/>
              <w:lang w:eastAsia="en-GB"/>
            </w:rPr>
          </w:pPr>
          <w:hyperlink w:anchor="_Toc225353462" w:history="1">
            <w:r w:rsidRPr="00D47305">
              <w:rPr>
                <w:rStyle w:val="Hyperlink"/>
                <w:b/>
                <w:bCs/>
                <w:noProof/>
              </w:rPr>
              <w:t>10.</w:t>
            </w:r>
            <w:r>
              <w:rPr>
                <w:rFonts w:eastAsiaTheme="minorEastAsia"/>
                <w:noProof/>
                <w:sz w:val="24"/>
                <w:szCs w:val="24"/>
                <w:lang w:eastAsia="en-GB"/>
              </w:rPr>
              <w:tab/>
            </w:r>
            <w:r w:rsidRPr="00D47305">
              <w:rPr>
                <w:rStyle w:val="Hyperlink"/>
                <w:b/>
                <w:bCs/>
                <w:noProof/>
              </w:rPr>
              <w:t>D 11.00 - Banking book- Exposures to environmental risks (beyond climate) - Physical and transition risks</w:t>
            </w:r>
            <w:r>
              <w:rPr>
                <w:noProof/>
                <w:webHidden/>
              </w:rPr>
              <w:tab/>
            </w:r>
            <w:r>
              <w:rPr>
                <w:noProof/>
                <w:webHidden/>
              </w:rPr>
              <w:fldChar w:fldCharType="begin"/>
            </w:r>
            <w:r>
              <w:rPr>
                <w:noProof/>
                <w:webHidden/>
              </w:rPr>
              <w:instrText xml:space="preserve"> PAGEREF _Toc225353462 \h </w:instrText>
            </w:r>
            <w:r>
              <w:rPr>
                <w:noProof/>
                <w:webHidden/>
              </w:rPr>
            </w:r>
            <w:r>
              <w:rPr>
                <w:noProof/>
                <w:webHidden/>
              </w:rPr>
              <w:fldChar w:fldCharType="separate"/>
            </w:r>
            <w:r>
              <w:rPr>
                <w:noProof/>
                <w:webHidden/>
              </w:rPr>
              <w:t>11</w:t>
            </w:r>
            <w:r>
              <w:rPr>
                <w:noProof/>
                <w:webHidden/>
              </w:rPr>
              <w:fldChar w:fldCharType="end"/>
            </w:r>
          </w:hyperlink>
        </w:p>
        <w:p w14:paraId="66FC03B1" w14:textId="153D43D7" w:rsidR="00CE412F" w:rsidRPr="00BE72CB" w:rsidRDefault="00CE412F">
          <w:r w:rsidRPr="00166EBA">
            <w:rPr>
              <w:rFonts w:ascii="Times New Roman" w:hAnsi="Times New Roman" w:cs="Times New Roman"/>
              <w:b/>
              <w:bCs/>
            </w:rPr>
            <w:fldChar w:fldCharType="end"/>
          </w:r>
        </w:p>
      </w:sdtContent>
    </w:sdt>
    <w:p w14:paraId="0092B1B6" w14:textId="77777777" w:rsidR="007F63B1" w:rsidRPr="009133CD" w:rsidRDefault="007F63B1" w:rsidP="009133CD">
      <w:pPr>
        <w:rPr>
          <w:lang w:val="en-US"/>
        </w:rPr>
      </w:pPr>
    </w:p>
    <w:p w14:paraId="35CEAA99" w14:textId="4E5A3BF9" w:rsidR="000A7ABA" w:rsidRDefault="00330E20" w:rsidP="00CD4ABB">
      <w:pPr>
        <w:pStyle w:val="subtitlenumbered"/>
        <w:ind w:left="180" w:hanging="360"/>
        <w:jc w:val="both"/>
        <w:rPr>
          <w:b/>
          <w:bCs/>
          <w:caps w:val="0"/>
          <w:sz w:val="28"/>
          <w:szCs w:val="28"/>
          <w:lang w:val="en-GB"/>
        </w:rPr>
      </w:pPr>
      <w:bookmarkStart w:id="0" w:name="_Toc225353452"/>
      <w:r w:rsidRPr="00BE72CB">
        <w:rPr>
          <w:b/>
          <w:bCs/>
          <w:caps w:val="0"/>
          <w:sz w:val="28"/>
          <w:szCs w:val="28"/>
          <w:lang w:val="en-GB"/>
        </w:rPr>
        <w:t>Template related instructions</w:t>
      </w:r>
      <w:bookmarkEnd w:id="0"/>
    </w:p>
    <w:p w14:paraId="6A67370E" w14:textId="77777777" w:rsidR="00E13EBE" w:rsidRPr="00BE72CB" w:rsidRDefault="00E13EBE" w:rsidP="00CD4ABB">
      <w:pPr>
        <w:pStyle w:val="subtitlenumbered"/>
        <w:ind w:left="180" w:hanging="360"/>
        <w:jc w:val="both"/>
        <w:rPr>
          <w:b/>
          <w:bCs/>
          <w:caps w:val="0"/>
          <w:lang w:val="en-GB"/>
        </w:rPr>
      </w:pPr>
    </w:p>
    <w:p w14:paraId="188959AF" w14:textId="268CCDF7" w:rsidR="00061186" w:rsidRPr="00BE72CB" w:rsidRDefault="00061186" w:rsidP="00CD4ABB">
      <w:pPr>
        <w:pStyle w:val="subtitlenumbered"/>
        <w:numPr>
          <w:ilvl w:val="0"/>
          <w:numId w:val="7"/>
        </w:numPr>
        <w:ind w:left="180"/>
        <w:jc w:val="both"/>
        <w:rPr>
          <w:b/>
          <w:bCs/>
          <w:caps w:val="0"/>
          <w:lang w:val="en-GB"/>
        </w:rPr>
      </w:pPr>
      <w:bookmarkStart w:id="1" w:name="_Toc225353453"/>
      <w:r w:rsidRPr="00BE72CB">
        <w:rPr>
          <w:b/>
          <w:bCs/>
          <w:caps w:val="0"/>
          <w:lang w:val="en-GB"/>
        </w:rPr>
        <w:t>D 01.00</w:t>
      </w:r>
      <w:r w:rsidR="0076213D" w:rsidRPr="00BE72CB">
        <w:rPr>
          <w:b/>
          <w:bCs/>
          <w:caps w:val="0"/>
          <w:lang w:val="en-GB"/>
        </w:rPr>
        <w:t xml:space="preserve"> -</w:t>
      </w:r>
      <w:r w:rsidRPr="00BE72CB">
        <w:rPr>
          <w:b/>
          <w:bCs/>
          <w:caps w:val="0"/>
          <w:lang w:val="en-GB"/>
        </w:rPr>
        <w:t xml:space="preserve"> Climate change transition risk - Credit quality of exposures by sector, emissions and residual maturity</w:t>
      </w:r>
      <w:bookmarkEnd w:id="1"/>
    </w:p>
    <w:p w14:paraId="2D0C81BF" w14:textId="41E37EE8" w:rsidR="00412D82" w:rsidRDefault="00412D82" w:rsidP="00C91D04">
      <w:pPr>
        <w:pStyle w:val="ListParagraph"/>
        <w:numPr>
          <w:ilvl w:val="0"/>
          <w:numId w:val="4"/>
        </w:numPr>
        <w:tabs>
          <w:tab w:val="left" w:pos="567"/>
        </w:tabs>
        <w:spacing w:before="120" w:after="120" w:line="240" w:lineRule="auto"/>
        <w:ind w:left="540"/>
        <w:contextualSpacing w:val="0"/>
        <w:jc w:val="both"/>
        <w:rPr>
          <w:rFonts w:ascii="Times New Roman" w:hAnsi="Times New Roman"/>
          <w:sz w:val="24"/>
        </w:rPr>
      </w:pPr>
      <w:r>
        <w:rPr>
          <w:rFonts w:ascii="Times New Roman" w:hAnsi="Times New Roman"/>
          <w:sz w:val="24"/>
        </w:rPr>
        <w:t xml:space="preserve">This template shall be reported by </w:t>
      </w:r>
      <w:r w:rsidR="00B85103">
        <w:rPr>
          <w:rFonts w:ascii="Times New Roman" w:hAnsi="Times New Roman"/>
          <w:sz w:val="24"/>
        </w:rPr>
        <w:t>large</w:t>
      </w:r>
      <w:r>
        <w:rPr>
          <w:rFonts w:ascii="Times New Roman" w:hAnsi="Times New Roman"/>
          <w:sz w:val="24"/>
        </w:rPr>
        <w:t xml:space="preserve"> institutions </w:t>
      </w:r>
      <w:r w:rsidR="001D7D18">
        <w:rPr>
          <w:rFonts w:ascii="Times New Roman" w:hAnsi="Times New Roman"/>
          <w:sz w:val="24"/>
        </w:rPr>
        <w:t xml:space="preserve">with total assets above 30bn </w:t>
      </w:r>
      <w:proofErr w:type="gramStart"/>
      <w:r w:rsidR="001D7D18">
        <w:rPr>
          <w:rFonts w:ascii="Times New Roman" w:hAnsi="Times New Roman"/>
          <w:sz w:val="24"/>
        </w:rPr>
        <w:t>EUR</w:t>
      </w:r>
      <w:r w:rsidR="001D7D18" w:rsidDel="00153B19">
        <w:rPr>
          <w:rFonts w:ascii="Times New Roman" w:hAnsi="Times New Roman"/>
          <w:sz w:val="24"/>
        </w:rPr>
        <w:t xml:space="preserve"> </w:t>
      </w:r>
      <w:r w:rsidR="002A5807">
        <w:rPr>
          <w:rFonts w:ascii="Times New Roman" w:hAnsi="Times New Roman"/>
          <w:sz w:val="24"/>
        </w:rPr>
        <w:t xml:space="preserve"> on</w:t>
      </w:r>
      <w:proofErr w:type="gramEnd"/>
      <w:r w:rsidR="002A5807">
        <w:rPr>
          <w:rFonts w:ascii="Times New Roman" w:hAnsi="Times New Roman"/>
          <w:sz w:val="24"/>
        </w:rPr>
        <w:t xml:space="preserve"> a semi-annual basis</w:t>
      </w:r>
      <w:r w:rsidR="00AF51D2">
        <w:rPr>
          <w:rFonts w:ascii="Times New Roman" w:hAnsi="Times New Roman"/>
          <w:sz w:val="24"/>
        </w:rPr>
        <w:t>.</w:t>
      </w:r>
      <w:r w:rsidR="00BD3F23">
        <w:rPr>
          <w:rFonts w:ascii="Times New Roman" w:hAnsi="Times New Roman"/>
          <w:sz w:val="24"/>
        </w:rPr>
        <w:t xml:space="preserve"> </w:t>
      </w:r>
    </w:p>
    <w:p w14:paraId="15C6338C" w14:textId="77777777" w:rsidR="001D6BB5" w:rsidRPr="00BE72CB" w:rsidRDefault="001D6BB5" w:rsidP="001D6BB5">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BE72CB">
        <w:rPr>
          <w:rFonts w:ascii="Times New Roman" w:hAnsi="Times New Roman"/>
          <w:sz w:val="24"/>
        </w:rPr>
        <w:t>This template aims to cover different data needs. Including information necessary for supervisory monitoring of exposures to ESG risk and data necessary for the EU-wide Stress test.</w:t>
      </w:r>
    </w:p>
    <w:p w14:paraId="1D5DB40D" w14:textId="02887C7A" w:rsidR="00896DEE" w:rsidRPr="00BE72CB" w:rsidRDefault="00DB6DBC" w:rsidP="00C91D04">
      <w:pPr>
        <w:pStyle w:val="ListParagraph"/>
        <w:numPr>
          <w:ilvl w:val="0"/>
          <w:numId w:val="4"/>
        </w:numPr>
        <w:tabs>
          <w:tab w:val="left" w:pos="567"/>
        </w:tabs>
        <w:spacing w:before="120" w:after="120" w:line="240" w:lineRule="auto"/>
        <w:ind w:left="540"/>
        <w:contextualSpacing w:val="0"/>
        <w:jc w:val="both"/>
        <w:rPr>
          <w:rFonts w:ascii="Times New Roman" w:hAnsi="Times New Roman"/>
          <w:sz w:val="24"/>
        </w:rPr>
      </w:pPr>
      <w:r w:rsidRPr="00BE72CB">
        <w:rPr>
          <w:rFonts w:ascii="Times New Roman" w:hAnsi="Times New Roman"/>
          <w:sz w:val="24"/>
        </w:rPr>
        <w:t xml:space="preserve">Institutions shall </w:t>
      </w:r>
      <w:r w:rsidR="009A2B8A">
        <w:rPr>
          <w:rFonts w:ascii="Times New Roman" w:hAnsi="Times New Roman"/>
          <w:sz w:val="24"/>
        </w:rPr>
        <w:t xml:space="preserve">report the information referred to in this template in accordance with </w:t>
      </w:r>
      <w:r w:rsidR="009A2B8A" w:rsidRPr="00BE72CB">
        <w:rPr>
          <w:rFonts w:ascii="Times New Roman" w:hAnsi="Times New Roman"/>
          <w:sz w:val="24"/>
        </w:rPr>
        <w:t xml:space="preserve">the </w:t>
      </w:r>
      <w:r w:rsidRPr="00BE72CB">
        <w:rPr>
          <w:rFonts w:ascii="Times New Roman" w:hAnsi="Times New Roman"/>
          <w:sz w:val="24"/>
        </w:rPr>
        <w:t xml:space="preserve">instructions </w:t>
      </w:r>
      <w:r w:rsidR="009A2B8A">
        <w:rPr>
          <w:rFonts w:ascii="Times New Roman" w:hAnsi="Times New Roman"/>
          <w:sz w:val="24"/>
        </w:rPr>
        <w:t>provided for</w:t>
      </w:r>
      <w:r w:rsidR="00BB1EAA" w:rsidRPr="00BE72CB">
        <w:rPr>
          <w:rFonts w:ascii="Times New Roman" w:hAnsi="Times New Roman"/>
          <w:sz w:val="24"/>
        </w:rPr>
        <w:t xml:space="preserve"> </w:t>
      </w:r>
      <w:r w:rsidRPr="00AF54AE">
        <w:rPr>
          <w:rFonts w:ascii="Times New Roman" w:hAnsi="Times New Roman"/>
          <w:i/>
          <w:iCs/>
          <w:sz w:val="24"/>
        </w:rPr>
        <w:t>‘EU - CRFR1: Climate change transition risk - Credit quality of exposures by sector, emissions and residual maturity’</w:t>
      </w:r>
      <w:r w:rsidRPr="00BE72CB">
        <w:rPr>
          <w:rFonts w:ascii="Times New Roman" w:hAnsi="Times New Roman"/>
          <w:sz w:val="24"/>
        </w:rPr>
        <w:t xml:space="preserve"> set out in Annex </w:t>
      </w:r>
      <w:r w:rsidR="094C942C" w:rsidRPr="009C5681">
        <w:rPr>
          <w:rFonts w:ascii="Times New Roman" w:hAnsi="Times New Roman"/>
          <w:sz w:val="24"/>
          <w:szCs w:val="24"/>
        </w:rPr>
        <w:t>X</w:t>
      </w:r>
      <w:r w:rsidR="6A086A5B" w:rsidRPr="009133CD">
        <w:rPr>
          <w:rFonts w:ascii="Times New Roman" w:hAnsi="Times New Roman"/>
          <w:sz w:val="24"/>
          <w:szCs w:val="24"/>
        </w:rPr>
        <w:t>L</w:t>
      </w:r>
      <w:r w:rsidRPr="00BE72CB">
        <w:rPr>
          <w:rFonts w:ascii="Times New Roman" w:hAnsi="Times New Roman"/>
          <w:sz w:val="24"/>
        </w:rPr>
        <w:t xml:space="preserve"> of the Implementing Regulation 2024/3172. </w:t>
      </w:r>
      <w:r w:rsidR="00450531" w:rsidRPr="00BE72CB">
        <w:rPr>
          <w:rFonts w:ascii="Times New Roman" w:hAnsi="Times New Roman"/>
          <w:sz w:val="24"/>
        </w:rPr>
        <w:t xml:space="preserve">In </w:t>
      </w:r>
      <w:r w:rsidR="00EB77E5" w:rsidRPr="00BE72CB">
        <w:rPr>
          <w:rFonts w:ascii="Times New Roman" w:hAnsi="Times New Roman"/>
          <w:sz w:val="24"/>
        </w:rPr>
        <w:t>addition,</w:t>
      </w:r>
      <w:r w:rsidR="00450531" w:rsidRPr="00BE72CB">
        <w:rPr>
          <w:rFonts w:ascii="Times New Roman" w:hAnsi="Times New Roman"/>
          <w:sz w:val="24"/>
        </w:rPr>
        <w:t xml:space="preserve"> institutions sh</w:t>
      </w:r>
      <w:r w:rsidR="00C94A16">
        <w:rPr>
          <w:rFonts w:ascii="Times New Roman" w:hAnsi="Times New Roman"/>
          <w:sz w:val="24"/>
        </w:rPr>
        <w:t>all</w:t>
      </w:r>
      <w:r w:rsidR="00450531" w:rsidRPr="00BE72CB">
        <w:rPr>
          <w:rFonts w:ascii="Times New Roman" w:hAnsi="Times New Roman"/>
          <w:sz w:val="24"/>
        </w:rPr>
        <w:t xml:space="preserve"> complement those instructions with the instructions provided in this Annex</w:t>
      </w:r>
      <w:r w:rsidR="00A320F9">
        <w:rPr>
          <w:rFonts w:ascii="Times New Roman" w:hAnsi="Times New Roman"/>
          <w:sz w:val="24"/>
        </w:rPr>
        <w:t>.</w:t>
      </w:r>
      <w:r w:rsidR="00D55A2D">
        <w:rPr>
          <w:rFonts w:ascii="Times New Roman" w:hAnsi="Times New Roman"/>
          <w:sz w:val="24"/>
        </w:rPr>
        <w:t xml:space="preserve"> </w:t>
      </w:r>
    </w:p>
    <w:p w14:paraId="65A90FE7" w14:textId="45DC96E4" w:rsidR="001B5F6F" w:rsidRPr="00932B3E" w:rsidRDefault="00D5147E" w:rsidP="00E93555">
      <w:pPr>
        <w:pStyle w:val="ListParagraph"/>
        <w:numPr>
          <w:ilvl w:val="0"/>
          <w:numId w:val="4"/>
        </w:numPr>
        <w:tabs>
          <w:tab w:val="left" w:pos="567"/>
        </w:tabs>
        <w:spacing w:before="120" w:after="120" w:line="240" w:lineRule="auto"/>
        <w:ind w:left="540"/>
        <w:contextualSpacing w:val="0"/>
        <w:jc w:val="both"/>
        <w:rPr>
          <w:rFonts w:ascii="Times New Roman" w:hAnsi="Times New Roman"/>
          <w:sz w:val="24"/>
        </w:rPr>
      </w:pPr>
      <w:r w:rsidRPr="00BE72CB">
        <w:rPr>
          <w:rFonts w:ascii="Times New Roman" w:hAnsi="Times New Roman"/>
          <w:sz w:val="24"/>
        </w:rPr>
        <w:lastRenderedPageBreak/>
        <w:t>Institutions shall report in this template</w:t>
      </w:r>
      <w:r w:rsidR="00240D90" w:rsidRPr="00240D90">
        <w:rPr>
          <w:rFonts w:ascii="Times New Roman" w:hAnsi="Times New Roman"/>
          <w:sz w:val="24"/>
        </w:rPr>
        <w:t xml:space="preserve"> the </w:t>
      </w:r>
      <w:r w:rsidR="00240D90">
        <w:rPr>
          <w:rFonts w:ascii="Times New Roman" w:hAnsi="Times New Roman"/>
          <w:sz w:val="24"/>
        </w:rPr>
        <w:t>t</w:t>
      </w:r>
      <w:r w:rsidRPr="00AF54AE">
        <w:rPr>
          <w:rFonts w:ascii="Times New Roman" w:hAnsi="Times New Roman"/>
          <w:sz w:val="24"/>
        </w:rPr>
        <w:t>otal</w:t>
      </w:r>
      <w:r w:rsidR="00961A2B" w:rsidRPr="00AF54AE">
        <w:rPr>
          <w:rFonts w:ascii="Times New Roman" w:hAnsi="Times New Roman"/>
          <w:sz w:val="24"/>
        </w:rPr>
        <w:t xml:space="preserve"> </w:t>
      </w:r>
      <w:r w:rsidRPr="00AF54AE">
        <w:rPr>
          <w:rFonts w:ascii="Times New Roman" w:hAnsi="Times New Roman"/>
          <w:sz w:val="24"/>
        </w:rPr>
        <w:t>exposures</w:t>
      </w:r>
      <w:r w:rsidR="00287485" w:rsidRPr="00AF54AE">
        <w:rPr>
          <w:rFonts w:ascii="Times New Roman" w:hAnsi="Times New Roman"/>
          <w:sz w:val="24"/>
        </w:rPr>
        <w:t>,</w:t>
      </w:r>
      <w:r w:rsidR="006B6450" w:rsidRPr="00AF54AE">
        <w:rPr>
          <w:rFonts w:ascii="Times New Roman" w:hAnsi="Times New Roman"/>
          <w:sz w:val="24"/>
        </w:rPr>
        <w:t xml:space="preserve"> with the same scope as in the disclosures template covering the </w:t>
      </w:r>
      <w:r w:rsidR="00E27CB4" w:rsidRPr="00AF54AE">
        <w:rPr>
          <w:rFonts w:ascii="Times New Roman" w:hAnsi="Times New Roman"/>
          <w:sz w:val="24"/>
        </w:rPr>
        <w:t xml:space="preserve">exposures at </w:t>
      </w:r>
      <w:r w:rsidR="0066561C" w:rsidRPr="00AF54AE">
        <w:rPr>
          <w:rFonts w:ascii="Times New Roman" w:hAnsi="Times New Roman"/>
          <w:sz w:val="24"/>
        </w:rPr>
        <w:t>a</w:t>
      </w:r>
      <w:r w:rsidR="006B6450" w:rsidRPr="00AF54AE">
        <w:rPr>
          <w:rFonts w:ascii="Times New Roman" w:hAnsi="Times New Roman"/>
          <w:sz w:val="24"/>
        </w:rPr>
        <w:t>mortised cost and FVOCI portfolios.</w:t>
      </w:r>
      <w:r w:rsidR="00E93555">
        <w:rPr>
          <w:rFonts w:ascii="Times New Roman" w:hAnsi="Times New Roman"/>
          <w:sz w:val="24"/>
        </w:rPr>
        <w:t xml:space="preserve"> </w:t>
      </w:r>
      <w:r w:rsidR="00AB1085" w:rsidRPr="00932B3E">
        <w:rPr>
          <w:rFonts w:ascii="Times New Roman" w:hAnsi="Times New Roman"/>
          <w:sz w:val="24"/>
        </w:rPr>
        <w:t>In the specific situation where an institution holds loans and advances measured at fair value through profit or loss, and where these exposures are, in accordance with national requirements, match-funded by covered bonds also measured at fair value through profit or loss - thereby neutralising market risk between the asset and liability sides and leaving credit risk as the primary remaining risk driver - such loans and advances shall be reported in rows 0010 to 0850 of the template D01.00.</w:t>
      </w:r>
    </w:p>
    <w:p w14:paraId="75F684F5" w14:textId="6E6CB07D" w:rsidR="00382DD4" w:rsidRPr="00AF54AE" w:rsidRDefault="00382DD4" w:rsidP="00AF54AE">
      <w:pPr>
        <w:pStyle w:val="ListParagraph"/>
        <w:numPr>
          <w:ilvl w:val="0"/>
          <w:numId w:val="4"/>
        </w:numPr>
        <w:tabs>
          <w:tab w:val="left" w:pos="567"/>
        </w:tabs>
        <w:spacing w:before="120" w:after="120" w:line="240" w:lineRule="auto"/>
        <w:ind w:left="540"/>
        <w:contextualSpacing w:val="0"/>
        <w:jc w:val="both"/>
        <w:rPr>
          <w:rFonts w:ascii="Times New Roman" w:eastAsia="Times New Roman" w:hAnsi="Times New Roman"/>
          <w:sz w:val="24"/>
          <w:szCs w:val="24"/>
        </w:rPr>
      </w:pPr>
      <w:r w:rsidRPr="00AF54AE">
        <w:rPr>
          <w:rFonts w:ascii="Times New Roman" w:eastAsia="Times New Roman" w:hAnsi="Times New Roman"/>
          <w:sz w:val="24"/>
          <w:szCs w:val="24"/>
        </w:rPr>
        <w:t xml:space="preserve">Institutions </w:t>
      </w:r>
      <w:r w:rsidR="00C064B8" w:rsidRPr="00AF54AE">
        <w:rPr>
          <w:rFonts w:ascii="Times New Roman" w:eastAsia="Times New Roman" w:hAnsi="Times New Roman"/>
          <w:sz w:val="24"/>
          <w:szCs w:val="24"/>
        </w:rPr>
        <w:t xml:space="preserve">with total assets above 30bn EUR </w:t>
      </w:r>
      <w:r w:rsidRPr="00AF54AE">
        <w:rPr>
          <w:rFonts w:ascii="Times New Roman" w:eastAsia="Times New Roman" w:hAnsi="Times New Roman"/>
          <w:sz w:val="24"/>
          <w:szCs w:val="24"/>
        </w:rPr>
        <w:t xml:space="preserve">shall </w:t>
      </w:r>
      <w:r w:rsidR="006C68A3" w:rsidRPr="00AF54AE">
        <w:rPr>
          <w:rFonts w:ascii="Times New Roman" w:eastAsia="Times New Roman" w:hAnsi="Times New Roman"/>
          <w:sz w:val="24"/>
          <w:szCs w:val="24"/>
        </w:rPr>
        <w:t xml:space="preserve">additionally </w:t>
      </w:r>
      <w:r w:rsidR="00BE72CB" w:rsidRPr="00AF54AE">
        <w:rPr>
          <w:rFonts w:ascii="Times New Roman" w:eastAsia="Times New Roman" w:hAnsi="Times New Roman"/>
          <w:sz w:val="24"/>
          <w:szCs w:val="24"/>
        </w:rPr>
        <w:t>report</w:t>
      </w:r>
      <w:r w:rsidRPr="00AF54AE">
        <w:rPr>
          <w:rFonts w:ascii="Times New Roman" w:eastAsia="Times New Roman" w:hAnsi="Times New Roman"/>
          <w:sz w:val="24"/>
          <w:szCs w:val="24"/>
        </w:rPr>
        <w:t xml:space="preserve"> </w:t>
      </w:r>
      <w:r w:rsidR="00BE72CB" w:rsidRPr="00AF54AE">
        <w:rPr>
          <w:rFonts w:ascii="Times New Roman" w:eastAsia="Times New Roman" w:hAnsi="Times New Roman"/>
          <w:sz w:val="24"/>
          <w:szCs w:val="24"/>
        </w:rPr>
        <w:t>the</w:t>
      </w:r>
      <w:r w:rsidRPr="00AF54AE">
        <w:rPr>
          <w:rFonts w:ascii="Times New Roman" w:eastAsia="Times New Roman" w:hAnsi="Times New Roman"/>
          <w:sz w:val="24"/>
          <w:szCs w:val="24"/>
        </w:rPr>
        <w:t xml:space="preserve"> </w:t>
      </w:r>
      <w:r w:rsidR="00BE72CB" w:rsidRPr="00AF54AE">
        <w:rPr>
          <w:rFonts w:ascii="Times New Roman" w:eastAsia="Times New Roman" w:hAnsi="Times New Roman"/>
          <w:sz w:val="24"/>
          <w:szCs w:val="24"/>
        </w:rPr>
        <w:t>following</w:t>
      </w:r>
      <w:r w:rsidRPr="00AF54AE">
        <w:rPr>
          <w:rFonts w:ascii="Times New Roman" w:eastAsia="Times New Roman" w:hAnsi="Times New Roman"/>
          <w:sz w:val="24"/>
          <w:szCs w:val="24"/>
        </w:rPr>
        <w:t xml:space="preserve"> 2 z-axis</w:t>
      </w:r>
      <w:r w:rsidR="003A6AB5" w:rsidRPr="00AF54AE">
        <w:rPr>
          <w:rFonts w:ascii="Times New Roman" w:eastAsia="Times New Roman" w:hAnsi="Times New Roman"/>
          <w:sz w:val="24"/>
          <w:szCs w:val="24"/>
        </w:rPr>
        <w:t xml:space="preserve"> covering the amortised cost portfolio</w:t>
      </w:r>
      <w:r w:rsidRPr="00AF54AE">
        <w:rPr>
          <w:rFonts w:ascii="Times New Roman" w:eastAsia="Times New Roman" w:hAnsi="Times New Roman"/>
          <w:sz w:val="24"/>
          <w:szCs w:val="24"/>
        </w:rPr>
        <w:t>:</w:t>
      </w:r>
    </w:p>
    <w:p w14:paraId="1A09625E" w14:textId="699CFB45" w:rsidR="00CC094D" w:rsidRPr="00AF54AE" w:rsidDel="00CC094D" w:rsidRDefault="00C21372" w:rsidP="00980438">
      <w:pPr>
        <w:pStyle w:val="ListParagraph"/>
        <w:numPr>
          <w:ilvl w:val="1"/>
          <w:numId w:val="9"/>
        </w:numPr>
        <w:tabs>
          <w:tab w:val="left" w:pos="567"/>
        </w:tabs>
        <w:spacing w:before="120" w:after="120" w:line="240" w:lineRule="auto"/>
        <w:contextualSpacing w:val="0"/>
        <w:jc w:val="both"/>
        <w:rPr>
          <w:rFonts w:ascii="Times New Roman" w:hAnsi="Times New Roman"/>
          <w:sz w:val="24"/>
          <w:szCs w:val="24"/>
        </w:rPr>
      </w:pPr>
      <w:r w:rsidRPr="00BE72CB" w:rsidDel="00CC094D">
        <w:rPr>
          <w:rFonts w:ascii="Times New Roman" w:eastAsia="Times New Roman" w:hAnsi="Times New Roman"/>
          <w:sz w:val="24"/>
          <w:szCs w:val="24"/>
        </w:rPr>
        <w:t>Country</w:t>
      </w:r>
      <w:r w:rsidR="008F79CA">
        <w:rPr>
          <w:rFonts w:ascii="Times New Roman" w:eastAsia="Times New Roman" w:hAnsi="Times New Roman"/>
          <w:sz w:val="24"/>
          <w:szCs w:val="24"/>
        </w:rPr>
        <w:t xml:space="preserve"> by country</w:t>
      </w:r>
      <w:r w:rsidRPr="00BE72CB" w:rsidDel="00CC094D">
        <w:rPr>
          <w:rFonts w:ascii="Times New Roman" w:eastAsia="Times New Roman" w:hAnsi="Times New Roman"/>
          <w:sz w:val="24"/>
          <w:szCs w:val="24"/>
        </w:rPr>
        <w:t xml:space="preserve"> breakdown</w:t>
      </w:r>
      <w:r w:rsidR="001752EF" w:rsidRPr="00BE72CB" w:rsidDel="00CC094D">
        <w:rPr>
          <w:rFonts w:ascii="Times New Roman" w:eastAsia="Times New Roman" w:hAnsi="Times New Roman"/>
          <w:sz w:val="24"/>
          <w:szCs w:val="24"/>
        </w:rPr>
        <w:t>.</w:t>
      </w:r>
      <w:r w:rsidR="00847AEE" w:rsidDel="00CC094D">
        <w:rPr>
          <w:rFonts w:ascii="Times New Roman" w:eastAsia="Times New Roman" w:hAnsi="Times New Roman"/>
          <w:sz w:val="24"/>
          <w:szCs w:val="24"/>
        </w:rPr>
        <w:t xml:space="preserve"> The reporting of this z-axis is subject to the same </w:t>
      </w:r>
      <w:r w:rsidR="00833AF3" w:rsidDel="00CC094D">
        <w:rPr>
          <w:rFonts w:ascii="Times New Roman" w:eastAsia="Times New Roman" w:hAnsi="Times New Roman"/>
          <w:sz w:val="24"/>
          <w:szCs w:val="24"/>
        </w:rPr>
        <w:t>geographical</w:t>
      </w:r>
      <w:r w:rsidR="00847AEE" w:rsidDel="00CC094D">
        <w:rPr>
          <w:rFonts w:ascii="Times New Roman" w:eastAsia="Times New Roman" w:hAnsi="Times New Roman"/>
          <w:sz w:val="24"/>
          <w:szCs w:val="24"/>
        </w:rPr>
        <w:t xml:space="preserve"> materiality threshold applicable in Finrep.</w:t>
      </w:r>
      <w:r w:rsidR="001752EF" w:rsidRPr="00BE72CB" w:rsidDel="00CC094D">
        <w:rPr>
          <w:rFonts w:ascii="Times New Roman" w:eastAsia="Times New Roman" w:hAnsi="Times New Roman"/>
          <w:sz w:val="24"/>
          <w:szCs w:val="24"/>
        </w:rPr>
        <w:t xml:space="preserve"> </w:t>
      </w:r>
      <w:r w:rsidR="0087242D" w:rsidRPr="0087242D" w:rsidDel="00CC094D">
        <w:rPr>
          <w:rFonts w:ascii="Times New Roman" w:eastAsia="Times New Roman" w:hAnsi="Times New Roman"/>
          <w:sz w:val="24"/>
          <w:szCs w:val="24"/>
        </w:rPr>
        <w:t>Therefore, banks that have more than 10% of exposures as non-domestic will report the template for each of the individual countries, subject to a 1% materiality threshold for each country reported.</w:t>
      </w:r>
      <w:r w:rsidR="001A5CA4" w:rsidDel="00CC094D">
        <w:rPr>
          <w:rFonts w:ascii="Times New Roman" w:eastAsia="Times New Roman" w:hAnsi="Times New Roman"/>
          <w:sz w:val="24"/>
          <w:szCs w:val="24"/>
        </w:rPr>
        <w:t xml:space="preserve"> </w:t>
      </w:r>
    </w:p>
    <w:p w14:paraId="3A6D3588" w14:textId="026AE3F8" w:rsidR="00C21372" w:rsidRPr="00AF54AE" w:rsidRDefault="0098065F" w:rsidP="181AACA3">
      <w:pPr>
        <w:pStyle w:val="ListParagraph"/>
        <w:numPr>
          <w:ilvl w:val="1"/>
          <w:numId w:val="9"/>
        </w:numPr>
        <w:tabs>
          <w:tab w:val="left" w:pos="567"/>
        </w:tabs>
        <w:spacing w:before="120" w:after="120" w:line="240" w:lineRule="auto"/>
        <w:contextualSpacing w:val="0"/>
        <w:jc w:val="both"/>
        <w:rPr>
          <w:rFonts w:ascii="Times New Roman" w:eastAsia="Times New Roman" w:hAnsi="Times New Roman"/>
          <w:sz w:val="24"/>
          <w:szCs w:val="24"/>
        </w:rPr>
      </w:pPr>
      <w:r w:rsidRPr="00AF54AE">
        <w:rPr>
          <w:rFonts w:ascii="Times New Roman" w:eastAsia="Times New Roman" w:hAnsi="Times New Roman"/>
          <w:sz w:val="24"/>
          <w:szCs w:val="24"/>
        </w:rPr>
        <w:t>All other exposures t</w:t>
      </w:r>
      <w:r w:rsidR="00C21372" w:rsidRPr="00AF54AE">
        <w:rPr>
          <w:rFonts w:ascii="Times New Roman" w:eastAsia="Times New Roman" w:hAnsi="Times New Roman"/>
          <w:sz w:val="24"/>
          <w:szCs w:val="24"/>
        </w:rPr>
        <w:t>o non-material countr</w:t>
      </w:r>
      <w:r w:rsidR="005075A8">
        <w:rPr>
          <w:rFonts w:ascii="Times New Roman" w:eastAsia="Times New Roman" w:hAnsi="Times New Roman"/>
          <w:sz w:val="24"/>
          <w:szCs w:val="24"/>
        </w:rPr>
        <w:t>ies</w:t>
      </w:r>
      <w:r w:rsidR="004C2B34" w:rsidRPr="00AF54AE">
        <w:rPr>
          <w:rFonts w:ascii="Times New Roman" w:eastAsia="Times New Roman" w:hAnsi="Times New Roman"/>
          <w:sz w:val="24"/>
          <w:szCs w:val="24"/>
        </w:rPr>
        <w:t xml:space="preserve">, </w:t>
      </w:r>
      <w:r w:rsidR="005075A8" w:rsidRPr="00AF54AE">
        <w:rPr>
          <w:rFonts w:ascii="Times New Roman" w:eastAsia="Times New Roman" w:hAnsi="Times New Roman"/>
          <w:sz w:val="24"/>
          <w:szCs w:val="24"/>
        </w:rPr>
        <w:t>sh</w:t>
      </w:r>
      <w:r w:rsidR="005075A8">
        <w:rPr>
          <w:rFonts w:ascii="Times New Roman" w:eastAsia="Times New Roman" w:hAnsi="Times New Roman"/>
          <w:sz w:val="24"/>
          <w:szCs w:val="24"/>
        </w:rPr>
        <w:t>all</w:t>
      </w:r>
      <w:r w:rsidR="005075A8" w:rsidRPr="00AF54AE">
        <w:rPr>
          <w:rFonts w:ascii="Times New Roman" w:eastAsia="Times New Roman" w:hAnsi="Times New Roman"/>
          <w:sz w:val="24"/>
          <w:szCs w:val="24"/>
        </w:rPr>
        <w:t xml:space="preserve"> </w:t>
      </w:r>
      <w:r w:rsidR="004C2B34" w:rsidRPr="00AF54AE">
        <w:rPr>
          <w:rFonts w:ascii="Times New Roman" w:eastAsia="Times New Roman" w:hAnsi="Times New Roman"/>
          <w:sz w:val="24"/>
          <w:szCs w:val="24"/>
        </w:rPr>
        <w:t xml:space="preserve">be reported in the ‘Other </w:t>
      </w:r>
      <w:r w:rsidR="00C21372" w:rsidRPr="00AF54AE">
        <w:rPr>
          <w:rFonts w:ascii="Times New Roman" w:eastAsia="Times New Roman" w:hAnsi="Times New Roman"/>
          <w:sz w:val="24"/>
          <w:szCs w:val="24"/>
        </w:rPr>
        <w:t>countries</w:t>
      </w:r>
      <w:r w:rsidR="004C2B34" w:rsidRPr="00AF54AE">
        <w:rPr>
          <w:rFonts w:ascii="Times New Roman" w:eastAsia="Times New Roman" w:hAnsi="Times New Roman"/>
          <w:sz w:val="24"/>
          <w:szCs w:val="24"/>
        </w:rPr>
        <w:t xml:space="preserve">’ template. </w:t>
      </w:r>
      <w:r w:rsidR="001A5CA4" w:rsidRPr="00AF54AE">
        <w:rPr>
          <w:rFonts w:ascii="Times New Roman" w:eastAsia="Times New Roman" w:hAnsi="Times New Roman"/>
          <w:sz w:val="24"/>
          <w:szCs w:val="24"/>
        </w:rPr>
        <w:t xml:space="preserve"> </w:t>
      </w:r>
      <w:r w:rsidR="005075A8">
        <w:rPr>
          <w:rFonts w:ascii="Times New Roman" w:eastAsia="Times New Roman" w:hAnsi="Times New Roman"/>
          <w:sz w:val="24"/>
          <w:szCs w:val="24"/>
        </w:rPr>
        <w:t>I</w:t>
      </w:r>
      <w:r w:rsidR="001A5CA4">
        <w:rPr>
          <w:rFonts w:ascii="Times New Roman" w:eastAsia="Times New Roman" w:hAnsi="Times New Roman"/>
          <w:sz w:val="24"/>
          <w:szCs w:val="24"/>
        </w:rPr>
        <w:t xml:space="preserve">nstitutions shall report </w:t>
      </w:r>
      <w:r w:rsidR="009103C0">
        <w:rPr>
          <w:rFonts w:ascii="Times New Roman" w:eastAsia="Times New Roman" w:hAnsi="Times New Roman"/>
          <w:sz w:val="24"/>
          <w:szCs w:val="24"/>
        </w:rPr>
        <w:t xml:space="preserve">their domestic exposures in </w:t>
      </w:r>
      <w:r w:rsidR="007A6494">
        <w:rPr>
          <w:rFonts w:ascii="Times New Roman" w:eastAsia="Times New Roman" w:hAnsi="Times New Roman"/>
          <w:sz w:val="24"/>
          <w:szCs w:val="24"/>
        </w:rPr>
        <w:t xml:space="preserve">the </w:t>
      </w:r>
      <w:r w:rsidR="001A5CA4">
        <w:rPr>
          <w:rFonts w:ascii="Times New Roman" w:eastAsia="Times New Roman" w:hAnsi="Times New Roman"/>
          <w:sz w:val="24"/>
          <w:szCs w:val="24"/>
        </w:rPr>
        <w:t xml:space="preserve">respective </w:t>
      </w:r>
      <w:r w:rsidR="009B3B9D">
        <w:rPr>
          <w:rFonts w:ascii="Times New Roman" w:eastAsia="Times New Roman" w:hAnsi="Times New Roman"/>
          <w:sz w:val="24"/>
          <w:szCs w:val="24"/>
        </w:rPr>
        <w:t xml:space="preserve">domestic </w:t>
      </w:r>
      <w:r w:rsidR="008108BF">
        <w:rPr>
          <w:rFonts w:ascii="Times New Roman" w:eastAsia="Times New Roman" w:hAnsi="Times New Roman"/>
          <w:sz w:val="24"/>
          <w:szCs w:val="24"/>
        </w:rPr>
        <w:t>country</w:t>
      </w:r>
      <w:r w:rsidR="00BE7BB2">
        <w:rPr>
          <w:rFonts w:ascii="Times New Roman" w:eastAsia="Times New Roman" w:hAnsi="Times New Roman"/>
          <w:sz w:val="24"/>
          <w:szCs w:val="24"/>
        </w:rPr>
        <w:t xml:space="preserve"> </w:t>
      </w:r>
      <w:r w:rsidR="00581F9B">
        <w:rPr>
          <w:rFonts w:ascii="Times New Roman" w:eastAsia="Times New Roman" w:hAnsi="Times New Roman"/>
          <w:sz w:val="24"/>
          <w:szCs w:val="24"/>
        </w:rPr>
        <w:t xml:space="preserve">of the institution </w:t>
      </w:r>
      <w:r w:rsidR="00BE7BB2">
        <w:rPr>
          <w:rFonts w:ascii="Times New Roman" w:eastAsia="Times New Roman" w:hAnsi="Times New Roman"/>
          <w:sz w:val="24"/>
          <w:szCs w:val="24"/>
        </w:rPr>
        <w:t xml:space="preserve">and </w:t>
      </w:r>
      <w:r w:rsidR="003C79A8">
        <w:rPr>
          <w:rFonts w:ascii="Times New Roman" w:eastAsia="Times New Roman" w:hAnsi="Times New Roman"/>
          <w:sz w:val="24"/>
          <w:szCs w:val="24"/>
        </w:rPr>
        <w:t>all</w:t>
      </w:r>
      <w:r w:rsidR="00BE7BB2">
        <w:rPr>
          <w:rFonts w:ascii="Times New Roman" w:eastAsia="Times New Roman" w:hAnsi="Times New Roman"/>
          <w:sz w:val="24"/>
          <w:szCs w:val="24"/>
        </w:rPr>
        <w:t xml:space="preserve"> n</w:t>
      </w:r>
      <w:r w:rsidR="00A66916">
        <w:rPr>
          <w:rFonts w:ascii="Times New Roman" w:eastAsia="Times New Roman" w:hAnsi="Times New Roman"/>
          <w:sz w:val="24"/>
          <w:szCs w:val="24"/>
        </w:rPr>
        <w:t>on</w:t>
      </w:r>
      <w:r w:rsidR="00E07E8A">
        <w:rPr>
          <w:rFonts w:ascii="Times New Roman" w:eastAsia="Times New Roman" w:hAnsi="Times New Roman"/>
          <w:sz w:val="24"/>
          <w:szCs w:val="24"/>
        </w:rPr>
        <w:t>-</w:t>
      </w:r>
      <w:r w:rsidR="00A66916">
        <w:rPr>
          <w:rFonts w:ascii="Times New Roman" w:eastAsia="Times New Roman" w:hAnsi="Times New Roman"/>
          <w:sz w:val="24"/>
          <w:szCs w:val="24"/>
        </w:rPr>
        <w:t>domestic expo</w:t>
      </w:r>
      <w:r w:rsidR="00E07E8A">
        <w:rPr>
          <w:rFonts w:ascii="Times New Roman" w:eastAsia="Times New Roman" w:hAnsi="Times New Roman"/>
          <w:sz w:val="24"/>
          <w:szCs w:val="24"/>
        </w:rPr>
        <w:t>sures in the ‘</w:t>
      </w:r>
      <w:r w:rsidR="00E07E8A" w:rsidRPr="330DCF24">
        <w:rPr>
          <w:rFonts w:ascii="Times New Roman" w:eastAsia="Times New Roman" w:hAnsi="Times New Roman"/>
          <w:sz w:val="24"/>
          <w:szCs w:val="24"/>
        </w:rPr>
        <w:t>Other</w:t>
      </w:r>
      <w:r w:rsidR="005E6F3E">
        <w:rPr>
          <w:rFonts w:ascii="Times New Roman" w:eastAsia="Times New Roman" w:hAnsi="Times New Roman"/>
          <w:sz w:val="24"/>
          <w:szCs w:val="24"/>
        </w:rPr>
        <w:t xml:space="preserve"> countries</w:t>
      </w:r>
      <w:r w:rsidR="002A5934">
        <w:rPr>
          <w:rFonts w:ascii="Times New Roman" w:eastAsia="Times New Roman" w:hAnsi="Times New Roman"/>
          <w:sz w:val="24"/>
          <w:szCs w:val="24"/>
        </w:rPr>
        <w:t>’ template.</w:t>
      </w:r>
    </w:p>
    <w:p w14:paraId="335898BF" w14:textId="59B84223" w:rsidR="00D97BA2" w:rsidRPr="00AF54AE" w:rsidRDefault="00D5147E" w:rsidP="00AF54AE">
      <w:pPr>
        <w:pStyle w:val="ListParagraph"/>
        <w:numPr>
          <w:ilvl w:val="0"/>
          <w:numId w:val="6"/>
        </w:numPr>
        <w:tabs>
          <w:tab w:val="left" w:pos="567"/>
        </w:tabs>
        <w:spacing w:before="120" w:after="120" w:line="240" w:lineRule="auto"/>
        <w:ind w:left="900"/>
        <w:contextualSpacing w:val="0"/>
        <w:jc w:val="both"/>
        <w:rPr>
          <w:rFonts w:ascii="Times New Roman" w:hAnsi="Times New Roman"/>
          <w:b/>
          <w:bCs/>
          <w:sz w:val="24"/>
          <w:szCs w:val="24"/>
        </w:rPr>
      </w:pPr>
      <w:r w:rsidRPr="00D97BA2">
        <w:rPr>
          <w:rFonts w:ascii="Times New Roman" w:hAnsi="Times New Roman"/>
          <w:b/>
          <w:bCs/>
          <w:sz w:val="24"/>
          <w:szCs w:val="24"/>
        </w:rPr>
        <w:t xml:space="preserve"> In the rows,</w:t>
      </w:r>
      <w:r w:rsidRPr="00AF54AE">
        <w:rPr>
          <w:rFonts w:ascii="Times New Roman" w:hAnsi="Times New Roman"/>
          <w:b/>
          <w:bCs/>
          <w:sz w:val="24"/>
          <w:szCs w:val="24"/>
        </w:rPr>
        <w:t xml:space="preserve"> </w:t>
      </w:r>
      <w:r w:rsidRPr="00FD02EF">
        <w:rPr>
          <w:rFonts w:ascii="Times New Roman" w:hAnsi="Times New Roman"/>
          <w:sz w:val="24"/>
          <w:szCs w:val="24"/>
        </w:rPr>
        <w:t xml:space="preserve">the relevant sectors of the counterparty will be </w:t>
      </w:r>
      <w:r w:rsidR="00C45BF1">
        <w:rPr>
          <w:rFonts w:ascii="Times New Roman" w:hAnsi="Times New Roman"/>
          <w:sz w:val="24"/>
          <w:szCs w:val="24"/>
        </w:rPr>
        <w:t>reported</w:t>
      </w:r>
      <w:r w:rsidR="00C45BF1" w:rsidRPr="00FD02EF">
        <w:rPr>
          <w:rFonts w:ascii="Times New Roman" w:hAnsi="Times New Roman"/>
          <w:sz w:val="24"/>
          <w:szCs w:val="24"/>
        </w:rPr>
        <w:t xml:space="preserve"> </w:t>
      </w:r>
      <w:r w:rsidRPr="00FD02EF">
        <w:rPr>
          <w:rFonts w:ascii="Times New Roman" w:hAnsi="Times New Roman"/>
          <w:sz w:val="24"/>
          <w:szCs w:val="24"/>
        </w:rPr>
        <w:t>following the NACE code classification</w:t>
      </w:r>
      <w:r w:rsidR="008B0818" w:rsidRPr="00FD02EF">
        <w:rPr>
          <w:rFonts w:ascii="Times New Roman" w:hAnsi="Times New Roman"/>
          <w:sz w:val="24"/>
          <w:szCs w:val="24"/>
        </w:rPr>
        <w:t xml:space="preserve"> and </w:t>
      </w:r>
      <w:r w:rsidR="004952D4" w:rsidRPr="00FD02EF">
        <w:rPr>
          <w:rFonts w:ascii="Times New Roman" w:hAnsi="Times New Roman"/>
          <w:sz w:val="24"/>
          <w:szCs w:val="24"/>
        </w:rPr>
        <w:t xml:space="preserve">should following the </w:t>
      </w:r>
      <w:r w:rsidR="00D33B87" w:rsidRPr="00FD02EF">
        <w:rPr>
          <w:rFonts w:ascii="Times New Roman" w:hAnsi="Times New Roman"/>
          <w:sz w:val="24"/>
          <w:szCs w:val="24"/>
        </w:rPr>
        <w:t xml:space="preserve">same </w:t>
      </w:r>
      <w:r w:rsidR="004952D4" w:rsidRPr="00FD02EF">
        <w:rPr>
          <w:rFonts w:ascii="Times New Roman" w:hAnsi="Times New Roman"/>
          <w:sz w:val="24"/>
          <w:szCs w:val="24"/>
        </w:rPr>
        <w:t>sectoral methodology</w:t>
      </w:r>
      <w:r w:rsidR="00A3568D" w:rsidRPr="00FD02EF">
        <w:rPr>
          <w:rFonts w:ascii="Times New Roman" w:hAnsi="Times New Roman"/>
          <w:sz w:val="24"/>
          <w:szCs w:val="24"/>
        </w:rPr>
        <w:t xml:space="preserve"> implemented in </w:t>
      </w:r>
      <w:r w:rsidR="00D97BA2" w:rsidRPr="00FD02EF">
        <w:rPr>
          <w:rFonts w:ascii="Times New Roman" w:hAnsi="Times New Roman"/>
          <w:sz w:val="24"/>
          <w:szCs w:val="24"/>
        </w:rPr>
        <w:t>ESG disclosures.</w:t>
      </w:r>
      <w:r w:rsidR="00A3568D" w:rsidRPr="00FD02EF">
        <w:rPr>
          <w:rFonts w:ascii="Times New Roman" w:hAnsi="Times New Roman"/>
          <w:sz w:val="24"/>
          <w:szCs w:val="24"/>
        </w:rPr>
        <w:t xml:space="preserve"> </w:t>
      </w:r>
    </w:p>
    <w:p w14:paraId="0CA85110" w14:textId="0CCE1688" w:rsidR="00137228" w:rsidRPr="00D97BA2" w:rsidRDefault="00137228" w:rsidP="009133CD">
      <w:pPr>
        <w:pStyle w:val="ListParagraph"/>
        <w:numPr>
          <w:ilvl w:val="2"/>
          <w:numId w:val="34"/>
        </w:numPr>
        <w:tabs>
          <w:tab w:val="left" w:pos="567"/>
        </w:tabs>
        <w:spacing w:before="120" w:after="120" w:line="240" w:lineRule="auto"/>
        <w:ind w:left="1440"/>
        <w:contextualSpacing w:val="0"/>
        <w:jc w:val="both"/>
        <w:rPr>
          <w:rFonts w:ascii="Times New Roman" w:hAnsi="Times New Roman"/>
          <w:sz w:val="24"/>
          <w:szCs w:val="24"/>
        </w:rPr>
      </w:pPr>
      <w:r w:rsidRPr="00D97BA2">
        <w:rPr>
          <w:rFonts w:ascii="Times New Roman" w:hAnsi="Times New Roman"/>
          <w:sz w:val="24"/>
          <w:szCs w:val="24"/>
        </w:rPr>
        <w:t>The row 0015</w:t>
      </w:r>
      <w:r w:rsidR="0056423E" w:rsidRPr="00D97BA2">
        <w:rPr>
          <w:rFonts w:ascii="Times New Roman" w:hAnsi="Times New Roman"/>
          <w:sz w:val="24"/>
          <w:szCs w:val="24"/>
        </w:rPr>
        <w:t xml:space="preserve">, </w:t>
      </w:r>
      <w:r w:rsidR="0056423E" w:rsidRPr="009133CD">
        <w:rPr>
          <w:rFonts w:ascii="Times New Roman" w:hAnsi="Times New Roman"/>
          <w:i/>
          <w:iCs/>
          <w:sz w:val="24"/>
          <w:szCs w:val="24"/>
        </w:rPr>
        <w:t xml:space="preserve">‘Of which: </w:t>
      </w:r>
      <w:r w:rsidR="00D46F6A">
        <w:rPr>
          <w:rFonts w:ascii="Times New Roman" w:hAnsi="Times New Roman"/>
          <w:i/>
          <w:iCs/>
          <w:sz w:val="24"/>
          <w:szCs w:val="24"/>
        </w:rPr>
        <w:t>E</w:t>
      </w:r>
      <w:r w:rsidR="0056423E" w:rsidRPr="009133CD">
        <w:rPr>
          <w:rFonts w:ascii="Times New Roman" w:hAnsi="Times New Roman"/>
          <w:i/>
          <w:iCs/>
          <w:sz w:val="24"/>
          <w:szCs w:val="24"/>
        </w:rPr>
        <w:t>xposures from fossil fuel sectors’</w:t>
      </w:r>
      <w:r w:rsidR="0056423E" w:rsidRPr="00D97BA2">
        <w:rPr>
          <w:rFonts w:ascii="Times New Roman" w:hAnsi="Times New Roman"/>
          <w:sz w:val="24"/>
          <w:szCs w:val="24"/>
        </w:rPr>
        <w:t xml:space="preserve">, </w:t>
      </w:r>
      <w:r w:rsidRPr="00D97BA2">
        <w:rPr>
          <w:rFonts w:ascii="Times New Roman" w:hAnsi="Times New Roman"/>
          <w:sz w:val="24"/>
          <w:szCs w:val="24"/>
        </w:rPr>
        <w:t>aggregates the information on fossil fuel sectors (</w:t>
      </w:r>
      <w:r w:rsidR="00134305" w:rsidRPr="00D97BA2">
        <w:rPr>
          <w:rFonts w:ascii="Times New Roman" w:hAnsi="Times New Roman"/>
          <w:sz w:val="24"/>
          <w:szCs w:val="24"/>
        </w:rPr>
        <w:t xml:space="preserve">aggregating the </w:t>
      </w:r>
      <w:r w:rsidR="00492EE8" w:rsidRPr="00D97BA2">
        <w:rPr>
          <w:rFonts w:ascii="Times New Roman" w:hAnsi="Times New Roman"/>
          <w:sz w:val="24"/>
          <w:szCs w:val="24"/>
        </w:rPr>
        <w:t xml:space="preserve">information from </w:t>
      </w:r>
      <w:r w:rsidRPr="00D97BA2">
        <w:rPr>
          <w:rFonts w:ascii="Times New Roman" w:hAnsi="Times New Roman"/>
          <w:sz w:val="24"/>
          <w:szCs w:val="24"/>
        </w:rPr>
        <w:t>rows</w:t>
      </w:r>
      <w:r w:rsidR="00900B61" w:rsidRPr="00D97BA2">
        <w:rPr>
          <w:rFonts w:ascii="Times New Roman" w:hAnsi="Times New Roman"/>
          <w:sz w:val="24"/>
          <w:szCs w:val="24"/>
        </w:rPr>
        <w:t xml:space="preserve">: 0070, 0080, 0100, 0110, 0240, 0430, </w:t>
      </w:r>
      <w:r w:rsidR="00465FA3" w:rsidRPr="00D97BA2">
        <w:rPr>
          <w:rFonts w:ascii="Times New Roman" w:hAnsi="Times New Roman"/>
          <w:sz w:val="24"/>
          <w:szCs w:val="24"/>
        </w:rPr>
        <w:t>0450, 0520, 0540, 0570).</w:t>
      </w:r>
    </w:p>
    <w:p w14:paraId="3A0F10A5" w14:textId="651BB639" w:rsidR="00C75919" w:rsidRDefault="00C75919" w:rsidP="009133CD">
      <w:pPr>
        <w:pStyle w:val="ListParagraph"/>
        <w:numPr>
          <w:ilvl w:val="2"/>
          <w:numId w:val="34"/>
        </w:numPr>
        <w:tabs>
          <w:tab w:val="left" w:pos="567"/>
        </w:tabs>
        <w:spacing w:before="120" w:after="120" w:line="240" w:lineRule="auto"/>
        <w:ind w:left="1440"/>
        <w:contextualSpacing w:val="0"/>
        <w:jc w:val="both"/>
        <w:rPr>
          <w:rFonts w:ascii="Times New Roman" w:hAnsi="Times New Roman"/>
          <w:sz w:val="24"/>
          <w:szCs w:val="24"/>
        </w:rPr>
      </w:pPr>
      <w:r w:rsidRPr="00BE72CB">
        <w:rPr>
          <w:rFonts w:ascii="Times New Roman" w:hAnsi="Times New Roman"/>
          <w:sz w:val="24"/>
          <w:szCs w:val="24"/>
        </w:rPr>
        <w:t>For the rows re</w:t>
      </w:r>
      <w:r w:rsidR="008F491B" w:rsidRPr="00BE72CB">
        <w:rPr>
          <w:rFonts w:ascii="Times New Roman" w:hAnsi="Times New Roman"/>
          <w:sz w:val="24"/>
          <w:szCs w:val="24"/>
        </w:rPr>
        <w:t>lated</w:t>
      </w:r>
      <w:r w:rsidRPr="00BE72CB">
        <w:rPr>
          <w:rFonts w:ascii="Times New Roman" w:hAnsi="Times New Roman"/>
          <w:sz w:val="24"/>
          <w:szCs w:val="24"/>
        </w:rPr>
        <w:t xml:space="preserve"> to </w:t>
      </w:r>
      <w:r w:rsidR="00671A9E" w:rsidRPr="009133CD">
        <w:rPr>
          <w:rFonts w:ascii="Times New Roman" w:hAnsi="Times New Roman"/>
          <w:i/>
          <w:iCs/>
          <w:sz w:val="24"/>
          <w:szCs w:val="24"/>
        </w:rPr>
        <w:t>‘</w:t>
      </w:r>
      <w:r w:rsidRPr="009133CD">
        <w:rPr>
          <w:rFonts w:ascii="Times New Roman" w:hAnsi="Times New Roman"/>
          <w:i/>
          <w:iCs/>
          <w:sz w:val="24"/>
          <w:szCs w:val="24"/>
        </w:rPr>
        <w:t>Households</w:t>
      </w:r>
      <w:r w:rsidR="00671A9E" w:rsidRPr="009133CD">
        <w:rPr>
          <w:rFonts w:ascii="Times New Roman" w:hAnsi="Times New Roman"/>
          <w:i/>
          <w:iCs/>
          <w:sz w:val="24"/>
          <w:szCs w:val="24"/>
        </w:rPr>
        <w:t>’</w:t>
      </w:r>
      <w:r w:rsidRPr="00BE72CB">
        <w:rPr>
          <w:rFonts w:ascii="Times New Roman" w:hAnsi="Times New Roman"/>
          <w:sz w:val="24"/>
          <w:szCs w:val="24"/>
        </w:rPr>
        <w:t xml:space="preserve"> info</w:t>
      </w:r>
      <w:r w:rsidR="00E05F75" w:rsidRPr="00BE72CB">
        <w:rPr>
          <w:rFonts w:ascii="Times New Roman" w:hAnsi="Times New Roman"/>
          <w:sz w:val="24"/>
          <w:szCs w:val="24"/>
        </w:rPr>
        <w:t>r</w:t>
      </w:r>
      <w:r w:rsidRPr="00BE72CB">
        <w:rPr>
          <w:rFonts w:ascii="Times New Roman" w:hAnsi="Times New Roman"/>
          <w:sz w:val="24"/>
          <w:szCs w:val="24"/>
        </w:rPr>
        <w:t xml:space="preserve">mation (rows </w:t>
      </w:r>
      <w:r w:rsidR="00E05F75" w:rsidRPr="00BE72CB">
        <w:rPr>
          <w:rFonts w:ascii="Times New Roman" w:hAnsi="Times New Roman"/>
          <w:sz w:val="24"/>
          <w:szCs w:val="24"/>
        </w:rPr>
        <w:t>08</w:t>
      </w:r>
      <w:r w:rsidR="00671A9E">
        <w:rPr>
          <w:rFonts w:ascii="Times New Roman" w:hAnsi="Times New Roman"/>
          <w:sz w:val="24"/>
          <w:szCs w:val="24"/>
        </w:rPr>
        <w:t>0</w:t>
      </w:r>
      <w:r w:rsidR="00E05F75" w:rsidRPr="00BE72CB">
        <w:rPr>
          <w:rFonts w:ascii="Times New Roman" w:hAnsi="Times New Roman"/>
          <w:sz w:val="24"/>
          <w:szCs w:val="24"/>
        </w:rPr>
        <w:t>0-08</w:t>
      </w:r>
      <w:r w:rsidR="00671A9E">
        <w:rPr>
          <w:rFonts w:ascii="Times New Roman" w:hAnsi="Times New Roman"/>
          <w:sz w:val="24"/>
          <w:szCs w:val="24"/>
        </w:rPr>
        <w:t>5</w:t>
      </w:r>
      <w:r w:rsidR="00E05F75" w:rsidRPr="00BE72CB">
        <w:rPr>
          <w:rFonts w:ascii="Times New Roman" w:hAnsi="Times New Roman"/>
          <w:sz w:val="24"/>
          <w:szCs w:val="24"/>
        </w:rPr>
        <w:t>0), institutions shall</w:t>
      </w:r>
      <w:r w:rsidR="00F7135B" w:rsidRPr="00BE72CB">
        <w:rPr>
          <w:rFonts w:ascii="Times New Roman" w:hAnsi="Times New Roman"/>
          <w:sz w:val="24"/>
          <w:szCs w:val="24"/>
        </w:rPr>
        <w:t xml:space="preserve"> refer to the instructions of template </w:t>
      </w:r>
      <w:r w:rsidR="00071DA7" w:rsidRPr="00BE72CB">
        <w:rPr>
          <w:rFonts w:ascii="Times New Roman" w:hAnsi="Times New Roman"/>
          <w:sz w:val="24"/>
          <w:szCs w:val="24"/>
        </w:rPr>
        <w:t xml:space="preserve">required in ‘EU - CRFR3: Climate change transition risk: Loans collateralised by immovable property, energy performance of the collateral’, as set out in Annex </w:t>
      </w:r>
      <w:r w:rsidR="00071DA7" w:rsidRPr="5A6FC464">
        <w:rPr>
          <w:rFonts w:ascii="Times New Roman" w:hAnsi="Times New Roman"/>
          <w:sz w:val="24"/>
          <w:szCs w:val="24"/>
        </w:rPr>
        <w:t>X</w:t>
      </w:r>
      <w:r w:rsidR="7889FB5E" w:rsidRPr="5A6FC464">
        <w:rPr>
          <w:rFonts w:ascii="Times New Roman" w:hAnsi="Times New Roman"/>
          <w:sz w:val="24"/>
          <w:szCs w:val="24"/>
        </w:rPr>
        <w:t>L</w:t>
      </w:r>
      <w:r w:rsidR="00071DA7" w:rsidRPr="00BE72CB">
        <w:rPr>
          <w:rFonts w:ascii="Times New Roman" w:hAnsi="Times New Roman"/>
          <w:sz w:val="24"/>
          <w:szCs w:val="24"/>
        </w:rPr>
        <w:t xml:space="preserve"> of Implementing Regulation 2024/3172. </w:t>
      </w:r>
    </w:p>
    <w:p w14:paraId="49BC029E" w14:textId="7EE21F9D" w:rsidR="00E13EBE" w:rsidRPr="009133CD" w:rsidRDefault="00B46542" w:rsidP="009133CD">
      <w:pPr>
        <w:pStyle w:val="ListParagraph"/>
        <w:numPr>
          <w:ilvl w:val="2"/>
          <w:numId w:val="34"/>
        </w:numPr>
        <w:tabs>
          <w:tab w:val="left" w:pos="567"/>
        </w:tabs>
        <w:spacing w:before="120" w:after="120" w:line="240" w:lineRule="auto"/>
        <w:ind w:left="1440"/>
        <w:contextualSpacing w:val="0"/>
        <w:jc w:val="both"/>
        <w:rPr>
          <w:rFonts w:ascii="Times New Roman" w:hAnsi="Times New Roman"/>
          <w:sz w:val="24"/>
          <w:szCs w:val="24"/>
        </w:rPr>
      </w:pPr>
      <w:r w:rsidRPr="00B46542">
        <w:rPr>
          <w:rFonts w:ascii="Times New Roman" w:hAnsi="Times New Roman"/>
          <w:sz w:val="24"/>
          <w:szCs w:val="24"/>
        </w:rPr>
        <w:t>The</w:t>
      </w:r>
      <w:r>
        <w:rPr>
          <w:rFonts w:ascii="Times New Roman" w:hAnsi="Times New Roman"/>
          <w:sz w:val="24"/>
          <w:szCs w:val="24"/>
        </w:rPr>
        <w:t xml:space="preserve"> row 0860 on</w:t>
      </w:r>
      <w:r w:rsidR="00E13EBE" w:rsidRPr="009133CD">
        <w:rPr>
          <w:rFonts w:ascii="Times New Roman" w:hAnsi="Times New Roman"/>
          <w:sz w:val="24"/>
          <w:szCs w:val="24"/>
        </w:rPr>
        <w:t xml:space="preserve"> "</w:t>
      </w:r>
      <w:r w:rsidR="00E13EBE" w:rsidRPr="009133CD">
        <w:rPr>
          <w:rFonts w:ascii="Times New Roman" w:hAnsi="Times New Roman"/>
          <w:i/>
          <w:iCs/>
          <w:sz w:val="24"/>
          <w:szCs w:val="24"/>
        </w:rPr>
        <w:t>Coverage of portfolio with use of proxies (according to PCAF) (in %)</w:t>
      </w:r>
      <w:r w:rsidR="00E13EBE" w:rsidRPr="009133CD">
        <w:rPr>
          <w:rFonts w:ascii="Times New Roman" w:hAnsi="Times New Roman"/>
          <w:sz w:val="24"/>
          <w:szCs w:val="24"/>
        </w:rPr>
        <w:t xml:space="preserve">" should be provided in %. </w:t>
      </w:r>
      <w:r w:rsidR="007E5F7C" w:rsidRPr="00551E07">
        <w:rPr>
          <w:rFonts w:ascii="Times New Roman" w:hAnsi="Times New Roman"/>
          <w:sz w:val="24"/>
          <w:szCs w:val="24"/>
        </w:rPr>
        <w:t>Institutions shall follow the PCAF data‑quality hierarchy when classifying emissions data. A proxy refers to any emissions value not directly reported by the counterparty, including data derived from third‑party sources, estimated or modelled values, sector averages, and hybrid calculations. If an emissions figure combines reported and estimated elements, the entire value shall be treated as a proxy</w:t>
      </w:r>
      <w:r w:rsidR="00C63638">
        <w:rPr>
          <w:rFonts w:ascii="Times New Roman" w:hAnsi="Times New Roman"/>
          <w:sz w:val="24"/>
          <w:szCs w:val="24"/>
        </w:rPr>
        <w:t>.</w:t>
      </w:r>
      <w:r w:rsidR="00E13EBE" w:rsidRPr="009133CD">
        <w:rPr>
          <w:rFonts w:ascii="Times New Roman" w:hAnsi="Times New Roman"/>
          <w:sz w:val="24"/>
          <w:szCs w:val="24"/>
        </w:rPr>
        <w:t xml:space="preserve"> </w:t>
      </w:r>
    </w:p>
    <w:p w14:paraId="74F486F2" w14:textId="77777777" w:rsidR="008A2367" w:rsidRPr="00BE72CB" w:rsidRDefault="008A2367" w:rsidP="00166EBA">
      <w:pPr>
        <w:pStyle w:val="ListParagraph"/>
        <w:tabs>
          <w:tab w:val="left" w:pos="567"/>
        </w:tabs>
        <w:spacing w:before="120" w:after="120" w:line="240" w:lineRule="auto"/>
        <w:ind w:left="1440"/>
        <w:contextualSpacing w:val="0"/>
        <w:jc w:val="both"/>
        <w:rPr>
          <w:rFonts w:ascii="Times New Roman" w:hAnsi="Times New Roman"/>
          <w:sz w:val="24"/>
          <w:szCs w:val="24"/>
        </w:rPr>
      </w:pPr>
    </w:p>
    <w:p w14:paraId="3FE87F70" w14:textId="77777777" w:rsidR="0025174C" w:rsidRPr="00BA41B5" w:rsidRDefault="000A7ABA" w:rsidP="00C91D04">
      <w:pPr>
        <w:pStyle w:val="ListParagraph"/>
        <w:numPr>
          <w:ilvl w:val="0"/>
          <w:numId w:val="6"/>
        </w:numPr>
        <w:tabs>
          <w:tab w:val="left" w:pos="567"/>
        </w:tabs>
        <w:spacing w:before="120" w:after="120" w:line="240" w:lineRule="auto"/>
        <w:ind w:left="900"/>
        <w:contextualSpacing w:val="0"/>
        <w:jc w:val="both"/>
        <w:rPr>
          <w:rFonts w:ascii="Times New Roman" w:hAnsi="Times New Roman"/>
          <w:b/>
          <w:bCs/>
          <w:sz w:val="24"/>
          <w:szCs w:val="24"/>
        </w:rPr>
      </w:pPr>
      <w:r w:rsidRPr="00BA41B5">
        <w:rPr>
          <w:rFonts w:ascii="Times New Roman" w:hAnsi="Times New Roman"/>
          <w:b/>
          <w:bCs/>
          <w:sz w:val="24"/>
          <w:szCs w:val="24"/>
        </w:rPr>
        <w:t>In the columns</w:t>
      </w:r>
      <w:r w:rsidR="0025174C" w:rsidRPr="00BA41B5">
        <w:rPr>
          <w:rFonts w:ascii="Times New Roman" w:hAnsi="Times New Roman"/>
          <w:b/>
          <w:bCs/>
          <w:sz w:val="24"/>
          <w:szCs w:val="24"/>
        </w:rPr>
        <w:t>:</w:t>
      </w:r>
    </w:p>
    <w:p w14:paraId="439213D2" w14:textId="43E3BE66" w:rsidR="008F491B" w:rsidRPr="009133CD" w:rsidRDefault="006009AC" w:rsidP="009133CD">
      <w:pPr>
        <w:pStyle w:val="ListParagraph"/>
        <w:numPr>
          <w:ilvl w:val="0"/>
          <w:numId w:val="31"/>
        </w:numPr>
        <w:tabs>
          <w:tab w:val="left" w:pos="567"/>
          <w:tab w:val="left" w:pos="1440"/>
        </w:tabs>
        <w:spacing w:before="120" w:after="120" w:line="240" w:lineRule="auto"/>
        <w:ind w:left="1440"/>
        <w:contextualSpacing w:val="0"/>
        <w:jc w:val="both"/>
        <w:rPr>
          <w:rFonts w:ascii="Times New Roman" w:eastAsia="Times New Roman" w:hAnsi="Times New Roman" w:cs="Times New Roman"/>
          <w:sz w:val="24"/>
          <w:szCs w:val="24"/>
          <w:u w:val="single"/>
        </w:rPr>
      </w:pPr>
      <w:r w:rsidRPr="00E13EBE">
        <w:rPr>
          <w:rFonts w:ascii="Times New Roman" w:eastAsiaTheme="minorEastAsia" w:hAnsi="Times New Roman"/>
          <w:sz w:val="24"/>
          <w:szCs w:val="24"/>
        </w:rPr>
        <w:t xml:space="preserve">For the </w:t>
      </w:r>
      <w:r w:rsidR="00EA7C59">
        <w:rPr>
          <w:rFonts w:ascii="Times New Roman" w:eastAsiaTheme="minorEastAsia" w:hAnsi="Times New Roman"/>
          <w:sz w:val="24"/>
          <w:szCs w:val="24"/>
        </w:rPr>
        <w:t xml:space="preserve">information on the credit risk parameters (columns </w:t>
      </w:r>
      <w:r w:rsidR="0030139B">
        <w:rPr>
          <w:rFonts w:ascii="Times New Roman" w:eastAsiaTheme="minorEastAsia" w:hAnsi="Times New Roman"/>
          <w:sz w:val="24"/>
          <w:szCs w:val="24"/>
        </w:rPr>
        <w:t>0121-0133)</w:t>
      </w:r>
      <w:r w:rsidRPr="00E13EBE">
        <w:rPr>
          <w:rFonts w:ascii="Times New Roman" w:eastAsiaTheme="minorEastAsia" w:hAnsi="Times New Roman"/>
          <w:sz w:val="24"/>
          <w:szCs w:val="24"/>
        </w:rPr>
        <w:t>, institutions sh</w:t>
      </w:r>
      <w:r w:rsidR="005327C0" w:rsidRPr="00E13EBE">
        <w:rPr>
          <w:rFonts w:ascii="Times New Roman" w:eastAsiaTheme="minorEastAsia" w:hAnsi="Times New Roman"/>
          <w:sz w:val="24"/>
          <w:szCs w:val="24"/>
        </w:rPr>
        <w:t>all</w:t>
      </w:r>
      <w:r w:rsidRPr="00E13EBE">
        <w:rPr>
          <w:rFonts w:ascii="Times New Roman" w:eastAsiaTheme="minorEastAsia" w:hAnsi="Times New Roman"/>
          <w:sz w:val="24"/>
          <w:szCs w:val="24"/>
        </w:rPr>
        <w:t xml:space="preserve"> refer </w:t>
      </w:r>
      <w:r w:rsidR="000946A5" w:rsidRPr="00E13EBE">
        <w:rPr>
          <w:rFonts w:ascii="Times New Roman" w:eastAsiaTheme="minorEastAsia" w:hAnsi="Times New Roman"/>
          <w:sz w:val="24"/>
          <w:szCs w:val="24"/>
        </w:rPr>
        <w:t xml:space="preserve">to the instructions provided in </w:t>
      </w:r>
      <w:r w:rsidR="003F27A1" w:rsidRPr="00136151">
        <w:rPr>
          <w:rFonts w:ascii="Times New Roman" w:eastAsiaTheme="minorEastAsia" w:hAnsi="Times New Roman"/>
          <w:sz w:val="24"/>
          <w:szCs w:val="24"/>
        </w:rPr>
        <w:t>Annex V – Reporting on Financial Information</w:t>
      </w:r>
      <w:r w:rsidR="003F27A1">
        <w:rPr>
          <w:rFonts w:ascii="Times New Roman" w:eastAsiaTheme="minorEastAsia" w:hAnsi="Times New Roman"/>
          <w:sz w:val="24"/>
          <w:szCs w:val="24"/>
        </w:rPr>
        <w:t xml:space="preserve"> (</w:t>
      </w:r>
      <w:proofErr w:type="gramStart"/>
      <w:r w:rsidR="00E67F85" w:rsidRPr="00E13EBE">
        <w:rPr>
          <w:rFonts w:ascii="Times New Roman" w:eastAsiaTheme="minorEastAsia" w:hAnsi="Times New Roman"/>
          <w:sz w:val="24"/>
          <w:szCs w:val="24"/>
        </w:rPr>
        <w:t>FINREP</w:t>
      </w:r>
      <w:r w:rsidR="000946A5" w:rsidRPr="00E13EBE">
        <w:rPr>
          <w:rFonts w:ascii="Times New Roman" w:eastAsiaTheme="minorEastAsia" w:hAnsi="Times New Roman"/>
          <w:sz w:val="24"/>
          <w:szCs w:val="24"/>
        </w:rPr>
        <w:t xml:space="preserve">  </w:t>
      </w:r>
      <w:r w:rsidR="00223C8C" w:rsidRPr="00E13EBE">
        <w:rPr>
          <w:rFonts w:ascii="Times New Roman" w:eastAsiaTheme="minorEastAsia" w:hAnsi="Times New Roman"/>
          <w:sz w:val="24"/>
          <w:szCs w:val="24"/>
        </w:rPr>
        <w:t>F</w:t>
      </w:r>
      <w:proofErr w:type="gramEnd"/>
      <w:r w:rsidR="00223C8C" w:rsidRPr="00E13EBE">
        <w:rPr>
          <w:rFonts w:ascii="Times New Roman" w:eastAsiaTheme="minorEastAsia" w:hAnsi="Times New Roman"/>
          <w:sz w:val="24"/>
          <w:szCs w:val="24"/>
        </w:rPr>
        <w:t xml:space="preserve"> </w:t>
      </w:r>
      <w:r w:rsidR="000946A5" w:rsidRPr="00E13EBE">
        <w:rPr>
          <w:rFonts w:ascii="Times New Roman" w:eastAsiaTheme="minorEastAsia" w:hAnsi="Times New Roman"/>
          <w:sz w:val="24"/>
          <w:szCs w:val="24"/>
        </w:rPr>
        <w:t>49.01</w:t>
      </w:r>
      <w:r w:rsidR="003F27A1">
        <w:rPr>
          <w:rFonts w:ascii="Times New Roman" w:eastAsiaTheme="minorEastAsia" w:hAnsi="Times New Roman"/>
          <w:sz w:val="24"/>
          <w:szCs w:val="24"/>
        </w:rPr>
        <w:t>)</w:t>
      </w:r>
      <w:r w:rsidR="000946A5" w:rsidRPr="00E13EBE">
        <w:rPr>
          <w:rFonts w:ascii="Times New Roman" w:eastAsiaTheme="minorEastAsia" w:hAnsi="Times New Roman"/>
          <w:sz w:val="24"/>
          <w:szCs w:val="24"/>
        </w:rPr>
        <w:t>.</w:t>
      </w:r>
    </w:p>
    <w:p w14:paraId="33CF82D2" w14:textId="1B4AEB1F" w:rsidR="00774E8E" w:rsidRPr="009133CD" w:rsidRDefault="004C7703" w:rsidP="009133CD">
      <w:pPr>
        <w:pStyle w:val="ListParagraph"/>
        <w:numPr>
          <w:ilvl w:val="0"/>
          <w:numId w:val="31"/>
        </w:numPr>
        <w:tabs>
          <w:tab w:val="left" w:pos="567"/>
          <w:tab w:val="left" w:pos="1440"/>
        </w:tabs>
        <w:spacing w:before="120" w:after="120" w:line="240" w:lineRule="auto"/>
        <w:ind w:left="1440"/>
        <w:contextualSpacing w:val="0"/>
        <w:jc w:val="both"/>
        <w:rPr>
          <w:rFonts w:ascii="Times New Roman" w:eastAsia="Times New Roman" w:hAnsi="Times New Roman" w:cs="Times New Roman"/>
          <w:sz w:val="24"/>
          <w:szCs w:val="24"/>
          <w:u w:val="single"/>
        </w:rPr>
      </w:pPr>
      <w:r w:rsidRPr="00F454E6">
        <w:rPr>
          <w:rFonts w:ascii="Times New Roman" w:eastAsiaTheme="minorEastAsia" w:hAnsi="Times New Roman"/>
          <w:sz w:val="24"/>
          <w:szCs w:val="24"/>
        </w:rPr>
        <w:t>For the reporting of column 0190, institutions shall report the nominal amount as per the instructions provided in Annex V – Reporting on Financial Information (FINREP).</w:t>
      </w:r>
      <w:r w:rsidR="00F454E6" w:rsidRPr="00F454E6">
        <w:rPr>
          <w:rFonts w:ascii="Times New Roman" w:eastAsiaTheme="minorEastAsia" w:hAnsi="Times New Roman"/>
          <w:sz w:val="24"/>
          <w:szCs w:val="24"/>
        </w:rPr>
        <w:t xml:space="preserve"> </w:t>
      </w:r>
      <w:r w:rsidR="00774E8E" w:rsidRPr="00F454E6">
        <w:rPr>
          <w:rFonts w:ascii="Times New Roman" w:eastAsiaTheme="minorEastAsia" w:hAnsi="Times New Roman"/>
          <w:sz w:val="24"/>
          <w:szCs w:val="24"/>
        </w:rPr>
        <w:t>Th</w:t>
      </w:r>
      <w:r w:rsidR="00F454E6">
        <w:rPr>
          <w:rFonts w:ascii="Times New Roman" w:eastAsiaTheme="minorEastAsia" w:hAnsi="Times New Roman"/>
          <w:sz w:val="24"/>
          <w:szCs w:val="24"/>
        </w:rPr>
        <w:t>is column shall</w:t>
      </w:r>
      <w:r w:rsidR="00EC7352" w:rsidRPr="00F454E6">
        <w:rPr>
          <w:rFonts w:ascii="Times New Roman" w:eastAsiaTheme="minorEastAsia" w:hAnsi="Times New Roman"/>
          <w:sz w:val="24"/>
          <w:szCs w:val="24"/>
        </w:rPr>
        <w:t xml:space="preserve"> only be reported for the z-axis on the Total exposures (</w:t>
      </w:r>
      <w:r w:rsidR="00EC7352" w:rsidRPr="00F454E6">
        <w:rPr>
          <w:rFonts w:ascii="Times New Roman" w:eastAsia="Times New Roman" w:hAnsi="Times New Roman"/>
          <w:sz w:val="24"/>
          <w:szCs w:val="24"/>
        </w:rPr>
        <w:t>amortised cost and FVOCI portfolios)</w:t>
      </w:r>
      <w:r w:rsidR="00F1796B" w:rsidRPr="00F454E6">
        <w:rPr>
          <w:rFonts w:ascii="Times New Roman" w:eastAsia="Times New Roman" w:hAnsi="Times New Roman"/>
          <w:sz w:val="24"/>
          <w:szCs w:val="24"/>
        </w:rPr>
        <w:t>.</w:t>
      </w:r>
    </w:p>
    <w:p w14:paraId="5569EA50" w14:textId="59431368" w:rsidR="002E5D79" w:rsidRPr="00E815CC" w:rsidRDefault="42FDFB95" w:rsidP="009133CD">
      <w:pPr>
        <w:pStyle w:val="ListParagraph"/>
        <w:numPr>
          <w:ilvl w:val="0"/>
          <w:numId w:val="31"/>
        </w:numPr>
        <w:tabs>
          <w:tab w:val="left" w:pos="567"/>
          <w:tab w:val="left" w:pos="1440"/>
        </w:tabs>
        <w:spacing w:before="120" w:after="120" w:line="240" w:lineRule="auto"/>
        <w:ind w:left="1440"/>
        <w:jc w:val="both"/>
        <w:rPr>
          <w:rFonts w:ascii="Times New Roman" w:eastAsia="Times New Roman" w:hAnsi="Times New Roman"/>
          <w:sz w:val="24"/>
          <w:szCs w:val="24"/>
        </w:rPr>
      </w:pPr>
      <w:r w:rsidRPr="00E815CC">
        <w:rPr>
          <w:rFonts w:ascii="Times New Roman" w:eastAsia="Times New Roman" w:hAnsi="Times New Roman"/>
          <w:sz w:val="24"/>
          <w:szCs w:val="24"/>
        </w:rPr>
        <w:t>For columns ‘</w:t>
      </w:r>
      <w:r w:rsidRPr="009133CD">
        <w:rPr>
          <w:rFonts w:ascii="Times New Roman" w:eastAsia="Times New Roman" w:hAnsi="Times New Roman"/>
          <w:i/>
          <w:iCs/>
          <w:sz w:val="24"/>
          <w:szCs w:val="24"/>
        </w:rPr>
        <w:t xml:space="preserve">Of which: </w:t>
      </w:r>
      <w:r w:rsidR="004A0871">
        <w:rPr>
          <w:rFonts w:ascii="Times New Roman" w:eastAsia="Times New Roman" w:hAnsi="Times New Roman"/>
          <w:i/>
          <w:iCs/>
          <w:sz w:val="24"/>
          <w:szCs w:val="24"/>
        </w:rPr>
        <w:t>N</w:t>
      </w:r>
      <w:r w:rsidRPr="009133CD">
        <w:rPr>
          <w:rFonts w:ascii="Times New Roman" w:eastAsia="Times New Roman" w:hAnsi="Times New Roman"/>
          <w:i/>
          <w:iCs/>
          <w:sz w:val="24"/>
          <w:szCs w:val="24"/>
        </w:rPr>
        <w:t>on-performing exposure</w:t>
      </w:r>
      <w:r w:rsidR="00290401">
        <w:rPr>
          <w:rFonts w:ascii="Times New Roman" w:eastAsia="Times New Roman" w:hAnsi="Times New Roman"/>
          <w:i/>
          <w:iCs/>
          <w:sz w:val="24"/>
          <w:szCs w:val="24"/>
        </w:rPr>
        <w:t>s</w:t>
      </w:r>
      <w:r w:rsidRPr="009133CD">
        <w:rPr>
          <w:rFonts w:ascii="Times New Roman" w:eastAsia="Times New Roman" w:hAnsi="Times New Roman"/>
          <w:i/>
          <w:iCs/>
          <w:sz w:val="24"/>
          <w:szCs w:val="24"/>
        </w:rPr>
        <w:t>’</w:t>
      </w:r>
      <w:r w:rsidRPr="00E815CC">
        <w:rPr>
          <w:rFonts w:ascii="Times New Roman" w:eastAsia="Times New Roman" w:hAnsi="Times New Roman"/>
          <w:sz w:val="24"/>
          <w:szCs w:val="24"/>
        </w:rPr>
        <w:t xml:space="preserve">: Institutions shall </w:t>
      </w:r>
      <w:r w:rsidR="47CBA3BD" w:rsidRPr="00E815CC">
        <w:rPr>
          <w:rFonts w:ascii="Times New Roman" w:eastAsia="Times New Roman" w:hAnsi="Times New Roman"/>
          <w:sz w:val="24"/>
          <w:szCs w:val="24"/>
        </w:rPr>
        <w:t xml:space="preserve">report </w:t>
      </w:r>
      <w:r w:rsidRPr="00E815CC">
        <w:rPr>
          <w:rFonts w:ascii="Times New Roman" w:eastAsia="Times New Roman" w:hAnsi="Times New Roman"/>
          <w:sz w:val="24"/>
          <w:szCs w:val="24"/>
        </w:rPr>
        <w:t>non-performing exposures as referred to in Article 47</w:t>
      </w:r>
      <w:proofErr w:type="gramStart"/>
      <w:r w:rsidRPr="00E815CC">
        <w:rPr>
          <w:rFonts w:ascii="Times New Roman" w:eastAsia="Times New Roman" w:hAnsi="Times New Roman"/>
          <w:sz w:val="24"/>
          <w:szCs w:val="24"/>
        </w:rPr>
        <w:t>a(</w:t>
      </w:r>
      <w:proofErr w:type="gramEnd"/>
      <w:r w:rsidRPr="00E815CC">
        <w:rPr>
          <w:rFonts w:ascii="Times New Roman" w:eastAsia="Times New Roman" w:hAnsi="Times New Roman"/>
          <w:sz w:val="24"/>
          <w:szCs w:val="24"/>
        </w:rPr>
        <w:t>3) Regulation (EU) No 575/2013.</w:t>
      </w:r>
    </w:p>
    <w:p w14:paraId="2E552448" w14:textId="7D4C58DD" w:rsidR="00802F4F" w:rsidRPr="00AF54AE" w:rsidRDefault="002E5D79" w:rsidP="009133CD">
      <w:pPr>
        <w:pStyle w:val="ListParagraph"/>
        <w:numPr>
          <w:ilvl w:val="0"/>
          <w:numId w:val="31"/>
        </w:numPr>
        <w:tabs>
          <w:tab w:val="left" w:pos="567"/>
          <w:tab w:val="left" w:pos="1440"/>
        </w:tabs>
        <w:spacing w:before="120" w:after="120" w:line="240" w:lineRule="auto"/>
        <w:ind w:left="1440"/>
        <w:jc w:val="both"/>
      </w:pPr>
      <w:r w:rsidRPr="009133CD">
        <w:rPr>
          <w:rFonts w:ascii="Times New Roman" w:eastAsia="Times New Roman" w:hAnsi="Times New Roman"/>
          <w:sz w:val="24"/>
          <w:szCs w:val="24"/>
        </w:rPr>
        <w:t>For column</w:t>
      </w:r>
      <w:r w:rsidR="003E1744">
        <w:rPr>
          <w:rFonts w:ascii="Times New Roman" w:eastAsia="Times New Roman" w:hAnsi="Times New Roman"/>
          <w:sz w:val="24"/>
          <w:szCs w:val="24"/>
        </w:rPr>
        <w:t>s</w:t>
      </w:r>
      <w:r w:rsidRPr="009133CD">
        <w:rPr>
          <w:rFonts w:ascii="Times New Roman" w:eastAsia="Times New Roman" w:hAnsi="Times New Roman"/>
          <w:sz w:val="24"/>
          <w:szCs w:val="24"/>
        </w:rPr>
        <w:t xml:space="preserve"> ‘</w:t>
      </w:r>
      <w:r w:rsidR="009B7159" w:rsidRPr="009133CD">
        <w:rPr>
          <w:rFonts w:ascii="Times New Roman" w:eastAsia="Times New Roman" w:hAnsi="Times New Roman"/>
          <w:i/>
          <w:iCs/>
          <w:sz w:val="24"/>
          <w:szCs w:val="24"/>
        </w:rPr>
        <w:t xml:space="preserve">Of which: </w:t>
      </w:r>
      <w:r w:rsidR="004A0871">
        <w:rPr>
          <w:rFonts w:ascii="Times New Roman" w:eastAsia="Times New Roman" w:hAnsi="Times New Roman"/>
          <w:i/>
          <w:iCs/>
          <w:sz w:val="24"/>
          <w:szCs w:val="24"/>
        </w:rPr>
        <w:t>C</w:t>
      </w:r>
      <w:r w:rsidR="009B7159" w:rsidRPr="009133CD">
        <w:rPr>
          <w:rFonts w:ascii="Times New Roman" w:eastAsia="Times New Roman" w:hAnsi="Times New Roman"/>
          <w:i/>
          <w:iCs/>
          <w:sz w:val="24"/>
          <w:szCs w:val="24"/>
        </w:rPr>
        <w:t>redit risk impaired (Stage 3)</w:t>
      </w:r>
      <w:r w:rsidR="009B7159" w:rsidRPr="009133CD">
        <w:rPr>
          <w:rFonts w:ascii="Times New Roman" w:eastAsia="Times New Roman" w:hAnsi="Times New Roman"/>
          <w:sz w:val="24"/>
          <w:szCs w:val="24"/>
        </w:rPr>
        <w:t>’</w:t>
      </w:r>
      <w:r w:rsidR="004B6137" w:rsidRPr="009133CD">
        <w:rPr>
          <w:rFonts w:ascii="Times New Roman" w:eastAsia="Times New Roman" w:hAnsi="Times New Roman"/>
          <w:sz w:val="24"/>
          <w:szCs w:val="24"/>
        </w:rPr>
        <w:t xml:space="preserve"> </w:t>
      </w:r>
      <w:r w:rsidR="0020449F" w:rsidRPr="009133CD">
        <w:rPr>
          <w:rFonts w:ascii="Times New Roman" w:eastAsia="Times New Roman" w:hAnsi="Times New Roman"/>
          <w:sz w:val="24"/>
          <w:szCs w:val="24"/>
        </w:rPr>
        <w:t xml:space="preserve">institutions shall report exposures which are considered, in accordance with the applicable accounting </w:t>
      </w:r>
      <w:r w:rsidR="0020449F" w:rsidRPr="009133CD">
        <w:rPr>
          <w:rFonts w:ascii="Times New Roman" w:eastAsia="Times New Roman" w:hAnsi="Times New Roman"/>
          <w:sz w:val="24"/>
          <w:szCs w:val="24"/>
        </w:rPr>
        <w:lastRenderedPageBreak/>
        <w:t xml:space="preserve">framework, to be impaired. Under IFRS, the amount of credit-impaired assets (Stage 3) where they are considered as non-performing in accordance with paragraph 215 of </w:t>
      </w:r>
      <w:r w:rsidR="00E815CC" w:rsidRPr="009133CD">
        <w:rPr>
          <w:rFonts w:ascii="Times New Roman" w:eastAsia="Times New Roman" w:hAnsi="Times New Roman"/>
          <w:sz w:val="24"/>
          <w:szCs w:val="24"/>
        </w:rPr>
        <w:t xml:space="preserve">Annex V </w:t>
      </w:r>
      <w:r w:rsidR="00E815CC" w:rsidRPr="009133CD">
        <w:rPr>
          <w:rFonts w:ascii="Times New Roman" w:eastAsiaTheme="minorEastAsia" w:hAnsi="Times New Roman"/>
          <w:sz w:val="24"/>
          <w:szCs w:val="24"/>
        </w:rPr>
        <w:t>– Reporting on Financial Information.</w:t>
      </w:r>
      <w:r w:rsidR="007D12FD">
        <w:rPr>
          <w:rFonts w:ascii="Times New Roman" w:eastAsiaTheme="minorEastAsia" w:hAnsi="Times New Roman"/>
          <w:sz w:val="24"/>
          <w:szCs w:val="24"/>
        </w:rPr>
        <w:t xml:space="preserve"> </w:t>
      </w:r>
    </w:p>
    <w:p w14:paraId="2C8B7512" w14:textId="74BD1C72" w:rsidR="0020449F" w:rsidRDefault="007D12FD">
      <w:pPr>
        <w:pStyle w:val="ListParagraph"/>
        <w:tabs>
          <w:tab w:val="left" w:pos="567"/>
          <w:tab w:val="left" w:pos="1440"/>
        </w:tabs>
        <w:spacing w:before="120" w:after="120" w:line="240" w:lineRule="auto"/>
        <w:ind w:left="1440"/>
        <w:jc w:val="both"/>
        <w:rPr>
          <w:rFonts w:ascii="Times New Roman" w:eastAsiaTheme="minorEastAsia" w:hAnsi="Times New Roman"/>
          <w:sz w:val="24"/>
          <w:szCs w:val="24"/>
        </w:rPr>
      </w:pPr>
      <w:r w:rsidRPr="007D12FD">
        <w:rPr>
          <w:rFonts w:ascii="Times New Roman" w:eastAsiaTheme="minorEastAsia" w:hAnsi="Times New Roman"/>
          <w:sz w:val="24"/>
          <w:szCs w:val="24"/>
        </w:rPr>
        <w:t xml:space="preserve">Institutions applying IFRS shall </w:t>
      </w:r>
      <w:r w:rsidR="000D25F3">
        <w:rPr>
          <w:rFonts w:ascii="Times New Roman" w:eastAsiaTheme="minorEastAsia" w:hAnsi="Times New Roman"/>
          <w:sz w:val="24"/>
          <w:szCs w:val="24"/>
        </w:rPr>
        <w:t>report</w:t>
      </w:r>
      <w:r w:rsidR="000D25F3" w:rsidRPr="007D12FD">
        <w:rPr>
          <w:rFonts w:ascii="Times New Roman" w:eastAsiaTheme="minorEastAsia" w:hAnsi="Times New Roman"/>
          <w:sz w:val="24"/>
          <w:szCs w:val="24"/>
        </w:rPr>
        <w:t xml:space="preserve"> </w:t>
      </w:r>
      <w:r w:rsidRPr="007D12FD">
        <w:rPr>
          <w:rFonts w:ascii="Times New Roman" w:eastAsiaTheme="minorEastAsia" w:hAnsi="Times New Roman"/>
          <w:sz w:val="24"/>
          <w:szCs w:val="24"/>
        </w:rPr>
        <w:t xml:space="preserve">the gross carrying amount </w:t>
      </w:r>
      <w:r w:rsidR="00802F4F">
        <w:rPr>
          <w:rFonts w:ascii="Times New Roman" w:eastAsiaTheme="minorEastAsia" w:hAnsi="Times New Roman"/>
          <w:sz w:val="24"/>
          <w:szCs w:val="24"/>
        </w:rPr>
        <w:t xml:space="preserve">and accumulated impairment </w:t>
      </w:r>
      <w:r w:rsidRPr="007D12FD">
        <w:rPr>
          <w:rFonts w:ascii="Times New Roman" w:eastAsiaTheme="minorEastAsia" w:hAnsi="Times New Roman"/>
          <w:sz w:val="24"/>
          <w:szCs w:val="24"/>
        </w:rPr>
        <w:t xml:space="preserve">of ‘Stage </w:t>
      </w:r>
      <w:r>
        <w:rPr>
          <w:rFonts w:ascii="Times New Roman" w:eastAsiaTheme="minorEastAsia" w:hAnsi="Times New Roman"/>
          <w:sz w:val="24"/>
          <w:szCs w:val="24"/>
        </w:rPr>
        <w:t>3</w:t>
      </w:r>
      <w:r w:rsidRPr="007D12FD">
        <w:rPr>
          <w:rFonts w:ascii="Times New Roman" w:eastAsiaTheme="minorEastAsia" w:hAnsi="Times New Roman"/>
          <w:sz w:val="24"/>
          <w:szCs w:val="24"/>
        </w:rPr>
        <w:t>’ instruments as defined in IFRS 9. The columns on ‘</w:t>
      </w:r>
      <w:r w:rsidR="004A0871">
        <w:rPr>
          <w:rFonts w:ascii="Times New Roman" w:eastAsiaTheme="minorEastAsia" w:hAnsi="Times New Roman"/>
          <w:i/>
          <w:iCs/>
          <w:sz w:val="24"/>
          <w:szCs w:val="24"/>
        </w:rPr>
        <w:t>O</w:t>
      </w:r>
      <w:r w:rsidR="00284CB0" w:rsidRPr="00AF54AE">
        <w:rPr>
          <w:rFonts w:ascii="Times New Roman" w:eastAsiaTheme="minorEastAsia" w:hAnsi="Times New Roman"/>
          <w:i/>
          <w:iCs/>
          <w:sz w:val="24"/>
          <w:szCs w:val="24"/>
        </w:rPr>
        <w:t xml:space="preserve">f which: </w:t>
      </w:r>
      <w:r w:rsidR="004A0871">
        <w:rPr>
          <w:rFonts w:ascii="Times New Roman" w:eastAsiaTheme="minorEastAsia" w:hAnsi="Times New Roman"/>
          <w:i/>
          <w:iCs/>
          <w:sz w:val="24"/>
          <w:szCs w:val="24"/>
        </w:rPr>
        <w:t>C</w:t>
      </w:r>
      <w:r w:rsidR="00284CB0" w:rsidRPr="00AF54AE">
        <w:rPr>
          <w:rFonts w:ascii="Times New Roman" w:eastAsiaTheme="minorEastAsia" w:hAnsi="Times New Roman"/>
          <w:i/>
          <w:iCs/>
          <w:sz w:val="24"/>
          <w:szCs w:val="24"/>
        </w:rPr>
        <w:t>redit risk impaired (Stage 3)</w:t>
      </w:r>
      <w:r w:rsidRPr="007D12FD">
        <w:rPr>
          <w:rFonts w:ascii="Times New Roman" w:eastAsiaTheme="minorEastAsia" w:hAnsi="Times New Roman"/>
          <w:sz w:val="24"/>
          <w:szCs w:val="24"/>
        </w:rPr>
        <w:t xml:space="preserve">’ shall not be </w:t>
      </w:r>
      <w:r w:rsidR="000D25F3">
        <w:rPr>
          <w:rFonts w:ascii="Times New Roman" w:eastAsiaTheme="minorEastAsia" w:hAnsi="Times New Roman"/>
          <w:sz w:val="24"/>
          <w:szCs w:val="24"/>
        </w:rPr>
        <w:t>reported</w:t>
      </w:r>
      <w:r w:rsidR="000D25F3" w:rsidRPr="007D12FD">
        <w:rPr>
          <w:rFonts w:ascii="Times New Roman" w:eastAsiaTheme="minorEastAsia" w:hAnsi="Times New Roman"/>
          <w:sz w:val="24"/>
          <w:szCs w:val="24"/>
        </w:rPr>
        <w:t xml:space="preserve"> </w:t>
      </w:r>
      <w:r w:rsidRPr="007D12FD">
        <w:rPr>
          <w:rFonts w:ascii="Times New Roman" w:eastAsiaTheme="minorEastAsia" w:hAnsi="Times New Roman"/>
          <w:sz w:val="24"/>
          <w:szCs w:val="24"/>
        </w:rPr>
        <w:t>by institutions that apply national generally accepted accounting principles based on Council Directive 86/635/EEC7.</w:t>
      </w:r>
    </w:p>
    <w:p w14:paraId="01659C5A" w14:textId="17A8CEE7" w:rsidR="003E1744" w:rsidRPr="00AF54AE" w:rsidRDefault="003E1744" w:rsidP="003E1744">
      <w:pPr>
        <w:pStyle w:val="ListParagraph"/>
        <w:numPr>
          <w:ilvl w:val="0"/>
          <w:numId w:val="31"/>
        </w:numPr>
        <w:tabs>
          <w:tab w:val="left" w:pos="567"/>
          <w:tab w:val="left" w:pos="1440"/>
        </w:tabs>
        <w:spacing w:before="120" w:after="120" w:line="240" w:lineRule="auto"/>
        <w:ind w:left="1440"/>
        <w:jc w:val="both"/>
        <w:rPr>
          <w:rFonts w:ascii="Times New Roman" w:eastAsia="Times New Roman" w:hAnsi="Times New Roman"/>
          <w:sz w:val="24"/>
          <w:szCs w:val="24"/>
        </w:rPr>
      </w:pPr>
      <w:r>
        <w:rPr>
          <w:rFonts w:ascii="Times New Roman" w:eastAsia="Times New Roman" w:hAnsi="Times New Roman"/>
          <w:sz w:val="24"/>
          <w:szCs w:val="24"/>
        </w:rPr>
        <w:t xml:space="preserve">For columns </w:t>
      </w:r>
      <w:r w:rsidRPr="009133CD">
        <w:rPr>
          <w:rFonts w:ascii="Times New Roman" w:eastAsia="Times New Roman" w:hAnsi="Times New Roman"/>
          <w:sz w:val="24"/>
          <w:szCs w:val="24"/>
        </w:rPr>
        <w:t>‘</w:t>
      </w:r>
      <w:r w:rsidRPr="003E1744">
        <w:rPr>
          <w:rFonts w:ascii="Times New Roman" w:eastAsia="Times New Roman" w:hAnsi="Times New Roman"/>
          <w:i/>
          <w:iCs/>
          <w:sz w:val="24"/>
          <w:szCs w:val="24"/>
        </w:rPr>
        <w:t>Of which: Purchased or originated credit-impaired financial assets’</w:t>
      </w:r>
      <w:r w:rsidR="00F03195">
        <w:rPr>
          <w:rFonts w:ascii="Times New Roman" w:eastAsia="Times New Roman" w:hAnsi="Times New Roman"/>
          <w:sz w:val="24"/>
          <w:szCs w:val="24"/>
        </w:rPr>
        <w:t>, institutions shall report as per the definitions provided in IFRS 9 Appendix A.</w:t>
      </w:r>
    </w:p>
    <w:p w14:paraId="6BF02831" w14:textId="34D625FD" w:rsidR="00921333" w:rsidRPr="009133CD" w:rsidRDefault="0081317B" w:rsidP="009133CD">
      <w:pPr>
        <w:pStyle w:val="ListParagraph"/>
        <w:numPr>
          <w:ilvl w:val="0"/>
          <w:numId w:val="31"/>
        </w:numPr>
        <w:tabs>
          <w:tab w:val="left" w:pos="567"/>
          <w:tab w:val="left" w:pos="1440"/>
        </w:tabs>
        <w:spacing w:before="120" w:after="120" w:line="240" w:lineRule="auto"/>
        <w:ind w:left="1440"/>
        <w:contextualSpacing w:val="0"/>
        <w:jc w:val="both"/>
        <w:rPr>
          <w:rFonts w:ascii="Times New Roman" w:eastAsiaTheme="minorEastAsia" w:hAnsi="Times New Roman"/>
          <w:sz w:val="24"/>
          <w:szCs w:val="24"/>
        </w:rPr>
      </w:pPr>
      <w:r w:rsidRPr="00E815CC">
        <w:rPr>
          <w:rFonts w:ascii="Times New Roman" w:eastAsiaTheme="minorEastAsia" w:hAnsi="Times New Roman"/>
          <w:i/>
          <w:iCs/>
          <w:sz w:val="24"/>
          <w:szCs w:val="24"/>
        </w:rPr>
        <w:t>‘</w:t>
      </w:r>
      <w:r w:rsidR="0083325F" w:rsidRPr="009133CD">
        <w:rPr>
          <w:rFonts w:ascii="Times New Roman" w:eastAsiaTheme="minorEastAsia" w:hAnsi="Times New Roman"/>
          <w:i/>
          <w:iCs/>
          <w:sz w:val="24"/>
          <w:szCs w:val="24"/>
        </w:rPr>
        <w:t>Gross interest income</w:t>
      </w:r>
      <w:r w:rsidRPr="00E815CC">
        <w:rPr>
          <w:rFonts w:ascii="Times New Roman" w:eastAsiaTheme="minorEastAsia" w:hAnsi="Times New Roman"/>
          <w:i/>
          <w:iCs/>
          <w:sz w:val="24"/>
          <w:szCs w:val="24"/>
        </w:rPr>
        <w:t>’</w:t>
      </w:r>
      <w:r w:rsidR="0083325F" w:rsidRPr="00E815CC">
        <w:rPr>
          <w:rFonts w:ascii="Times New Roman" w:eastAsiaTheme="minorEastAsia" w:hAnsi="Times New Roman"/>
          <w:sz w:val="24"/>
          <w:szCs w:val="24"/>
        </w:rPr>
        <w:t xml:space="preserve"> (column 0076) </w:t>
      </w:r>
      <w:r w:rsidR="00921333" w:rsidRPr="009133CD">
        <w:rPr>
          <w:rFonts w:ascii="Times New Roman" w:eastAsiaTheme="minorEastAsia" w:hAnsi="Times New Roman"/>
          <w:sz w:val="24"/>
          <w:szCs w:val="24"/>
        </w:rPr>
        <w:t>sh</w:t>
      </w:r>
      <w:r w:rsidR="0083325F" w:rsidRPr="00E815CC">
        <w:rPr>
          <w:rFonts w:ascii="Times New Roman" w:eastAsiaTheme="minorEastAsia" w:hAnsi="Times New Roman"/>
          <w:sz w:val="24"/>
          <w:szCs w:val="24"/>
        </w:rPr>
        <w:t>all</w:t>
      </w:r>
      <w:r w:rsidR="00921333" w:rsidRPr="009133CD">
        <w:rPr>
          <w:rFonts w:ascii="Times New Roman" w:eastAsiaTheme="minorEastAsia" w:hAnsi="Times New Roman"/>
          <w:sz w:val="24"/>
          <w:szCs w:val="24"/>
        </w:rPr>
        <w:t xml:space="preserve"> be reported in accordance with the definition in Annex V – Reporting on Financial Information (FINREP F02.00). </w:t>
      </w:r>
      <w:r w:rsidRPr="009133CD">
        <w:rPr>
          <w:rFonts w:ascii="Times New Roman" w:eastAsiaTheme="minorEastAsia" w:hAnsi="Times New Roman"/>
          <w:i/>
          <w:iCs/>
          <w:sz w:val="24"/>
          <w:szCs w:val="24"/>
        </w:rPr>
        <w:t>‘</w:t>
      </w:r>
      <w:r w:rsidR="00921333" w:rsidRPr="009133CD">
        <w:rPr>
          <w:rFonts w:ascii="Times New Roman" w:eastAsiaTheme="minorEastAsia" w:hAnsi="Times New Roman"/>
          <w:i/>
          <w:iCs/>
          <w:sz w:val="24"/>
          <w:szCs w:val="24"/>
        </w:rPr>
        <w:t>Gross fee and commission income</w:t>
      </w:r>
      <w:r w:rsidRPr="00E815CC">
        <w:rPr>
          <w:rFonts w:ascii="Times New Roman" w:eastAsiaTheme="minorEastAsia" w:hAnsi="Times New Roman"/>
          <w:sz w:val="24"/>
          <w:szCs w:val="24"/>
        </w:rPr>
        <w:t>’</w:t>
      </w:r>
      <w:r w:rsidR="00921333" w:rsidRPr="009133CD">
        <w:rPr>
          <w:rFonts w:ascii="Times New Roman" w:eastAsiaTheme="minorEastAsia" w:hAnsi="Times New Roman"/>
          <w:sz w:val="24"/>
          <w:szCs w:val="24"/>
        </w:rPr>
        <w:t xml:space="preserve"> </w:t>
      </w:r>
      <w:r w:rsidR="0083325F" w:rsidRPr="00E815CC">
        <w:rPr>
          <w:rFonts w:ascii="Times New Roman" w:eastAsiaTheme="minorEastAsia" w:hAnsi="Times New Roman"/>
          <w:sz w:val="24"/>
          <w:szCs w:val="24"/>
        </w:rPr>
        <w:t xml:space="preserve">(column 0077) </w:t>
      </w:r>
      <w:r w:rsidR="00921333" w:rsidRPr="009133CD">
        <w:rPr>
          <w:rFonts w:ascii="Times New Roman" w:eastAsiaTheme="minorEastAsia" w:hAnsi="Times New Roman"/>
          <w:sz w:val="24"/>
          <w:szCs w:val="24"/>
        </w:rPr>
        <w:t>sh</w:t>
      </w:r>
      <w:r w:rsidR="0083325F" w:rsidRPr="00E815CC">
        <w:rPr>
          <w:rFonts w:ascii="Times New Roman" w:eastAsiaTheme="minorEastAsia" w:hAnsi="Times New Roman"/>
          <w:sz w:val="24"/>
          <w:szCs w:val="24"/>
        </w:rPr>
        <w:t>all</w:t>
      </w:r>
      <w:r w:rsidR="00921333" w:rsidRPr="009133CD">
        <w:rPr>
          <w:rFonts w:ascii="Times New Roman" w:eastAsiaTheme="minorEastAsia" w:hAnsi="Times New Roman"/>
          <w:sz w:val="24"/>
          <w:szCs w:val="24"/>
        </w:rPr>
        <w:t xml:space="preserve"> be reported in accordance with the definition in Annex V – Reporting on Financial Information (FINREP F16.01).</w:t>
      </w:r>
    </w:p>
    <w:p w14:paraId="4C0A9EFF" w14:textId="77777777" w:rsidR="00921333" w:rsidRDefault="00921333" w:rsidP="00020D50">
      <w:pPr>
        <w:pStyle w:val="ListParagraph"/>
        <w:tabs>
          <w:tab w:val="left" w:pos="567"/>
        </w:tabs>
        <w:spacing w:before="120" w:after="120" w:line="240" w:lineRule="auto"/>
        <w:ind w:left="1440"/>
        <w:contextualSpacing w:val="0"/>
        <w:jc w:val="both"/>
        <w:rPr>
          <w:rFonts w:ascii="Times New Roman" w:eastAsia="Times New Roman" w:hAnsi="Times New Roman"/>
          <w:sz w:val="24"/>
          <w:szCs w:val="24"/>
        </w:rPr>
      </w:pPr>
    </w:p>
    <w:p w14:paraId="21880327" w14:textId="3C953F4D" w:rsidR="00FA74FA" w:rsidRPr="00166EBA" w:rsidRDefault="00FA74FA" w:rsidP="00166EBA">
      <w:pPr>
        <w:pStyle w:val="ListParagraph"/>
        <w:numPr>
          <w:ilvl w:val="0"/>
          <w:numId w:val="6"/>
        </w:numPr>
        <w:tabs>
          <w:tab w:val="left" w:pos="567"/>
        </w:tabs>
        <w:spacing w:before="120" w:after="120" w:line="240" w:lineRule="auto"/>
        <w:ind w:left="900"/>
        <w:contextualSpacing w:val="0"/>
        <w:jc w:val="both"/>
        <w:rPr>
          <w:rFonts w:ascii="Times New Roman" w:hAnsi="Times New Roman"/>
          <w:b/>
          <w:bCs/>
          <w:sz w:val="24"/>
          <w:szCs w:val="24"/>
        </w:rPr>
      </w:pPr>
      <w:r w:rsidRPr="00166EBA">
        <w:rPr>
          <w:rFonts w:ascii="Times New Roman" w:hAnsi="Times New Roman"/>
          <w:b/>
          <w:bCs/>
          <w:sz w:val="24"/>
          <w:szCs w:val="24"/>
        </w:rPr>
        <w:t xml:space="preserve">Implementation of materiality thresholds </w:t>
      </w:r>
    </w:p>
    <w:p w14:paraId="79EDB6CC" w14:textId="77777777" w:rsidR="00FA74FA" w:rsidRPr="00166EBA" w:rsidRDefault="00FA74FA" w:rsidP="00FA74FA">
      <w:pPr>
        <w:rPr>
          <w:rFonts w:ascii="Times New Roman" w:hAnsi="Times New Roman"/>
          <w:b/>
          <w:bCs/>
          <w:i/>
          <w:iCs/>
          <w:sz w:val="24"/>
          <w:szCs w:val="24"/>
          <w:u w:val="single"/>
        </w:rPr>
      </w:pPr>
      <w:r w:rsidRPr="00166EBA">
        <w:rPr>
          <w:rFonts w:ascii="Times New Roman" w:hAnsi="Times New Roman"/>
          <w:b/>
          <w:bCs/>
          <w:i/>
          <w:iCs/>
          <w:sz w:val="24"/>
          <w:szCs w:val="24"/>
          <w:u w:val="single"/>
        </w:rPr>
        <w:t>General provisions</w:t>
      </w:r>
    </w:p>
    <w:p w14:paraId="2F8AA2D3" w14:textId="77777777" w:rsidR="00FA74FA" w:rsidRPr="00823D4A" w:rsidRDefault="00FA74FA" w:rsidP="00166EBA">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823D4A">
        <w:rPr>
          <w:rFonts w:ascii="Times New Roman" w:hAnsi="Times New Roman"/>
          <w:sz w:val="24"/>
        </w:rPr>
        <w:t>Institutions shall report sectoral exposures to Non-Financial Corporations (NFCs) in accordance with the materiality thresholds specified below.</w:t>
      </w:r>
    </w:p>
    <w:p w14:paraId="279F07C5" w14:textId="15F92B4A" w:rsidR="00A214E9" w:rsidRPr="00A214E9" w:rsidRDefault="00FA74FA"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823D4A">
        <w:rPr>
          <w:rFonts w:ascii="Times New Roman" w:hAnsi="Times New Roman"/>
          <w:sz w:val="24"/>
        </w:rPr>
        <w:t xml:space="preserve">Materiality thresholds shall be calculated with reference to the institution’s total </w:t>
      </w:r>
      <w:r w:rsidR="0040166A">
        <w:rPr>
          <w:rFonts w:ascii="Times New Roman" w:hAnsi="Times New Roman"/>
          <w:sz w:val="24"/>
        </w:rPr>
        <w:t>gross carrying amount</w:t>
      </w:r>
      <w:r w:rsidRPr="00823D4A">
        <w:rPr>
          <w:rFonts w:ascii="Times New Roman" w:hAnsi="Times New Roman"/>
          <w:sz w:val="24"/>
        </w:rPr>
        <w:t xml:space="preserve"> to NFCs</w:t>
      </w:r>
      <w:r w:rsidR="00A214E9" w:rsidRPr="00A214E9">
        <w:rPr>
          <w:rFonts w:ascii="Times New Roman" w:hAnsi="Times New Roman"/>
          <w:sz w:val="24"/>
        </w:rPr>
        <w:t>, as reported in row 07</w:t>
      </w:r>
      <w:r w:rsidR="007F4227">
        <w:rPr>
          <w:rFonts w:ascii="Times New Roman" w:hAnsi="Times New Roman"/>
          <w:sz w:val="24"/>
        </w:rPr>
        <w:t>8</w:t>
      </w:r>
      <w:r w:rsidR="00A214E9" w:rsidRPr="00A214E9">
        <w:rPr>
          <w:rFonts w:ascii="Times New Roman" w:hAnsi="Times New Roman"/>
          <w:sz w:val="24"/>
        </w:rPr>
        <w:t>0, column 0010.</w:t>
      </w:r>
    </w:p>
    <w:p w14:paraId="2014773D" w14:textId="77777777" w:rsidR="00FA74FA" w:rsidRPr="00A214E9" w:rsidRDefault="00FA74FA" w:rsidP="00A214E9">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A214E9">
        <w:rPr>
          <w:rFonts w:ascii="Times New Roman" w:hAnsi="Times New Roman"/>
          <w:sz w:val="24"/>
        </w:rPr>
        <w:t xml:space="preserve">Percentages shall be assessed </w:t>
      </w:r>
      <w:proofErr w:type="gramStart"/>
      <w:r w:rsidRPr="00A214E9">
        <w:rPr>
          <w:rFonts w:ascii="Times New Roman" w:hAnsi="Times New Roman"/>
          <w:sz w:val="24"/>
        </w:rPr>
        <w:t>on the basis of</w:t>
      </w:r>
      <w:proofErr w:type="gramEnd"/>
      <w:r w:rsidRPr="00A214E9">
        <w:rPr>
          <w:rFonts w:ascii="Times New Roman" w:hAnsi="Times New Roman"/>
          <w:sz w:val="24"/>
        </w:rPr>
        <w:t xml:space="preserve"> gross carrying amount, as defined in the relevant reporting framework.</w:t>
      </w:r>
    </w:p>
    <w:p w14:paraId="4C2F32B4" w14:textId="22A63ABB" w:rsidR="00FA74FA" w:rsidRPr="00823D4A" w:rsidRDefault="00FA74FA" w:rsidP="00166EBA">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823D4A">
        <w:rPr>
          <w:rFonts w:ascii="Times New Roman" w:hAnsi="Times New Roman"/>
          <w:sz w:val="24"/>
        </w:rPr>
        <w:t>For sectors above the applicable materiality threshold, institutions shall report all data points across all columns of the template</w:t>
      </w:r>
      <w:r w:rsidR="008C62F8">
        <w:rPr>
          <w:rFonts w:ascii="Times New Roman" w:hAnsi="Times New Roman"/>
          <w:sz w:val="24"/>
        </w:rPr>
        <w:t xml:space="preserve"> (col</w:t>
      </w:r>
      <w:r w:rsidR="00C94A28">
        <w:rPr>
          <w:rFonts w:ascii="Times New Roman" w:hAnsi="Times New Roman"/>
          <w:sz w:val="24"/>
        </w:rPr>
        <w:t>umn 0010 to 0190)</w:t>
      </w:r>
      <w:r w:rsidRPr="00823D4A">
        <w:rPr>
          <w:rFonts w:ascii="Times New Roman" w:hAnsi="Times New Roman"/>
          <w:sz w:val="24"/>
        </w:rPr>
        <w:t>, except where reporting is not explicitly required (e.g. cells that are greyed out for certain sectors</w:t>
      </w:r>
      <w:r w:rsidR="006A7CF6">
        <w:rPr>
          <w:rFonts w:ascii="Times New Roman" w:hAnsi="Times New Roman"/>
          <w:sz w:val="24"/>
        </w:rPr>
        <w:t>, or cells that only apply to IFRS-institutions</w:t>
      </w:r>
      <w:r w:rsidR="006A7CF6" w:rsidRPr="00823D4A">
        <w:rPr>
          <w:rFonts w:ascii="Times New Roman" w:hAnsi="Times New Roman"/>
          <w:sz w:val="24"/>
        </w:rPr>
        <w:t>).</w:t>
      </w:r>
    </w:p>
    <w:p w14:paraId="49B91189" w14:textId="48170ED3" w:rsidR="00FA74FA" w:rsidRPr="00932B3E" w:rsidRDefault="00FA74FA" w:rsidP="00A214E9">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00E53456">
        <w:rPr>
          <w:rFonts w:ascii="Times New Roman" w:hAnsi="Times New Roman"/>
          <w:sz w:val="24"/>
          <w:szCs w:val="24"/>
        </w:rPr>
        <w:t>For sectors below the applicable materiality threshold, institutions shall report only the total gross carrying amount</w:t>
      </w:r>
      <w:r w:rsidR="00956892" w:rsidRPr="00E53456">
        <w:rPr>
          <w:rFonts w:ascii="Times New Roman" w:hAnsi="Times New Roman"/>
          <w:sz w:val="24"/>
          <w:szCs w:val="24"/>
        </w:rPr>
        <w:t xml:space="preserve"> in column </w:t>
      </w:r>
      <w:r w:rsidR="00BE381A" w:rsidRPr="00E53456">
        <w:rPr>
          <w:rFonts w:ascii="Times New Roman" w:hAnsi="Times New Roman"/>
          <w:sz w:val="24"/>
          <w:szCs w:val="24"/>
        </w:rPr>
        <w:t xml:space="preserve">0010 </w:t>
      </w:r>
      <w:r w:rsidR="00C1191C">
        <w:rPr>
          <w:rFonts w:ascii="Times New Roman" w:hAnsi="Times New Roman"/>
          <w:sz w:val="24"/>
          <w:szCs w:val="24"/>
        </w:rPr>
        <w:t>and</w:t>
      </w:r>
      <w:r w:rsidR="008B6188">
        <w:rPr>
          <w:rFonts w:ascii="Times New Roman" w:hAnsi="Times New Roman"/>
          <w:sz w:val="24"/>
          <w:szCs w:val="24"/>
        </w:rPr>
        <w:t xml:space="preserve"> the</w:t>
      </w:r>
      <w:r w:rsidR="00C1191C">
        <w:rPr>
          <w:rFonts w:ascii="Times New Roman" w:hAnsi="Times New Roman"/>
          <w:sz w:val="24"/>
          <w:szCs w:val="24"/>
        </w:rPr>
        <w:t xml:space="preserve"> </w:t>
      </w:r>
      <w:r w:rsidR="00C3773D">
        <w:rPr>
          <w:rFonts w:ascii="Times New Roman" w:hAnsi="Times New Roman"/>
          <w:sz w:val="24"/>
          <w:szCs w:val="24"/>
        </w:rPr>
        <w:t xml:space="preserve">accumulated </w:t>
      </w:r>
      <w:r w:rsidR="00847AE7">
        <w:rPr>
          <w:rFonts w:ascii="Times New Roman" w:hAnsi="Times New Roman"/>
          <w:sz w:val="24"/>
          <w:szCs w:val="24"/>
        </w:rPr>
        <w:t xml:space="preserve">impairment </w:t>
      </w:r>
      <w:r w:rsidR="00BF45AC">
        <w:rPr>
          <w:rFonts w:ascii="Times New Roman" w:hAnsi="Times New Roman"/>
          <w:sz w:val="24"/>
          <w:szCs w:val="24"/>
        </w:rPr>
        <w:t xml:space="preserve">in column </w:t>
      </w:r>
      <w:r w:rsidR="0008108D">
        <w:rPr>
          <w:rFonts w:ascii="Times New Roman" w:hAnsi="Times New Roman"/>
          <w:sz w:val="24"/>
          <w:szCs w:val="24"/>
        </w:rPr>
        <w:t>0050</w:t>
      </w:r>
      <w:r w:rsidR="00BE381A" w:rsidRPr="00E53456">
        <w:rPr>
          <w:rFonts w:ascii="Times New Roman" w:hAnsi="Times New Roman"/>
          <w:sz w:val="24"/>
          <w:szCs w:val="24"/>
        </w:rPr>
        <w:t xml:space="preserve"> for all rows</w:t>
      </w:r>
      <w:r w:rsidRPr="00E53456">
        <w:rPr>
          <w:rFonts w:ascii="Times New Roman" w:hAnsi="Times New Roman"/>
          <w:sz w:val="24"/>
          <w:szCs w:val="24"/>
        </w:rPr>
        <w:t>.</w:t>
      </w:r>
    </w:p>
    <w:p w14:paraId="1D970792" w14:textId="2E54C95A" w:rsidR="00FA74FA" w:rsidRPr="00166EBA" w:rsidRDefault="00FA74FA" w:rsidP="00FA74FA">
      <w:pPr>
        <w:rPr>
          <w:rFonts w:ascii="Times New Roman" w:hAnsi="Times New Roman"/>
          <w:b/>
          <w:bCs/>
          <w:i/>
          <w:iCs/>
          <w:sz w:val="24"/>
          <w:szCs w:val="24"/>
          <w:u w:val="single"/>
        </w:rPr>
      </w:pPr>
      <w:r w:rsidRPr="00166EBA">
        <w:rPr>
          <w:rFonts w:ascii="Times New Roman" w:hAnsi="Times New Roman"/>
          <w:b/>
          <w:bCs/>
          <w:i/>
          <w:iCs/>
          <w:sz w:val="24"/>
          <w:szCs w:val="24"/>
          <w:u w:val="single"/>
        </w:rPr>
        <w:t xml:space="preserve">Instruction for the reporting of total exposures </w:t>
      </w:r>
      <w:r w:rsidR="00FF253D" w:rsidRPr="00166EBA">
        <w:rPr>
          <w:rFonts w:ascii="Times New Roman" w:hAnsi="Times New Roman"/>
          <w:b/>
          <w:bCs/>
          <w:i/>
          <w:iCs/>
          <w:sz w:val="24"/>
          <w:szCs w:val="24"/>
          <w:u w:val="single"/>
        </w:rPr>
        <w:t xml:space="preserve">at amortised cost and FVOCI portfolios </w:t>
      </w:r>
    </w:p>
    <w:p w14:paraId="460A2CB4" w14:textId="53EC0EA2" w:rsidR="00FA74FA" w:rsidRPr="00823D4A" w:rsidRDefault="00FA74FA" w:rsidP="00166EBA">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3F79D35A">
        <w:rPr>
          <w:rFonts w:ascii="Times New Roman" w:hAnsi="Times New Roman"/>
          <w:sz w:val="24"/>
          <w:szCs w:val="24"/>
        </w:rPr>
        <w:t xml:space="preserve">This Part sets out the materiality rules applicable to the Total Exposures Template, </w:t>
      </w:r>
      <w:r w:rsidRPr="05FC2A0C">
        <w:rPr>
          <w:rFonts w:ascii="Times New Roman" w:hAnsi="Times New Roman"/>
          <w:sz w:val="24"/>
          <w:szCs w:val="24"/>
        </w:rPr>
        <w:t>where</w:t>
      </w:r>
      <w:r w:rsidRPr="3F79D35A">
        <w:rPr>
          <w:rFonts w:ascii="Times New Roman" w:hAnsi="Times New Roman"/>
          <w:sz w:val="24"/>
          <w:szCs w:val="24"/>
        </w:rPr>
        <w:t xml:space="preserve"> exposures are reported by sector (NACE classification) only, without any geographical breakdown: </w:t>
      </w:r>
    </w:p>
    <w:p w14:paraId="0F61C5DE" w14:textId="77777777" w:rsidR="00FA74FA" w:rsidRDefault="00FA74FA" w:rsidP="00166EBA">
      <w:pPr>
        <w:pStyle w:val="ListParagraph"/>
        <w:numPr>
          <w:ilvl w:val="0"/>
          <w:numId w:val="24"/>
        </w:numPr>
        <w:spacing w:line="240" w:lineRule="auto"/>
        <w:ind w:left="714" w:hanging="357"/>
        <w:jc w:val="both"/>
        <w:rPr>
          <w:rFonts w:ascii="Times New Roman" w:hAnsi="Times New Roman"/>
          <w:sz w:val="24"/>
          <w:szCs w:val="24"/>
        </w:rPr>
      </w:pPr>
      <w:r w:rsidRPr="00571E7A">
        <w:rPr>
          <w:rFonts w:ascii="Times New Roman" w:hAnsi="Times New Roman"/>
          <w:sz w:val="24"/>
          <w:szCs w:val="24"/>
        </w:rPr>
        <w:t>Institutions shall report all exposures at NACE Level 1.</w:t>
      </w:r>
      <w:r>
        <w:rPr>
          <w:rFonts w:ascii="Times New Roman" w:hAnsi="Times New Roman"/>
          <w:sz w:val="24"/>
          <w:szCs w:val="24"/>
        </w:rPr>
        <w:t xml:space="preserve"> </w:t>
      </w:r>
      <w:r w:rsidRPr="00571E7A">
        <w:rPr>
          <w:rFonts w:ascii="Times New Roman" w:hAnsi="Times New Roman"/>
          <w:sz w:val="24"/>
          <w:szCs w:val="24"/>
        </w:rPr>
        <w:t xml:space="preserve">No materiality threshold shall apply.  All NACE </w:t>
      </w:r>
      <w:r>
        <w:rPr>
          <w:rFonts w:ascii="Times New Roman" w:hAnsi="Times New Roman"/>
          <w:sz w:val="24"/>
          <w:szCs w:val="24"/>
        </w:rPr>
        <w:t xml:space="preserve">level </w:t>
      </w:r>
      <w:r w:rsidRPr="00571E7A">
        <w:rPr>
          <w:rFonts w:ascii="Times New Roman" w:hAnsi="Times New Roman"/>
          <w:sz w:val="24"/>
          <w:szCs w:val="24"/>
        </w:rPr>
        <w:t xml:space="preserve">1 sectors shall be </w:t>
      </w:r>
      <w:r>
        <w:rPr>
          <w:rFonts w:ascii="Times New Roman" w:hAnsi="Times New Roman"/>
          <w:sz w:val="24"/>
          <w:szCs w:val="24"/>
        </w:rPr>
        <w:t>reported</w:t>
      </w:r>
      <w:r w:rsidRPr="00571E7A">
        <w:rPr>
          <w:rFonts w:ascii="Times New Roman" w:hAnsi="Times New Roman"/>
          <w:sz w:val="24"/>
          <w:szCs w:val="24"/>
        </w:rPr>
        <w:t xml:space="preserve"> irrespective of exposure size.</w:t>
      </w:r>
    </w:p>
    <w:p w14:paraId="096B95E6" w14:textId="12FE82B0" w:rsidR="006D0885" w:rsidRPr="00166EBA" w:rsidRDefault="00FA74FA" w:rsidP="00166EBA">
      <w:pPr>
        <w:pStyle w:val="ListParagraph"/>
        <w:numPr>
          <w:ilvl w:val="0"/>
          <w:numId w:val="24"/>
        </w:numPr>
        <w:spacing w:line="276" w:lineRule="auto"/>
        <w:ind w:left="714" w:hanging="357"/>
        <w:jc w:val="both"/>
        <w:rPr>
          <w:rFonts w:ascii="Times New Roman" w:hAnsi="Times New Roman"/>
          <w:sz w:val="24"/>
          <w:szCs w:val="24"/>
        </w:rPr>
      </w:pPr>
      <w:r w:rsidRPr="00166EBA">
        <w:rPr>
          <w:rFonts w:ascii="Times New Roman" w:hAnsi="Times New Roman"/>
          <w:sz w:val="24"/>
          <w:szCs w:val="24"/>
        </w:rPr>
        <w:t>Institutions shall report exposures at NACE Level 2 only where such exposures are material. A NACE level 2 exposure shall be considered material where the exposure is equal to or greater than 0.5% of total exposures to NFCs</w:t>
      </w:r>
      <w:r w:rsidR="00E87D07">
        <w:rPr>
          <w:rFonts w:ascii="Times New Roman" w:hAnsi="Times New Roman"/>
          <w:sz w:val="24"/>
          <w:szCs w:val="24"/>
        </w:rPr>
        <w:t>,</w:t>
      </w:r>
      <w:r w:rsidR="00D222FA">
        <w:rPr>
          <w:rFonts w:ascii="Times New Roman" w:hAnsi="Times New Roman"/>
          <w:sz w:val="24"/>
          <w:szCs w:val="24"/>
        </w:rPr>
        <w:t xml:space="preserve"> as reported in </w:t>
      </w:r>
      <w:r w:rsidR="00B04649">
        <w:rPr>
          <w:rFonts w:ascii="Times New Roman" w:hAnsi="Times New Roman"/>
          <w:sz w:val="24"/>
          <w:szCs w:val="24"/>
        </w:rPr>
        <w:t>row 07</w:t>
      </w:r>
      <w:r w:rsidR="007F4227">
        <w:rPr>
          <w:rFonts w:ascii="Times New Roman" w:hAnsi="Times New Roman"/>
          <w:sz w:val="24"/>
          <w:szCs w:val="24"/>
        </w:rPr>
        <w:t>8</w:t>
      </w:r>
      <w:r w:rsidR="00E87D07">
        <w:rPr>
          <w:rFonts w:ascii="Times New Roman" w:hAnsi="Times New Roman"/>
          <w:sz w:val="24"/>
          <w:szCs w:val="24"/>
        </w:rPr>
        <w:t>0,</w:t>
      </w:r>
      <w:r w:rsidR="00B04649">
        <w:rPr>
          <w:rFonts w:ascii="Times New Roman" w:hAnsi="Times New Roman"/>
          <w:sz w:val="24"/>
          <w:szCs w:val="24"/>
        </w:rPr>
        <w:t xml:space="preserve"> column 0010</w:t>
      </w:r>
      <w:r w:rsidRPr="00166EBA">
        <w:rPr>
          <w:rFonts w:ascii="Times New Roman" w:hAnsi="Times New Roman"/>
          <w:sz w:val="24"/>
          <w:szCs w:val="24"/>
        </w:rPr>
        <w:t>.</w:t>
      </w:r>
    </w:p>
    <w:p w14:paraId="025A3669" w14:textId="65631CEF" w:rsidR="00FA74FA" w:rsidRPr="00166EBA" w:rsidRDefault="00FA74FA" w:rsidP="00166EBA">
      <w:pPr>
        <w:pStyle w:val="ListParagraph"/>
        <w:numPr>
          <w:ilvl w:val="0"/>
          <w:numId w:val="24"/>
        </w:numPr>
        <w:spacing w:line="276" w:lineRule="auto"/>
        <w:ind w:left="714" w:hanging="357"/>
        <w:jc w:val="both"/>
        <w:rPr>
          <w:rFonts w:ascii="Times New Roman" w:hAnsi="Times New Roman"/>
          <w:sz w:val="24"/>
          <w:szCs w:val="24"/>
        </w:rPr>
      </w:pPr>
      <w:r w:rsidRPr="00166EBA">
        <w:rPr>
          <w:rFonts w:ascii="Times New Roman" w:hAnsi="Times New Roman"/>
          <w:sz w:val="24"/>
          <w:szCs w:val="24"/>
        </w:rPr>
        <w:t xml:space="preserve">NACE level 3 </w:t>
      </w:r>
      <w:r w:rsidR="0046487F">
        <w:rPr>
          <w:rFonts w:ascii="Times New Roman" w:hAnsi="Times New Roman"/>
          <w:sz w:val="24"/>
          <w:szCs w:val="24"/>
        </w:rPr>
        <w:t>and</w:t>
      </w:r>
      <w:r w:rsidR="009268FE">
        <w:rPr>
          <w:rFonts w:ascii="Times New Roman" w:hAnsi="Times New Roman"/>
          <w:sz w:val="24"/>
          <w:szCs w:val="24"/>
        </w:rPr>
        <w:t xml:space="preserve"> level</w:t>
      </w:r>
      <w:r w:rsidR="0046487F">
        <w:rPr>
          <w:rFonts w:ascii="Times New Roman" w:hAnsi="Times New Roman"/>
          <w:sz w:val="24"/>
          <w:szCs w:val="24"/>
        </w:rPr>
        <w:t xml:space="preserve"> 4 </w:t>
      </w:r>
      <w:r w:rsidRPr="00166EBA">
        <w:rPr>
          <w:rFonts w:ascii="Times New Roman" w:hAnsi="Times New Roman"/>
          <w:sz w:val="24"/>
          <w:szCs w:val="24"/>
        </w:rPr>
        <w:t>should only be reported if its related NACE level 2 is material.</w:t>
      </w:r>
    </w:p>
    <w:p w14:paraId="59E611BD" w14:textId="77777777" w:rsidR="00FA74FA" w:rsidRPr="00166EBA" w:rsidRDefault="00FA74FA" w:rsidP="00166EBA">
      <w:pPr>
        <w:pStyle w:val="ListParagraph"/>
        <w:numPr>
          <w:ilvl w:val="0"/>
          <w:numId w:val="24"/>
        </w:numPr>
        <w:spacing w:line="276" w:lineRule="auto"/>
        <w:ind w:left="714" w:hanging="357"/>
        <w:jc w:val="both"/>
        <w:rPr>
          <w:rFonts w:ascii="Times New Roman" w:hAnsi="Times New Roman"/>
          <w:sz w:val="24"/>
          <w:szCs w:val="24"/>
        </w:rPr>
      </w:pPr>
      <w:r w:rsidRPr="00166EBA">
        <w:rPr>
          <w:rFonts w:ascii="Times New Roman" w:hAnsi="Times New Roman"/>
          <w:sz w:val="24"/>
          <w:szCs w:val="24"/>
        </w:rPr>
        <w:t>Row 0015, which aggregates exposures to fossil fuel sectors, shall follow the same reporting treatment as NACE level 1. Accordingly, no materiality threshold shall apply.</w:t>
      </w:r>
    </w:p>
    <w:p w14:paraId="7F3BDD86" w14:textId="77777777" w:rsidR="006848B1" w:rsidRPr="00932B3E" w:rsidRDefault="00FA74FA" w:rsidP="00166EBA">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00166EBA">
        <w:rPr>
          <w:rFonts w:ascii="Times New Roman" w:hAnsi="Times New Roman"/>
          <w:b/>
          <w:bCs/>
          <w:i/>
          <w:iCs/>
          <w:sz w:val="24"/>
          <w:szCs w:val="24"/>
          <w:u w:val="single"/>
        </w:rPr>
        <w:t xml:space="preserve">Instruction for the reporting of country breakdown </w:t>
      </w:r>
      <w:r w:rsidR="003354A2">
        <w:rPr>
          <w:rFonts w:ascii="Times New Roman" w:hAnsi="Times New Roman"/>
          <w:b/>
          <w:bCs/>
          <w:i/>
          <w:iCs/>
          <w:sz w:val="24"/>
          <w:szCs w:val="24"/>
          <w:u w:val="single"/>
        </w:rPr>
        <w:t xml:space="preserve">including </w:t>
      </w:r>
      <w:r w:rsidR="0057581E">
        <w:rPr>
          <w:rFonts w:ascii="Times New Roman" w:hAnsi="Times New Roman"/>
          <w:b/>
          <w:bCs/>
          <w:i/>
          <w:iCs/>
          <w:sz w:val="24"/>
          <w:szCs w:val="24"/>
          <w:u w:val="single"/>
        </w:rPr>
        <w:t>‘</w:t>
      </w:r>
      <w:r w:rsidR="00D87710">
        <w:rPr>
          <w:rFonts w:ascii="Times New Roman" w:hAnsi="Times New Roman"/>
          <w:b/>
          <w:bCs/>
          <w:i/>
          <w:iCs/>
          <w:sz w:val="24"/>
          <w:szCs w:val="24"/>
          <w:u w:val="single"/>
        </w:rPr>
        <w:t>Other countries</w:t>
      </w:r>
      <w:r w:rsidR="00225765">
        <w:rPr>
          <w:rFonts w:ascii="Times New Roman" w:hAnsi="Times New Roman"/>
          <w:b/>
          <w:bCs/>
          <w:i/>
          <w:iCs/>
          <w:sz w:val="24"/>
          <w:szCs w:val="24"/>
          <w:u w:val="single"/>
        </w:rPr>
        <w:t>’</w:t>
      </w:r>
    </w:p>
    <w:p w14:paraId="394578B4" w14:textId="7A03CF7D" w:rsidR="00FA74FA" w:rsidRPr="00823D4A" w:rsidRDefault="00FA74FA" w:rsidP="00166EBA">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7B8FB2E1">
        <w:rPr>
          <w:rFonts w:ascii="Times New Roman" w:hAnsi="Times New Roman"/>
          <w:sz w:val="24"/>
          <w:szCs w:val="24"/>
        </w:rPr>
        <w:t xml:space="preserve">This </w:t>
      </w:r>
      <w:r w:rsidR="0040166A" w:rsidRPr="7B8FB2E1">
        <w:rPr>
          <w:rFonts w:ascii="Times New Roman" w:hAnsi="Times New Roman"/>
          <w:sz w:val="24"/>
          <w:szCs w:val="24"/>
        </w:rPr>
        <w:t>p</w:t>
      </w:r>
      <w:r w:rsidRPr="7B8FB2E1">
        <w:rPr>
          <w:rFonts w:ascii="Times New Roman" w:hAnsi="Times New Roman"/>
          <w:sz w:val="24"/>
          <w:szCs w:val="24"/>
        </w:rPr>
        <w:t xml:space="preserve">art sets out the materiality rules applicable where exposures are reported by sector </w:t>
      </w:r>
      <w:r w:rsidR="0B5AD757" w:rsidRPr="7B8FB2E1">
        <w:rPr>
          <w:rFonts w:ascii="Times New Roman" w:hAnsi="Times New Roman"/>
          <w:sz w:val="24"/>
          <w:szCs w:val="24"/>
        </w:rPr>
        <w:t>(NACE classification)</w:t>
      </w:r>
      <w:r w:rsidR="00CE1C9D">
        <w:rPr>
          <w:rFonts w:ascii="Times New Roman" w:hAnsi="Times New Roman"/>
          <w:sz w:val="24"/>
          <w:szCs w:val="24"/>
        </w:rPr>
        <w:t xml:space="preserve"> </w:t>
      </w:r>
      <w:r w:rsidRPr="7B8FB2E1">
        <w:rPr>
          <w:rFonts w:ascii="Times New Roman" w:hAnsi="Times New Roman"/>
          <w:sz w:val="24"/>
          <w:szCs w:val="24"/>
        </w:rPr>
        <w:t>and by country. For the purposes of this Part, materiality shall be assessed separately for each country.</w:t>
      </w:r>
    </w:p>
    <w:p w14:paraId="39346B28" w14:textId="790B0EEE" w:rsidR="00FA74FA" w:rsidRDefault="00FA74FA" w:rsidP="00FA74FA">
      <w:pPr>
        <w:pStyle w:val="ListParagraph"/>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8366F">
        <w:rPr>
          <w:rFonts w:ascii="Times New Roman" w:eastAsia="Times New Roman" w:hAnsi="Times New Roman" w:cs="Times New Roman"/>
          <w:kern w:val="0"/>
          <w:sz w:val="24"/>
          <w:szCs w:val="24"/>
          <w:lang w:eastAsia="fr-FR"/>
          <w14:ligatures w14:val="none"/>
        </w:rPr>
        <w:t>Institutions shall report a NACE</w:t>
      </w:r>
      <w:r>
        <w:rPr>
          <w:rFonts w:ascii="Times New Roman" w:eastAsia="Times New Roman" w:hAnsi="Times New Roman" w:cs="Times New Roman"/>
          <w:kern w:val="0"/>
          <w:sz w:val="24"/>
          <w:szCs w:val="24"/>
          <w:lang w:eastAsia="fr-FR"/>
          <w14:ligatures w14:val="none"/>
        </w:rPr>
        <w:t xml:space="preserve"> level</w:t>
      </w:r>
      <w:r w:rsidRPr="0028366F">
        <w:rPr>
          <w:rFonts w:ascii="Times New Roman" w:eastAsia="Times New Roman" w:hAnsi="Times New Roman" w:cs="Times New Roman"/>
          <w:kern w:val="0"/>
          <w:sz w:val="24"/>
          <w:szCs w:val="24"/>
          <w:lang w:eastAsia="fr-FR"/>
          <w14:ligatures w14:val="none"/>
        </w:rPr>
        <w:t xml:space="preserve"> 1 sector </w:t>
      </w:r>
      <w:proofErr w:type="gramStart"/>
      <w:r w:rsidRPr="0028366F">
        <w:rPr>
          <w:rFonts w:ascii="Times New Roman" w:eastAsia="Times New Roman" w:hAnsi="Times New Roman" w:cs="Times New Roman"/>
          <w:kern w:val="0"/>
          <w:sz w:val="24"/>
          <w:szCs w:val="24"/>
          <w:lang w:eastAsia="fr-FR"/>
          <w14:ligatures w14:val="none"/>
        </w:rPr>
        <w:t>in a given</w:t>
      </w:r>
      <w:proofErr w:type="gramEnd"/>
      <w:r w:rsidRPr="0028366F">
        <w:rPr>
          <w:rFonts w:ascii="Times New Roman" w:eastAsia="Times New Roman" w:hAnsi="Times New Roman" w:cs="Times New Roman"/>
          <w:kern w:val="0"/>
          <w:sz w:val="24"/>
          <w:szCs w:val="24"/>
          <w:lang w:eastAsia="fr-FR"/>
          <w14:ligatures w14:val="none"/>
        </w:rPr>
        <w:t xml:space="preserve"> country only where it is material.</w:t>
      </w:r>
      <w:r w:rsidRPr="002D555A">
        <w:rPr>
          <w:rFonts w:ascii="Times New Roman" w:eastAsia="Times New Roman" w:hAnsi="Times New Roman" w:cs="Times New Roman"/>
          <w:kern w:val="0"/>
          <w:sz w:val="24"/>
          <w:szCs w:val="24"/>
          <w:lang w:eastAsia="fr-FR"/>
          <w14:ligatures w14:val="none"/>
        </w:rPr>
        <w:t xml:space="preserve"> </w:t>
      </w:r>
      <w:r w:rsidRPr="0028366F">
        <w:rPr>
          <w:rFonts w:ascii="Times New Roman" w:eastAsia="Times New Roman" w:hAnsi="Times New Roman" w:cs="Times New Roman"/>
          <w:kern w:val="0"/>
          <w:sz w:val="24"/>
          <w:szCs w:val="24"/>
          <w:lang w:eastAsia="fr-FR"/>
          <w14:ligatures w14:val="none"/>
        </w:rPr>
        <w:t xml:space="preserve">A </w:t>
      </w:r>
      <w:r>
        <w:rPr>
          <w:rFonts w:ascii="Times New Roman" w:eastAsia="Times New Roman" w:hAnsi="Times New Roman" w:cs="Times New Roman"/>
          <w:kern w:val="0"/>
          <w:sz w:val="24"/>
          <w:szCs w:val="24"/>
          <w:lang w:eastAsia="fr-FR"/>
          <w14:ligatures w14:val="none"/>
        </w:rPr>
        <w:t xml:space="preserve">level </w:t>
      </w:r>
      <w:r w:rsidRPr="0028366F">
        <w:rPr>
          <w:rFonts w:ascii="Times New Roman" w:eastAsia="Times New Roman" w:hAnsi="Times New Roman" w:cs="Times New Roman"/>
          <w:kern w:val="0"/>
          <w:sz w:val="24"/>
          <w:szCs w:val="24"/>
          <w:lang w:eastAsia="fr-FR"/>
          <w14:ligatures w14:val="none"/>
        </w:rPr>
        <w:t xml:space="preserve">NACE </w:t>
      </w:r>
      <w:r>
        <w:rPr>
          <w:rFonts w:ascii="Times New Roman" w:eastAsia="Times New Roman" w:hAnsi="Times New Roman" w:cs="Times New Roman"/>
          <w:kern w:val="0"/>
          <w:sz w:val="24"/>
          <w:szCs w:val="24"/>
          <w:lang w:eastAsia="fr-FR"/>
          <w14:ligatures w14:val="none"/>
        </w:rPr>
        <w:t xml:space="preserve">level </w:t>
      </w:r>
      <w:r w:rsidRPr="0028366F">
        <w:rPr>
          <w:rFonts w:ascii="Times New Roman" w:eastAsia="Times New Roman" w:hAnsi="Times New Roman" w:cs="Times New Roman"/>
          <w:kern w:val="0"/>
          <w:sz w:val="24"/>
          <w:szCs w:val="24"/>
          <w:lang w:eastAsia="fr-FR"/>
          <w14:ligatures w14:val="none"/>
        </w:rPr>
        <w:t xml:space="preserve">1 exposure </w:t>
      </w:r>
      <w:proofErr w:type="gramStart"/>
      <w:r w:rsidRPr="0028366F">
        <w:rPr>
          <w:rFonts w:ascii="Times New Roman" w:eastAsia="Times New Roman" w:hAnsi="Times New Roman" w:cs="Times New Roman"/>
          <w:kern w:val="0"/>
          <w:sz w:val="24"/>
          <w:szCs w:val="24"/>
          <w:lang w:eastAsia="fr-FR"/>
          <w14:ligatures w14:val="none"/>
        </w:rPr>
        <w:t>in a given</w:t>
      </w:r>
      <w:proofErr w:type="gramEnd"/>
      <w:r w:rsidRPr="0028366F">
        <w:rPr>
          <w:rFonts w:ascii="Times New Roman" w:eastAsia="Times New Roman" w:hAnsi="Times New Roman" w:cs="Times New Roman"/>
          <w:kern w:val="0"/>
          <w:sz w:val="24"/>
          <w:szCs w:val="24"/>
          <w:lang w:eastAsia="fr-FR"/>
          <w14:ligatures w14:val="none"/>
        </w:rPr>
        <w:t xml:space="preserve"> country shall be considered material where</w:t>
      </w:r>
      <w:r>
        <w:rPr>
          <w:rFonts w:ascii="Times New Roman" w:eastAsia="Times New Roman" w:hAnsi="Times New Roman" w:cs="Times New Roman"/>
          <w:kern w:val="0"/>
          <w:sz w:val="24"/>
          <w:szCs w:val="24"/>
          <w:lang w:eastAsia="fr-FR"/>
          <w14:ligatures w14:val="none"/>
        </w:rPr>
        <w:t xml:space="preserve"> </w:t>
      </w:r>
      <w:r w:rsidRPr="002D555A">
        <w:rPr>
          <w:rFonts w:ascii="Times New Roman" w:eastAsia="Times New Roman" w:hAnsi="Times New Roman" w:cs="Times New Roman"/>
          <w:kern w:val="0"/>
          <w:sz w:val="24"/>
          <w:szCs w:val="24"/>
          <w:lang w:eastAsia="fr-FR"/>
          <w14:ligatures w14:val="none"/>
        </w:rPr>
        <w:t>t</w:t>
      </w:r>
      <w:r w:rsidRPr="0028366F">
        <w:rPr>
          <w:rFonts w:ascii="Times New Roman" w:eastAsia="Times New Roman" w:hAnsi="Times New Roman" w:cs="Times New Roman"/>
          <w:kern w:val="0"/>
          <w:sz w:val="24"/>
          <w:szCs w:val="24"/>
          <w:lang w:eastAsia="fr-FR"/>
          <w14:ligatures w14:val="none"/>
        </w:rPr>
        <w:t>he exposure in that country is equal to or greater than 0.5% of total exposures to NFCs</w:t>
      </w:r>
      <w:r w:rsidR="0071704B">
        <w:rPr>
          <w:rFonts w:ascii="Times New Roman" w:eastAsia="Times New Roman" w:hAnsi="Times New Roman" w:cs="Times New Roman"/>
          <w:kern w:val="0"/>
          <w:sz w:val="24"/>
          <w:szCs w:val="24"/>
          <w:lang w:eastAsia="fr-FR"/>
          <w14:ligatures w14:val="none"/>
        </w:rPr>
        <w:t>,</w:t>
      </w:r>
      <w:r w:rsidR="0071704B" w:rsidRPr="0071704B">
        <w:rPr>
          <w:rFonts w:eastAsia="Times New Roman"/>
          <w:b/>
          <w:bCs/>
        </w:rPr>
        <w:t xml:space="preserve"> </w:t>
      </w:r>
      <w:r w:rsidR="00181BF5">
        <w:rPr>
          <w:rFonts w:ascii="Times New Roman" w:eastAsia="Times New Roman" w:hAnsi="Times New Roman" w:cs="Times New Roman"/>
          <w:kern w:val="0"/>
          <w:sz w:val="24"/>
          <w:szCs w:val="24"/>
          <w:lang w:eastAsia="fr-FR"/>
          <w14:ligatures w14:val="none"/>
        </w:rPr>
        <w:t xml:space="preserve">as reported </w:t>
      </w:r>
      <w:r w:rsidR="004C5303">
        <w:rPr>
          <w:rFonts w:ascii="Times New Roman" w:eastAsia="Times New Roman" w:hAnsi="Times New Roman" w:cs="Times New Roman"/>
          <w:kern w:val="0"/>
          <w:sz w:val="24"/>
          <w:szCs w:val="24"/>
          <w:lang w:eastAsia="fr-FR"/>
          <w14:ligatures w14:val="none"/>
        </w:rPr>
        <w:t xml:space="preserve">in </w:t>
      </w:r>
      <w:r w:rsidR="0071704B" w:rsidRPr="00932B3E">
        <w:rPr>
          <w:rFonts w:ascii="Times New Roman" w:eastAsia="Times New Roman" w:hAnsi="Times New Roman" w:cs="Times New Roman"/>
          <w:kern w:val="0"/>
          <w:sz w:val="24"/>
          <w:szCs w:val="24"/>
          <w:lang w:eastAsia="fr-FR"/>
          <w14:ligatures w14:val="none"/>
        </w:rPr>
        <w:t xml:space="preserve">row </w:t>
      </w:r>
      <w:r w:rsidR="0071704B" w:rsidRPr="00932B3E">
        <w:rPr>
          <w:rFonts w:ascii="Times New Roman" w:eastAsia="Times New Roman" w:hAnsi="Times New Roman" w:cs="Times New Roman"/>
          <w:kern w:val="0"/>
          <w:sz w:val="24"/>
          <w:szCs w:val="24"/>
          <w:lang w:eastAsia="fr-FR"/>
          <w14:ligatures w14:val="none"/>
        </w:rPr>
        <w:t>07</w:t>
      </w:r>
      <w:r w:rsidR="00617566">
        <w:rPr>
          <w:rFonts w:ascii="Times New Roman" w:eastAsia="Times New Roman" w:hAnsi="Times New Roman" w:cs="Times New Roman"/>
          <w:kern w:val="0"/>
          <w:sz w:val="24"/>
          <w:szCs w:val="24"/>
          <w:lang w:eastAsia="fr-FR"/>
          <w14:ligatures w14:val="none"/>
        </w:rPr>
        <w:t>8</w:t>
      </w:r>
      <w:r w:rsidR="0071704B" w:rsidRPr="00932B3E">
        <w:rPr>
          <w:rFonts w:ascii="Times New Roman" w:eastAsia="Times New Roman" w:hAnsi="Times New Roman" w:cs="Times New Roman"/>
          <w:kern w:val="0"/>
          <w:sz w:val="24"/>
          <w:szCs w:val="24"/>
          <w:lang w:eastAsia="fr-FR"/>
          <w14:ligatures w14:val="none"/>
        </w:rPr>
        <w:t>0,</w:t>
      </w:r>
      <w:r w:rsidR="0071704B" w:rsidRPr="00932B3E">
        <w:rPr>
          <w:rFonts w:ascii="Times New Roman" w:eastAsia="Times New Roman" w:hAnsi="Times New Roman" w:cs="Times New Roman"/>
          <w:kern w:val="0"/>
          <w:sz w:val="24"/>
          <w:szCs w:val="24"/>
          <w:lang w:eastAsia="fr-FR"/>
          <w14:ligatures w14:val="none"/>
        </w:rPr>
        <w:t xml:space="preserve"> column 0010 in each material country and in the ‘Other </w:t>
      </w:r>
      <w:proofErr w:type="gramStart"/>
      <w:r w:rsidR="0071704B" w:rsidRPr="00932B3E">
        <w:rPr>
          <w:rFonts w:ascii="Times New Roman" w:eastAsia="Times New Roman" w:hAnsi="Times New Roman" w:cs="Times New Roman"/>
          <w:kern w:val="0"/>
          <w:sz w:val="24"/>
          <w:szCs w:val="24"/>
          <w:lang w:eastAsia="fr-FR"/>
          <w14:ligatures w14:val="none"/>
        </w:rPr>
        <w:t>countries</w:t>
      </w:r>
      <w:r w:rsidR="0071704B">
        <w:rPr>
          <w:rFonts w:ascii="Times New Roman" w:eastAsia="Times New Roman" w:hAnsi="Times New Roman" w:cs="Times New Roman"/>
          <w:kern w:val="0"/>
          <w:sz w:val="24"/>
          <w:szCs w:val="24"/>
          <w:lang w:eastAsia="fr-FR"/>
          <w14:ligatures w14:val="none"/>
        </w:rPr>
        <w:t>’</w:t>
      </w:r>
      <w:proofErr w:type="gramEnd"/>
      <w:r w:rsidRPr="0028366F">
        <w:rPr>
          <w:rFonts w:ascii="Times New Roman" w:eastAsia="Times New Roman" w:hAnsi="Times New Roman" w:cs="Times New Roman"/>
          <w:kern w:val="0"/>
          <w:sz w:val="24"/>
          <w:szCs w:val="24"/>
          <w:lang w:eastAsia="fr-FR"/>
          <w14:ligatures w14:val="none"/>
        </w:rPr>
        <w:t>.</w:t>
      </w:r>
      <w:r w:rsidRPr="002D555A">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Total </w:t>
      </w:r>
      <w:r w:rsidRPr="0028366F">
        <w:rPr>
          <w:rFonts w:ascii="Times New Roman" w:eastAsia="Times New Roman" w:hAnsi="Times New Roman" w:cs="Times New Roman"/>
          <w:kern w:val="0"/>
          <w:sz w:val="24"/>
          <w:szCs w:val="24"/>
          <w:lang w:eastAsia="fr-FR"/>
          <w14:ligatures w14:val="none"/>
        </w:rPr>
        <w:t xml:space="preserve">NACE </w:t>
      </w:r>
      <w:r>
        <w:rPr>
          <w:rFonts w:ascii="Times New Roman" w:eastAsia="Times New Roman" w:hAnsi="Times New Roman" w:cs="Times New Roman"/>
          <w:kern w:val="0"/>
          <w:sz w:val="24"/>
          <w:szCs w:val="24"/>
          <w:lang w:eastAsia="fr-FR"/>
          <w14:ligatures w14:val="none"/>
        </w:rPr>
        <w:t xml:space="preserve">level </w:t>
      </w:r>
      <w:r w:rsidRPr="0028366F">
        <w:rPr>
          <w:rFonts w:ascii="Times New Roman" w:eastAsia="Times New Roman" w:hAnsi="Times New Roman" w:cs="Times New Roman"/>
          <w:kern w:val="0"/>
          <w:sz w:val="24"/>
          <w:szCs w:val="24"/>
          <w:lang w:eastAsia="fr-FR"/>
          <w14:ligatures w14:val="none"/>
        </w:rPr>
        <w:t>1 exposures below this threshold shall not be reported at country level.</w:t>
      </w:r>
    </w:p>
    <w:p w14:paraId="2AFFA83D" w14:textId="77777777" w:rsidR="00FA74FA" w:rsidRDefault="00FA74FA" w:rsidP="00FA74FA">
      <w:pPr>
        <w:pStyle w:val="ListParagraph"/>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CE5E34F" w14:textId="69AF36A7" w:rsidR="00FA74FA" w:rsidRDefault="00FA74FA" w:rsidP="00FA74FA">
      <w:pPr>
        <w:pStyle w:val="ListParagraph"/>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D0AB6">
        <w:rPr>
          <w:rFonts w:ascii="Times New Roman" w:eastAsia="Times New Roman" w:hAnsi="Times New Roman" w:cs="Times New Roman"/>
          <w:kern w:val="0"/>
          <w:sz w:val="24"/>
          <w:szCs w:val="24"/>
          <w:lang w:eastAsia="fr-FR"/>
          <w14:ligatures w14:val="none"/>
        </w:rPr>
        <w:t xml:space="preserve">Institutions shall report a NACE </w:t>
      </w:r>
      <w:r>
        <w:rPr>
          <w:rFonts w:ascii="Times New Roman" w:eastAsia="Times New Roman" w:hAnsi="Times New Roman" w:cs="Times New Roman"/>
          <w:kern w:val="0"/>
          <w:sz w:val="24"/>
          <w:szCs w:val="24"/>
          <w:lang w:eastAsia="fr-FR"/>
          <w14:ligatures w14:val="none"/>
        </w:rPr>
        <w:t xml:space="preserve">level </w:t>
      </w:r>
      <w:r w:rsidRPr="006D0AB6">
        <w:rPr>
          <w:rFonts w:ascii="Times New Roman" w:eastAsia="Times New Roman" w:hAnsi="Times New Roman" w:cs="Times New Roman"/>
          <w:kern w:val="0"/>
          <w:sz w:val="24"/>
          <w:szCs w:val="24"/>
          <w:lang w:eastAsia="fr-FR"/>
          <w14:ligatures w14:val="none"/>
        </w:rPr>
        <w:t xml:space="preserve">2 sector </w:t>
      </w:r>
      <w:proofErr w:type="gramStart"/>
      <w:r w:rsidRPr="006D0AB6">
        <w:rPr>
          <w:rFonts w:ascii="Times New Roman" w:eastAsia="Times New Roman" w:hAnsi="Times New Roman" w:cs="Times New Roman"/>
          <w:kern w:val="0"/>
          <w:sz w:val="24"/>
          <w:szCs w:val="24"/>
          <w:lang w:eastAsia="fr-FR"/>
          <w14:ligatures w14:val="none"/>
        </w:rPr>
        <w:t>in a given</w:t>
      </w:r>
      <w:proofErr w:type="gramEnd"/>
      <w:r w:rsidRPr="006D0AB6">
        <w:rPr>
          <w:rFonts w:ascii="Times New Roman" w:eastAsia="Times New Roman" w:hAnsi="Times New Roman" w:cs="Times New Roman"/>
          <w:kern w:val="0"/>
          <w:sz w:val="24"/>
          <w:szCs w:val="24"/>
          <w:lang w:eastAsia="fr-FR"/>
          <w14:ligatures w14:val="none"/>
        </w:rPr>
        <w:t xml:space="preserve"> country only where it is material.</w:t>
      </w:r>
      <w:r>
        <w:rPr>
          <w:rFonts w:ascii="Times New Roman" w:eastAsia="Times New Roman" w:hAnsi="Times New Roman" w:cs="Times New Roman"/>
          <w:kern w:val="0"/>
          <w:sz w:val="24"/>
          <w:szCs w:val="24"/>
          <w:lang w:eastAsia="fr-FR"/>
          <w14:ligatures w14:val="none"/>
        </w:rPr>
        <w:t xml:space="preserve"> </w:t>
      </w:r>
      <w:r w:rsidRPr="005C1C05">
        <w:rPr>
          <w:rFonts w:ascii="Times New Roman" w:eastAsia="Times New Roman" w:hAnsi="Times New Roman" w:cs="Times New Roman"/>
          <w:kern w:val="0"/>
          <w:sz w:val="24"/>
          <w:szCs w:val="24"/>
          <w:lang w:eastAsia="fr-FR"/>
          <w14:ligatures w14:val="none"/>
        </w:rPr>
        <w:t xml:space="preserve">A NACE </w:t>
      </w:r>
      <w:r>
        <w:rPr>
          <w:rFonts w:ascii="Times New Roman" w:eastAsia="Times New Roman" w:hAnsi="Times New Roman" w:cs="Times New Roman"/>
          <w:kern w:val="0"/>
          <w:sz w:val="24"/>
          <w:szCs w:val="24"/>
          <w:lang w:eastAsia="fr-FR"/>
          <w14:ligatures w14:val="none"/>
        </w:rPr>
        <w:t xml:space="preserve">level </w:t>
      </w:r>
      <w:r w:rsidRPr="005C1C05">
        <w:rPr>
          <w:rFonts w:ascii="Times New Roman" w:eastAsia="Times New Roman" w:hAnsi="Times New Roman" w:cs="Times New Roman"/>
          <w:kern w:val="0"/>
          <w:sz w:val="24"/>
          <w:szCs w:val="24"/>
          <w:lang w:eastAsia="fr-FR"/>
          <w14:ligatures w14:val="none"/>
        </w:rPr>
        <w:t xml:space="preserve">2 exposure </w:t>
      </w:r>
      <w:proofErr w:type="gramStart"/>
      <w:r w:rsidRPr="005C1C05">
        <w:rPr>
          <w:rFonts w:ascii="Times New Roman" w:eastAsia="Times New Roman" w:hAnsi="Times New Roman" w:cs="Times New Roman"/>
          <w:kern w:val="0"/>
          <w:sz w:val="24"/>
          <w:szCs w:val="24"/>
          <w:lang w:eastAsia="fr-FR"/>
          <w14:ligatures w14:val="none"/>
        </w:rPr>
        <w:t>in a given</w:t>
      </w:r>
      <w:proofErr w:type="gramEnd"/>
      <w:r w:rsidRPr="005C1C05">
        <w:rPr>
          <w:rFonts w:ascii="Times New Roman" w:eastAsia="Times New Roman" w:hAnsi="Times New Roman" w:cs="Times New Roman"/>
          <w:kern w:val="0"/>
          <w:sz w:val="24"/>
          <w:szCs w:val="24"/>
          <w:lang w:eastAsia="fr-FR"/>
          <w14:ligatures w14:val="none"/>
        </w:rPr>
        <w:t xml:space="preserve"> country shall be considered material only where</w:t>
      </w:r>
      <w:r>
        <w:rPr>
          <w:rFonts w:ascii="Times New Roman" w:eastAsia="Times New Roman" w:hAnsi="Times New Roman" w:cs="Times New Roman"/>
          <w:kern w:val="0"/>
          <w:sz w:val="24"/>
          <w:szCs w:val="24"/>
          <w:lang w:eastAsia="fr-FR"/>
          <w14:ligatures w14:val="none"/>
        </w:rPr>
        <w:t xml:space="preserve"> </w:t>
      </w:r>
      <w:r w:rsidR="00736C34">
        <w:rPr>
          <w:rFonts w:ascii="Times New Roman" w:eastAsia="Times New Roman" w:hAnsi="Times New Roman" w:cs="Times New Roman"/>
          <w:kern w:val="0"/>
          <w:sz w:val="24"/>
          <w:szCs w:val="24"/>
          <w:lang w:eastAsia="fr-FR"/>
          <w14:ligatures w14:val="none"/>
        </w:rPr>
        <w:t>t</w:t>
      </w:r>
      <w:r w:rsidRPr="005C1C05">
        <w:rPr>
          <w:rFonts w:ascii="Times New Roman" w:eastAsia="Times New Roman" w:hAnsi="Times New Roman" w:cs="Times New Roman"/>
          <w:kern w:val="0"/>
          <w:sz w:val="24"/>
          <w:szCs w:val="24"/>
          <w:lang w:eastAsia="fr-FR"/>
          <w14:ligatures w14:val="none"/>
        </w:rPr>
        <w:t>he exposure in that country is equal to or greater than 0.5% of total exposures to NFCs</w:t>
      </w:r>
      <w:r w:rsidR="00886303">
        <w:rPr>
          <w:rFonts w:ascii="Times New Roman" w:eastAsia="Times New Roman" w:hAnsi="Times New Roman" w:cs="Times New Roman"/>
          <w:kern w:val="0"/>
          <w:sz w:val="24"/>
          <w:szCs w:val="24"/>
          <w:lang w:eastAsia="fr-FR"/>
          <w14:ligatures w14:val="none"/>
        </w:rPr>
        <w:t xml:space="preserve">, </w:t>
      </w:r>
      <w:r w:rsidR="00221F9D">
        <w:rPr>
          <w:rFonts w:ascii="Times New Roman" w:eastAsia="Times New Roman" w:hAnsi="Times New Roman" w:cs="Times New Roman"/>
          <w:kern w:val="0"/>
          <w:sz w:val="24"/>
          <w:szCs w:val="24"/>
          <w:lang w:eastAsia="fr-FR"/>
          <w14:ligatures w14:val="none"/>
        </w:rPr>
        <w:t xml:space="preserve">as reported </w:t>
      </w:r>
      <w:proofErr w:type="gramStart"/>
      <w:r w:rsidR="00221F9D">
        <w:rPr>
          <w:rFonts w:ascii="Times New Roman" w:eastAsia="Times New Roman" w:hAnsi="Times New Roman" w:cs="Times New Roman"/>
          <w:kern w:val="0"/>
          <w:sz w:val="24"/>
          <w:szCs w:val="24"/>
          <w:lang w:eastAsia="fr-FR"/>
          <w14:ligatures w14:val="none"/>
        </w:rPr>
        <w:t xml:space="preserve">in </w:t>
      </w:r>
      <w:r w:rsidR="00317D9C">
        <w:rPr>
          <w:rFonts w:ascii="Times New Roman" w:eastAsia="Times New Roman" w:hAnsi="Times New Roman" w:cs="Times New Roman"/>
          <w:kern w:val="0"/>
          <w:sz w:val="24"/>
          <w:szCs w:val="24"/>
          <w:lang w:eastAsia="fr-FR"/>
          <w14:ligatures w14:val="none"/>
        </w:rPr>
        <w:t xml:space="preserve"> </w:t>
      </w:r>
      <w:r w:rsidR="00AE001B">
        <w:rPr>
          <w:rFonts w:ascii="Times New Roman" w:eastAsia="Times New Roman" w:hAnsi="Times New Roman" w:cs="Times New Roman"/>
          <w:kern w:val="0"/>
          <w:sz w:val="24"/>
          <w:szCs w:val="24"/>
          <w:lang w:eastAsia="fr-FR"/>
          <w14:ligatures w14:val="none"/>
        </w:rPr>
        <w:t>row</w:t>
      </w:r>
      <w:proofErr w:type="gramEnd"/>
      <w:r w:rsidR="00681ACB">
        <w:rPr>
          <w:rFonts w:ascii="Times New Roman" w:eastAsia="Times New Roman" w:hAnsi="Times New Roman" w:cs="Times New Roman"/>
          <w:kern w:val="0"/>
          <w:sz w:val="24"/>
          <w:szCs w:val="24"/>
          <w:lang w:eastAsia="fr-FR"/>
          <w14:ligatures w14:val="none"/>
        </w:rPr>
        <w:t xml:space="preserve"> </w:t>
      </w:r>
      <w:r w:rsidR="00681ACB">
        <w:rPr>
          <w:rFonts w:ascii="Times New Roman" w:hAnsi="Times New Roman"/>
          <w:sz w:val="24"/>
          <w:szCs w:val="24"/>
        </w:rPr>
        <w:t>07</w:t>
      </w:r>
      <w:r w:rsidR="007F4227">
        <w:rPr>
          <w:rFonts w:ascii="Times New Roman" w:hAnsi="Times New Roman"/>
          <w:sz w:val="24"/>
          <w:szCs w:val="24"/>
        </w:rPr>
        <w:t>8</w:t>
      </w:r>
      <w:r w:rsidR="00681ACB">
        <w:rPr>
          <w:rFonts w:ascii="Times New Roman" w:hAnsi="Times New Roman"/>
          <w:sz w:val="24"/>
          <w:szCs w:val="24"/>
        </w:rPr>
        <w:t>0, column 001</w:t>
      </w:r>
      <w:r w:rsidR="00400710">
        <w:rPr>
          <w:rFonts w:ascii="Times New Roman" w:hAnsi="Times New Roman"/>
          <w:sz w:val="24"/>
          <w:szCs w:val="24"/>
        </w:rPr>
        <w:t>0</w:t>
      </w:r>
      <w:r w:rsidR="00942C06">
        <w:rPr>
          <w:rFonts w:ascii="Times New Roman" w:hAnsi="Times New Roman"/>
          <w:sz w:val="24"/>
          <w:szCs w:val="24"/>
        </w:rPr>
        <w:t xml:space="preserve"> </w:t>
      </w:r>
      <w:r w:rsidR="00AA283F">
        <w:rPr>
          <w:rFonts w:ascii="Times New Roman" w:hAnsi="Times New Roman"/>
          <w:sz w:val="24"/>
          <w:szCs w:val="24"/>
        </w:rPr>
        <w:t xml:space="preserve">in each material </w:t>
      </w:r>
      <w:r w:rsidR="003C2FF0">
        <w:rPr>
          <w:rFonts w:ascii="Times New Roman" w:hAnsi="Times New Roman"/>
          <w:sz w:val="24"/>
          <w:szCs w:val="24"/>
        </w:rPr>
        <w:t>country and in</w:t>
      </w:r>
      <w:r w:rsidR="00FB6493">
        <w:rPr>
          <w:rFonts w:ascii="Times New Roman" w:hAnsi="Times New Roman"/>
          <w:sz w:val="24"/>
          <w:szCs w:val="24"/>
        </w:rPr>
        <w:t xml:space="preserve"> the</w:t>
      </w:r>
      <w:r w:rsidR="003C2FF0">
        <w:rPr>
          <w:rFonts w:ascii="Times New Roman" w:hAnsi="Times New Roman"/>
          <w:sz w:val="24"/>
          <w:szCs w:val="24"/>
        </w:rPr>
        <w:t xml:space="preserve"> ‘Other </w:t>
      </w:r>
      <w:proofErr w:type="gramStart"/>
      <w:r w:rsidR="003C2FF0">
        <w:rPr>
          <w:rFonts w:ascii="Times New Roman" w:hAnsi="Times New Roman"/>
          <w:sz w:val="24"/>
          <w:szCs w:val="24"/>
        </w:rPr>
        <w:t>countries’</w:t>
      </w:r>
      <w:proofErr w:type="gramEnd"/>
      <w:r w:rsidR="007D06B7">
        <w:rPr>
          <w:rFonts w:ascii="Times New Roman" w:hAnsi="Times New Roman"/>
          <w:sz w:val="24"/>
          <w:szCs w:val="24"/>
        </w:rPr>
        <w:t xml:space="preserve">. </w:t>
      </w:r>
    </w:p>
    <w:p w14:paraId="0A4E1B8E" w14:textId="77777777" w:rsidR="00FA74FA" w:rsidRPr="00F868D2" w:rsidRDefault="00FA74FA" w:rsidP="00FA74FA">
      <w:pPr>
        <w:pStyle w:val="ListParagraph"/>
        <w:rPr>
          <w:rFonts w:ascii="Times New Roman" w:eastAsia="Times New Roman" w:hAnsi="Times New Roman" w:cs="Times New Roman"/>
          <w:kern w:val="0"/>
          <w:sz w:val="24"/>
          <w:szCs w:val="24"/>
          <w:lang w:eastAsia="fr-FR"/>
          <w14:ligatures w14:val="none"/>
        </w:rPr>
      </w:pPr>
    </w:p>
    <w:p w14:paraId="7183BF7E" w14:textId="10286BDF" w:rsidR="00FA74FA" w:rsidRDefault="00FA74FA" w:rsidP="00FA74FA">
      <w:pPr>
        <w:pStyle w:val="ListParagraph"/>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NACE level 3 </w:t>
      </w:r>
      <w:r w:rsidR="007F4AF4">
        <w:rPr>
          <w:rFonts w:ascii="Times New Roman" w:eastAsia="Times New Roman" w:hAnsi="Times New Roman" w:cs="Times New Roman"/>
          <w:kern w:val="0"/>
          <w:sz w:val="24"/>
          <w:szCs w:val="24"/>
          <w:lang w:eastAsia="fr-FR"/>
          <w14:ligatures w14:val="none"/>
        </w:rPr>
        <w:t xml:space="preserve">and level </w:t>
      </w:r>
      <w:r w:rsidR="00284BE7">
        <w:rPr>
          <w:rFonts w:ascii="Times New Roman" w:eastAsia="Times New Roman" w:hAnsi="Times New Roman" w:cs="Times New Roman"/>
          <w:kern w:val="0"/>
          <w:sz w:val="24"/>
          <w:szCs w:val="24"/>
          <w:lang w:eastAsia="fr-FR"/>
          <w14:ligatures w14:val="none"/>
        </w:rPr>
        <w:t xml:space="preserve">4 </w:t>
      </w:r>
      <w:r>
        <w:rPr>
          <w:rFonts w:ascii="Times New Roman" w:eastAsia="Times New Roman" w:hAnsi="Times New Roman" w:cs="Times New Roman"/>
          <w:kern w:val="0"/>
          <w:sz w:val="24"/>
          <w:szCs w:val="24"/>
          <w:lang w:eastAsia="fr-FR"/>
          <w14:ligatures w14:val="none"/>
        </w:rPr>
        <w:t>should only be reported if its related NACE level 2 is material.</w:t>
      </w:r>
    </w:p>
    <w:p w14:paraId="66564BB8" w14:textId="77777777" w:rsidR="00FA74FA" w:rsidRPr="005A20B6" w:rsidRDefault="00FA74FA" w:rsidP="00FA74FA">
      <w:pPr>
        <w:pStyle w:val="ListParagraph"/>
        <w:rPr>
          <w:rFonts w:ascii="Times New Roman" w:eastAsia="Times New Roman" w:hAnsi="Times New Roman" w:cs="Times New Roman"/>
          <w:kern w:val="0"/>
          <w:sz w:val="24"/>
          <w:szCs w:val="24"/>
          <w:lang w:eastAsia="fr-FR"/>
          <w14:ligatures w14:val="none"/>
        </w:rPr>
      </w:pPr>
    </w:p>
    <w:p w14:paraId="17A3B0EE" w14:textId="77777777" w:rsidR="00FA74FA" w:rsidRPr="0028366F" w:rsidRDefault="00FA74FA" w:rsidP="00FA74FA">
      <w:pPr>
        <w:pStyle w:val="ListParagraph"/>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7EB">
        <w:rPr>
          <w:rFonts w:ascii="Times New Roman" w:eastAsia="Times New Roman" w:hAnsi="Times New Roman" w:cs="Times New Roman"/>
          <w:kern w:val="0"/>
          <w:sz w:val="24"/>
          <w:szCs w:val="24"/>
          <w:lang w:eastAsia="fr-FR"/>
          <w14:ligatures w14:val="none"/>
        </w:rPr>
        <w:t>Row 0015, which aggregates exposures to fossil fuel sectors, shall follow the same reporting treatment as NACE</w:t>
      </w:r>
      <w:r>
        <w:rPr>
          <w:rFonts w:ascii="Times New Roman" w:eastAsia="Times New Roman" w:hAnsi="Times New Roman" w:cs="Times New Roman"/>
          <w:kern w:val="0"/>
          <w:sz w:val="24"/>
          <w:szCs w:val="24"/>
          <w:lang w:eastAsia="fr-FR"/>
          <w14:ligatures w14:val="none"/>
        </w:rPr>
        <w:t xml:space="preserve"> level</w:t>
      </w:r>
      <w:r w:rsidRPr="005337EB">
        <w:rPr>
          <w:rFonts w:ascii="Times New Roman" w:eastAsia="Times New Roman" w:hAnsi="Times New Roman" w:cs="Times New Roman"/>
          <w:kern w:val="0"/>
          <w:sz w:val="24"/>
          <w:szCs w:val="24"/>
          <w:lang w:eastAsia="fr-FR"/>
          <w14:ligatures w14:val="none"/>
        </w:rPr>
        <w:t xml:space="preserve"> 1.</w:t>
      </w:r>
    </w:p>
    <w:p w14:paraId="7B817953" w14:textId="7DC76131" w:rsidR="00020D50" w:rsidRPr="00BE72CB" w:rsidRDefault="00020D50" w:rsidP="00166EBA">
      <w:pPr>
        <w:pStyle w:val="ListParagraph"/>
        <w:tabs>
          <w:tab w:val="left" w:pos="567"/>
        </w:tabs>
        <w:spacing w:before="120" w:after="120" w:line="240" w:lineRule="auto"/>
        <w:ind w:left="1440"/>
        <w:contextualSpacing w:val="0"/>
        <w:jc w:val="both"/>
        <w:rPr>
          <w:rFonts w:ascii="Times New Roman" w:hAnsi="Times New Roman"/>
          <w:sz w:val="24"/>
          <w:szCs w:val="24"/>
        </w:rPr>
      </w:pPr>
    </w:p>
    <w:p w14:paraId="04204AF7" w14:textId="77777777" w:rsidR="00FF6871" w:rsidRPr="00BE72CB" w:rsidRDefault="00B07B19" w:rsidP="00FF6871">
      <w:pPr>
        <w:pStyle w:val="subtitlenumbered"/>
        <w:numPr>
          <w:ilvl w:val="0"/>
          <w:numId w:val="7"/>
        </w:numPr>
        <w:ind w:left="180"/>
        <w:jc w:val="both"/>
        <w:rPr>
          <w:b/>
          <w:bCs/>
          <w:caps w:val="0"/>
          <w:lang w:val="en-GB"/>
        </w:rPr>
      </w:pPr>
      <w:bookmarkStart w:id="2" w:name="_Toc225353454"/>
      <w:r w:rsidRPr="009133CD">
        <w:rPr>
          <w:b/>
          <w:bCs/>
          <w:caps w:val="0"/>
          <w:lang w:val="en-GB"/>
        </w:rPr>
        <w:t xml:space="preserve">D 01.02 </w:t>
      </w:r>
      <w:r w:rsidR="00FF6871" w:rsidRPr="00BE72CB">
        <w:rPr>
          <w:b/>
          <w:bCs/>
          <w:caps w:val="0"/>
          <w:lang w:val="en-GB"/>
        </w:rPr>
        <w:t>- Climate change transition risk - Credit quality of exposures by sector, emissions and residual maturity</w:t>
      </w:r>
      <w:bookmarkEnd w:id="2"/>
    </w:p>
    <w:p w14:paraId="5CC77EF0" w14:textId="01D09CA2" w:rsidR="00FF6871" w:rsidRDefault="008F490B" w:rsidP="008F490B">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A556C2">
        <w:rPr>
          <w:rFonts w:ascii="Times New Roman" w:hAnsi="Times New Roman"/>
          <w:sz w:val="24"/>
        </w:rPr>
        <w:t xml:space="preserve">This template shall be reported by </w:t>
      </w:r>
      <w:proofErr w:type="gramStart"/>
      <w:r w:rsidR="00A01968">
        <w:rPr>
          <w:rFonts w:ascii="Times New Roman" w:hAnsi="Times New Roman"/>
          <w:sz w:val="24"/>
        </w:rPr>
        <w:t>Other</w:t>
      </w:r>
      <w:proofErr w:type="gramEnd"/>
      <w:r w:rsidRPr="00A556C2">
        <w:rPr>
          <w:rFonts w:ascii="Times New Roman" w:hAnsi="Times New Roman"/>
          <w:sz w:val="24"/>
        </w:rPr>
        <w:t xml:space="preserve"> institutions (listed and non-listed) </w:t>
      </w:r>
      <w:r w:rsidR="00A01968">
        <w:rPr>
          <w:rFonts w:ascii="Times New Roman" w:hAnsi="Times New Roman"/>
          <w:sz w:val="24"/>
        </w:rPr>
        <w:t xml:space="preserve">and large subsidiaries </w:t>
      </w:r>
      <w:r w:rsidRPr="00A556C2">
        <w:rPr>
          <w:rFonts w:ascii="Times New Roman" w:hAnsi="Times New Roman"/>
          <w:sz w:val="24"/>
        </w:rPr>
        <w:t xml:space="preserve">on </w:t>
      </w:r>
      <w:r w:rsidR="00FA0009">
        <w:rPr>
          <w:rFonts w:ascii="Times New Roman" w:hAnsi="Times New Roman"/>
          <w:sz w:val="24"/>
        </w:rPr>
        <w:t xml:space="preserve">an </w:t>
      </w:r>
      <w:r w:rsidRPr="00A556C2">
        <w:rPr>
          <w:rFonts w:ascii="Times New Roman" w:hAnsi="Times New Roman"/>
          <w:sz w:val="24"/>
        </w:rPr>
        <w:t>annual basis</w:t>
      </w:r>
      <w:r w:rsidR="00731C65">
        <w:rPr>
          <w:rFonts w:ascii="Times New Roman" w:hAnsi="Times New Roman"/>
          <w:sz w:val="24"/>
        </w:rPr>
        <w:t xml:space="preserve"> and by large institutions </w:t>
      </w:r>
      <w:r w:rsidR="00731C65" w:rsidRPr="004A03FC">
        <w:rPr>
          <w:rFonts w:ascii="Times New Roman" w:eastAsia="Times New Roman" w:hAnsi="Times New Roman"/>
          <w:sz w:val="24"/>
          <w:szCs w:val="24"/>
        </w:rPr>
        <w:t xml:space="preserve">with total assets </w:t>
      </w:r>
      <w:r w:rsidR="00731C65">
        <w:rPr>
          <w:rFonts w:ascii="Times New Roman" w:eastAsia="Times New Roman" w:hAnsi="Times New Roman"/>
          <w:sz w:val="24"/>
          <w:szCs w:val="24"/>
        </w:rPr>
        <w:t xml:space="preserve">below </w:t>
      </w:r>
      <w:r w:rsidR="00731C65" w:rsidRPr="004A03FC">
        <w:rPr>
          <w:rFonts w:ascii="Times New Roman" w:eastAsia="Times New Roman" w:hAnsi="Times New Roman"/>
          <w:sz w:val="24"/>
          <w:szCs w:val="24"/>
        </w:rPr>
        <w:t>30bn EUR</w:t>
      </w:r>
      <w:r w:rsidR="00731C65">
        <w:rPr>
          <w:rFonts w:ascii="Times New Roman" w:eastAsia="Times New Roman" w:hAnsi="Times New Roman"/>
          <w:sz w:val="24"/>
          <w:szCs w:val="24"/>
        </w:rPr>
        <w:t xml:space="preserve"> on a semi-annual basis.</w:t>
      </w:r>
      <w:r w:rsidR="00731C65">
        <w:rPr>
          <w:rFonts w:ascii="Times New Roman" w:hAnsi="Times New Roman"/>
          <w:sz w:val="24"/>
        </w:rPr>
        <w:t xml:space="preserve"> </w:t>
      </w:r>
    </w:p>
    <w:p w14:paraId="37128AE1" w14:textId="77777777" w:rsidR="008538D3" w:rsidRDefault="00A556C2" w:rsidP="008F490B">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BE72CB">
        <w:rPr>
          <w:rFonts w:ascii="Times New Roman" w:hAnsi="Times New Roman"/>
          <w:sz w:val="24"/>
        </w:rPr>
        <w:t xml:space="preserve">Institutions shall </w:t>
      </w:r>
      <w:r>
        <w:rPr>
          <w:rFonts w:ascii="Times New Roman" w:hAnsi="Times New Roman"/>
          <w:sz w:val="24"/>
        </w:rPr>
        <w:t xml:space="preserve">report the information referred to in this template in accordance with </w:t>
      </w:r>
      <w:r w:rsidRPr="00BE72CB">
        <w:rPr>
          <w:rFonts w:ascii="Times New Roman" w:hAnsi="Times New Roman"/>
          <w:sz w:val="24"/>
        </w:rPr>
        <w:t xml:space="preserve">the instructions </w:t>
      </w:r>
      <w:r>
        <w:rPr>
          <w:rFonts w:ascii="Times New Roman" w:hAnsi="Times New Roman"/>
          <w:sz w:val="24"/>
        </w:rPr>
        <w:t>provided for</w:t>
      </w:r>
      <w:r w:rsidRPr="00BE72CB">
        <w:rPr>
          <w:rFonts w:ascii="Times New Roman" w:hAnsi="Times New Roman"/>
          <w:sz w:val="24"/>
        </w:rPr>
        <w:t xml:space="preserve"> </w:t>
      </w:r>
      <w:r w:rsidRPr="00AF54AE">
        <w:rPr>
          <w:rFonts w:ascii="Times New Roman" w:hAnsi="Times New Roman"/>
          <w:i/>
          <w:iCs/>
          <w:sz w:val="24"/>
        </w:rPr>
        <w:t>‘EU - CRFR1: Climate change transition risk - Credit quality of exposures by sector, emissions and residual maturity’</w:t>
      </w:r>
      <w:r w:rsidRPr="00BE72CB">
        <w:rPr>
          <w:rFonts w:ascii="Times New Roman" w:hAnsi="Times New Roman"/>
          <w:sz w:val="24"/>
        </w:rPr>
        <w:t xml:space="preserve"> set out in Annex </w:t>
      </w:r>
      <w:r w:rsidRPr="009133CD">
        <w:rPr>
          <w:rFonts w:ascii="Times New Roman" w:hAnsi="Times New Roman"/>
          <w:sz w:val="24"/>
        </w:rPr>
        <w:t>X</w:t>
      </w:r>
      <w:r w:rsidRPr="008538D3">
        <w:rPr>
          <w:rFonts w:ascii="Times New Roman" w:hAnsi="Times New Roman"/>
          <w:sz w:val="24"/>
        </w:rPr>
        <w:t>L</w:t>
      </w:r>
      <w:r w:rsidRPr="00BE72CB">
        <w:rPr>
          <w:rFonts w:ascii="Times New Roman" w:hAnsi="Times New Roman"/>
          <w:sz w:val="24"/>
        </w:rPr>
        <w:t xml:space="preserve"> of the Implementing Regulation 2024/3172. </w:t>
      </w:r>
    </w:p>
    <w:p w14:paraId="623A9E66" w14:textId="77777777" w:rsidR="004B6B05" w:rsidRDefault="004B6B05" w:rsidP="004B6B05">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133CD">
        <w:rPr>
          <w:rFonts w:ascii="Times New Roman" w:hAnsi="Times New Roman"/>
          <w:sz w:val="24"/>
        </w:rPr>
        <w:t>Institutions shall report the Total exposures, with the same scope as in the disclosures template covering the exposures at amortised cost and FVOCI portfolios.</w:t>
      </w:r>
    </w:p>
    <w:p w14:paraId="32C76690" w14:textId="77777777" w:rsidR="007033C3" w:rsidRPr="007033C3" w:rsidRDefault="007033C3"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7033C3">
        <w:rPr>
          <w:rFonts w:ascii="Times New Roman" w:hAnsi="Times New Roman"/>
          <w:sz w:val="24"/>
        </w:rPr>
        <w:t xml:space="preserve">The row 0015, </w:t>
      </w:r>
      <w:r w:rsidRPr="007033C3">
        <w:rPr>
          <w:rFonts w:ascii="Times New Roman" w:hAnsi="Times New Roman"/>
          <w:i/>
          <w:iCs/>
          <w:sz w:val="24"/>
        </w:rPr>
        <w:t>‘Of which: exposures from fossil fuel sectors’</w:t>
      </w:r>
      <w:r w:rsidRPr="007033C3">
        <w:rPr>
          <w:rFonts w:ascii="Times New Roman" w:hAnsi="Times New Roman"/>
          <w:sz w:val="24"/>
        </w:rPr>
        <w:t>, aggregates the information on fossil fuel sectors (aggregating the information from rows: 0070, 0080, 0100, 0110, 0240, 0430, 0450, 0520, 0540, 0545, 0570).</w:t>
      </w:r>
    </w:p>
    <w:p w14:paraId="7F347B82" w14:textId="77777777" w:rsidR="007033C3" w:rsidRPr="009133CD" w:rsidRDefault="007033C3"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133CD">
        <w:rPr>
          <w:rFonts w:ascii="Times New Roman" w:hAnsi="Times New Roman"/>
          <w:i/>
          <w:iCs/>
          <w:sz w:val="24"/>
        </w:rPr>
        <w:t>‘Gross interest income</w:t>
      </w:r>
      <w:r w:rsidRPr="009133CD">
        <w:rPr>
          <w:rFonts w:ascii="Times New Roman" w:hAnsi="Times New Roman"/>
          <w:sz w:val="24"/>
        </w:rPr>
        <w:t>’ (column 0076) shall be reported in accordance with the definition in Annex V – Reporting on Financial Information (FINREP F02.00). ‘</w:t>
      </w:r>
      <w:r w:rsidRPr="009133CD">
        <w:rPr>
          <w:rFonts w:ascii="Times New Roman" w:hAnsi="Times New Roman"/>
          <w:i/>
          <w:iCs/>
          <w:sz w:val="24"/>
        </w:rPr>
        <w:t>Gross fee and commission income’</w:t>
      </w:r>
      <w:r w:rsidRPr="009133CD">
        <w:rPr>
          <w:rFonts w:ascii="Times New Roman" w:hAnsi="Times New Roman"/>
          <w:sz w:val="24"/>
        </w:rPr>
        <w:t xml:space="preserve"> (column 0077) shall be reported in accordance with the definition in Annex V – Reporting on Financial Information (FINREP F16.01).</w:t>
      </w:r>
    </w:p>
    <w:p w14:paraId="02E9D87F" w14:textId="77777777" w:rsidR="00FF6871" w:rsidRPr="009133CD" w:rsidRDefault="00FF6871" w:rsidP="009133CD">
      <w:pPr>
        <w:pStyle w:val="subtitlenumbered"/>
        <w:jc w:val="both"/>
        <w:rPr>
          <w:b/>
        </w:rPr>
      </w:pPr>
    </w:p>
    <w:p w14:paraId="0B70FC2B" w14:textId="0A6D5953" w:rsidR="00896DEE" w:rsidRPr="00BE72CB" w:rsidRDefault="00D22C78" w:rsidP="008C6C11">
      <w:pPr>
        <w:pStyle w:val="subtitlenumbered"/>
        <w:numPr>
          <w:ilvl w:val="0"/>
          <w:numId w:val="7"/>
        </w:numPr>
        <w:ind w:left="180"/>
        <w:jc w:val="both"/>
        <w:rPr>
          <w:b/>
          <w:bCs/>
          <w:caps w:val="0"/>
          <w:lang w:val="en-GB"/>
        </w:rPr>
      </w:pPr>
      <w:bookmarkStart w:id="3" w:name="_Toc225353455"/>
      <w:r w:rsidRPr="00BE72CB">
        <w:rPr>
          <w:b/>
          <w:bCs/>
          <w:caps w:val="0"/>
          <w:lang w:val="en-GB"/>
        </w:rPr>
        <w:t xml:space="preserve">D 01.01 </w:t>
      </w:r>
      <w:r w:rsidR="0076213D" w:rsidRPr="00BE72CB">
        <w:rPr>
          <w:b/>
          <w:bCs/>
          <w:caps w:val="0"/>
          <w:lang w:val="en-GB"/>
        </w:rPr>
        <w:t>- Simplified</w:t>
      </w:r>
      <w:r w:rsidRPr="00BE72CB">
        <w:rPr>
          <w:b/>
          <w:bCs/>
          <w:caps w:val="0"/>
          <w:lang w:val="en-GB"/>
        </w:rPr>
        <w:t xml:space="preserve"> ESG information for SNCI and Other non-listed institutions covering both transition and physical risk</w:t>
      </w:r>
      <w:bookmarkEnd w:id="3"/>
    </w:p>
    <w:p w14:paraId="69DF1FF2" w14:textId="5C43E4E0" w:rsidR="001F2970" w:rsidRPr="00E33CC2" w:rsidRDefault="005C431F"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00E33CC2">
        <w:rPr>
          <w:rFonts w:ascii="Times New Roman" w:hAnsi="Times New Roman"/>
          <w:sz w:val="24"/>
          <w:szCs w:val="24"/>
        </w:rPr>
        <w:t>This template shall be reported by</w:t>
      </w:r>
      <w:r w:rsidR="000253A7" w:rsidRPr="00E33CC2">
        <w:rPr>
          <w:rFonts w:ascii="Times New Roman" w:hAnsi="Times New Roman"/>
          <w:sz w:val="24"/>
          <w:szCs w:val="24"/>
        </w:rPr>
        <w:t xml:space="preserve"> </w:t>
      </w:r>
      <w:r w:rsidR="001B56D3" w:rsidRPr="00E33CC2">
        <w:rPr>
          <w:rFonts w:ascii="Times New Roman" w:hAnsi="Times New Roman"/>
          <w:sz w:val="24"/>
          <w:szCs w:val="24"/>
        </w:rPr>
        <w:t>small and non-complex institutions</w:t>
      </w:r>
      <w:r w:rsidR="001F2970" w:rsidRPr="00E33CC2">
        <w:rPr>
          <w:rFonts w:ascii="Times New Roman" w:hAnsi="Times New Roman"/>
          <w:sz w:val="24"/>
          <w:szCs w:val="24"/>
        </w:rPr>
        <w:t xml:space="preserve"> and by other, non-listed institutions</w:t>
      </w:r>
      <w:r w:rsidR="00C74073">
        <w:rPr>
          <w:rFonts w:ascii="Times New Roman" w:hAnsi="Times New Roman"/>
          <w:sz w:val="24"/>
          <w:szCs w:val="24"/>
        </w:rPr>
        <w:t xml:space="preserve"> on an annual basis.</w:t>
      </w:r>
    </w:p>
    <w:p w14:paraId="1A18E288" w14:textId="55858FC5" w:rsidR="00B74B44" w:rsidRDefault="00B74B44" w:rsidP="008F490B">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42B38024">
        <w:rPr>
          <w:rFonts w:ascii="Times New Roman" w:hAnsi="Times New Roman"/>
          <w:sz w:val="24"/>
          <w:szCs w:val="24"/>
        </w:rPr>
        <w:t xml:space="preserve">Institutions </w:t>
      </w:r>
      <w:r w:rsidR="008E4B98" w:rsidRPr="42B38024">
        <w:rPr>
          <w:rFonts w:ascii="Times New Roman" w:hAnsi="Times New Roman"/>
          <w:sz w:val="24"/>
          <w:szCs w:val="24"/>
        </w:rPr>
        <w:t xml:space="preserve">shall report the information referred to in this template in accordance with the </w:t>
      </w:r>
      <w:r w:rsidRPr="42B38024">
        <w:rPr>
          <w:rFonts w:ascii="Times New Roman" w:hAnsi="Times New Roman"/>
          <w:sz w:val="24"/>
          <w:szCs w:val="24"/>
        </w:rPr>
        <w:t xml:space="preserve">instructions </w:t>
      </w:r>
      <w:r w:rsidR="008E4B98" w:rsidRPr="42B38024">
        <w:rPr>
          <w:rFonts w:ascii="Times New Roman" w:hAnsi="Times New Roman"/>
          <w:sz w:val="24"/>
          <w:szCs w:val="24"/>
        </w:rPr>
        <w:t>provided for</w:t>
      </w:r>
      <w:r w:rsidRPr="42B38024">
        <w:rPr>
          <w:rFonts w:ascii="Times New Roman" w:hAnsi="Times New Roman"/>
          <w:sz w:val="24"/>
          <w:szCs w:val="24"/>
        </w:rPr>
        <w:t xml:space="preserve"> </w:t>
      </w:r>
      <w:r w:rsidRPr="00AF54AE">
        <w:rPr>
          <w:rFonts w:ascii="Times New Roman" w:hAnsi="Times New Roman"/>
          <w:i/>
          <w:iCs/>
          <w:sz w:val="24"/>
          <w:szCs w:val="24"/>
        </w:rPr>
        <w:t>‘EU - CRFR1</w:t>
      </w:r>
      <w:r w:rsidR="0054018F">
        <w:rPr>
          <w:rFonts w:ascii="Times New Roman" w:hAnsi="Times New Roman"/>
          <w:i/>
          <w:iCs/>
          <w:sz w:val="24"/>
          <w:szCs w:val="24"/>
        </w:rPr>
        <w:t>.1</w:t>
      </w:r>
      <w:r w:rsidRPr="00AF54AE">
        <w:rPr>
          <w:rFonts w:ascii="Times New Roman" w:hAnsi="Times New Roman"/>
          <w:i/>
          <w:iCs/>
          <w:sz w:val="24"/>
          <w:szCs w:val="24"/>
        </w:rPr>
        <w:t>: Climate change transition risk - Credit quality of exposures by sector, emissions and residual maturity’</w:t>
      </w:r>
      <w:r w:rsidRPr="42B38024">
        <w:rPr>
          <w:rFonts w:ascii="Times New Roman" w:hAnsi="Times New Roman"/>
          <w:sz w:val="24"/>
          <w:szCs w:val="24"/>
        </w:rPr>
        <w:t xml:space="preserve"> set out in Annex </w:t>
      </w:r>
      <w:r w:rsidRPr="45517FA1">
        <w:rPr>
          <w:rFonts w:ascii="Times New Roman" w:hAnsi="Times New Roman"/>
          <w:sz w:val="24"/>
          <w:szCs w:val="24"/>
        </w:rPr>
        <w:t>X</w:t>
      </w:r>
      <w:r w:rsidR="0DD75CF5" w:rsidRPr="45517FA1">
        <w:rPr>
          <w:rFonts w:ascii="Times New Roman" w:hAnsi="Times New Roman"/>
          <w:sz w:val="24"/>
          <w:szCs w:val="24"/>
        </w:rPr>
        <w:t>L</w:t>
      </w:r>
      <w:r w:rsidRPr="42B38024">
        <w:rPr>
          <w:rFonts w:ascii="Times New Roman" w:hAnsi="Times New Roman"/>
          <w:sz w:val="24"/>
          <w:szCs w:val="24"/>
        </w:rPr>
        <w:t xml:space="preserve"> of the Implementing Regulation 2024/3172. </w:t>
      </w:r>
    </w:p>
    <w:p w14:paraId="3A3490E0" w14:textId="3B159EE9" w:rsidR="00EC4D15" w:rsidRPr="009133CD" w:rsidRDefault="00EC4D15"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00BE72CB">
        <w:rPr>
          <w:rFonts w:ascii="Times New Roman" w:hAnsi="Times New Roman"/>
          <w:sz w:val="24"/>
          <w:szCs w:val="24"/>
        </w:rPr>
        <w:t>The row 0015</w:t>
      </w:r>
      <w:r>
        <w:rPr>
          <w:rFonts w:ascii="Times New Roman" w:hAnsi="Times New Roman"/>
          <w:sz w:val="24"/>
          <w:szCs w:val="24"/>
        </w:rPr>
        <w:t xml:space="preserve">, </w:t>
      </w:r>
      <w:r w:rsidRPr="00136151">
        <w:rPr>
          <w:rFonts w:ascii="Times New Roman" w:hAnsi="Times New Roman"/>
          <w:i/>
          <w:iCs/>
          <w:sz w:val="24"/>
          <w:szCs w:val="24"/>
        </w:rPr>
        <w:t xml:space="preserve">‘Of which: </w:t>
      </w:r>
      <w:r w:rsidR="0071517A">
        <w:rPr>
          <w:rFonts w:ascii="Times New Roman" w:hAnsi="Times New Roman"/>
          <w:i/>
          <w:iCs/>
          <w:sz w:val="24"/>
          <w:szCs w:val="24"/>
        </w:rPr>
        <w:t>E</w:t>
      </w:r>
      <w:r w:rsidRPr="00136151">
        <w:rPr>
          <w:rFonts w:ascii="Times New Roman" w:hAnsi="Times New Roman"/>
          <w:i/>
          <w:iCs/>
          <w:sz w:val="24"/>
          <w:szCs w:val="24"/>
        </w:rPr>
        <w:t>xposures from fossil fuel sectors’</w:t>
      </w:r>
      <w:r>
        <w:rPr>
          <w:rFonts w:ascii="Times New Roman" w:hAnsi="Times New Roman"/>
          <w:sz w:val="24"/>
          <w:szCs w:val="24"/>
        </w:rPr>
        <w:t xml:space="preserve">, </w:t>
      </w:r>
      <w:r w:rsidRPr="00BE72CB">
        <w:rPr>
          <w:rFonts w:ascii="Times New Roman" w:hAnsi="Times New Roman"/>
          <w:sz w:val="24"/>
          <w:szCs w:val="24"/>
        </w:rPr>
        <w:t>aggregates the information on fossil fuel sectors (aggregating the information from rows: 00</w:t>
      </w:r>
      <w:r w:rsidR="00322827">
        <w:rPr>
          <w:rFonts w:ascii="Times New Roman" w:hAnsi="Times New Roman"/>
          <w:sz w:val="24"/>
          <w:szCs w:val="24"/>
        </w:rPr>
        <w:t>5</w:t>
      </w:r>
      <w:r w:rsidRPr="00BE72CB">
        <w:rPr>
          <w:rFonts w:ascii="Times New Roman" w:hAnsi="Times New Roman"/>
          <w:sz w:val="24"/>
          <w:szCs w:val="24"/>
        </w:rPr>
        <w:t xml:space="preserve">0, </w:t>
      </w:r>
      <w:r w:rsidR="00322827">
        <w:rPr>
          <w:rFonts w:ascii="Times New Roman" w:hAnsi="Times New Roman"/>
          <w:sz w:val="24"/>
          <w:szCs w:val="24"/>
        </w:rPr>
        <w:t>0060,</w:t>
      </w:r>
      <w:r w:rsidR="009A442A">
        <w:rPr>
          <w:rFonts w:ascii="Times New Roman" w:hAnsi="Times New Roman"/>
          <w:sz w:val="24"/>
          <w:szCs w:val="24"/>
        </w:rPr>
        <w:t xml:space="preserve"> 0070, </w:t>
      </w:r>
      <w:r w:rsidRPr="00BE72CB">
        <w:rPr>
          <w:rFonts w:ascii="Times New Roman" w:hAnsi="Times New Roman"/>
          <w:sz w:val="24"/>
          <w:szCs w:val="24"/>
        </w:rPr>
        <w:t>0080, 0110, 0</w:t>
      </w:r>
      <w:r w:rsidR="009B53C0">
        <w:rPr>
          <w:rFonts w:ascii="Times New Roman" w:hAnsi="Times New Roman"/>
          <w:sz w:val="24"/>
          <w:szCs w:val="24"/>
        </w:rPr>
        <w:t>15</w:t>
      </w:r>
      <w:r w:rsidRPr="00BE72CB">
        <w:rPr>
          <w:rFonts w:ascii="Times New Roman" w:hAnsi="Times New Roman"/>
          <w:sz w:val="24"/>
          <w:szCs w:val="24"/>
        </w:rPr>
        <w:t xml:space="preserve">0, </w:t>
      </w:r>
      <w:r w:rsidR="006B3C5B">
        <w:rPr>
          <w:rFonts w:ascii="Times New Roman" w:hAnsi="Times New Roman"/>
          <w:sz w:val="24"/>
          <w:szCs w:val="24"/>
        </w:rPr>
        <w:t>0170, 0210, 0220, 0230, 0250</w:t>
      </w:r>
      <w:r w:rsidRPr="00BE72CB">
        <w:rPr>
          <w:rFonts w:ascii="Times New Roman" w:hAnsi="Times New Roman"/>
          <w:sz w:val="24"/>
          <w:szCs w:val="24"/>
        </w:rPr>
        <w:t>)</w:t>
      </w:r>
    </w:p>
    <w:p w14:paraId="3F639E22" w14:textId="77777777" w:rsidR="00D22C78" w:rsidRPr="00BE72CB" w:rsidRDefault="00D22C78" w:rsidP="00061186">
      <w:pPr>
        <w:rPr>
          <w:rFonts w:ascii="Times New Roman" w:hAnsi="Times New Roman" w:cs="Times New Roman"/>
          <w:b/>
          <w:sz w:val="24"/>
        </w:rPr>
      </w:pPr>
    </w:p>
    <w:p w14:paraId="4B347A90" w14:textId="72E4D23D" w:rsidR="00D22C78" w:rsidRPr="00BE72CB" w:rsidRDefault="00D22C78" w:rsidP="008C6C11">
      <w:pPr>
        <w:pStyle w:val="subtitlenumbered"/>
        <w:numPr>
          <w:ilvl w:val="0"/>
          <w:numId w:val="7"/>
        </w:numPr>
        <w:ind w:left="180"/>
        <w:jc w:val="both"/>
        <w:rPr>
          <w:b/>
          <w:bCs/>
          <w:caps w:val="0"/>
          <w:lang w:val="en-GB"/>
        </w:rPr>
      </w:pPr>
      <w:bookmarkStart w:id="4" w:name="_Toc225353456"/>
      <w:r w:rsidRPr="00BE72CB">
        <w:rPr>
          <w:b/>
          <w:bCs/>
          <w:caps w:val="0"/>
          <w:lang w:val="en-GB"/>
        </w:rPr>
        <w:t>D 02.00</w:t>
      </w:r>
      <w:r w:rsidR="005A6823" w:rsidRPr="00BE72CB">
        <w:rPr>
          <w:b/>
          <w:bCs/>
          <w:caps w:val="0"/>
          <w:lang w:val="en-GB"/>
        </w:rPr>
        <w:t xml:space="preserve"> -</w:t>
      </w:r>
      <w:r w:rsidRPr="00BE72CB">
        <w:rPr>
          <w:b/>
          <w:bCs/>
          <w:caps w:val="0"/>
          <w:lang w:val="en-GB"/>
        </w:rPr>
        <w:t xml:space="preserve"> Climate change transition risk - Loans collateralised by immovable property, energy performance of the collateral</w:t>
      </w:r>
      <w:bookmarkEnd w:id="4"/>
    </w:p>
    <w:p w14:paraId="46222A80" w14:textId="09526D18" w:rsidR="003500C5" w:rsidRDefault="003500C5"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Pr>
          <w:rFonts w:ascii="Times New Roman" w:hAnsi="Times New Roman"/>
          <w:sz w:val="24"/>
        </w:rPr>
        <w:t xml:space="preserve">This template shall be reported by </w:t>
      </w:r>
      <w:r w:rsidR="00B85AE2">
        <w:rPr>
          <w:rFonts w:ascii="Times New Roman" w:hAnsi="Times New Roman"/>
          <w:sz w:val="24"/>
        </w:rPr>
        <w:t>large institutions</w:t>
      </w:r>
      <w:r w:rsidR="001E7D1A">
        <w:rPr>
          <w:rFonts w:ascii="Times New Roman" w:hAnsi="Times New Roman"/>
          <w:sz w:val="24"/>
        </w:rPr>
        <w:t xml:space="preserve"> on </w:t>
      </w:r>
      <w:r w:rsidR="00647551">
        <w:rPr>
          <w:rFonts w:ascii="Times New Roman" w:hAnsi="Times New Roman"/>
          <w:sz w:val="24"/>
        </w:rPr>
        <w:t>semi-</w:t>
      </w:r>
      <w:r w:rsidR="001E7D1A">
        <w:rPr>
          <w:rFonts w:ascii="Times New Roman" w:hAnsi="Times New Roman"/>
          <w:sz w:val="24"/>
        </w:rPr>
        <w:t xml:space="preserve">annual basis and </w:t>
      </w:r>
      <w:r w:rsidR="00B85AE2">
        <w:rPr>
          <w:rFonts w:ascii="Times New Roman" w:hAnsi="Times New Roman"/>
          <w:sz w:val="24"/>
        </w:rPr>
        <w:t>other listed institutions and large subsidiaries</w:t>
      </w:r>
      <w:r w:rsidR="00647551">
        <w:rPr>
          <w:rFonts w:ascii="Times New Roman" w:hAnsi="Times New Roman"/>
          <w:sz w:val="24"/>
        </w:rPr>
        <w:t xml:space="preserve"> on annual basis</w:t>
      </w:r>
      <w:r w:rsidR="00B85AE2">
        <w:rPr>
          <w:rFonts w:ascii="Times New Roman" w:hAnsi="Times New Roman"/>
          <w:sz w:val="24"/>
        </w:rPr>
        <w:t>.</w:t>
      </w:r>
    </w:p>
    <w:p w14:paraId="3BDF2766" w14:textId="3A2FE798" w:rsidR="00BC13A4" w:rsidRDefault="00BC13A4"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2CDB698C">
        <w:rPr>
          <w:rFonts w:ascii="Times New Roman" w:hAnsi="Times New Roman"/>
          <w:sz w:val="24"/>
          <w:szCs w:val="24"/>
        </w:rPr>
        <w:t xml:space="preserve">Institutions shall </w:t>
      </w:r>
      <w:r w:rsidR="008E4B98" w:rsidRPr="2CDB698C">
        <w:rPr>
          <w:rFonts w:ascii="Times New Roman" w:hAnsi="Times New Roman"/>
          <w:sz w:val="24"/>
          <w:szCs w:val="24"/>
        </w:rPr>
        <w:t xml:space="preserve">report the information referred to in this template in accordance with </w:t>
      </w:r>
      <w:r w:rsidRPr="2CDB698C">
        <w:rPr>
          <w:rFonts w:ascii="Times New Roman" w:hAnsi="Times New Roman"/>
          <w:sz w:val="24"/>
          <w:szCs w:val="24"/>
        </w:rPr>
        <w:t xml:space="preserve">the instructions </w:t>
      </w:r>
      <w:r w:rsidR="008E4B98" w:rsidRPr="2CDB698C">
        <w:rPr>
          <w:rFonts w:ascii="Times New Roman" w:hAnsi="Times New Roman"/>
          <w:sz w:val="24"/>
          <w:szCs w:val="24"/>
        </w:rPr>
        <w:t xml:space="preserve">provided for </w:t>
      </w:r>
      <w:r w:rsidRPr="00AF54AE">
        <w:rPr>
          <w:rFonts w:ascii="Times New Roman" w:hAnsi="Times New Roman"/>
          <w:i/>
          <w:iCs/>
          <w:sz w:val="24"/>
          <w:szCs w:val="24"/>
        </w:rPr>
        <w:t>‘EU - CRFR3: Climate change transition risk: Loans collateralised by immovable property, energy performance of the collateral’</w:t>
      </w:r>
      <w:r w:rsidRPr="2CDB698C">
        <w:rPr>
          <w:rFonts w:ascii="Times New Roman" w:hAnsi="Times New Roman"/>
          <w:sz w:val="24"/>
          <w:szCs w:val="24"/>
        </w:rPr>
        <w:t xml:space="preserve">, set out in Annex </w:t>
      </w:r>
      <w:r w:rsidRPr="3A8A05F4">
        <w:rPr>
          <w:rFonts w:ascii="Times New Roman" w:hAnsi="Times New Roman"/>
          <w:sz w:val="24"/>
          <w:szCs w:val="24"/>
        </w:rPr>
        <w:t>X</w:t>
      </w:r>
      <w:r w:rsidR="00E16195" w:rsidRPr="3A8A05F4">
        <w:rPr>
          <w:rFonts w:ascii="Times New Roman" w:hAnsi="Times New Roman"/>
          <w:sz w:val="24"/>
          <w:szCs w:val="24"/>
        </w:rPr>
        <w:t>L</w:t>
      </w:r>
      <w:r w:rsidRPr="2CDB698C">
        <w:rPr>
          <w:rFonts w:ascii="Times New Roman" w:hAnsi="Times New Roman"/>
          <w:sz w:val="24"/>
          <w:szCs w:val="24"/>
        </w:rPr>
        <w:t xml:space="preserve"> of Implementing Regulation 2024/3172. </w:t>
      </w:r>
    </w:p>
    <w:p w14:paraId="2FE9C5ED" w14:textId="5AD47CB2" w:rsidR="003E3189" w:rsidRPr="00BE72CB" w:rsidRDefault="003E3189" w:rsidP="00C9311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72A6F959">
        <w:rPr>
          <w:rFonts w:ascii="Times New Roman" w:hAnsi="Times New Roman"/>
          <w:sz w:val="24"/>
          <w:szCs w:val="24"/>
        </w:rPr>
        <w:t xml:space="preserve">In addition, institutions shall </w:t>
      </w:r>
      <w:r w:rsidR="4D1CE8BA" w:rsidRPr="597FD105">
        <w:rPr>
          <w:rFonts w:ascii="Times New Roman" w:hAnsi="Times New Roman"/>
          <w:sz w:val="24"/>
          <w:szCs w:val="24"/>
        </w:rPr>
        <w:t xml:space="preserve">report </w:t>
      </w:r>
      <w:r w:rsidRPr="597FD105">
        <w:rPr>
          <w:rFonts w:ascii="Times New Roman" w:hAnsi="Times New Roman"/>
          <w:sz w:val="24"/>
          <w:szCs w:val="24"/>
        </w:rPr>
        <w:t>in</w:t>
      </w:r>
      <w:r w:rsidRPr="72A6F959">
        <w:rPr>
          <w:rFonts w:ascii="Times New Roman" w:hAnsi="Times New Roman"/>
          <w:sz w:val="24"/>
          <w:szCs w:val="24"/>
        </w:rPr>
        <w:t xml:space="preserve"> the </w:t>
      </w:r>
      <w:r w:rsidRPr="009133CD">
        <w:rPr>
          <w:rFonts w:ascii="Times New Roman" w:hAnsi="Times New Roman"/>
          <w:b/>
          <w:bCs/>
          <w:sz w:val="24"/>
          <w:szCs w:val="24"/>
        </w:rPr>
        <w:t>rows</w:t>
      </w:r>
      <w:r w:rsidRPr="72A6F959">
        <w:rPr>
          <w:rFonts w:ascii="Times New Roman" w:hAnsi="Times New Roman"/>
          <w:sz w:val="24"/>
          <w:szCs w:val="24"/>
        </w:rPr>
        <w:t>:</w:t>
      </w:r>
    </w:p>
    <w:p w14:paraId="365AF349" w14:textId="45B9EE0E" w:rsidR="003E3189" w:rsidRDefault="003E3189" w:rsidP="009133CD">
      <w:pPr>
        <w:pStyle w:val="ListParagraph"/>
        <w:numPr>
          <w:ilvl w:val="0"/>
          <w:numId w:val="36"/>
        </w:numPr>
        <w:tabs>
          <w:tab w:val="left" w:pos="567"/>
        </w:tabs>
        <w:spacing w:before="120" w:after="120" w:line="240" w:lineRule="auto"/>
        <w:ind w:left="990"/>
        <w:jc w:val="both"/>
        <w:rPr>
          <w:rFonts w:ascii="Times New Roman" w:hAnsi="Times New Roman"/>
          <w:sz w:val="24"/>
          <w:szCs w:val="24"/>
        </w:rPr>
      </w:pPr>
      <w:r w:rsidRPr="00BE72CB">
        <w:rPr>
          <w:rFonts w:ascii="Times New Roman" w:hAnsi="Times New Roman"/>
          <w:sz w:val="24"/>
          <w:szCs w:val="24"/>
        </w:rPr>
        <w:t xml:space="preserve">A breakdown for information on </w:t>
      </w:r>
      <w:r w:rsidR="00FE1848">
        <w:rPr>
          <w:rFonts w:ascii="Times New Roman" w:hAnsi="Times New Roman"/>
          <w:sz w:val="24"/>
          <w:szCs w:val="24"/>
        </w:rPr>
        <w:t>‘</w:t>
      </w:r>
      <w:r w:rsidRPr="009133CD">
        <w:rPr>
          <w:rFonts w:ascii="Times New Roman" w:hAnsi="Times New Roman"/>
          <w:i/>
          <w:iCs/>
          <w:sz w:val="24"/>
          <w:szCs w:val="24"/>
        </w:rPr>
        <w:t>cover pool of covered bonds</w:t>
      </w:r>
      <w:r w:rsidR="00FE1848">
        <w:rPr>
          <w:rFonts w:ascii="Times New Roman" w:hAnsi="Times New Roman"/>
          <w:i/>
          <w:iCs/>
          <w:sz w:val="24"/>
          <w:szCs w:val="24"/>
        </w:rPr>
        <w:t>’</w:t>
      </w:r>
      <w:r w:rsidRPr="00BE72CB">
        <w:rPr>
          <w:rFonts w:ascii="Times New Roman" w:hAnsi="Times New Roman"/>
          <w:sz w:val="24"/>
          <w:szCs w:val="24"/>
        </w:rPr>
        <w:t xml:space="preserve"> is requested in rows for the Total EU area and Total non-EU area (rows 0030 and 0140).</w:t>
      </w:r>
    </w:p>
    <w:p w14:paraId="36CA419F" w14:textId="1537EE8C" w:rsidR="00FE1848" w:rsidRPr="00FE1848" w:rsidRDefault="00FE1848" w:rsidP="009133CD">
      <w:pPr>
        <w:pStyle w:val="ListParagraph"/>
        <w:numPr>
          <w:ilvl w:val="0"/>
          <w:numId w:val="36"/>
        </w:numPr>
        <w:tabs>
          <w:tab w:val="left" w:pos="567"/>
        </w:tabs>
        <w:spacing w:before="120" w:after="120" w:line="240" w:lineRule="auto"/>
        <w:ind w:left="990"/>
        <w:jc w:val="both"/>
        <w:rPr>
          <w:rFonts w:ascii="Times New Roman" w:hAnsi="Times New Roman"/>
          <w:sz w:val="24"/>
          <w:szCs w:val="24"/>
        </w:rPr>
      </w:pPr>
      <w:r w:rsidRPr="00FE1848">
        <w:rPr>
          <w:rFonts w:ascii="Times New Roman" w:hAnsi="Times New Roman"/>
          <w:sz w:val="24"/>
          <w:szCs w:val="24"/>
        </w:rPr>
        <w:t xml:space="preserve">The </w:t>
      </w:r>
      <w:r>
        <w:rPr>
          <w:rFonts w:ascii="Times New Roman" w:hAnsi="Times New Roman"/>
          <w:sz w:val="24"/>
          <w:szCs w:val="24"/>
        </w:rPr>
        <w:t>‘</w:t>
      </w:r>
      <w:r w:rsidRPr="009133CD">
        <w:rPr>
          <w:rFonts w:ascii="Times New Roman" w:hAnsi="Times New Roman"/>
          <w:i/>
          <w:iCs/>
          <w:sz w:val="24"/>
          <w:szCs w:val="24"/>
        </w:rPr>
        <w:t>loan-to-value (LTV) ratio</w:t>
      </w:r>
      <w:r>
        <w:rPr>
          <w:rFonts w:ascii="Times New Roman" w:hAnsi="Times New Roman"/>
          <w:i/>
          <w:iCs/>
          <w:sz w:val="24"/>
          <w:szCs w:val="24"/>
        </w:rPr>
        <w:t>’</w:t>
      </w:r>
      <w:r w:rsidRPr="00FE1848">
        <w:rPr>
          <w:rFonts w:ascii="Times New Roman" w:hAnsi="Times New Roman"/>
          <w:sz w:val="24"/>
          <w:szCs w:val="24"/>
        </w:rPr>
        <w:t xml:space="preserve"> sh</w:t>
      </w:r>
      <w:r>
        <w:rPr>
          <w:rFonts w:ascii="Times New Roman" w:hAnsi="Times New Roman"/>
          <w:sz w:val="24"/>
          <w:szCs w:val="24"/>
        </w:rPr>
        <w:t>all</w:t>
      </w:r>
      <w:r w:rsidRPr="00FE1848">
        <w:rPr>
          <w:rFonts w:ascii="Times New Roman" w:hAnsi="Times New Roman"/>
          <w:sz w:val="24"/>
          <w:szCs w:val="24"/>
        </w:rPr>
        <w:t xml:space="preserve"> follow the same instructions as defined in FINREP templates F18.2 and F23.03 of Annex III to Regulation (EU) No 680/2014 (ITS on supervisory reporting and should be reported in unit ‘gross carrying amount’. </w:t>
      </w:r>
    </w:p>
    <w:p w14:paraId="50B8BE9C" w14:textId="77777777" w:rsidR="00FE1848" w:rsidRDefault="00FE1848" w:rsidP="009133CD">
      <w:pPr>
        <w:pStyle w:val="ListParagraph"/>
        <w:tabs>
          <w:tab w:val="left" w:pos="567"/>
        </w:tabs>
        <w:spacing w:before="120" w:after="120" w:line="240" w:lineRule="auto"/>
        <w:ind w:left="990"/>
        <w:jc w:val="both"/>
        <w:rPr>
          <w:rFonts w:ascii="Times New Roman" w:hAnsi="Times New Roman"/>
          <w:sz w:val="24"/>
          <w:szCs w:val="24"/>
        </w:rPr>
      </w:pPr>
    </w:p>
    <w:p w14:paraId="22394E54" w14:textId="77777777" w:rsidR="00FE1848" w:rsidRDefault="00FE1848" w:rsidP="009133CD">
      <w:pPr>
        <w:pStyle w:val="ListParagraph"/>
        <w:tabs>
          <w:tab w:val="left" w:pos="567"/>
        </w:tabs>
        <w:spacing w:before="120" w:after="120" w:line="240" w:lineRule="auto"/>
        <w:ind w:left="990"/>
        <w:jc w:val="both"/>
        <w:rPr>
          <w:rFonts w:ascii="Times New Roman" w:hAnsi="Times New Roman"/>
          <w:sz w:val="24"/>
          <w:szCs w:val="24"/>
        </w:rPr>
      </w:pPr>
      <w:r w:rsidRPr="00FE1848">
        <w:rPr>
          <w:rFonts w:ascii="Times New Roman" w:hAnsi="Times New Roman"/>
          <w:sz w:val="24"/>
          <w:szCs w:val="24"/>
        </w:rPr>
        <w:t xml:space="preserve">Example: Two loans collateralised by residential immovable properties: Loan A (€100 GCA and collateral value €200), Loan B (€350 GCA and collateral value €400). </w:t>
      </w:r>
    </w:p>
    <w:p w14:paraId="4248B2FB" w14:textId="77777777" w:rsidR="00AC06E1" w:rsidRDefault="00AC06E1" w:rsidP="009133CD">
      <w:pPr>
        <w:pStyle w:val="ListParagraph"/>
        <w:tabs>
          <w:tab w:val="left" w:pos="567"/>
        </w:tabs>
        <w:spacing w:before="120" w:after="120" w:line="240" w:lineRule="auto"/>
        <w:ind w:left="990"/>
        <w:jc w:val="both"/>
        <w:rPr>
          <w:rFonts w:ascii="Times New Roman" w:hAnsi="Times New Roman"/>
          <w:sz w:val="24"/>
          <w:szCs w:val="24"/>
        </w:rPr>
      </w:pPr>
    </w:p>
    <w:p w14:paraId="53E8C8D6" w14:textId="4BAC0B46" w:rsidR="00FE1848" w:rsidRDefault="00FE1848" w:rsidP="009133CD">
      <w:pPr>
        <w:pStyle w:val="ListParagraph"/>
        <w:tabs>
          <w:tab w:val="left" w:pos="567"/>
        </w:tabs>
        <w:spacing w:before="120" w:after="120" w:line="240" w:lineRule="auto"/>
        <w:ind w:left="990"/>
        <w:jc w:val="both"/>
        <w:rPr>
          <w:rFonts w:ascii="Times New Roman" w:hAnsi="Times New Roman"/>
          <w:sz w:val="24"/>
          <w:szCs w:val="24"/>
        </w:rPr>
      </w:pPr>
      <w:r w:rsidRPr="00FE1848">
        <w:rPr>
          <w:rFonts w:ascii="Times New Roman" w:hAnsi="Times New Roman"/>
          <w:sz w:val="24"/>
          <w:szCs w:val="24"/>
        </w:rPr>
        <w:t>The LTV of loan A is 100/200 = 0.5, while the LTV of loan B is 350/400 = 0.87. Therefore, the gross carrying amount of loan B should be reported in row ‘LTV between &gt;80% and &lt;100%’. Loan A is not reported as the LTV is &lt;80%.</w:t>
      </w:r>
    </w:p>
    <w:p w14:paraId="60168E2F" w14:textId="77777777" w:rsidR="00AC06E1" w:rsidRDefault="00AC06E1" w:rsidP="00FE1848">
      <w:pPr>
        <w:pStyle w:val="ListParagraph"/>
        <w:tabs>
          <w:tab w:val="left" w:pos="567"/>
        </w:tabs>
        <w:spacing w:before="120" w:after="120" w:line="240" w:lineRule="auto"/>
        <w:ind w:left="900"/>
        <w:jc w:val="both"/>
        <w:rPr>
          <w:rFonts w:ascii="Times New Roman" w:hAnsi="Times New Roman"/>
          <w:sz w:val="24"/>
          <w:szCs w:val="24"/>
        </w:rPr>
      </w:pPr>
    </w:p>
    <w:p w14:paraId="05456085" w14:textId="1554BEA6" w:rsidR="00BC6B8A" w:rsidRDefault="00F26BCA" w:rsidP="00BC6B8A">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Pr>
          <w:rFonts w:ascii="Times New Roman" w:hAnsi="Times New Roman"/>
          <w:sz w:val="24"/>
          <w:szCs w:val="24"/>
        </w:rPr>
        <w:t xml:space="preserve">In the </w:t>
      </w:r>
      <w:r w:rsidRPr="009133CD">
        <w:rPr>
          <w:rFonts w:ascii="Times New Roman" w:hAnsi="Times New Roman"/>
          <w:b/>
          <w:bCs/>
          <w:sz w:val="24"/>
          <w:szCs w:val="24"/>
        </w:rPr>
        <w:t>columns</w:t>
      </w:r>
      <w:r w:rsidR="00E966D1">
        <w:rPr>
          <w:rFonts w:ascii="Times New Roman" w:hAnsi="Times New Roman"/>
          <w:sz w:val="24"/>
          <w:szCs w:val="24"/>
        </w:rPr>
        <w:t xml:space="preserve">, institutions shall use the </w:t>
      </w:r>
      <w:r w:rsidR="00BC6B8A">
        <w:rPr>
          <w:rFonts w:ascii="Times New Roman" w:hAnsi="Times New Roman"/>
          <w:sz w:val="24"/>
          <w:szCs w:val="24"/>
        </w:rPr>
        <w:t xml:space="preserve">instructions </w:t>
      </w:r>
      <w:proofErr w:type="spellStart"/>
      <w:r w:rsidR="00BC6B8A">
        <w:rPr>
          <w:rFonts w:ascii="Times New Roman" w:hAnsi="Times New Roman"/>
          <w:sz w:val="24"/>
          <w:szCs w:val="24"/>
        </w:rPr>
        <w:t>et</w:t>
      </w:r>
      <w:proofErr w:type="spellEnd"/>
      <w:r w:rsidR="00BC6B8A">
        <w:rPr>
          <w:rFonts w:ascii="Times New Roman" w:hAnsi="Times New Roman"/>
          <w:sz w:val="24"/>
          <w:szCs w:val="24"/>
        </w:rPr>
        <w:t xml:space="preserve"> out in </w:t>
      </w:r>
      <w:r w:rsidR="00BC6B8A" w:rsidRPr="2CDB698C">
        <w:rPr>
          <w:rFonts w:ascii="Times New Roman" w:hAnsi="Times New Roman"/>
          <w:sz w:val="24"/>
          <w:szCs w:val="24"/>
        </w:rPr>
        <w:t xml:space="preserve">set out in Annex </w:t>
      </w:r>
      <w:r w:rsidR="00BC6B8A" w:rsidRPr="3A8A05F4">
        <w:rPr>
          <w:rFonts w:ascii="Times New Roman" w:hAnsi="Times New Roman"/>
          <w:sz w:val="24"/>
          <w:szCs w:val="24"/>
        </w:rPr>
        <w:t>XL</w:t>
      </w:r>
      <w:r w:rsidR="00BC6B8A" w:rsidRPr="2CDB698C">
        <w:rPr>
          <w:rFonts w:ascii="Times New Roman" w:hAnsi="Times New Roman"/>
          <w:sz w:val="24"/>
          <w:szCs w:val="24"/>
        </w:rPr>
        <w:t xml:space="preserve"> of Implementing Regulation 2024/3172. </w:t>
      </w:r>
      <w:r w:rsidR="00BC6B8A">
        <w:rPr>
          <w:rFonts w:ascii="Times New Roman" w:hAnsi="Times New Roman"/>
          <w:sz w:val="24"/>
          <w:szCs w:val="24"/>
        </w:rPr>
        <w:t>In addition</w:t>
      </w:r>
      <w:r w:rsidR="00A403F6">
        <w:rPr>
          <w:rFonts w:ascii="Times New Roman" w:hAnsi="Times New Roman"/>
          <w:sz w:val="24"/>
          <w:szCs w:val="24"/>
        </w:rPr>
        <w:t>,</w:t>
      </w:r>
      <w:r w:rsidR="00BC6B8A">
        <w:rPr>
          <w:rFonts w:ascii="Times New Roman" w:hAnsi="Times New Roman"/>
          <w:sz w:val="24"/>
          <w:szCs w:val="24"/>
        </w:rPr>
        <w:t xml:space="preserve"> institutions shall report:</w:t>
      </w:r>
    </w:p>
    <w:p w14:paraId="370E0F0F" w14:textId="7CDCA1E0" w:rsidR="0074145A" w:rsidRPr="0074145A" w:rsidRDefault="005A4BBC" w:rsidP="009133CD">
      <w:pPr>
        <w:pStyle w:val="ListParagraph"/>
        <w:numPr>
          <w:ilvl w:val="1"/>
          <w:numId w:val="4"/>
        </w:numPr>
        <w:tabs>
          <w:tab w:val="left" w:pos="720"/>
        </w:tabs>
        <w:spacing w:before="120" w:after="120" w:line="240" w:lineRule="auto"/>
        <w:ind w:left="990"/>
        <w:contextualSpacing w:val="0"/>
        <w:jc w:val="both"/>
        <w:rPr>
          <w:rFonts w:ascii="Times New Roman" w:hAnsi="Times New Roman"/>
          <w:sz w:val="24"/>
          <w:szCs w:val="24"/>
        </w:rPr>
      </w:pPr>
      <w:r>
        <w:rPr>
          <w:rFonts w:ascii="Times New Roman" w:hAnsi="Times New Roman"/>
          <w:sz w:val="24"/>
          <w:szCs w:val="24"/>
        </w:rPr>
        <w:t xml:space="preserve">Column 0015 on </w:t>
      </w:r>
      <w:r w:rsidRPr="009133CD">
        <w:rPr>
          <w:rFonts w:ascii="Times New Roman" w:hAnsi="Times New Roman"/>
          <w:i/>
          <w:iCs/>
          <w:sz w:val="24"/>
          <w:szCs w:val="24"/>
        </w:rPr>
        <w:t>‘Of which: Loans with an improvement of the energy efficiency of the collateral compared with the previous periods’</w:t>
      </w:r>
      <w:r w:rsidR="005B3D59">
        <w:rPr>
          <w:rFonts w:ascii="Times New Roman" w:hAnsi="Times New Roman"/>
          <w:i/>
          <w:iCs/>
          <w:sz w:val="24"/>
          <w:szCs w:val="24"/>
        </w:rPr>
        <w:t>,</w:t>
      </w:r>
      <w:r w:rsidR="005B3D59" w:rsidRPr="009133CD">
        <w:rPr>
          <w:rFonts w:ascii="Times New Roman" w:hAnsi="Times New Roman"/>
          <w:sz w:val="24"/>
          <w:szCs w:val="24"/>
        </w:rPr>
        <w:t xml:space="preserve"> </w:t>
      </w:r>
      <w:r w:rsidR="0074145A">
        <w:rPr>
          <w:rFonts w:ascii="Times New Roman" w:hAnsi="Times New Roman"/>
          <w:sz w:val="24"/>
          <w:szCs w:val="24"/>
        </w:rPr>
        <w:t xml:space="preserve">refers to </w:t>
      </w:r>
      <w:r w:rsidR="0074145A" w:rsidRPr="0074145A">
        <w:rPr>
          <w:rFonts w:ascii="Times New Roman" w:hAnsi="Times New Roman"/>
          <w:sz w:val="24"/>
          <w:szCs w:val="24"/>
        </w:rPr>
        <w:t xml:space="preserve">loans </w:t>
      </w:r>
      <w:r w:rsidR="00EB6DA5">
        <w:rPr>
          <w:rFonts w:ascii="Times New Roman" w:hAnsi="Times New Roman"/>
          <w:sz w:val="24"/>
          <w:szCs w:val="24"/>
        </w:rPr>
        <w:t>(</w:t>
      </w:r>
      <w:r w:rsidR="00EB6DA5" w:rsidRPr="0074145A">
        <w:rPr>
          <w:rFonts w:ascii="Times New Roman" w:hAnsi="Times New Roman"/>
          <w:sz w:val="24"/>
          <w:szCs w:val="24"/>
        </w:rPr>
        <w:t>both the commercial and residential real estate portfolio</w:t>
      </w:r>
      <w:r w:rsidR="00EB6DA5">
        <w:rPr>
          <w:rFonts w:ascii="Times New Roman" w:hAnsi="Times New Roman"/>
          <w:sz w:val="24"/>
          <w:szCs w:val="24"/>
        </w:rPr>
        <w:t>)</w:t>
      </w:r>
      <w:r w:rsidR="00EB6DA5" w:rsidRPr="0074145A">
        <w:rPr>
          <w:rFonts w:ascii="Times New Roman" w:hAnsi="Times New Roman"/>
          <w:sz w:val="24"/>
          <w:szCs w:val="24"/>
        </w:rPr>
        <w:t xml:space="preserve"> </w:t>
      </w:r>
      <w:r w:rsidR="0074145A" w:rsidRPr="0074145A">
        <w:rPr>
          <w:rFonts w:ascii="Times New Roman" w:hAnsi="Times New Roman"/>
          <w:sz w:val="24"/>
          <w:szCs w:val="24"/>
        </w:rPr>
        <w:t xml:space="preserve">for which the EP score / the EPC label has improved in reporting period </w:t>
      </w:r>
      <w:r w:rsidR="00F063A4">
        <w:rPr>
          <w:rFonts w:ascii="Times New Roman" w:hAnsi="Times New Roman"/>
          <w:sz w:val="24"/>
          <w:szCs w:val="24"/>
        </w:rPr>
        <w:t>(</w:t>
      </w:r>
      <w:r w:rsidR="0074145A" w:rsidRPr="0074145A">
        <w:rPr>
          <w:rFonts w:ascii="Times New Roman" w:hAnsi="Times New Roman"/>
          <w:sz w:val="24"/>
          <w:szCs w:val="24"/>
        </w:rPr>
        <w:t>t</w:t>
      </w:r>
      <w:r w:rsidR="00F063A4">
        <w:rPr>
          <w:rFonts w:ascii="Times New Roman" w:hAnsi="Times New Roman"/>
          <w:sz w:val="24"/>
          <w:szCs w:val="24"/>
        </w:rPr>
        <w:t>)</w:t>
      </w:r>
      <w:r w:rsidR="0074145A" w:rsidRPr="0074145A">
        <w:rPr>
          <w:rFonts w:ascii="Times New Roman" w:hAnsi="Times New Roman"/>
          <w:sz w:val="24"/>
          <w:szCs w:val="24"/>
        </w:rPr>
        <w:t xml:space="preserve"> by at least one notch compared to the reporting period </w:t>
      </w:r>
      <w:r w:rsidR="00F063A4">
        <w:rPr>
          <w:rFonts w:ascii="Times New Roman" w:hAnsi="Times New Roman"/>
          <w:sz w:val="24"/>
          <w:szCs w:val="24"/>
        </w:rPr>
        <w:t>(</w:t>
      </w:r>
      <w:r w:rsidR="0074145A" w:rsidRPr="0074145A">
        <w:rPr>
          <w:rFonts w:ascii="Times New Roman" w:hAnsi="Times New Roman"/>
          <w:sz w:val="24"/>
          <w:szCs w:val="24"/>
        </w:rPr>
        <w:t>t-1</w:t>
      </w:r>
      <w:r w:rsidR="00F063A4">
        <w:rPr>
          <w:rFonts w:ascii="Times New Roman" w:hAnsi="Times New Roman"/>
          <w:sz w:val="24"/>
          <w:szCs w:val="24"/>
        </w:rPr>
        <w:t>)</w:t>
      </w:r>
      <w:r w:rsidR="0074145A" w:rsidRPr="0074145A">
        <w:rPr>
          <w:rFonts w:ascii="Times New Roman" w:hAnsi="Times New Roman"/>
          <w:sz w:val="24"/>
          <w:szCs w:val="24"/>
        </w:rPr>
        <w:t xml:space="preserve"> are requested for the total EU area and Total non-EU area. One notch is defined as a bucket step for the EP score (from bucket &gt;200; &lt;= 300 to &gt;100; &lt;=200) and EPC label categories (from EPC label B to A). Hereby, those improvements should be included for which the real EP score / EPC label is available or changes in estimations originating from factual upgrades of the collateral (not from changes originating from updates from the estimation methodology). Loans granted in the current reporting period can therefore not be included in this row. </w:t>
      </w:r>
    </w:p>
    <w:p w14:paraId="316493EF" w14:textId="77777777" w:rsidR="0074145A" w:rsidRDefault="0074145A" w:rsidP="00710B81">
      <w:pPr>
        <w:pStyle w:val="ListParagraph"/>
        <w:ind w:left="1440"/>
        <w:contextualSpacing w:val="0"/>
        <w:rPr>
          <w:rFonts w:ascii="Times New Roman" w:hAnsi="Times New Roman"/>
          <w:sz w:val="24"/>
          <w:szCs w:val="24"/>
        </w:rPr>
      </w:pPr>
      <w:r w:rsidRPr="0074145A">
        <w:rPr>
          <w:rFonts w:ascii="Times New Roman" w:hAnsi="Times New Roman"/>
          <w:sz w:val="24"/>
          <w:szCs w:val="24"/>
        </w:rPr>
        <w:t xml:space="preserve">Example: If a renovation loan was granted that improves the EPC label of the collateral from D in reporting period t-1 to C in t, the gross carrying amount of the loan should be reported under EPC label category D. </w:t>
      </w:r>
    </w:p>
    <w:p w14:paraId="79ACA0DB" w14:textId="7684B662" w:rsidR="00D24A7F" w:rsidRPr="00D24A7F" w:rsidRDefault="00D24A7F" w:rsidP="009133CD">
      <w:pPr>
        <w:pStyle w:val="ListParagraph"/>
        <w:numPr>
          <w:ilvl w:val="1"/>
          <w:numId w:val="4"/>
        </w:numPr>
        <w:tabs>
          <w:tab w:val="left" w:pos="720"/>
        </w:tabs>
        <w:spacing w:before="120" w:after="120" w:line="240" w:lineRule="auto"/>
        <w:ind w:left="990"/>
        <w:contextualSpacing w:val="0"/>
        <w:jc w:val="both"/>
        <w:rPr>
          <w:rFonts w:ascii="Times New Roman" w:hAnsi="Times New Roman"/>
          <w:sz w:val="24"/>
          <w:szCs w:val="24"/>
        </w:rPr>
      </w:pPr>
      <w:r w:rsidRPr="00D24A7F">
        <w:rPr>
          <w:rFonts w:ascii="Times New Roman" w:hAnsi="Times New Roman"/>
          <w:sz w:val="24"/>
          <w:szCs w:val="24"/>
        </w:rPr>
        <w:t xml:space="preserve">Column </w:t>
      </w:r>
      <w:r w:rsidR="0061500D">
        <w:rPr>
          <w:rFonts w:ascii="Times New Roman" w:hAnsi="Times New Roman"/>
          <w:sz w:val="24"/>
          <w:szCs w:val="24"/>
        </w:rPr>
        <w:t xml:space="preserve">0190 </w:t>
      </w:r>
      <w:r w:rsidRPr="00D24A7F">
        <w:rPr>
          <w:rFonts w:ascii="Times New Roman" w:hAnsi="Times New Roman"/>
          <w:sz w:val="24"/>
          <w:szCs w:val="24"/>
        </w:rPr>
        <w:t xml:space="preserve">require the total gross carrying </w:t>
      </w:r>
      <w:proofErr w:type="gramStart"/>
      <w:r w:rsidRPr="00D24A7F">
        <w:rPr>
          <w:rFonts w:ascii="Times New Roman" w:hAnsi="Times New Roman"/>
          <w:sz w:val="24"/>
          <w:szCs w:val="24"/>
        </w:rPr>
        <w:t>amount</w:t>
      </w:r>
      <w:proofErr w:type="gramEnd"/>
      <w:r w:rsidRPr="00D24A7F">
        <w:rPr>
          <w:rFonts w:ascii="Times New Roman" w:hAnsi="Times New Roman"/>
          <w:sz w:val="24"/>
          <w:szCs w:val="24"/>
        </w:rPr>
        <w:t xml:space="preserve"> of exposures without the actual EP label of the collateral. This includes exposures where internal calculations or external proxies are used to estimate the unrated exposures (where the EPC label is not available). </w:t>
      </w:r>
    </w:p>
    <w:p w14:paraId="0CC73795" w14:textId="77777777" w:rsidR="00C24773" w:rsidRPr="00BE72CB" w:rsidRDefault="00C24773" w:rsidP="008C6C11">
      <w:pPr>
        <w:ind w:left="180" w:hanging="360"/>
        <w:rPr>
          <w:rFonts w:ascii="Times New Roman" w:hAnsi="Times New Roman" w:cs="Times New Roman"/>
          <w:b/>
          <w:sz w:val="24"/>
        </w:rPr>
      </w:pPr>
    </w:p>
    <w:p w14:paraId="4FB31D0E" w14:textId="4ABABE5F" w:rsidR="00C24773" w:rsidRPr="00BE72CB" w:rsidRDefault="00C24773" w:rsidP="008C6C11">
      <w:pPr>
        <w:pStyle w:val="subtitlenumbered"/>
        <w:numPr>
          <w:ilvl w:val="0"/>
          <w:numId w:val="7"/>
        </w:numPr>
        <w:ind w:left="180"/>
        <w:jc w:val="both"/>
        <w:rPr>
          <w:b/>
          <w:bCs/>
          <w:caps w:val="0"/>
          <w:lang w:val="en-GB"/>
        </w:rPr>
      </w:pPr>
      <w:bookmarkStart w:id="5" w:name="_Toc225353457"/>
      <w:r w:rsidRPr="00BE72CB">
        <w:rPr>
          <w:b/>
          <w:bCs/>
          <w:caps w:val="0"/>
          <w:lang w:val="en-GB"/>
        </w:rPr>
        <w:t>D 03.00</w:t>
      </w:r>
      <w:r w:rsidR="005A6823" w:rsidRPr="00BE72CB">
        <w:rPr>
          <w:b/>
          <w:bCs/>
          <w:caps w:val="0"/>
          <w:lang w:val="en-GB"/>
        </w:rPr>
        <w:t xml:space="preserve"> -</w:t>
      </w:r>
      <w:r w:rsidRPr="00BE72CB">
        <w:rPr>
          <w:b/>
          <w:bCs/>
          <w:caps w:val="0"/>
          <w:lang w:val="en-GB"/>
        </w:rPr>
        <w:t xml:space="preserve"> Indicators of potential climate change transition risk: emission intensity per physical output and by sector</w:t>
      </w:r>
      <w:bookmarkEnd w:id="5"/>
    </w:p>
    <w:p w14:paraId="7D4D1C76" w14:textId="1CE352ED" w:rsidR="004673A4" w:rsidRDefault="004673A4"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Pr>
          <w:rFonts w:ascii="Times New Roman" w:hAnsi="Times New Roman"/>
          <w:sz w:val="24"/>
        </w:rPr>
        <w:t xml:space="preserve">This template shall be reported by </w:t>
      </w:r>
      <w:proofErr w:type="gramStart"/>
      <w:r>
        <w:rPr>
          <w:rFonts w:ascii="Times New Roman" w:hAnsi="Times New Roman"/>
          <w:sz w:val="24"/>
        </w:rPr>
        <w:t>Large</w:t>
      </w:r>
      <w:proofErr w:type="gramEnd"/>
      <w:r>
        <w:rPr>
          <w:rFonts w:ascii="Times New Roman" w:hAnsi="Times New Roman"/>
          <w:sz w:val="24"/>
        </w:rPr>
        <w:t xml:space="preserve"> institutions.</w:t>
      </w:r>
    </w:p>
    <w:p w14:paraId="6F1EFC73" w14:textId="5C55CFAD" w:rsidR="00AF33EE" w:rsidRDefault="00AF33EE"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szCs w:val="24"/>
        </w:rPr>
      </w:pPr>
      <w:r w:rsidRPr="3A8A05F4">
        <w:rPr>
          <w:rFonts w:ascii="Times New Roman" w:hAnsi="Times New Roman"/>
          <w:sz w:val="24"/>
          <w:szCs w:val="24"/>
        </w:rPr>
        <w:t xml:space="preserve">Institutions </w:t>
      </w:r>
      <w:r w:rsidR="008E4B98" w:rsidRPr="3A8A05F4">
        <w:rPr>
          <w:rFonts w:ascii="Times New Roman" w:hAnsi="Times New Roman"/>
          <w:sz w:val="24"/>
          <w:szCs w:val="24"/>
        </w:rPr>
        <w:t>shall report the information referred to in this template in accordance with the</w:t>
      </w:r>
      <w:r w:rsidR="00276F96" w:rsidRPr="3A8A05F4">
        <w:rPr>
          <w:rFonts w:ascii="Times New Roman" w:hAnsi="Times New Roman"/>
          <w:sz w:val="24"/>
          <w:szCs w:val="24"/>
        </w:rPr>
        <w:t xml:space="preserve"> i</w:t>
      </w:r>
      <w:r w:rsidRPr="3A8A05F4">
        <w:rPr>
          <w:rFonts w:ascii="Times New Roman" w:hAnsi="Times New Roman"/>
          <w:sz w:val="24"/>
          <w:szCs w:val="24"/>
        </w:rPr>
        <w:t xml:space="preserve">nstructions </w:t>
      </w:r>
      <w:r w:rsidR="009A2B8A" w:rsidRPr="3A8A05F4">
        <w:rPr>
          <w:rFonts w:ascii="Times New Roman" w:hAnsi="Times New Roman"/>
          <w:sz w:val="24"/>
          <w:szCs w:val="24"/>
        </w:rPr>
        <w:t>provided</w:t>
      </w:r>
      <w:r w:rsidR="00276F96" w:rsidRPr="3A8A05F4">
        <w:rPr>
          <w:rFonts w:ascii="Times New Roman" w:hAnsi="Times New Roman"/>
          <w:sz w:val="24"/>
          <w:szCs w:val="24"/>
        </w:rPr>
        <w:t xml:space="preserve"> for </w:t>
      </w:r>
      <w:r w:rsidRPr="00AF54AE">
        <w:rPr>
          <w:rFonts w:ascii="Times New Roman" w:hAnsi="Times New Roman"/>
          <w:i/>
          <w:iCs/>
          <w:sz w:val="24"/>
          <w:szCs w:val="24"/>
        </w:rPr>
        <w:t>‘EU - CRFR4: Indicators of climate change transition risk: emission intensity per physical output and by sector.</w:t>
      </w:r>
      <w:r w:rsidR="00452748" w:rsidRPr="00AF54AE">
        <w:rPr>
          <w:rFonts w:ascii="Times New Roman" w:hAnsi="Times New Roman"/>
          <w:i/>
          <w:iCs/>
          <w:sz w:val="24"/>
          <w:szCs w:val="24"/>
        </w:rPr>
        <w:t>’</w:t>
      </w:r>
      <w:r w:rsidRPr="3A8A05F4">
        <w:rPr>
          <w:rFonts w:ascii="Times New Roman" w:hAnsi="Times New Roman"/>
          <w:sz w:val="24"/>
          <w:szCs w:val="24"/>
        </w:rPr>
        <w:t xml:space="preserve">, </w:t>
      </w:r>
      <w:r w:rsidR="009A2B8A" w:rsidRPr="3A8A05F4">
        <w:rPr>
          <w:rFonts w:ascii="Times New Roman" w:hAnsi="Times New Roman"/>
          <w:sz w:val="24"/>
          <w:szCs w:val="24"/>
        </w:rPr>
        <w:t xml:space="preserve">set out </w:t>
      </w:r>
      <w:r w:rsidRPr="3A8A05F4">
        <w:rPr>
          <w:rFonts w:ascii="Times New Roman" w:hAnsi="Times New Roman"/>
          <w:sz w:val="24"/>
          <w:szCs w:val="24"/>
        </w:rPr>
        <w:t>in Annex X</w:t>
      </w:r>
      <w:r w:rsidR="7290DF30" w:rsidRPr="3A8A05F4">
        <w:rPr>
          <w:rFonts w:ascii="Times New Roman" w:hAnsi="Times New Roman"/>
          <w:sz w:val="24"/>
          <w:szCs w:val="24"/>
        </w:rPr>
        <w:t>L</w:t>
      </w:r>
      <w:r w:rsidRPr="3A8A05F4">
        <w:rPr>
          <w:rFonts w:ascii="Times New Roman" w:hAnsi="Times New Roman"/>
          <w:sz w:val="24"/>
          <w:szCs w:val="24"/>
        </w:rPr>
        <w:t xml:space="preserve"> of Implementing Regulation 2024/3172.</w:t>
      </w:r>
    </w:p>
    <w:p w14:paraId="799A69AC" w14:textId="77777777" w:rsidR="00B93998" w:rsidRDefault="00B93998"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Pr>
          <w:rFonts w:ascii="Times New Roman" w:hAnsi="Times New Roman"/>
          <w:sz w:val="24"/>
        </w:rPr>
        <w:t>In addition to the instructions referred to in the paragraph above, for the purposes of supervisory reporting, institutions shall report the following specific columns to assess internal transition strategies:</w:t>
      </w:r>
    </w:p>
    <w:p w14:paraId="33D4D85B" w14:textId="477E22FE" w:rsidR="00B93998" w:rsidRDefault="00B93998" w:rsidP="00B93998">
      <w:pPr>
        <w:pStyle w:val="ListParagraph"/>
        <w:numPr>
          <w:ilvl w:val="1"/>
          <w:numId w:val="33"/>
        </w:numPr>
        <w:tabs>
          <w:tab w:val="left" w:pos="720"/>
        </w:tabs>
        <w:spacing w:before="120" w:after="120" w:line="240" w:lineRule="auto"/>
        <w:jc w:val="both"/>
        <w:rPr>
          <w:rFonts w:ascii="Times New Roman" w:hAnsi="Times New Roman"/>
          <w:sz w:val="24"/>
        </w:rPr>
      </w:pPr>
      <w:r w:rsidRPr="009133CD">
        <w:rPr>
          <w:rFonts w:ascii="Times New Roman" w:hAnsi="Times New Roman"/>
          <w:i/>
          <w:iCs/>
          <w:sz w:val="24"/>
        </w:rPr>
        <w:t>Value of the GHG intensity metric (short-term internal target):</w:t>
      </w:r>
      <w:r>
        <w:rPr>
          <w:rFonts w:ascii="Times New Roman" w:hAnsi="Times New Roman"/>
          <w:sz w:val="24"/>
        </w:rPr>
        <w:t xml:space="preserve"> Institutions shall </w:t>
      </w:r>
      <w:r w:rsidR="000D25F3">
        <w:rPr>
          <w:rFonts w:ascii="Times New Roman" w:hAnsi="Times New Roman"/>
          <w:sz w:val="24"/>
        </w:rPr>
        <w:t>report</w:t>
      </w:r>
      <w:r w:rsidR="000D25F3">
        <w:rPr>
          <w:rFonts w:ascii="Times New Roman" w:hAnsi="Times New Roman"/>
          <w:sz w:val="24"/>
        </w:rPr>
        <w:t xml:space="preserve"> </w:t>
      </w:r>
      <w:r>
        <w:rPr>
          <w:rFonts w:ascii="Times New Roman" w:hAnsi="Times New Roman"/>
          <w:sz w:val="24"/>
        </w:rPr>
        <w:t>their internal interim target for the Reporting Year + 3 expressed in the mandatory canonical unit. This internal target should be derived using a convergence approach (e.g., linear, exponential, or logarithmic) starting from the institution's current baseline position and converging to the IEA NZE 2050 benchmark.</w:t>
      </w:r>
    </w:p>
    <w:p w14:paraId="077CF20E" w14:textId="7B78C815" w:rsidR="00B93998" w:rsidRDefault="00B93998" w:rsidP="00B93998">
      <w:pPr>
        <w:pStyle w:val="ListParagraph"/>
        <w:numPr>
          <w:ilvl w:val="1"/>
          <w:numId w:val="33"/>
        </w:numPr>
        <w:tabs>
          <w:tab w:val="left" w:pos="720"/>
        </w:tabs>
        <w:spacing w:before="120" w:after="120" w:line="240" w:lineRule="auto"/>
        <w:jc w:val="both"/>
        <w:rPr>
          <w:rFonts w:ascii="Times New Roman" w:hAnsi="Times New Roman"/>
          <w:sz w:val="24"/>
        </w:rPr>
      </w:pPr>
      <w:proofErr w:type="spellStart"/>
      <w:r w:rsidRPr="009133CD">
        <w:rPr>
          <w:rFonts w:ascii="Times New Roman" w:hAnsi="Times New Roman"/>
          <w:i/>
          <w:iCs/>
          <w:sz w:val="24"/>
        </w:rPr>
        <w:t>PiT</w:t>
      </w:r>
      <w:proofErr w:type="spellEnd"/>
      <w:r w:rsidRPr="009133CD">
        <w:rPr>
          <w:rFonts w:ascii="Times New Roman" w:hAnsi="Times New Roman"/>
          <w:i/>
          <w:iCs/>
          <w:sz w:val="24"/>
        </w:rPr>
        <w:t xml:space="preserve"> distance to short-term internal target:</w:t>
      </w:r>
      <w:r>
        <w:rPr>
          <w:rFonts w:ascii="Times New Roman" w:hAnsi="Times New Roman"/>
          <w:sz w:val="24"/>
        </w:rPr>
        <w:t xml:space="preserve"> The point-in-time distance shall be calculated as the difference between the indicator in column (</w:t>
      </w:r>
      <w:r w:rsidR="009B053E">
        <w:rPr>
          <w:rFonts w:ascii="Times New Roman" w:hAnsi="Times New Roman"/>
          <w:sz w:val="24"/>
        </w:rPr>
        <w:t>0070</w:t>
      </w:r>
      <w:r>
        <w:rPr>
          <w:rFonts w:ascii="Times New Roman" w:hAnsi="Times New Roman"/>
          <w:sz w:val="24"/>
        </w:rPr>
        <w:t>) (</w:t>
      </w:r>
      <w:r w:rsidRPr="009133CD">
        <w:rPr>
          <w:rFonts w:ascii="Times New Roman" w:hAnsi="Times New Roman"/>
          <w:i/>
          <w:iCs/>
          <w:sz w:val="24"/>
        </w:rPr>
        <w:t>‘Value of the GHG intensity metric in the reporting reference date</w:t>
      </w:r>
      <w:r>
        <w:rPr>
          <w:rFonts w:ascii="Times New Roman" w:hAnsi="Times New Roman"/>
          <w:sz w:val="24"/>
        </w:rPr>
        <w:t xml:space="preserve">’) and the </w:t>
      </w:r>
      <w:r w:rsidRPr="009133CD">
        <w:rPr>
          <w:rFonts w:ascii="Times New Roman" w:hAnsi="Times New Roman"/>
          <w:i/>
          <w:iCs/>
          <w:sz w:val="24"/>
        </w:rPr>
        <w:t>short-term internal target</w:t>
      </w:r>
      <w:r>
        <w:rPr>
          <w:rFonts w:ascii="Times New Roman" w:hAnsi="Times New Roman"/>
          <w:sz w:val="24"/>
        </w:rPr>
        <w:t xml:space="preserve"> in column (</w:t>
      </w:r>
      <w:r w:rsidR="00CE1303">
        <w:rPr>
          <w:rFonts w:ascii="Times New Roman" w:hAnsi="Times New Roman"/>
          <w:sz w:val="24"/>
        </w:rPr>
        <w:t>0100</w:t>
      </w:r>
      <w:r>
        <w:rPr>
          <w:rFonts w:ascii="Times New Roman" w:hAnsi="Times New Roman"/>
          <w:sz w:val="24"/>
        </w:rPr>
        <w:t xml:space="preserve">), divided by the </w:t>
      </w:r>
      <w:r w:rsidRPr="009133CD">
        <w:rPr>
          <w:rFonts w:ascii="Times New Roman" w:hAnsi="Times New Roman"/>
          <w:i/>
          <w:iCs/>
          <w:sz w:val="24"/>
        </w:rPr>
        <w:t>short-term internal target</w:t>
      </w:r>
      <w:r>
        <w:rPr>
          <w:rFonts w:ascii="Times New Roman" w:hAnsi="Times New Roman"/>
          <w:sz w:val="24"/>
        </w:rPr>
        <w:t xml:space="preserve"> in column </w:t>
      </w:r>
      <w:r w:rsidR="00CE1303">
        <w:rPr>
          <w:rFonts w:ascii="Times New Roman" w:hAnsi="Times New Roman"/>
          <w:sz w:val="24"/>
        </w:rPr>
        <w:t>0100</w:t>
      </w:r>
      <w:r>
        <w:rPr>
          <w:rFonts w:ascii="Times New Roman" w:hAnsi="Times New Roman"/>
          <w:sz w:val="24"/>
        </w:rPr>
        <w:t>).</w:t>
      </w:r>
    </w:p>
    <w:p w14:paraId="2CD916BD" w14:textId="77777777" w:rsidR="00956458" w:rsidRPr="00BE72CB" w:rsidRDefault="00956458" w:rsidP="00956458">
      <w:pPr>
        <w:pStyle w:val="ListParagraph"/>
        <w:tabs>
          <w:tab w:val="left" w:pos="720"/>
        </w:tabs>
        <w:spacing w:before="120" w:after="120" w:line="240" w:lineRule="auto"/>
        <w:ind w:left="540"/>
        <w:contextualSpacing w:val="0"/>
        <w:jc w:val="both"/>
        <w:rPr>
          <w:rFonts w:ascii="Times New Roman" w:hAnsi="Times New Roman"/>
          <w:sz w:val="24"/>
        </w:rPr>
      </w:pPr>
    </w:p>
    <w:p w14:paraId="0FE1D17E" w14:textId="05B690E3" w:rsidR="00C24773" w:rsidRDefault="00C24773" w:rsidP="008C6C11">
      <w:pPr>
        <w:pStyle w:val="subtitlenumbered"/>
        <w:numPr>
          <w:ilvl w:val="0"/>
          <w:numId w:val="7"/>
        </w:numPr>
        <w:ind w:left="180"/>
        <w:jc w:val="both"/>
        <w:rPr>
          <w:b/>
          <w:bCs/>
          <w:caps w:val="0"/>
          <w:lang w:val="en-GB"/>
        </w:rPr>
      </w:pPr>
      <w:bookmarkStart w:id="6" w:name="_Toc225353458"/>
      <w:r w:rsidRPr="00BE72CB">
        <w:rPr>
          <w:b/>
          <w:bCs/>
          <w:caps w:val="0"/>
          <w:lang w:val="en-GB"/>
        </w:rPr>
        <w:t xml:space="preserve">D 04.00 </w:t>
      </w:r>
      <w:r w:rsidR="005A6823" w:rsidRPr="00BE72CB">
        <w:rPr>
          <w:b/>
          <w:bCs/>
          <w:caps w:val="0"/>
          <w:lang w:val="en-GB"/>
        </w:rPr>
        <w:t xml:space="preserve">- </w:t>
      </w:r>
      <w:r w:rsidR="006A5970">
        <w:rPr>
          <w:b/>
          <w:bCs/>
          <w:caps w:val="0"/>
          <w:lang w:val="en-GB"/>
        </w:rPr>
        <w:t>O</w:t>
      </w:r>
      <w:r w:rsidR="00325F8D">
        <w:rPr>
          <w:b/>
          <w:bCs/>
          <w:caps w:val="0"/>
          <w:lang w:val="en-GB"/>
        </w:rPr>
        <w:t xml:space="preserve">bligor-level </w:t>
      </w:r>
      <w:r w:rsidR="006A5970">
        <w:rPr>
          <w:b/>
          <w:bCs/>
          <w:caps w:val="0"/>
          <w:lang w:val="en-GB"/>
        </w:rPr>
        <w:t>e</w:t>
      </w:r>
      <w:r w:rsidR="006A5970" w:rsidRPr="00BE72CB">
        <w:rPr>
          <w:b/>
          <w:bCs/>
          <w:caps w:val="0"/>
          <w:lang w:val="en-GB"/>
        </w:rPr>
        <w:t xml:space="preserve">nvironment-related </w:t>
      </w:r>
      <w:r w:rsidR="00325F8D">
        <w:rPr>
          <w:b/>
          <w:bCs/>
          <w:caps w:val="0"/>
          <w:lang w:val="en-GB"/>
        </w:rPr>
        <w:t>corporate exposures</w:t>
      </w:r>
      <w:bookmarkEnd w:id="6"/>
    </w:p>
    <w:p w14:paraId="77DC2161" w14:textId="50DF8C4F" w:rsidR="004673A4" w:rsidRDefault="004673A4"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bookmarkStart w:id="7" w:name="_Toc179294653"/>
      <w:r>
        <w:rPr>
          <w:rFonts w:ascii="Times New Roman" w:hAnsi="Times New Roman"/>
          <w:sz w:val="24"/>
        </w:rPr>
        <w:t xml:space="preserve">This template shall be reported by </w:t>
      </w:r>
      <w:r w:rsidR="002C3EFB">
        <w:rPr>
          <w:rFonts w:ascii="Times New Roman" w:hAnsi="Times New Roman"/>
          <w:sz w:val="24"/>
        </w:rPr>
        <w:t>l</w:t>
      </w:r>
      <w:r>
        <w:rPr>
          <w:rFonts w:ascii="Times New Roman" w:hAnsi="Times New Roman"/>
          <w:sz w:val="24"/>
        </w:rPr>
        <w:t>arge</w:t>
      </w:r>
      <w:r w:rsidR="002C3EFB">
        <w:rPr>
          <w:rFonts w:ascii="Times New Roman" w:hAnsi="Times New Roman"/>
          <w:sz w:val="24"/>
        </w:rPr>
        <w:t xml:space="preserve"> institutions</w:t>
      </w:r>
      <w:r>
        <w:rPr>
          <w:rFonts w:ascii="Times New Roman" w:hAnsi="Times New Roman"/>
          <w:sz w:val="24"/>
        </w:rPr>
        <w:t xml:space="preserve"> </w:t>
      </w:r>
      <w:r w:rsidR="008F630D">
        <w:rPr>
          <w:rFonts w:ascii="Times New Roman" w:hAnsi="Times New Roman"/>
          <w:sz w:val="24"/>
        </w:rPr>
        <w:t xml:space="preserve">on a semi-annual basis and by </w:t>
      </w:r>
      <w:r w:rsidR="000D3CFF">
        <w:rPr>
          <w:rFonts w:ascii="Times New Roman" w:hAnsi="Times New Roman"/>
          <w:sz w:val="24"/>
        </w:rPr>
        <w:t>o</w:t>
      </w:r>
      <w:r>
        <w:rPr>
          <w:rFonts w:ascii="Times New Roman" w:hAnsi="Times New Roman"/>
          <w:sz w:val="24"/>
        </w:rPr>
        <w:t>ther listed institutions and large subsidiaries</w:t>
      </w:r>
      <w:r w:rsidR="008F630D">
        <w:rPr>
          <w:rFonts w:ascii="Times New Roman" w:hAnsi="Times New Roman"/>
          <w:sz w:val="24"/>
        </w:rPr>
        <w:t xml:space="preserve"> on an annual basis.</w:t>
      </w:r>
    </w:p>
    <w:p w14:paraId="32E940ED" w14:textId="2F90780C" w:rsidR="001051CC" w:rsidRDefault="001051CC"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1051CC">
        <w:rPr>
          <w:rFonts w:ascii="Times New Roman" w:hAnsi="Times New Roman"/>
          <w:sz w:val="24"/>
        </w:rPr>
        <w:t xml:space="preserve">This template </w:t>
      </w:r>
      <w:r w:rsidR="008E438D">
        <w:rPr>
          <w:rFonts w:ascii="Times New Roman" w:hAnsi="Times New Roman"/>
          <w:sz w:val="24"/>
        </w:rPr>
        <w:t>shall</w:t>
      </w:r>
      <w:r w:rsidR="008E438D" w:rsidRPr="001051CC">
        <w:rPr>
          <w:rFonts w:ascii="Times New Roman" w:hAnsi="Times New Roman"/>
          <w:sz w:val="24"/>
        </w:rPr>
        <w:t xml:space="preserve"> </w:t>
      </w:r>
      <w:r w:rsidRPr="001051CC">
        <w:rPr>
          <w:rFonts w:ascii="Times New Roman" w:hAnsi="Times New Roman"/>
          <w:sz w:val="24"/>
        </w:rPr>
        <w:t xml:space="preserve">be reported for </w:t>
      </w:r>
      <w:r w:rsidR="008871EE">
        <w:rPr>
          <w:rFonts w:ascii="Times New Roman" w:hAnsi="Times New Roman"/>
          <w:sz w:val="24"/>
        </w:rPr>
        <w:t>the coun</w:t>
      </w:r>
      <w:r w:rsidR="007C6B88">
        <w:rPr>
          <w:rFonts w:ascii="Times New Roman" w:hAnsi="Times New Roman"/>
          <w:sz w:val="24"/>
        </w:rPr>
        <w:t xml:space="preserve">terparties </w:t>
      </w:r>
      <w:r w:rsidR="00D166BC">
        <w:rPr>
          <w:rFonts w:ascii="Times New Roman" w:hAnsi="Times New Roman"/>
          <w:sz w:val="24"/>
        </w:rPr>
        <w:t>with the following criteria:</w:t>
      </w:r>
    </w:p>
    <w:p w14:paraId="7BC8ABA7" w14:textId="60237E6C" w:rsidR="009346AD" w:rsidRDefault="009346AD" w:rsidP="00DB1B58">
      <w:pPr>
        <w:pStyle w:val="ListParagraph"/>
        <w:numPr>
          <w:ilvl w:val="0"/>
          <w:numId w:val="27"/>
        </w:numPr>
        <w:tabs>
          <w:tab w:val="left" w:pos="540"/>
        </w:tabs>
        <w:spacing w:before="120" w:after="120" w:line="240" w:lineRule="auto"/>
        <w:jc w:val="both"/>
        <w:rPr>
          <w:rFonts w:ascii="Times New Roman" w:hAnsi="Times New Roman"/>
          <w:sz w:val="24"/>
        </w:rPr>
      </w:pPr>
      <w:r w:rsidRPr="009133CD">
        <w:rPr>
          <w:rFonts w:ascii="Times New Roman" w:hAnsi="Times New Roman"/>
          <w:sz w:val="24"/>
        </w:rPr>
        <w:t>Direct counterparty of the institution is a</w:t>
      </w:r>
      <w:r w:rsidR="001C7E89">
        <w:rPr>
          <w:rFonts w:ascii="Times New Roman" w:hAnsi="Times New Roman"/>
          <w:sz w:val="24"/>
        </w:rPr>
        <w:t xml:space="preserve"> non-financial</w:t>
      </w:r>
      <w:r w:rsidRPr="009133CD">
        <w:rPr>
          <w:rFonts w:ascii="Times New Roman" w:hAnsi="Times New Roman"/>
          <w:sz w:val="24"/>
        </w:rPr>
        <w:t xml:space="preserve"> </w:t>
      </w:r>
      <w:r w:rsidR="00DB1B58" w:rsidRPr="009133CD">
        <w:rPr>
          <w:rFonts w:ascii="Times New Roman" w:hAnsi="Times New Roman"/>
          <w:sz w:val="24"/>
        </w:rPr>
        <w:t>corporate,</w:t>
      </w:r>
      <w:r w:rsidR="00006DE3">
        <w:rPr>
          <w:rFonts w:ascii="Times New Roman" w:hAnsi="Times New Roman"/>
          <w:sz w:val="24"/>
        </w:rPr>
        <w:t xml:space="preserve"> and</w:t>
      </w:r>
    </w:p>
    <w:p w14:paraId="7C3304BA" w14:textId="500EB0BB" w:rsidR="005E2372" w:rsidRPr="009133CD" w:rsidRDefault="00C00380" w:rsidP="009133CD">
      <w:pPr>
        <w:pStyle w:val="ListParagraph"/>
        <w:numPr>
          <w:ilvl w:val="0"/>
          <w:numId w:val="27"/>
        </w:numPr>
        <w:tabs>
          <w:tab w:val="left" w:pos="540"/>
        </w:tabs>
        <w:spacing w:before="120" w:after="120" w:line="240" w:lineRule="auto"/>
        <w:jc w:val="both"/>
        <w:rPr>
          <w:rFonts w:ascii="Times New Roman" w:hAnsi="Times New Roman"/>
          <w:sz w:val="24"/>
        </w:rPr>
      </w:pPr>
      <w:r>
        <w:rPr>
          <w:rFonts w:ascii="Times New Roman" w:hAnsi="Times New Roman"/>
          <w:sz w:val="24"/>
        </w:rPr>
        <w:t xml:space="preserve">Counterparty is operating in one of the </w:t>
      </w:r>
      <w:r w:rsidR="00216FDD">
        <w:rPr>
          <w:rFonts w:ascii="Times New Roman" w:hAnsi="Times New Roman"/>
          <w:sz w:val="24"/>
        </w:rPr>
        <w:t xml:space="preserve">sectors including </w:t>
      </w:r>
      <w:r w:rsidR="00C60729">
        <w:rPr>
          <w:rFonts w:ascii="Times New Roman" w:hAnsi="Times New Roman"/>
          <w:sz w:val="24"/>
        </w:rPr>
        <w:t>a</w:t>
      </w:r>
      <w:r w:rsidR="00082FB1">
        <w:rPr>
          <w:rFonts w:ascii="Times New Roman" w:hAnsi="Times New Roman"/>
          <w:sz w:val="24"/>
        </w:rPr>
        <w:t>luminium</w:t>
      </w:r>
      <w:r w:rsidR="00865031">
        <w:rPr>
          <w:rFonts w:ascii="Times New Roman" w:hAnsi="Times New Roman"/>
          <w:sz w:val="24"/>
        </w:rPr>
        <w:t xml:space="preserve">, </w:t>
      </w:r>
      <w:r w:rsidR="00EA12A1">
        <w:rPr>
          <w:rFonts w:ascii="Times New Roman" w:hAnsi="Times New Roman"/>
          <w:sz w:val="24"/>
        </w:rPr>
        <w:t>autom</w:t>
      </w:r>
      <w:r w:rsidR="00CF148A">
        <w:rPr>
          <w:rFonts w:ascii="Times New Roman" w:hAnsi="Times New Roman"/>
          <w:sz w:val="24"/>
        </w:rPr>
        <w:t>otive, aviation,</w:t>
      </w:r>
      <w:r w:rsidR="00983A21">
        <w:rPr>
          <w:rFonts w:ascii="Times New Roman" w:hAnsi="Times New Roman"/>
          <w:sz w:val="24"/>
        </w:rPr>
        <w:t xml:space="preserve"> building, cement, chemicals, </w:t>
      </w:r>
      <w:r w:rsidR="00865031">
        <w:rPr>
          <w:rFonts w:ascii="Times New Roman" w:hAnsi="Times New Roman"/>
          <w:sz w:val="24"/>
        </w:rPr>
        <w:t>coal</w:t>
      </w:r>
      <w:r w:rsidR="00983A21">
        <w:rPr>
          <w:rFonts w:ascii="Times New Roman" w:hAnsi="Times New Roman"/>
          <w:sz w:val="24"/>
        </w:rPr>
        <w:t>, maritime and transport,</w:t>
      </w:r>
      <w:r w:rsidR="00C8193D">
        <w:rPr>
          <w:rFonts w:ascii="Times New Roman" w:hAnsi="Times New Roman"/>
          <w:sz w:val="24"/>
        </w:rPr>
        <w:t xml:space="preserve"> oil and gas, </w:t>
      </w:r>
      <w:r w:rsidR="005230EE">
        <w:rPr>
          <w:rFonts w:ascii="Times New Roman" w:hAnsi="Times New Roman"/>
          <w:sz w:val="24"/>
        </w:rPr>
        <w:t>power and steel.</w:t>
      </w:r>
    </w:p>
    <w:p w14:paraId="7C9D6B84" w14:textId="4CB5E45A" w:rsidR="00DB1B58" w:rsidRDefault="00DB1B58">
      <w:pPr>
        <w:pStyle w:val="ListParagraph"/>
        <w:numPr>
          <w:ilvl w:val="0"/>
          <w:numId w:val="27"/>
        </w:numPr>
        <w:tabs>
          <w:tab w:val="left" w:pos="540"/>
        </w:tabs>
        <w:spacing w:before="120" w:after="120" w:line="240" w:lineRule="auto"/>
        <w:jc w:val="both"/>
        <w:rPr>
          <w:rFonts w:ascii="Times New Roman" w:hAnsi="Times New Roman"/>
          <w:sz w:val="24"/>
        </w:rPr>
      </w:pPr>
      <w:r>
        <w:rPr>
          <w:rFonts w:ascii="Times New Roman" w:hAnsi="Times New Roman"/>
          <w:sz w:val="24"/>
        </w:rPr>
        <w:t xml:space="preserve">The total exposures of the institution </w:t>
      </w:r>
      <w:r w:rsidR="00A22D80">
        <w:rPr>
          <w:rFonts w:ascii="Times New Roman" w:hAnsi="Times New Roman"/>
          <w:sz w:val="24"/>
        </w:rPr>
        <w:t>towards the</w:t>
      </w:r>
      <w:r>
        <w:rPr>
          <w:rFonts w:ascii="Times New Roman" w:hAnsi="Times New Roman"/>
          <w:sz w:val="24"/>
        </w:rPr>
        <w:t xml:space="preserve"> counterparty </w:t>
      </w:r>
      <w:proofErr w:type="gramStart"/>
      <w:r>
        <w:rPr>
          <w:rFonts w:ascii="Times New Roman" w:hAnsi="Times New Roman"/>
          <w:sz w:val="24"/>
        </w:rPr>
        <w:t>is</w:t>
      </w:r>
      <w:proofErr w:type="gramEnd"/>
      <w:r>
        <w:rPr>
          <w:rFonts w:ascii="Times New Roman" w:hAnsi="Times New Roman"/>
          <w:sz w:val="24"/>
        </w:rPr>
        <w:t xml:space="preserve"> above </w:t>
      </w:r>
      <w:r w:rsidRPr="00166EBA">
        <w:rPr>
          <w:rFonts w:ascii="Times New Roman" w:hAnsi="Times New Roman"/>
          <w:sz w:val="24"/>
        </w:rPr>
        <w:t xml:space="preserve">10 MN </w:t>
      </w:r>
      <w:r>
        <w:rPr>
          <w:rFonts w:ascii="Times New Roman" w:hAnsi="Times New Roman"/>
          <w:sz w:val="24"/>
        </w:rPr>
        <w:t>EUR</w:t>
      </w:r>
      <w:r w:rsidR="00A22D80">
        <w:rPr>
          <w:rFonts w:ascii="Times New Roman" w:hAnsi="Times New Roman"/>
          <w:sz w:val="24"/>
        </w:rPr>
        <w:t>.</w:t>
      </w:r>
    </w:p>
    <w:p w14:paraId="6BB847FC" w14:textId="77777777" w:rsidR="00AC1550" w:rsidRPr="009133CD" w:rsidRDefault="00AC1550" w:rsidP="009133CD">
      <w:pPr>
        <w:pStyle w:val="ListParagraph"/>
        <w:tabs>
          <w:tab w:val="left" w:pos="540"/>
        </w:tabs>
        <w:spacing w:before="120" w:after="120" w:line="240" w:lineRule="auto"/>
        <w:ind w:left="900"/>
        <w:jc w:val="both"/>
        <w:rPr>
          <w:rFonts w:ascii="Times New Roman" w:hAnsi="Times New Roman"/>
          <w:sz w:val="24"/>
        </w:rPr>
      </w:pPr>
    </w:p>
    <w:p w14:paraId="7390D391" w14:textId="4B4105D7" w:rsidR="00FF53FF" w:rsidRPr="00BE72CB" w:rsidRDefault="00FF53FF"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BE72CB">
        <w:rPr>
          <w:rFonts w:ascii="Times New Roman" w:hAnsi="Times New Roman"/>
          <w:sz w:val="24"/>
        </w:rPr>
        <w:t>Instructions concerning specific columns</w:t>
      </w:r>
      <w:bookmarkEnd w:id="7"/>
      <w:r w:rsidR="00A545A7">
        <w:rPr>
          <w:rFonts w:ascii="Times New Roman" w:hAnsi="Times New Roman"/>
          <w:sz w:val="24"/>
        </w:rPr>
        <w:t>:</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7620"/>
      </w:tblGrid>
      <w:tr w:rsidR="00FF53FF" w:rsidRPr="00891973" w14:paraId="28254481" w14:textId="77777777" w:rsidTr="3BE9D57E">
        <w:tc>
          <w:tcPr>
            <w:tcW w:w="1673" w:type="dxa"/>
            <w:shd w:val="clear" w:color="auto" w:fill="D9D9D9" w:themeFill="background1" w:themeFillShade="D9"/>
          </w:tcPr>
          <w:p w14:paraId="16114F39" w14:textId="77777777" w:rsidR="00FF53FF" w:rsidRPr="00891973" w:rsidRDefault="00FF53FF" w:rsidP="00523736">
            <w:pPr>
              <w:pStyle w:val="InstructionsText"/>
              <w:rPr>
                <w:rStyle w:val="InstructionsTabelleText"/>
                <w:rFonts w:ascii="Times New Roman" w:hAnsi="Times New Roman"/>
                <w:b/>
                <w:sz w:val="24"/>
                <w:lang w:eastAsia="en-US"/>
              </w:rPr>
            </w:pPr>
            <w:r w:rsidRPr="00891973">
              <w:rPr>
                <w:rStyle w:val="InstructionsTabelleText"/>
                <w:rFonts w:ascii="Times New Roman" w:hAnsi="Times New Roman"/>
                <w:b/>
                <w:sz w:val="24"/>
              </w:rPr>
              <w:t>Column</w:t>
            </w:r>
          </w:p>
        </w:tc>
        <w:tc>
          <w:tcPr>
            <w:tcW w:w="7620" w:type="dxa"/>
            <w:shd w:val="clear" w:color="auto" w:fill="D9D9D9" w:themeFill="background1" w:themeFillShade="D9"/>
          </w:tcPr>
          <w:p w14:paraId="311906C3" w14:textId="77777777" w:rsidR="00FF53FF" w:rsidRPr="00891973" w:rsidRDefault="00FF53FF" w:rsidP="00523736">
            <w:pPr>
              <w:pStyle w:val="InstructionsText"/>
              <w:rPr>
                <w:rStyle w:val="InstructionsTabelleText"/>
                <w:rFonts w:ascii="Times New Roman" w:hAnsi="Times New Roman"/>
                <w:b/>
                <w:bCs/>
                <w:sz w:val="24"/>
                <w:lang w:eastAsia="en-US"/>
              </w:rPr>
            </w:pPr>
            <w:r w:rsidRPr="00891973">
              <w:rPr>
                <w:rStyle w:val="InstructionsTabelleText"/>
                <w:rFonts w:ascii="Times New Roman" w:hAnsi="Times New Roman"/>
                <w:b/>
                <w:sz w:val="24"/>
              </w:rPr>
              <w:t>Legal references and instructions</w:t>
            </w:r>
          </w:p>
        </w:tc>
      </w:tr>
      <w:tr w:rsidR="00FF53FF" w:rsidRPr="00891973" w14:paraId="728F06A5" w14:textId="77777777" w:rsidTr="00166EBA">
        <w:trPr>
          <w:trHeight w:val="2033"/>
        </w:trPr>
        <w:tc>
          <w:tcPr>
            <w:tcW w:w="1673" w:type="dxa"/>
          </w:tcPr>
          <w:p w14:paraId="38C1BE4A" w14:textId="77777777"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FormatvorlageInstructionsTabelleText"/>
                <w:rFonts w:ascii="Times New Roman" w:hAnsi="Times New Roman"/>
                <w:b/>
                <w:sz w:val="24"/>
              </w:rPr>
              <w:t>0010</w:t>
            </w:r>
          </w:p>
        </w:tc>
        <w:tc>
          <w:tcPr>
            <w:tcW w:w="7620" w:type="dxa"/>
          </w:tcPr>
          <w:p w14:paraId="7BADE3E9" w14:textId="77777777" w:rsidR="00FF53FF" w:rsidRPr="00891973" w:rsidRDefault="00FF53FF" w:rsidP="00523736">
            <w:pPr>
              <w:pStyle w:val="InstructionsText"/>
              <w:rPr>
                <w:rStyle w:val="InstructionsTabelleberschrift"/>
                <w:rFonts w:ascii="Times New Roman" w:hAnsi="Times New Roman"/>
                <w:sz w:val="24"/>
              </w:rPr>
            </w:pPr>
            <w:r w:rsidRPr="00891973">
              <w:rPr>
                <w:rStyle w:val="InstructionsTabelleberschrift"/>
                <w:rFonts w:ascii="Times New Roman" w:hAnsi="Times New Roman"/>
                <w:sz w:val="24"/>
              </w:rPr>
              <w:t>Code</w:t>
            </w:r>
          </w:p>
          <w:p w14:paraId="590D6957" w14:textId="6EF4BEAD" w:rsidR="00FF53FF" w:rsidRPr="00891973" w:rsidRDefault="00FF53FF" w:rsidP="00166EBA">
            <w:pPr>
              <w:tabs>
                <w:tab w:val="left" w:pos="567"/>
              </w:tabs>
              <w:spacing w:before="120" w:after="120" w:line="240" w:lineRule="auto"/>
              <w:jc w:val="both"/>
              <w:rPr>
                <w:rStyle w:val="InstructionsTabelleberschrift"/>
                <w:rFonts w:ascii="Times New Roman" w:hAnsi="Times New Roman"/>
                <w:caps/>
                <w:sz w:val="24"/>
                <w:lang w:val="en-US" w:eastAsia="en-GB"/>
              </w:rPr>
            </w:pPr>
            <w:r w:rsidRPr="00166EBA">
              <w:rPr>
                <w:rStyle w:val="InstructionsTabelleberschrift"/>
                <w:rFonts w:ascii="Times New Roman" w:hAnsi="Times New Roman"/>
                <w:b w:val="0"/>
                <w:sz w:val="24"/>
                <w:u w:val="none"/>
              </w:rPr>
              <w:t>The code as part of a row identifier must be unique for each reported entity. For entities the code shall be the LEI code, or if not available, a national code. The code shall be unique and used consistently across the templates and across time. The code shall always have a value.</w:t>
            </w:r>
          </w:p>
        </w:tc>
      </w:tr>
      <w:tr w:rsidR="00FF53FF" w:rsidRPr="00891973" w14:paraId="50BF4316" w14:textId="77777777" w:rsidTr="00166EBA">
        <w:trPr>
          <w:trHeight w:val="60"/>
        </w:trPr>
        <w:tc>
          <w:tcPr>
            <w:tcW w:w="1673" w:type="dxa"/>
          </w:tcPr>
          <w:p w14:paraId="73FED230" w14:textId="77777777"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FormatvorlageInstructionsTabelleText"/>
                <w:rFonts w:ascii="Times New Roman" w:hAnsi="Times New Roman"/>
                <w:b/>
                <w:sz w:val="24"/>
              </w:rPr>
              <w:t>0020</w:t>
            </w:r>
          </w:p>
        </w:tc>
        <w:tc>
          <w:tcPr>
            <w:tcW w:w="7620" w:type="dxa"/>
          </w:tcPr>
          <w:p w14:paraId="11D26B29" w14:textId="77777777" w:rsidR="00FF53FF" w:rsidRPr="00166EBA" w:rsidRDefault="00FF53FF" w:rsidP="00166EBA">
            <w:pPr>
              <w:tabs>
                <w:tab w:val="left" w:pos="567"/>
              </w:tabs>
              <w:spacing w:before="120" w:after="120" w:line="240" w:lineRule="auto"/>
              <w:jc w:val="both"/>
              <w:rPr>
                <w:rStyle w:val="InstructionsTabelleberschrift"/>
                <w:rFonts w:ascii="Times New Roman" w:eastAsia="Arial" w:hAnsi="Times New Roman"/>
                <w:kern w:val="0"/>
                <w:sz w:val="24"/>
                <w:szCs w:val="24"/>
                <w:lang w:eastAsia="de-DE"/>
                <w14:ligatures w14:val="none"/>
              </w:rPr>
            </w:pPr>
            <w:r w:rsidRPr="00741964">
              <w:rPr>
                <w:rStyle w:val="InstructionsTabelleberschrift"/>
                <w:rFonts w:ascii="Times New Roman" w:eastAsia="Arial" w:hAnsi="Times New Roman"/>
                <w:kern w:val="0"/>
                <w:sz w:val="24"/>
                <w:szCs w:val="24"/>
                <w:lang w:eastAsia="de-DE"/>
                <w14:ligatures w14:val="none"/>
              </w:rPr>
              <w:t xml:space="preserve">Type of code </w:t>
            </w:r>
          </w:p>
          <w:p w14:paraId="5065B0C7" w14:textId="77777777" w:rsidR="00FF53FF" w:rsidRPr="00166EBA" w:rsidRDefault="00FF53FF" w:rsidP="00166EBA">
            <w:pPr>
              <w:tabs>
                <w:tab w:val="left" w:pos="567"/>
              </w:tabs>
              <w:spacing w:before="120" w:after="120" w:line="240" w:lineRule="auto"/>
              <w:jc w:val="both"/>
              <w:rPr>
                <w:rStyle w:val="InstructionsTabelleberschrift"/>
                <w:rFonts w:ascii="Times New Roman" w:eastAsia="Arial" w:hAnsi="Times New Roman"/>
                <w:b w:val="0"/>
                <w:kern w:val="0"/>
                <w:sz w:val="24"/>
                <w:u w:val="none"/>
                <w:lang w:eastAsia="de-DE"/>
                <w14:ligatures w14:val="none"/>
              </w:rPr>
            </w:pPr>
            <w:r w:rsidRPr="00166EBA">
              <w:rPr>
                <w:rStyle w:val="InstructionsTabelleberschrift"/>
                <w:rFonts w:ascii="Times New Roman" w:hAnsi="Times New Roman"/>
                <w:b w:val="0"/>
                <w:sz w:val="24"/>
                <w:u w:val="none"/>
              </w:rPr>
              <w:t>The institutions shall identify the type of code reported in column 0010 as a ‘LEI code’ or ‘</w:t>
            </w:r>
            <w:proofErr w:type="gramStart"/>
            <w:r w:rsidRPr="00166EBA">
              <w:rPr>
                <w:rStyle w:val="InstructionsTabelleberschrift"/>
                <w:rFonts w:ascii="Times New Roman" w:hAnsi="Times New Roman"/>
                <w:b w:val="0"/>
                <w:sz w:val="24"/>
                <w:u w:val="none"/>
              </w:rPr>
              <w:t>Non-LEI</w:t>
            </w:r>
            <w:proofErr w:type="gramEnd"/>
            <w:r w:rsidRPr="00166EBA">
              <w:rPr>
                <w:rStyle w:val="InstructionsTabelleberschrift"/>
                <w:rFonts w:ascii="Times New Roman" w:hAnsi="Times New Roman"/>
                <w:b w:val="0"/>
                <w:sz w:val="24"/>
                <w:u w:val="none"/>
              </w:rPr>
              <w:t xml:space="preserve"> code’.</w:t>
            </w:r>
          </w:p>
          <w:p w14:paraId="683B9490" w14:textId="77777777" w:rsidR="00FF53FF" w:rsidRPr="00166EBA" w:rsidRDefault="00FF53FF" w:rsidP="00166EBA">
            <w:pPr>
              <w:tabs>
                <w:tab w:val="left" w:pos="567"/>
              </w:tabs>
              <w:spacing w:before="120" w:after="120" w:line="240" w:lineRule="auto"/>
              <w:jc w:val="both"/>
              <w:rPr>
                <w:rStyle w:val="InstructionsTabelleberschrift"/>
                <w:rFonts w:ascii="Times New Roman" w:eastAsia="Arial" w:hAnsi="Times New Roman"/>
                <w:kern w:val="0"/>
                <w:sz w:val="24"/>
                <w:u w:val="none"/>
                <w:lang w:eastAsia="de-DE"/>
                <w14:ligatures w14:val="none"/>
              </w:rPr>
            </w:pPr>
            <w:r w:rsidRPr="00166EBA">
              <w:rPr>
                <w:rStyle w:val="InstructionsTabelleberschrift"/>
                <w:rFonts w:ascii="Times New Roman" w:hAnsi="Times New Roman"/>
                <w:b w:val="0"/>
                <w:sz w:val="24"/>
                <w:u w:val="none"/>
              </w:rPr>
              <w:t>The type of code shall always be reported.</w:t>
            </w:r>
          </w:p>
        </w:tc>
      </w:tr>
      <w:tr w:rsidR="00FF53FF" w:rsidRPr="00891973" w14:paraId="53F81314" w14:textId="77777777" w:rsidTr="00166EBA">
        <w:trPr>
          <w:trHeight w:val="60"/>
        </w:trPr>
        <w:tc>
          <w:tcPr>
            <w:tcW w:w="1673" w:type="dxa"/>
          </w:tcPr>
          <w:p w14:paraId="547D769C" w14:textId="77777777" w:rsidR="00FF53FF" w:rsidRPr="00891973" w:rsidRDefault="00FF53FF" w:rsidP="00523736">
            <w:pPr>
              <w:pStyle w:val="InstructionsText"/>
              <w:rPr>
                <w:rStyle w:val="FormatvorlageInstructionsTabelleText"/>
                <w:rFonts w:ascii="Times New Roman" w:hAnsi="Times New Roman"/>
                <w:b/>
                <w:sz w:val="24"/>
              </w:rPr>
            </w:pPr>
            <w:r w:rsidRPr="00891973">
              <w:rPr>
                <w:rStyle w:val="FormatvorlageInstructionsTabelleText"/>
                <w:rFonts w:ascii="Times New Roman" w:hAnsi="Times New Roman"/>
                <w:b/>
                <w:sz w:val="24"/>
              </w:rPr>
              <w:t>0030</w:t>
            </w:r>
          </w:p>
        </w:tc>
        <w:tc>
          <w:tcPr>
            <w:tcW w:w="7620" w:type="dxa"/>
          </w:tcPr>
          <w:p w14:paraId="6C3C33C8" w14:textId="77777777" w:rsidR="00FF53FF" w:rsidRPr="00891973" w:rsidRDefault="00FF53FF" w:rsidP="00523736">
            <w:pPr>
              <w:pStyle w:val="InstructionsText"/>
              <w:rPr>
                <w:rStyle w:val="InstructionsTabelleberschrift"/>
                <w:rFonts w:ascii="Times New Roman" w:hAnsi="Times New Roman"/>
                <w:sz w:val="24"/>
              </w:rPr>
            </w:pPr>
            <w:r w:rsidRPr="00891973">
              <w:rPr>
                <w:rStyle w:val="InstructionsTabelleberschrift"/>
                <w:rFonts w:ascii="Times New Roman" w:hAnsi="Times New Roman"/>
                <w:sz w:val="24"/>
              </w:rPr>
              <w:t>National code</w:t>
            </w:r>
          </w:p>
          <w:p w14:paraId="5C9B7C30" w14:textId="77777777" w:rsidR="00FF53FF" w:rsidRPr="00074257" w:rsidRDefault="00FF53FF" w:rsidP="00166EBA">
            <w:pPr>
              <w:tabs>
                <w:tab w:val="left" w:pos="567"/>
              </w:tabs>
              <w:spacing w:before="120" w:after="120" w:line="240" w:lineRule="auto"/>
              <w:jc w:val="both"/>
              <w:rPr>
                <w:rStyle w:val="InstructionsTabelleberschrift"/>
                <w:rFonts w:ascii="Times New Roman" w:hAnsi="Times New Roman"/>
                <w:b w:val="0"/>
                <w:sz w:val="24"/>
              </w:rPr>
            </w:pPr>
            <w:r w:rsidRPr="00166EBA">
              <w:rPr>
                <w:rStyle w:val="InstructionsTabelleberschrift"/>
                <w:rFonts w:ascii="Times New Roman" w:eastAsia="Arial" w:hAnsi="Times New Roman"/>
                <w:b w:val="0"/>
                <w:kern w:val="0"/>
                <w:sz w:val="24"/>
                <w:u w:val="none"/>
                <w:lang w:eastAsia="de-DE"/>
                <w14:ligatures w14:val="none"/>
              </w:rPr>
              <w:t>Institutions may additionally report the national code when they report LEI code as identifier in the ‘Code’ column.</w:t>
            </w:r>
          </w:p>
        </w:tc>
      </w:tr>
      <w:tr w:rsidR="00FF53FF" w:rsidRPr="00891973" w14:paraId="3C4B6CDE" w14:textId="77777777" w:rsidTr="00166EBA">
        <w:tc>
          <w:tcPr>
            <w:tcW w:w="1673" w:type="dxa"/>
          </w:tcPr>
          <w:p w14:paraId="6F00D7B4" w14:textId="77777777"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FormatvorlageInstructionsTabelleText"/>
                <w:rFonts w:ascii="Times New Roman" w:hAnsi="Times New Roman"/>
                <w:b/>
                <w:sz w:val="24"/>
              </w:rPr>
              <w:t>0040</w:t>
            </w:r>
          </w:p>
        </w:tc>
        <w:tc>
          <w:tcPr>
            <w:tcW w:w="7620" w:type="dxa"/>
          </w:tcPr>
          <w:p w14:paraId="0E6014BF" w14:textId="77777777" w:rsidR="00FF53FF" w:rsidRPr="00891973" w:rsidRDefault="00FF53FF" w:rsidP="00523736">
            <w:pPr>
              <w:pStyle w:val="InstructionsText"/>
              <w:rPr>
                <w:rStyle w:val="InstructionsTabelleberschrift"/>
                <w:rFonts w:ascii="Times New Roman" w:hAnsi="Times New Roman"/>
                <w:sz w:val="24"/>
              </w:rPr>
            </w:pPr>
            <w:r w:rsidRPr="00891973">
              <w:rPr>
                <w:rStyle w:val="InstructionsTabelleberschrift"/>
                <w:rFonts w:ascii="Times New Roman" w:hAnsi="Times New Roman"/>
                <w:sz w:val="24"/>
              </w:rPr>
              <w:t>Name</w:t>
            </w:r>
          </w:p>
          <w:p w14:paraId="4070A3DF" w14:textId="4A0E5179" w:rsidR="00FF53FF" w:rsidRPr="00891973" w:rsidRDefault="00FF53FF" w:rsidP="00523736">
            <w:pPr>
              <w:pStyle w:val="InstructionsText"/>
              <w:rPr>
                <w:rStyle w:val="InstructionsTabelleberschrift"/>
                <w:rFonts w:ascii="Times New Roman" w:hAnsi="Times New Roman"/>
                <w:sz w:val="24"/>
                <w:lang w:eastAsia="en-US"/>
              </w:rPr>
            </w:pPr>
            <w:r w:rsidRPr="00891973">
              <w:rPr>
                <w:rStyle w:val="FormatvorlageInstructionsTabelleText"/>
                <w:rFonts w:ascii="Times New Roman" w:hAnsi="Times New Roman"/>
                <w:sz w:val="24"/>
              </w:rPr>
              <w:t>The name shall correspond to the name of the</w:t>
            </w:r>
            <w:r w:rsidR="00074257">
              <w:rPr>
                <w:rStyle w:val="FormatvorlageInstructionsTabelleText"/>
                <w:rFonts w:ascii="Times New Roman" w:hAnsi="Times New Roman"/>
                <w:sz w:val="24"/>
              </w:rPr>
              <w:t xml:space="preserve"> single direct obligo</w:t>
            </w:r>
            <w:r w:rsidR="00036BF3">
              <w:rPr>
                <w:rStyle w:val="FormatvorlageInstructionsTabelleText"/>
                <w:rFonts w:ascii="Times New Roman" w:hAnsi="Times New Roman"/>
                <w:sz w:val="24"/>
              </w:rPr>
              <w:t xml:space="preserve">r. </w:t>
            </w:r>
            <w:r w:rsidRPr="00891973">
              <w:rPr>
                <w:rStyle w:val="FormatvorlageInstructionsTabelleText"/>
                <w:rFonts w:ascii="Times New Roman" w:hAnsi="Times New Roman"/>
                <w:sz w:val="24"/>
              </w:rPr>
              <w:t xml:space="preserve"> </w:t>
            </w:r>
          </w:p>
        </w:tc>
      </w:tr>
      <w:tr w:rsidR="00FF53FF" w:rsidRPr="00891973" w14:paraId="1679708A" w14:textId="77777777" w:rsidTr="00166EBA">
        <w:tc>
          <w:tcPr>
            <w:tcW w:w="1673" w:type="dxa"/>
          </w:tcPr>
          <w:p w14:paraId="349C45BC" w14:textId="77777777"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FormatvorlageInstructionsTabelleText"/>
                <w:rFonts w:ascii="Times New Roman" w:hAnsi="Times New Roman"/>
                <w:b/>
                <w:sz w:val="24"/>
              </w:rPr>
              <w:t>0050</w:t>
            </w:r>
          </w:p>
        </w:tc>
        <w:tc>
          <w:tcPr>
            <w:tcW w:w="7620" w:type="dxa"/>
          </w:tcPr>
          <w:p w14:paraId="6A2C02E7" w14:textId="77777777"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InstructionsTabelleberschrift"/>
                <w:rFonts w:ascii="Times New Roman" w:hAnsi="Times New Roman"/>
                <w:sz w:val="24"/>
              </w:rPr>
              <w:t>Residence of the counterparty</w:t>
            </w:r>
          </w:p>
          <w:p w14:paraId="6360DFE0" w14:textId="4B87DC50" w:rsidR="00FF53FF" w:rsidRPr="00891973" w:rsidRDefault="00FF53FF" w:rsidP="00166EBA">
            <w:pPr>
              <w:tabs>
                <w:tab w:val="left" w:pos="567"/>
              </w:tabs>
              <w:spacing w:before="120" w:after="120" w:line="240" w:lineRule="auto"/>
              <w:jc w:val="both"/>
              <w:rPr>
                <w:rStyle w:val="FormatvorlageInstructionsTabelleText"/>
                <w:rFonts w:ascii="Times New Roman" w:hAnsi="Times New Roman"/>
                <w:b/>
                <w:sz w:val="24"/>
              </w:rPr>
            </w:pPr>
            <w:r w:rsidRPr="00166EBA">
              <w:rPr>
                <w:rStyle w:val="InstructionsTabelleberschrift"/>
                <w:rFonts w:ascii="Times New Roman" w:hAnsi="Times New Roman"/>
                <w:b w:val="0"/>
                <w:sz w:val="24"/>
                <w:u w:val="none"/>
              </w:rPr>
              <w:t xml:space="preserve">The ISO code 3166-1-alpha-2 of the country of incorporation of the counterparty shall be used (including pseudo-ISO codes for international organisations, available in the last edition of the Eurostat’s “Balance of Payments </w:t>
            </w:r>
            <w:proofErr w:type="spellStart"/>
            <w:r w:rsidRPr="00166EBA">
              <w:rPr>
                <w:rStyle w:val="InstructionsTabelleberschrift"/>
                <w:rFonts w:ascii="Times New Roman" w:hAnsi="Times New Roman"/>
                <w:b w:val="0"/>
                <w:sz w:val="24"/>
                <w:u w:val="none"/>
              </w:rPr>
              <w:t>Vademecum</w:t>
            </w:r>
            <w:proofErr w:type="spellEnd"/>
            <w:r w:rsidRPr="00166EBA">
              <w:rPr>
                <w:rStyle w:val="InstructionsTabelleberschrift"/>
                <w:rFonts w:ascii="Times New Roman" w:hAnsi="Times New Roman"/>
                <w:b w:val="0"/>
                <w:sz w:val="24"/>
                <w:u w:val="none"/>
              </w:rPr>
              <w:t>”)</w:t>
            </w:r>
            <w:r w:rsidR="00FD2C46" w:rsidRPr="00166EBA">
              <w:rPr>
                <w:rStyle w:val="InstructionsTabelleberschrift"/>
                <w:rFonts w:ascii="Times New Roman" w:hAnsi="Times New Roman"/>
                <w:b w:val="0"/>
                <w:sz w:val="24"/>
                <w:u w:val="none"/>
              </w:rPr>
              <w:t>.</w:t>
            </w:r>
          </w:p>
        </w:tc>
      </w:tr>
      <w:tr w:rsidR="00FF53FF" w:rsidRPr="00891973" w14:paraId="30CEF658" w14:textId="77777777" w:rsidTr="00166EBA">
        <w:tc>
          <w:tcPr>
            <w:tcW w:w="1673" w:type="dxa"/>
          </w:tcPr>
          <w:p w14:paraId="4BDF21A5" w14:textId="77777777"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FormatvorlageInstructionsTabelleText"/>
                <w:rFonts w:ascii="Times New Roman" w:hAnsi="Times New Roman"/>
                <w:b/>
                <w:sz w:val="24"/>
              </w:rPr>
              <w:t>0060</w:t>
            </w:r>
          </w:p>
        </w:tc>
        <w:tc>
          <w:tcPr>
            <w:tcW w:w="7620" w:type="dxa"/>
          </w:tcPr>
          <w:p w14:paraId="4A1A83AB" w14:textId="77777777" w:rsidR="00FF53FF" w:rsidRPr="00B25662" w:rsidRDefault="00FF53FF" w:rsidP="00166EBA">
            <w:pPr>
              <w:tabs>
                <w:tab w:val="left" w:pos="567"/>
              </w:tabs>
              <w:spacing w:before="120" w:after="120" w:line="240" w:lineRule="auto"/>
              <w:jc w:val="both"/>
              <w:rPr>
                <w:rStyle w:val="InstructionsTabelleberschrift"/>
                <w:rFonts w:ascii="Times New Roman" w:hAnsi="Times New Roman"/>
                <w:sz w:val="24"/>
              </w:rPr>
            </w:pPr>
            <w:r w:rsidRPr="00166EBA">
              <w:rPr>
                <w:rStyle w:val="InstructionsTabelleberschrift"/>
                <w:rFonts w:ascii="Times New Roman" w:eastAsia="Arial" w:hAnsi="Times New Roman"/>
                <w:bCs w:val="0"/>
                <w:kern w:val="0"/>
                <w:sz w:val="24"/>
                <w:lang w:eastAsia="de-DE"/>
                <w14:ligatures w14:val="none"/>
              </w:rPr>
              <w:t>Sector of activity of the counterparty</w:t>
            </w:r>
          </w:p>
          <w:p w14:paraId="79D30E0D" w14:textId="72263159" w:rsidR="00FF53FF" w:rsidRPr="00166EBA" w:rsidRDefault="005243B7" w:rsidP="00166EBA">
            <w:pPr>
              <w:tabs>
                <w:tab w:val="left" w:pos="567"/>
              </w:tabs>
              <w:spacing w:before="120" w:after="120" w:line="240" w:lineRule="auto"/>
              <w:jc w:val="both"/>
              <w:rPr>
                <w:rStyle w:val="InstructionsTabelleberschrift"/>
                <w:rFonts w:ascii="Times New Roman" w:eastAsia="Arial" w:hAnsi="Times New Roman"/>
                <w:kern w:val="0"/>
                <w:sz w:val="24"/>
                <w:u w:val="none"/>
                <w:lang w:eastAsia="de-DE"/>
                <w14:ligatures w14:val="none"/>
              </w:rPr>
            </w:pPr>
            <w:r w:rsidRPr="00166EBA">
              <w:rPr>
                <w:rStyle w:val="InstructionsTabelleberschrift"/>
                <w:rFonts w:ascii="Times New Roman" w:hAnsi="Times New Roman"/>
                <w:b w:val="0"/>
                <w:sz w:val="24"/>
                <w:u w:val="none"/>
              </w:rPr>
              <w:t xml:space="preserve">Institutions shall report the </w:t>
            </w:r>
            <w:r w:rsidR="00B01082" w:rsidRPr="00166EBA">
              <w:rPr>
                <w:rStyle w:val="InstructionsTabelleberschrift"/>
                <w:rFonts w:ascii="Times New Roman" w:hAnsi="Times New Roman"/>
                <w:b w:val="0"/>
                <w:sz w:val="24"/>
                <w:u w:val="none"/>
              </w:rPr>
              <w:t xml:space="preserve">direct </w:t>
            </w:r>
            <w:r w:rsidRPr="00166EBA">
              <w:rPr>
                <w:rStyle w:val="InstructionsTabelleberschrift"/>
                <w:rFonts w:ascii="Times New Roman" w:hAnsi="Times New Roman"/>
                <w:b w:val="0"/>
                <w:sz w:val="24"/>
                <w:u w:val="none"/>
              </w:rPr>
              <w:t xml:space="preserve">counterparty </w:t>
            </w:r>
            <w:r w:rsidR="004B0817">
              <w:rPr>
                <w:rStyle w:val="InstructionsTabelleberschrift"/>
                <w:rFonts w:ascii="Times New Roman" w:hAnsi="Times New Roman"/>
                <w:b w:val="0"/>
                <w:sz w:val="24"/>
                <w:u w:val="none"/>
              </w:rPr>
              <w:t xml:space="preserve">operating </w:t>
            </w:r>
            <w:r w:rsidR="00350536">
              <w:rPr>
                <w:rStyle w:val="InstructionsTabelleberschrift"/>
                <w:rFonts w:ascii="Times New Roman" w:hAnsi="Times New Roman"/>
                <w:b w:val="0"/>
                <w:sz w:val="24"/>
                <w:u w:val="none"/>
              </w:rPr>
              <w:t xml:space="preserve">in </w:t>
            </w:r>
            <w:r w:rsidR="005D054D">
              <w:rPr>
                <w:rStyle w:val="InstructionsTabelleberschrift"/>
                <w:rFonts w:ascii="Times New Roman" w:hAnsi="Times New Roman"/>
                <w:b w:val="0"/>
                <w:sz w:val="24"/>
                <w:u w:val="none"/>
              </w:rPr>
              <w:t xml:space="preserve">the minimum list of sectors </w:t>
            </w:r>
            <w:r w:rsidR="00FA49B4">
              <w:rPr>
                <w:rFonts w:ascii="Times New Roman" w:hAnsi="Times New Roman"/>
                <w:sz w:val="24"/>
                <w:szCs w:val="24"/>
              </w:rPr>
              <w:t xml:space="preserve">provided in </w:t>
            </w:r>
            <w:r w:rsidR="00FA49B4" w:rsidRPr="3A8A05F4">
              <w:rPr>
                <w:rFonts w:ascii="Times New Roman" w:hAnsi="Times New Roman"/>
                <w:sz w:val="24"/>
                <w:szCs w:val="24"/>
              </w:rPr>
              <w:t xml:space="preserve">the instructions for ‘EU - CRFR4: Indicators of climate change transition risk: emission intensity per physical output and by </w:t>
            </w:r>
            <w:proofErr w:type="spellStart"/>
            <w:r w:rsidR="00FA49B4" w:rsidRPr="3A8A05F4">
              <w:rPr>
                <w:rFonts w:ascii="Times New Roman" w:hAnsi="Times New Roman"/>
                <w:sz w:val="24"/>
                <w:szCs w:val="24"/>
              </w:rPr>
              <w:t>sector.’</w:t>
            </w:r>
            <w:r w:rsidR="00D54A7A">
              <w:rPr>
                <w:rFonts w:ascii="Times New Roman" w:hAnsi="Times New Roman"/>
                <w:sz w:val="24"/>
              </w:rPr>
              <w:t>aluminium</w:t>
            </w:r>
            <w:proofErr w:type="spellEnd"/>
            <w:r w:rsidR="00D54A7A">
              <w:rPr>
                <w:rFonts w:ascii="Times New Roman" w:hAnsi="Times New Roman"/>
                <w:sz w:val="24"/>
              </w:rPr>
              <w:t>, automotive, aviation, building, cement, chemicals, coal, maritime and transport, oil and gas, power and steel.</w:t>
            </w:r>
          </w:p>
        </w:tc>
      </w:tr>
      <w:tr w:rsidR="00FF53FF" w:rsidRPr="00891973" w14:paraId="3CE147D6" w14:textId="77777777" w:rsidTr="00166EBA">
        <w:tc>
          <w:tcPr>
            <w:tcW w:w="1673" w:type="dxa"/>
          </w:tcPr>
          <w:p w14:paraId="0ECD5DEC" w14:textId="4588BC48" w:rsidR="00FF53FF" w:rsidRPr="00891973" w:rsidRDefault="00FF53FF" w:rsidP="00523736">
            <w:pPr>
              <w:pStyle w:val="InstructionsText"/>
              <w:rPr>
                <w:rStyle w:val="FormatvorlageInstructionsTabelleText"/>
                <w:rFonts w:ascii="Times New Roman" w:hAnsi="Times New Roman"/>
                <w:b/>
                <w:sz w:val="24"/>
                <w:lang w:eastAsia="en-US"/>
              </w:rPr>
            </w:pPr>
            <w:r w:rsidRPr="00891973">
              <w:rPr>
                <w:rStyle w:val="FormatvorlageInstructionsTabelleText"/>
                <w:rFonts w:ascii="Times New Roman" w:hAnsi="Times New Roman"/>
                <w:b/>
                <w:sz w:val="24"/>
              </w:rPr>
              <w:t>00</w:t>
            </w:r>
            <w:r w:rsidR="00436306">
              <w:rPr>
                <w:rStyle w:val="FormatvorlageInstructionsTabelleText"/>
                <w:rFonts w:ascii="Times New Roman" w:hAnsi="Times New Roman"/>
                <w:b/>
                <w:sz w:val="24"/>
              </w:rPr>
              <w:t>7</w:t>
            </w:r>
            <w:r w:rsidRPr="00891973">
              <w:rPr>
                <w:rStyle w:val="FormatvorlageInstructionsTabelleText"/>
                <w:rFonts w:ascii="Times New Roman" w:hAnsi="Times New Roman"/>
                <w:b/>
                <w:sz w:val="24"/>
              </w:rPr>
              <w:t>0</w:t>
            </w:r>
          </w:p>
        </w:tc>
        <w:tc>
          <w:tcPr>
            <w:tcW w:w="7620" w:type="dxa"/>
          </w:tcPr>
          <w:p w14:paraId="55029352" w14:textId="77777777" w:rsidR="00FF53FF" w:rsidRDefault="00FF53FF" w:rsidP="00523736">
            <w:pPr>
              <w:pStyle w:val="InstructionsText"/>
              <w:rPr>
                <w:rStyle w:val="InstructionsTabelleberschrift"/>
                <w:rFonts w:ascii="Times New Roman" w:hAnsi="Times New Roman"/>
                <w:sz w:val="24"/>
              </w:rPr>
            </w:pPr>
            <w:r w:rsidRPr="00166EBA">
              <w:rPr>
                <w:rStyle w:val="InstructionsTabelleberschrift"/>
                <w:rFonts w:ascii="Times New Roman" w:hAnsi="Times New Roman"/>
                <w:sz w:val="24"/>
              </w:rPr>
              <w:t>Total revenue of counterparty</w:t>
            </w:r>
          </w:p>
          <w:p w14:paraId="7798D2F0" w14:textId="5F9B81CB" w:rsidR="00FF53FF" w:rsidRPr="00166EBA" w:rsidRDefault="00233348" w:rsidP="00166EBA">
            <w:pPr>
              <w:jc w:val="both"/>
              <w:rPr>
                <w:rStyle w:val="InstructionsTabelleberschrift"/>
                <w:rFonts w:ascii="Times New Roman" w:eastAsia="Arial" w:hAnsi="Times New Roman"/>
                <w:kern w:val="0"/>
                <w:sz w:val="24"/>
                <w:szCs w:val="24"/>
                <w:lang w:eastAsia="de-DE"/>
                <w14:ligatures w14:val="none"/>
              </w:rPr>
            </w:pPr>
            <w:r w:rsidRPr="009E4E51">
              <w:rPr>
                <w:rStyle w:val="InstructionsTabelleberschrift"/>
                <w:rFonts w:ascii="Times New Roman" w:hAnsi="Times New Roman"/>
                <w:b w:val="0"/>
                <w:sz w:val="24"/>
                <w:u w:val="none"/>
              </w:rPr>
              <w:t>Institutions shall report</w:t>
            </w:r>
            <w:r>
              <w:rPr>
                <w:rStyle w:val="InstructionsTabelleberschrift"/>
                <w:rFonts w:ascii="Times New Roman" w:hAnsi="Times New Roman"/>
                <w:b w:val="0"/>
                <w:sz w:val="24"/>
                <w:u w:val="none"/>
              </w:rPr>
              <w:t xml:space="preserve"> the total revenues generated by the counterparty</w:t>
            </w:r>
            <w:r w:rsidR="004C7089">
              <w:rPr>
                <w:rStyle w:val="InstructionsTabelleberschrift"/>
                <w:rFonts w:ascii="Times New Roman" w:hAnsi="Times New Roman"/>
                <w:b w:val="0"/>
                <w:sz w:val="24"/>
                <w:u w:val="none"/>
              </w:rPr>
              <w:t xml:space="preserve"> during it</w:t>
            </w:r>
            <w:r w:rsidR="005B2206">
              <w:rPr>
                <w:rStyle w:val="InstructionsTabelleberschrift"/>
                <w:rFonts w:ascii="Times New Roman" w:hAnsi="Times New Roman"/>
                <w:b w:val="0"/>
                <w:sz w:val="24"/>
                <w:u w:val="none"/>
              </w:rPr>
              <w:t>s most recent available financial year</w:t>
            </w:r>
            <w:r w:rsidR="00BB362A">
              <w:rPr>
                <w:rStyle w:val="InstructionsTabelleberschrift"/>
                <w:rFonts w:ascii="Times New Roman" w:hAnsi="Times New Roman"/>
                <w:b w:val="0"/>
                <w:sz w:val="24"/>
                <w:u w:val="none"/>
              </w:rPr>
              <w:t xml:space="preserve">, based on the latest published annual financial statements. </w:t>
            </w:r>
            <w:r w:rsidR="00BB33DA">
              <w:rPr>
                <w:rStyle w:val="InstructionsTabelleberschrift"/>
                <w:rFonts w:ascii="Times New Roman" w:hAnsi="Times New Roman"/>
                <w:b w:val="0"/>
                <w:sz w:val="24"/>
                <w:u w:val="none"/>
              </w:rPr>
              <w:t xml:space="preserve">Revenues shall be taken from the individual financial statements of the counterparty. </w:t>
            </w:r>
            <w:r w:rsidR="00DB26CD">
              <w:rPr>
                <w:rStyle w:val="InstructionsTabelleberschrift"/>
                <w:rFonts w:ascii="Times New Roman" w:hAnsi="Times New Roman"/>
                <w:b w:val="0"/>
                <w:sz w:val="24"/>
                <w:u w:val="none"/>
              </w:rPr>
              <w:t>Where the counterparty forms part of a group that prepares consolidated financial statements</w:t>
            </w:r>
            <w:r w:rsidR="009F630B">
              <w:rPr>
                <w:rStyle w:val="InstructionsTabelleberschrift"/>
                <w:rFonts w:ascii="Times New Roman" w:hAnsi="Times New Roman"/>
                <w:b w:val="0"/>
                <w:sz w:val="24"/>
                <w:u w:val="none"/>
              </w:rPr>
              <w:t>, institutions shall report consolidated revenues</w:t>
            </w:r>
            <w:r w:rsidR="00B97234">
              <w:rPr>
                <w:rStyle w:val="InstructionsTabelleberschrift"/>
                <w:rFonts w:ascii="Times New Roman" w:hAnsi="Times New Roman"/>
                <w:b w:val="0"/>
                <w:sz w:val="24"/>
                <w:u w:val="none"/>
              </w:rPr>
              <w:t xml:space="preserve">. </w:t>
            </w:r>
            <w:r w:rsidR="00F371E1">
              <w:rPr>
                <w:rStyle w:val="InstructionsTabelleberschrift"/>
                <w:rFonts w:ascii="Times New Roman" w:hAnsi="Times New Roman"/>
                <w:b w:val="0"/>
                <w:sz w:val="24"/>
                <w:u w:val="none"/>
              </w:rPr>
              <w:t>The amount shall be reported in the reporting currency of the template.</w:t>
            </w:r>
          </w:p>
        </w:tc>
      </w:tr>
      <w:tr w:rsidR="00FF53FF" w:rsidRPr="00891973" w14:paraId="20FEFDE2" w14:textId="77777777" w:rsidTr="00166EBA">
        <w:tc>
          <w:tcPr>
            <w:tcW w:w="1673" w:type="dxa"/>
          </w:tcPr>
          <w:p w14:paraId="298D9FF4" w14:textId="77777777" w:rsidR="00FF53FF" w:rsidRPr="00891973" w:rsidRDefault="00FF53FF" w:rsidP="00523736">
            <w:pPr>
              <w:pStyle w:val="InstructionsText"/>
              <w:rPr>
                <w:rStyle w:val="FormatvorlageInstructionsTabelleText"/>
                <w:rFonts w:ascii="Times New Roman" w:hAnsi="Times New Roman"/>
                <w:b/>
                <w:sz w:val="24"/>
              </w:rPr>
            </w:pPr>
            <w:r w:rsidRPr="00891973">
              <w:rPr>
                <w:rStyle w:val="FormatvorlageInstructionsTabelleText"/>
                <w:rFonts w:ascii="Times New Roman" w:hAnsi="Times New Roman"/>
                <w:b/>
                <w:sz w:val="24"/>
              </w:rPr>
              <w:t>0080</w:t>
            </w:r>
          </w:p>
        </w:tc>
        <w:tc>
          <w:tcPr>
            <w:tcW w:w="7620" w:type="dxa"/>
          </w:tcPr>
          <w:p w14:paraId="3E1E4568" w14:textId="77777777" w:rsidR="00FF53FF" w:rsidRDefault="00FF53FF" w:rsidP="00523736">
            <w:pPr>
              <w:pStyle w:val="InstructionsText"/>
              <w:rPr>
                <w:rStyle w:val="InstructionsTabelleberschrift"/>
                <w:rFonts w:ascii="Times New Roman" w:hAnsi="Times New Roman"/>
                <w:sz w:val="24"/>
              </w:rPr>
            </w:pPr>
            <w:r w:rsidRPr="00166EBA">
              <w:rPr>
                <w:rStyle w:val="InstructionsTabelleberschrift"/>
                <w:rFonts w:ascii="Times New Roman" w:hAnsi="Times New Roman"/>
                <w:sz w:val="24"/>
              </w:rPr>
              <w:t>Transition Plan of the Counterparty (Y/N)</w:t>
            </w:r>
          </w:p>
          <w:p w14:paraId="7AB2009F" w14:textId="29B1EB92" w:rsidR="00890988" w:rsidRDefault="00713EA5" w:rsidP="00AF54AE">
            <w:pPr>
              <w:jc w:val="both"/>
              <w:rPr>
                <w:rStyle w:val="InstructionsTabelleberschrift"/>
                <w:rFonts w:ascii="Times New Roman" w:hAnsi="Times New Roman"/>
                <w:b w:val="0"/>
                <w:sz w:val="24"/>
                <w:u w:val="none"/>
              </w:rPr>
            </w:pPr>
            <w:r w:rsidRPr="00713EA5">
              <w:rPr>
                <w:rStyle w:val="InstructionsTabelleberschrift"/>
                <w:rFonts w:ascii="Times New Roman" w:hAnsi="Times New Roman"/>
                <w:b w:val="0"/>
                <w:sz w:val="24"/>
                <w:u w:val="none"/>
              </w:rPr>
              <w:t>Institutions shall indicate whether the counterparty has made available a transition plan</w:t>
            </w:r>
            <w:r w:rsidR="00604335">
              <w:rPr>
                <w:rStyle w:val="InstructionsTabelleberschrift"/>
                <w:rFonts w:ascii="Times New Roman" w:hAnsi="Times New Roman"/>
                <w:b w:val="0"/>
                <w:sz w:val="24"/>
                <w:u w:val="none"/>
              </w:rPr>
              <w:t>, such as a transition plan</w:t>
            </w:r>
            <w:r w:rsidRPr="00713EA5">
              <w:rPr>
                <w:rStyle w:val="InstructionsTabelleberschrift"/>
                <w:rFonts w:ascii="Times New Roman" w:hAnsi="Times New Roman"/>
                <w:b w:val="0"/>
                <w:sz w:val="24"/>
                <w:u w:val="none"/>
              </w:rPr>
              <w:t xml:space="preserve"> disclosed in accordance with the CSRD (where applicable) or any other forward‑looking plan that outlines how the counterparty intends to adjust its business model and operations in response to environmental risks.</w:t>
            </w:r>
          </w:p>
          <w:p w14:paraId="5F994016" w14:textId="01669240" w:rsidR="00C57D9F" w:rsidRDefault="00890988" w:rsidP="00AF54AE">
            <w:pPr>
              <w:jc w:val="both"/>
              <w:rPr>
                <w:rStyle w:val="InstructionsTabelleberschrift"/>
                <w:rFonts w:ascii="Times New Roman" w:hAnsi="Times New Roman"/>
                <w:b w:val="0"/>
                <w:sz w:val="24"/>
                <w:u w:val="none"/>
              </w:rPr>
            </w:pPr>
            <w:r w:rsidRPr="00890988">
              <w:rPr>
                <w:rStyle w:val="InstructionsTabelleberschrift"/>
                <w:rFonts w:ascii="Times New Roman" w:hAnsi="Times New Roman"/>
                <w:b w:val="0"/>
                <w:sz w:val="24"/>
                <w:u w:val="none"/>
              </w:rPr>
              <w:t>A response “yes” means that such a plan exists and has been obtained or is publicly available; “no” means that no transition plan could be identified for the counterparty.</w:t>
            </w:r>
          </w:p>
          <w:p w14:paraId="393E2ADC" w14:textId="29A6F95C" w:rsidR="00446DC4" w:rsidRPr="00C57D9F" w:rsidRDefault="00C57D9F" w:rsidP="00AF54AE">
            <w:pPr>
              <w:jc w:val="both"/>
              <w:rPr>
                <w:rStyle w:val="InstructionsTabelleberschrift"/>
                <w:rFonts w:ascii="Times New Roman" w:hAnsi="Times New Roman"/>
                <w:b w:val="0"/>
                <w:sz w:val="24"/>
                <w:szCs w:val="24"/>
                <w:u w:val="none"/>
              </w:rPr>
            </w:pPr>
            <w:r w:rsidRPr="330DCF24">
              <w:rPr>
                <w:rStyle w:val="InstructionsTabelleberschrift"/>
                <w:rFonts w:ascii="Times New Roman" w:hAnsi="Times New Roman"/>
                <w:b w:val="0"/>
                <w:sz w:val="24"/>
                <w:szCs w:val="24"/>
                <w:u w:val="none"/>
              </w:rPr>
              <w:t xml:space="preserve">In line with Section 4.2.2 of the </w:t>
            </w:r>
            <w:r w:rsidR="0056214F" w:rsidRPr="330DCF24">
              <w:rPr>
                <w:rStyle w:val="InstructionsTabelleberschrift"/>
                <w:rFonts w:ascii="Times New Roman" w:hAnsi="Times New Roman"/>
                <w:b w:val="0"/>
                <w:sz w:val="24"/>
                <w:szCs w:val="24"/>
                <w:u w:val="none"/>
              </w:rPr>
              <w:t xml:space="preserve">EBA </w:t>
            </w:r>
            <w:r w:rsidRPr="330DCF24">
              <w:rPr>
                <w:rStyle w:val="InstructionsTabelleberschrift"/>
                <w:rFonts w:ascii="Times New Roman" w:hAnsi="Times New Roman"/>
                <w:b w:val="0"/>
                <w:sz w:val="24"/>
                <w:szCs w:val="24"/>
                <w:u w:val="none"/>
              </w:rPr>
              <w:t xml:space="preserve">Guidelines on </w:t>
            </w:r>
            <w:r w:rsidR="0056214F" w:rsidRPr="330DCF24">
              <w:rPr>
                <w:rStyle w:val="InstructionsTabelleberschrift"/>
                <w:rFonts w:ascii="Times New Roman" w:hAnsi="Times New Roman"/>
                <w:b w:val="0"/>
                <w:sz w:val="24"/>
                <w:szCs w:val="24"/>
                <w:u w:val="none"/>
              </w:rPr>
              <w:t xml:space="preserve">the </w:t>
            </w:r>
            <w:r w:rsidRPr="330DCF24">
              <w:rPr>
                <w:rStyle w:val="InstructionsTabelleberschrift"/>
                <w:rFonts w:ascii="Times New Roman" w:hAnsi="Times New Roman"/>
                <w:b w:val="0"/>
                <w:sz w:val="24"/>
                <w:szCs w:val="24"/>
                <w:u w:val="none"/>
              </w:rPr>
              <w:t>management</w:t>
            </w:r>
            <w:r w:rsidR="0056214F" w:rsidRPr="330DCF24">
              <w:rPr>
                <w:rStyle w:val="InstructionsTabelleberschrift"/>
                <w:rFonts w:ascii="Times New Roman" w:hAnsi="Times New Roman"/>
                <w:b w:val="0"/>
                <w:sz w:val="24"/>
                <w:szCs w:val="24"/>
                <w:u w:val="none"/>
              </w:rPr>
              <w:t xml:space="preserve"> of ESG risks</w:t>
            </w:r>
            <w:r w:rsidR="0056214F">
              <w:rPr>
                <w:rStyle w:val="FootnoteReference"/>
                <w:rFonts w:cs="Times New Roman"/>
                <w:bCs/>
              </w:rPr>
              <w:footnoteReference w:id="1"/>
            </w:r>
            <w:r w:rsidRPr="330DCF24">
              <w:rPr>
                <w:rStyle w:val="InstructionsTabelleberschrift"/>
                <w:rFonts w:ascii="Times New Roman" w:hAnsi="Times New Roman"/>
                <w:b w:val="0"/>
                <w:sz w:val="24"/>
                <w:szCs w:val="24"/>
                <w:u w:val="none"/>
              </w:rPr>
              <w:t>, transition plans form part of the ESG data institutions should collect from large corporate counterparties when available, as they provide forward‑looking information relevant for assessing the counterparty’s resilience to environmental risks (e.g. strategic actions, targets, and pathways consistent with applicable regulatory objectives).</w:t>
            </w:r>
          </w:p>
        </w:tc>
      </w:tr>
      <w:tr w:rsidR="00FF53FF" w:rsidRPr="00891973" w14:paraId="6D467B46" w14:textId="77777777" w:rsidTr="00166EBA">
        <w:tc>
          <w:tcPr>
            <w:tcW w:w="1673" w:type="dxa"/>
          </w:tcPr>
          <w:p w14:paraId="715E9746" w14:textId="77777777" w:rsidR="00FF53FF" w:rsidRPr="00166EBA" w:rsidRDefault="00FF53FF" w:rsidP="00523736">
            <w:pPr>
              <w:pStyle w:val="InstructionsText"/>
              <w:rPr>
                <w:rStyle w:val="InstructionsTabelleberschrift"/>
                <w:rFonts w:ascii="Times New Roman" w:hAnsi="Times New Roman"/>
                <w:sz w:val="24"/>
                <w:u w:val="none"/>
              </w:rPr>
            </w:pPr>
            <w:r w:rsidRPr="00166EBA">
              <w:rPr>
                <w:rStyle w:val="InstructionsTabelleberschrift"/>
                <w:rFonts w:ascii="Times New Roman" w:hAnsi="Times New Roman"/>
                <w:sz w:val="24"/>
                <w:u w:val="none"/>
              </w:rPr>
              <w:t>0090</w:t>
            </w:r>
          </w:p>
        </w:tc>
        <w:tc>
          <w:tcPr>
            <w:tcW w:w="7620" w:type="dxa"/>
          </w:tcPr>
          <w:p w14:paraId="5694223C" w14:textId="77777777" w:rsidR="00FF53FF" w:rsidRPr="00EB6298" w:rsidRDefault="00FF53FF" w:rsidP="00523736">
            <w:pPr>
              <w:pStyle w:val="InstructionsText"/>
              <w:rPr>
                <w:rStyle w:val="InstructionsTabelleberschrift"/>
                <w:rFonts w:ascii="Times New Roman" w:hAnsi="Times New Roman"/>
                <w:sz w:val="24"/>
              </w:rPr>
            </w:pPr>
            <w:r w:rsidRPr="00166EBA">
              <w:rPr>
                <w:rStyle w:val="InstructionsTabelleberschrift"/>
                <w:rFonts w:ascii="Times New Roman" w:hAnsi="Times New Roman"/>
                <w:sz w:val="24"/>
              </w:rPr>
              <w:t>Gross carrying amount as a percentage of total corporate exposures</w:t>
            </w:r>
          </w:p>
          <w:p w14:paraId="54DE3FE8" w14:textId="10CE2F33" w:rsidR="005F7FB0" w:rsidRPr="00EB6298" w:rsidRDefault="00EB6298" w:rsidP="00166EBA">
            <w:pPr>
              <w:jc w:val="both"/>
              <w:rPr>
                <w:rStyle w:val="InstructionsTabelleberschrift"/>
                <w:rFonts w:ascii="Times New Roman" w:hAnsi="Times New Roman"/>
                <w:b w:val="0"/>
                <w:sz w:val="24"/>
                <w:u w:val="none"/>
              </w:rPr>
            </w:pPr>
            <w:r w:rsidRPr="00EB6298">
              <w:rPr>
                <w:rStyle w:val="InstructionsTabelleberschrift"/>
                <w:rFonts w:ascii="Times New Roman" w:hAnsi="Times New Roman"/>
                <w:b w:val="0"/>
                <w:sz w:val="24"/>
                <w:u w:val="none"/>
              </w:rPr>
              <w:t>Institutions shall report the gross carrying amount as a percentage of total corporate exposures</w:t>
            </w:r>
            <w:r>
              <w:rPr>
                <w:rStyle w:val="InstructionsTabelleberschrift"/>
                <w:rFonts w:ascii="Times New Roman" w:hAnsi="Times New Roman"/>
                <w:b w:val="0"/>
                <w:sz w:val="24"/>
                <w:u w:val="none"/>
              </w:rPr>
              <w:t>.</w:t>
            </w:r>
          </w:p>
        </w:tc>
      </w:tr>
      <w:tr w:rsidR="0045063C" w:rsidRPr="00891973" w14:paraId="6CBA8963" w14:textId="77777777" w:rsidTr="00166EBA">
        <w:tc>
          <w:tcPr>
            <w:tcW w:w="1673" w:type="dxa"/>
          </w:tcPr>
          <w:p w14:paraId="43F41E05" w14:textId="05B9168B" w:rsidR="0045063C" w:rsidRPr="00A55027" w:rsidRDefault="00177654" w:rsidP="00523736">
            <w:pPr>
              <w:pStyle w:val="InstructionsText"/>
              <w:rPr>
                <w:rStyle w:val="FormatvorlageInstructionsTabelleText"/>
                <w:rFonts w:ascii="Times New Roman" w:hAnsi="Times New Roman"/>
                <w:b/>
                <w:sz w:val="24"/>
              </w:rPr>
            </w:pPr>
            <w:r w:rsidRPr="00A55027">
              <w:rPr>
                <w:rStyle w:val="InstructionsTabelleberschrift"/>
                <w:rFonts w:ascii="Times New Roman" w:hAnsi="Times New Roman"/>
                <w:sz w:val="24"/>
                <w:u w:val="none"/>
              </w:rPr>
              <w:t>0100</w:t>
            </w:r>
          </w:p>
        </w:tc>
        <w:tc>
          <w:tcPr>
            <w:tcW w:w="7620" w:type="dxa"/>
          </w:tcPr>
          <w:p w14:paraId="45F14BE2" w14:textId="7E8FF81C" w:rsidR="00177654" w:rsidRDefault="00177654" w:rsidP="00523736">
            <w:pPr>
              <w:pStyle w:val="InstructionsText"/>
              <w:rPr>
                <w:rStyle w:val="InstructionsTabelleberschrift"/>
                <w:rFonts w:ascii="Times New Roman" w:hAnsi="Times New Roman"/>
                <w:sz w:val="24"/>
              </w:rPr>
            </w:pPr>
            <w:r w:rsidRPr="00174068">
              <w:rPr>
                <w:rStyle w:val="InstructionsTabelleberschrift"/>
                <w:rFonts w:ascii="Times New Roman" w:hAnsi="Times New Roman"/>
                <w:sz w:val="24"/>
              </w:rPr>
              <w:t>Gross carrying amount (on-balance sheet)</w:t>
            </w:r>
          </w:p>
          <w:p w14:paraId="07308DBF" w14:textId="763BA5E4" w:rsidR="0045063C" w:rsidRPr="00912084" w:rsidRDefault="007C1D8E" w:rsidP="00166EBA">
            <w:pPr>
              <w:tabs>
                <w:tab w:val="left" w:pos="567"/>
              </w:tabs>
              <w:spacing w:before="120" w:after="120" w:line="240" w:lineRule="auto"/>
              <w:jc w:val="both"/>
              <w:rPr>
                <w:rStyle w:val="InstructionsTabelleberschrift"/>
                <w:rFonts w:ascii="Times New Roman" w:hAnsi="Times New Roman"/>
                <w:sz w:val="24"/>
                <w:szCs w:val="24"/>
              </w:rPr>
            </w:pPr>
            <w:r w:rsidRPr="00912084">
              <w:rPr>
                <w:rStyle w:val="InstructionsTabelleberschrift"/>
                <w:rFonts w:ascii="Times New Roman" w:hAnsi="Times New Roman"/>
                <w:b w:val="0"/>
                <w:sz w:val="24"/>
                <w:szCs w:val="24"/>
                <w:u w:val="none"/>
              </w:rPr>
              <w:t xml:space="preserve">Institutions shall </w:t>
            </w:r>
            <w:r w:rsidR="00FA24B9" w:rsidRPr="00912084">
              <w:rPr>
                <w:rStyle w:val="InstructionsTabelleberschrift"/>
                <w:rFonts w:ascii="Times New Roman" w:hAnsi="Times New Roman"/>
                <w:b w:val="0"/>
                <w:sz w:val="24"/>
                <w:szCs w:val="24"/>
                <w:u w:val="none"/>
              </w:rPr>
              <w:t>report</w:t>
            </w:r>
            <w:r w:rsidRPr="00912084">
              <w:rPr>
                <w:rStyle w:val="InstructionsTabelleberschrift"/>
                <w:rFonts w:ascii="Times New Roman" w:hAnsi="Times New Roman"/>
                <w:b w:val="0"/>
                <w:sz w:val="24"/>
                <w:szCs w:val="24"/>
                <w:u w:val="none"/>
              </w:rPr>
              <w:t xml:space="preserve"> the gross carrying </w:t>
            </w:r>
            <w:proofErr w:type="gramStart"/>
            <w:r w:rsidRPr="00912084">
              <w:rPr>
                <w:rStyle w:val="InstructionsTabelleberschrift"/>
                <w:rFonts w:ascii="Times New Roman" w:hAnsi="Times New Roman"/>
                <w:b w:val="0"/>
                <w:sz w:val="24"/>
                <w:szCs w:val="24"/>
                <w:u w:val="none"/>
              </w:rPr>
              <w:t>amount</w:t>
            </w:r>
            <w:proofErr w:type="gramEnd"/>
            <w:r w:rsidR="00C77114" w:rsidRPr="00912084">
              <w:rPr>
                <w:rStyle w:val="InstructionsTabelleberschrift"/>
                <w:rFonts w:ascii="Times New Roman" w:hAnsi="Times New Roman"/>
                <w:b w:val="0"/>
                <w:sz w:val="24"/>
                <w:szCs w:val="24"/>
                <w:u w:val="none"/>
              </w:rPr>
              <w:t xml:space="preserve"> </w:t>
            </w:r>
            <w:r w:rsidR="00C77114" w:rsidRPr="00092C8D">
              <w:rPr>
                <w:rStyle w:val="InstructionsTabelleberschrift"/>
                <w:rFonts w:ascii="Times New Roman" w:hAnsi="Times New Roman"/>
                <w:b w:val="0"/>
                <w:sz w:val="24"/>
                <w:szCs w:val="24"/>
                <w:u w:val="none"/>
              </w:rPr>
              <w:t>of exposures towards the counterparty</w:t>
            </w:r>
            <w:r w:rsidR="002611F2" w:rsidRPr="00092C8D">
              <w:rPr>
                <w:rStyle w:val="InstructionsTabelleberschrift"/>
                <w:rFonts w:ascii="Times New Roman" w:hAnsi="Times New Roman"/>
                <w:b w:val="0"/>
                <w:sz w:val="24"/>
                <w:szCs w:val="24"/>
                <w:u w:val="none"/>
              </w:rPr>
              <w:t>. Gross carrying amount</w:t>
            </w:r>
            <w:r w:rsidR="005E0DAC" w:rsidRPr="00092C8D">
              <w:rPr>
                <w:rStyle w:val="InstructionsTabelleberschrift"/>
                <w:rFonts w:ascii="Times New Roman" w:hAnsi="Times New Roman"/>
                <w:b w:val="0"/>
                <w:sz w:val="24"/>
                <w:szCs w:val="24"/>
                <w:u w:val="none"/>
              </w:rPr>
              <w:t xml:space="preserve"> is</w:t>
            </w:r>
            <w:r w:rsidRPr="00912084">
              <w:rPr>
                <w:rStyle w:val="InstructionsTabelleberschrift"/>
                <w:rFonts w:ascii="Times New Roman" w:hAnsi="Times New Roman"/>
                <w:b w:val="0"/>
                <w:sz w:val="24"/>
                <w:szCs w:val="24"/>
                <w:u w:val="none"/>
              </w:rPr>
              <w:t xml:space="preserve"> referred to in Part 1 of the EBA IT solutions published on EBA’s website related to the reporting on financial information of those exposures towards non-financial corporates, including loans and advances, debt securities and equity instruments, classified in the accounting portfolios in the banking book in accordance with that Implementing Regulation, excluding financial assets held for trading or held for sale assets. </w:t>
            </w:r>
          </w:p>
        </w:tc>
      </w:tr>
      <w:tr w:rsidR="0045063C" w:rsidRPr="00891973" w14:paraId="696A2818" w14:textId="77777777" w:rsidTr="00166EBA">
        <w:tc>
          <w:tcPr>
            <w:tcW w:w="1673" w:type="dxa"/>
          </w:tcPr>
          <w:p w14:paraId="4B359339" w14:textId="651CD83E" w:rsidR="0045063C" w:rsidRPr="00891973" w:rsidRDefault="00243458" w:rsidP="00523736">
            <w:pPr>
              <w:pStyle w:val="InstructionsText"/>
              <w:rPr>
                <w:rStyle w:val="FormatvorlageInstructionsTabelleText"/>
                <w:rFonts w:ascii="Times New Roman" w:hAnsi="Times New Roman"/>
                <w:b/>
                <w:sz w:val="24"/>
              </w:rPr>
            </w:pPr>
            <w:r>
              <w:rPr>
                <w:rStyle w:val="FormatvorlageInstructionsTabelleText"/>
                <w:rFonts w:ascii="Times New Roman" w:hAnsi="Times New Roman"/>
                <w:b/>
                <w:sz w:val="24"/>
              </w:rPr>
              <w:t>0110</w:t>
            </w:r>
          </w:p>
        </w:tc>
        <w:tc>
          <w:tcPr>
            <w:tcW w:w="7620" w:type="dxa"/>
          </w:tcPr>
          <w:p w14:paraId="3B879422" w14:textId="2BB68F77" w:rsidR="0045063C" w:rsidRDefault="00251D6B" w:rsidP="00523736">
            <w:pPr>
              <w:pStyle w:val="InstructionsText"/>
              <w:rPr>
                <w:rStyle w:val="InstructionsTabelleberschrift"/>
                <w:rFonts w:ascii="Times New Roman" w:hAnsi="Times New Roman"/>
                <w:sz w:val="24"/>
              </w:rPr>
            </w:pPr>
            <w:r>
              <w:rPr>
                <w:rStyle w:val="InstructionsTabelleberschrift"/>
                <w:rFonts w:ascii="Times New Roman" w:hAnsi="Times New Roman"/>
                <w:sz w:val="24"/>
              </w:rPr>
              <w:t>O</w:t>
            </w:r>
            <w:r w:rsidR="00243458" w:rsidRPr="00174068">
              <w:rPr>
                <w:rStyle w:val="InstructionsTabelleberschrift"/>
                <w:rFonts w:ascii="Times New Roman" w:hAnsi="Times New Roman"/>
                <w:sz w:val="24"/>
              </w:rPr>
              <w:t xml:space="preserve">f which: </w:t>
            </w:r>
            <w:r>
              <w:rPr>
                <w:rStyle w:val="InstructionsTabelleberschrift"/>
                <w:rFonts w:ascii="Times New Roman" w:hAnsi="Times New Roman"/>
                <w:sz w:val="24"/>
              </w:rPr>
              <w:t>N</w:t>
            </w:r>
            <w:r w:rsidR="00243458" w:rsidRPr="00174068">
              <w:rPr>
                <w:rStyle w:val="InstructionsTabelleberschrift"/>
                <w:rFonts w:ascii="Times New Roman" w:hAnsi="Times New Roman"/>
                <w:sz w:val="24"/>
              </w:rPr>
              <w:t>ew exposures</w:t>
            </w:r>
            <w:r w:rsidR="00243458" w:rsidRPr="00243458" w:rsidDel="0045063C">
              <w:rPr>
                <w:rStyle w:val="InstructionsTabelleberschrift"/>
                <w:rFonts w:ascii="Times New Roman" w:hAnsi="Times New Roman"/>
                <w:sz w:val="24"/>
              </w:rPr>
              <w:t xml:space="preserve"> </w:t>
            </w:r>
          </w:p>
          <w:p w14:paraId="615DE013" w14:textId="77916EC6" w:rsidR="0045063C" w:rsidRPr="008A4419" w:rsidRDefault="00E115C5" w:rsidP="00166EBA">
            <w:pPr>
              <w:spacing w:after="0" w:line="300" w:lineRule="atLeast"/>
              <w:jc w:val="both"/>
              <w:rPr>
                <w:rStyle w:val="InstructionsTabelleberschrift"/>
                <w:rFonts w:ascii="Times New Roman" w:hAnsi="Times New Roman"/>
                <w:b w:val="0"/>
                <w:sz w:val="24"/>
                <w:u w:val="none"/>
              </w:rPr>
            </w:pPr>
            <w:r w:rsidRPr="00166EBA">
              <w:rPr>
                <w:rStyle w:val="InstructionsTabelleberschrift"/>
                <w:rFonts w:ascii="Times New Roman" w:hAnsi="Times New Roman"/>
                <w:b w:val="0"/>
                <w:bCs w:val="0"/>
                <w:sz w:val="24"/>
                <w:u w:val="none"/>
              </w:rPr>
              <w:t>Institutions shall report, as a subset of the gross carrying amount in column 0100, the amount corresponding to exposures that were originated or newly recognised on the balance sheet during the reporting period. This includes exposures arising from new contracts or from newly purchased or transferred assets. The amount shall be reported at its gross carrying amount at the reporting date, following the same measurement approach as in column 0100.</w:t>
            </w:r>
          </w:p>
        </w:tc>
      </w:tr>
      <w:tr w:rsidR="0045063C" w:rsidRPr="00891973" w14:paraId="513928D2" w14:textId="77777777" w:rsidTr="00166EBA">
        <w:tc>
          <w:tcPr>
            <w:tcW w:w="1673" w:type="dxa"/>
          </w:tcPr>
          <w:p w14:paraId="4547D1FB" w14:textId="08DA5D12" w:rsidR="0045063C" w:rsidRPr="00891973" w:rsidRDefault="00B24818" w:rsidP="00523736">
            <w:pPr>
              <w:pStyle w:val="InstructionsText"/>
              <w:rPr>
                <w:rStyle w:val="FormatvorlageInstructionsTabelleText"/>
                <w:rFonts w:ascii="Times New Roman" w:hAnsi="Times New Roman"/>
                <w:b/>
                <w:sz w:val="24"/>
              </w:rPr>
            </w:pPr>
            <w:r>
              <w:rPr>
                <w:rStyle w:val="FormatvorlageInstructionsTabelleText"/>
                <w:rFonts w:ascii="Times New Roman" w:hAnsi="Times New Roman"/>
                <w:b/>
                <w:sz w:val="24"/>
              </w:rPr>
              <w:t>01</w:t>
            </w:r>
            <w:r w:rsidR="00C4645F">
              <w:rPr>
                <w:rStyle w:val="FormatvorlageInstructionsTabelleText"/>
                <w:rFonts w:ascii="Times New Roman" w:hAnsi="Times New Roman"/>
                <w:b/>
                <w:sz w:val="24"/>
              </w:rPr>
              <w:t>2</w:t>
            </w:r>
            <w:r>
              <w:rPr>
                <w:rStyle w:val="FormatvorlageInstructionsTabelleText"/>
                <w:rFonts w:ascii="Times New Roman" w:hAnsi="Times New Roman"/>
                <w:b/>
                <w:sz w:val="24"/>
              </w:rPr>
              <w:t>0</w:t>
            </w:r>
            <w:r w:rsidR="008C74ED">
              <w:rPr>
                <w:rStyle w:val="FormatvorlageInstructionsTabelleText"/>
                <w:rFonts w:ascii="Times New Roman" w:hAnsi="Times New Roman"/>
                <w:b/>
                <w:sz w:val="24"/>
              </w:rPr>
              <w:t xml:space="preserve"> - 0</w:t>
            </w:r>
            <w:r w:rsidR="00A4715E">
              <w:rPr>
                <w:rStyle w:val="FormatvorlageInstructionsTabelleText"/>
                <w:rFonts w:ascii="Times New Roman" w:hAnsi="Times New Roman"/>
                <w:b/>
                <w:sz w:val="24"/>
              </w:rPr>
              <w:t>210</w:t>
            </w:r>
          </w:p>
        </w:tc>
        <w:tc>
          <w:tcPr>
            <w:tcW w:w="7620" w:type="dxa"/>
          </w:tcPr>
          <w:p w14:paraId="5960A460" w14:textId="722B13FE" w:rsidR="00C4645F" w:rsidRDefault="000E58A8" w:rsidP="00D2157E">
            <w:pPr>
              <w:tabs>
                <w:tab w:val="left" w:pos="567"/>
              </w:tabs>
              <w:spacing w:before="120" w:after="120" w:line="240" w:lineRule="auto"/>
              <w:jc w:val="both"/>
              <w:rPr>
                <w:rFonts w:ascii="Times New Roman" w:hAnsi="Times New Roman"/>
                <w:sz w:val="24"/>
                <w:szCs w:val="24"/>
              </w:rPr>
            </w:pPr>
            <w:r w:rsidRPr="3BE9D57E">
              <w:rPr>
                <w:rFonts w:ascii="Times New Roman" w:hAnsi="Times New Roman"/>
                <w:sz w:val="24"/>
                <w:szCs w:val="24"/>
              </w:rPr>
              <w:t>For the reporting of rows 0120 – 0170 and 0200 in this template, i</w:t>
            </w:r>
            <w:r w:rsidR="009B5ACB" w:rsidRPr="3BE9D57E">
              <w:rPr>
                <w:rFonts w:ascii="Times New Roman" w:hAnsi="Times New Roman"/>
                <w:sz w:val="24"/>
                <w:szCs w:val="24"/>
              </w:rPr>
              <w:t xml:space="preserve">nstitutions shall report in accordance with the instructions provided for ‘EU - CRFR1: Climate change transition risk - Credit quality of exposures by sector, emissions and residual maturity’ set out in Annex </w:t>
            </w:r>
            <w:r w:rsidR="59FF240B" w:rsidRPr="3BE9D57E">
              <w:rPr>
                <w:rFonts w:ascii="Times New Roman" w:hAnsi="Times New Roman"/>
                <w:sz w:val="24"/>
                <w:szCs w:val="24"/>
              </w:rPr>
              <w:t>XL</w:t>
            </w:r>
            <w:r w:rsidR="009B5ACB" w:rsidRPr="3BE9D57E">
              <w:rPr>
                <w:rFonts w:ascii="Times New Roman" w:hAnsi="Times New Roman"/>
                <w:sz w:val="24"/>
                <w:szCs w:val="24"/>
              </w:rPr>
              <w:t xml:space="preserve"> of the Implementing Regulation 2024/3172. </w:t>
            </w:r>
          </w:p>
          <w:p w14:paraId="6F4F533C" w14:textId="3C31286C" w:rsidR="0045063C" w:rsidRPr="00166EBA" w:rsidRDefault="000E58A8" w:rsidP="00166EBA">
            <w:pPr>
              <w:tabs>
                <w:tab w:val="left" w:pos="567"/>
              </w:tabs>
              <w:spacing w:before="120" w:after="120" w:line="240" w:lineRule="auto"/>
              <w:jc w:val="both"/>
              <w:rPr>
                <w:rStyle w:val="InstructionsTabelleberschrift"/>
                <w:rFonts w:ascii="Times New Roman" w:hAnsi="Times New Roman"/>
                <w:sz w:val="24"/>
                <w:szCs w:val="24"/>
                <w:lang w:eastAsia="de-DE"/>
              </w:rPr>
            </w:pPr>
            <w:r>
              <w:rPr>
                <w:rFonts w:ascii="Times New Roman" w:hAnsi="Times New Roman"/>
                <w:sz w:val="24"/>
              </w:rPr>
              <w:t>For the reporting of rows 0180</w:t>
            </w:r>
            <w:r w:rsidR="005327C0">
              <w:rPr>
                <w:rFonts w:ascii="Times New Roman" w:hAnsi="Times New Roman"/>
                <w:sz w:val="24"/>
              </w:rPr>
              <w:t>, 0200 and 02</w:t>
            </w:r>
            <w:r w:rsidR="00385DCE">
              <w:rPr>
                <w:rFonts w:ascii="Times New Roman" w:hAnsi="Times New Roman"/>
                <w:sz w:val="24"/>
              </w:rPr>
              <w:t>1</w:t>
            </w:r>
            <w:r w:rsidR="005327C0">
              <w:rPr>
                <w:rFonts w:ascii="Times New Roman" w:hAnsi="Times New Roman"/>
                <w:sz w:val="24"/>
              </w:rPr>
              <w:t>0</w:t>
            </w:r>
            <w:r w:rsidR="009B5ACB" w:rsidRPr="00166EBA">
              <w:rPr>
                <w:rFonts w:ascii="Times New Roman" w:hAnsi="Times New Roman"/>
                <w:sz w:val="24"/>
              </w:rPr>
              <w:t xml:space="preserve">, institutions shall </w:t>
            </w:r>
            <w:r w:rsidR="00B01DB1">
              <w:rPr>
                <w:rFonts w:ascii="Times New Roman" w:hAnsi="Times New Roman"/>
                <w:sz w:val="24"/>
              </w:rPr>
              <w:t>refer to the instructions provided in FINREP.</w:t>
            </w:r>
          </w:p>
        </w:tc>
      </w:tr>
      <w:tr w:rsidR="00832C5A" w:rsidRPr="00891973" w14:paraId="155E0FBE" w14:textId="77777777" w:rsidTr="00166EBA">
        <w:tc>
          <w:tcPr>
            <w:tcW w:w="1673" w:type="dxa"/>
          </w:tcPr>
          <w:p w14:paraId="513EB5FA" w14:textId="3079BB27" w:rsidR="00832C5A" w:rsidRPr="00AF54AE" w:rsidRDefault="00832C5A" w:rsidP="00523736">
            <w:pPr>
              <w:pStyle w:val="InstructionsText"/>
              <w:rPr>
                <w:rStyle w:val="InstructionsTabelleberschrift"/>
                <w:rFonts w:ascii="Times New Roman" w:hAnsi="Times New Roman"/>
                <w:sz w:val="24"/>
                <w:u w:val="none"/>
              </w:rPr>
            </w:pPr>
            <w:r w:rsidRPr="00AF54AE">
              <w:rPr>
                <w:rStyle w:val="InstructionsTabelleberschrift"/>
                <w:rFonts w:ascii="Times New Roman" w:hAnsi="Times New Roman"/>
                <w:sz w:val="24"/>
                <w:u w:val="none"/>
              </w:rPr>
              <w:t>0200</w:t>
            </w:r>
          </w:p>
        </w:tc>
        <w:tc>
          <w:tcPr>
            <w:tcW w:w="7620" w:type="dxa"/>
          </w:tcPr>
          <w:p w14:paraId="1DA7651A" w14:textId="4C9CEF48" w:rsidR="00832C5A" w:rsidRDefault="00251D6B" w:rsidP="00D2157E">
            <w:pPr>
              <w:tabs>
                <w:tab w:val="left" w:pos="567"/>
              </w:tabs>
              <w:spacing w:before="120" w:after="120" w:line="240" w:lineRule="auto"/>
              <w:jc w:val="both"/>
              <w:rPr>
                <w:rStyle w:val="InstructionsTabelleberschrift"/>
                <w:rFonts w:ascii="Times New Roman" w:eastAsia="Arial" w:hAnsi="Times New Roman"/>
                <w:kern w:val="0"/>
                <w:sz w:val="24"/>
                <w:szCs w:val="24"/>
                <w:lang w:eastAsia="de-DE"/>
                <w14:ligatures w14:val="none"/>
              </w:rPr>
            </w:pPr>
            <w:r>
              <w:rPr>
                <w:rStyle w:val="InstructionsTabelleberschrift"/>
                <w:rFonts w:ascii="Times New Roman" w:eastAsia="Arial" w:hAnsi="Times New Roman"/>
                <w:sz w:val="24"/>
                <w:lang w:eastAsia="de-DE"/>
              </w:rPr>
              <w:t>O</w:t>
            </w:r>
            <w:r w:rsidR="00523736" w:rsidRPr="00AF54AE">
              <w:rPr>
                <w:rStyle w:val="InstructionsTabelleberschrift"/>
                <w:rFonts w:ascii="Times New Roman" w:eastAsia="Arial" w:hAnsi="Times New Roman"/>
                <w:sz w:val="24"/>
                <w:lang w:eastAsia="de-DE"/>
              </w:rPr>
              <w:t xml:space="preserve">f which: </w:t>
            </w:r>
            <w:r>
              <w:rPr>
                <w:rStyle w:val="InstructionsTabelleberschrift"/>
                <w:rFonts w:ascii="Times New Roman" w:eastAsia="Arial" w:hAnsi="Times New Roman"/>
                <w:sz w:val="24"/>
                <w:lang w:eastAsia="de-DE"/>
              </w:rPr>
              <w:t>E</w:t>
            </w:r>
            <w:r w:rsidR="00523736" w:rsidRPr="00AF54AE">
              <w:rPr>
                <w:rStyle w:val="InstructionsTabelleberschrift"/>
                <w:rFonts w:ascii="Times New Roman" w:eastAsia="Arial" w:hAnsi="Times New Roman"/>
                <w:sz w:val="24"/>
                <w:lang w:eastAsia="de-DE"/>
              </w:rPr>
              <w:t>xposures subject to physical risks</w:t>
            </w:r>
          </w:p>
          <w:p w14:paraId="6DD81301" w14:textId="3B947D71" w:rsidR="00BE4BB6" w:rsidRPr="00AF54AE" w:rsidRDefault="002D2276" w:rsidP="00D2157E">
            <w:pPr>
              <w:tabs>
                <w:tab w:val="left" w:pos="567"/>
              </w:tabs>
              <w:spacing w:before="120" w:after="120" w:line="240" w:lineRule="auto"/>
              <w:jc w:val="both"/>
              <w:rPr>
                <w:rStyle w:val="InstructionsTabelleberschrift"/>
                <w:rFonts w:ascii="Times New Roman" w:eastAsia="Arial" w:hAnsi="Times New Roman"/>
                <w:kern w:val="0"/>
                <w:sz w:val="24"/>
                <w:lang w:eastAsia="de-DE"/>
                <w14:ligatures w14:val="none"/>
              </w:rPr>
            </w:pPr>
            <w:r w:rsidRPr="5A4F2D81">
              <w:rPr>
                <w:rFonts w:ascii="Times New Roman" w:hAnsi="Times New Roman" w:cs="Times New Roman"/>
                <w:noProof/>
                <w:sz w:val="24"/>
              </w:rPr>
              <w:t xml:space="preserve">Institutions shall </w:t>
            </w:r>
            <w:r w:rsidR="00397F68">
              <w:rPr>
                <w:rFonts w:ascii="Times New Roman" w:hAnsi="Times New Roman" w:cs="Times New Roman"/>
                <w:noProof/>
                <w:sz w:val="24"/>
              </w:rPr>
              <w:t>report</w:t>
            </w:r>
            <w:r w:rsidR="00397F68" w:rsidRPr="5A4F2D81">
              <w:rPr>
                <w:rFonts w:ascii="Times New Roman" w:hAnsi="Times New Roman" w:cs="Times New Roman"/>
                <w:noProof/>
                <w:sz w:val="24"/>
              </w:rPr>
              <w:t xml:space="preserve"> </w:t>
            </w:r>
            <w:r w:rsidRPr="5A4F2D81">
              <w:rPr>
                <w:rFonts w:ascii="Times New Roman" w:hAnsi="Times New Roman" w:cs="Times New Roman"/>
                <w:noProof/>
                <w:sz w:val="24"/>
              </w:rPr>
              <w:t>the gross carrying amount of exposures subject to impact from climate-related physical risk events</w:t>
            </w:r>
            <w:r>
              <w:rPr>
                <w:rFonts w:ascii="Times New Roman" w:hAnsi="Times New Roman" w:cs="Times New Roman"/>
                <w:noProof/>
                <w:sz w:val="24"/>
              </w:rPr>
              <w:t>.</w:t>
            </w:r>
          </w:p>
        </w:tc>
      </w:tr>
      <w:tr w:rsidR="00243458" w:rsidRPr="00891973" w14:paraId="6064CDA0" w14:textId="77777777" w:rsidTr="00166EBA">
        <w:tc>
          <w:tcPr>
            <w:tcW w:w="1673" w:type="dxa"/>
          </w:tcPr>
          <w:p w14:paraId="6023B424" w14:textId="557988E9" w:rsidR="00243458" w:rsidRPr="00891973" w:rsidRDefault="00A4715E" w:rsidP="00523736">
            <w:pPr>
              <w:pStyle w:val="InstructionsText"/>
              <w:rPr>
                <w:rStyle w:val="FormatvorlageInstructionsTabelleText"/>
                <w:rFonts w:ascii="Times New Roman" w:hAnsi="Times New Roman"/>
                <w:b/>
                <w:sz w:val="24"/>
              </w:rPr>
            </w:pPr>
            <w:r>
              <w:rPr>
                <w:rStyle w:val="FormatvorlageInstructionsTabelleText"/>
                <w:rFonts w:ascii="Times New Roman" w:hAnsi="Times New Roman"/>
                <w:b/>
                <w:sz w:val="24"/>
              </w:rPr>
              <w:t>0220</w:t>
            </w:r>
          </w:p>
        </w:tc>
        <w:tc>
          <w:tcPr>
            <w:tcW w:w="7620" w:type="dxa"/>
          </w:tcPr>
          <w:p w14:paraId="43798BAD" w14:textId="2A0896F3" w:rsidR="00243458" w:rsidRPr="00174068" w:rsidRDefault="00756C3E" w:rsidP="00523736">
            <w:pPr>
              <w:pStyle w:val="InstructionsText"/>
              <w:rPr>
                <w:rStyle w:val="InstructionsTabelleberschrift"/>
                <w:rFonts w:ascii="Times New Roman" w:hAnsi="Times New Roman"/>
                <w:sz w:val="24"/>
              </w:rPr>
            </w:pPr>
            <w:r>
              <w:rPr>
                <w:rStyle w:val="InstructionsTabelleberschrift"/>
                <w:rFonts w:ascii="Times New Roman" w:hAnsi="Times New Roman"/>
                <w:sz w:val="24"/>
              </w:rPr>
              <w:t>GHG</w:t>
            </w:r>
            <w:r w:rsidR="006C22C2">
              <w:rPr>
                <w:rStyle w:val="InstructionsTabelleberschrift"/>
                <w:rFonts w:ascii="Times New Roman" w:hAnsi="Times New Roman"/>
                <w:sz w:val="24"/>
              </w:rPr>
              <w:t xml:space="preserve"> F</w:t>
            </w:r>
            <w:r w:rsidR="00243458" w:rsidRPr="00174068">
              <w:rPr>
                <w:rStyle w:val="InstructionsTabelleberschrift"/>
                <w:rFonts w:ascii="Times New Roman" w:hAnsi="Times New Roman"/>
                <w:sz w:val="24"/>
              </w:rPr>
              <w:t xml:space="preserve">inanced emissions </w:t>
            </w:r>
          </w:p>
          <w:p w14:paraId="4B74F195" w14:textId="79AAEEEE" w:rsidR="00243458" w:rsidRPr="00166EBA" w:rsidRDefault="009C121E" w:rsidP="00166EBA">
            <w:pPr>
              <w:tabs>
                <w:tab w:val="left" w:pos="567"/>
              </w:tabs>
              <w:spacing w:before="120" w:after="120" w:line="240" w:lineRule="auto"/>
              <w:jc w:val="both"/>
              <w:rPr>
                <w:rStyle w:val="InstructionsTabelleberschrift"/>
                <w:rFonts w:ascii="Times New Roman" w:eastAsia="Arial" w:hAnsi="Times New Roman"/>
                <w:kern w:val="0"/>
                <w:sz w:val="24"/>
                <w:szCs w:val="24"/>
                <w:lang w:eastAsia="de-DE"/>
                <w14:ligatures w14:val="none"/>
              </w:rPr>
            </w:pPr>
            <w:r w:rsidRPr="00166EBA">
              <w:rPr>
                <w:rStyle w:val="InstructionsTabelleberschrift"/>
                <w:rFonts w:ascii="Times New Roman" w:eastAsia="Arial" w:hAnsi="Times New Roman"/>
                <w:b w:val="0"/>
                <w:bCs w:val="0"/>
                <w:kern w:val="0"/>
                <w:sz w:val="24"/>
                <w:szCs w:val="24"/>
                <w:u w:val="none"/>
                <w:lang w:eastAsia="de-DE"/>
                <w14:ligatures w14:val="none"/>
              </w:rPr>
              <w:t xml:space="preserve">Institutions shall report the information referred to in this </w:t>
            </w:r>
            <w:r>
              <w:rPr>
                <w:rStyle w:val="InstructionsTabelleberschrift"/>
                <w:rFonts w:ascii="Times New Roman" w:eastAsia="Arial" w:hAnsi="Times New Roman"/>
                <w:b w:val="0"/>
                <w:bCs w:val="0"/>
                <w:kern w:val="0"/>
                <w:sz w:val="24"/>
                <w:szCs w:val="24"/>
                <w:u w:val="none"/>
                <w:lang w:eastAsia="de-DE"/>
                <w14:ligatures w14:val="none"/>
              </w:rPr>
              <w:t>column</w:t>
            </w:r>
            <w:r w:rsidRPr="00166EBA">
              <w:rPr>
                <w:rStyle w:val="InstructionsTabelleberschrift"/>
                <w:rFonts w:ascii="Times New Roman" w:eastAsia="Arial" w:hAnsi="Times New Roman"/>
                <w:b w:val="0"/>
                <w:bCs w:val="0"/>
                <w:kern w:val="0"/>
                <w:sz w:val="24"/>
                <w:szCs w:val="24"/>
                <w:u w:val="none"/>
                <w:lang w:eastAsia="de-DE"/>
                <w14:ligatures w14:val="none"/>
              </w:rPr>
              <w:t xml:space="preserve"> in accordance with the instructions provided for ‘</w:t>
            </w:r>
            <w:r w:rsidRPr="00932B3E">
              <w:rPr>
                <w:rStyle w:val="InstructionsTabelleberschrift"/>
                <w:rFonts w:ascii="Times New Roman" w:eastAsia="Arial" w:hAnsi="Times New Roman"/>
                <w:b w:val="0"/>
                <w:bCs w:val="0"/>
                <w:i/>
                <w:iCs/>
                <w:kern w:val="0"/>
                <w:sz w:val="24"/>
                <w:szCs w:val="24"/>
                <w:u w:val="none"/>
                <w:lang w:eastAsia="de-DE"/>
                <w14:ligatures w14:val="none"/>
              </w:rPr>
              <w:t>EU - CRFR1: Climate change transition risk - Credit quality of exposures by sector, emissions and residual maturity’</w:t>
            </w:r>
            <w:r w:rsidRPr="00166EBA">
              <w:rPr>
                <w:rStyle w:val="InstructionsTabelleberschrift"/>
                <w:rFonts w:ascii="Times New Roman" w:eastAsia="Arial" w:hAnsi="Times New Roman"/>
                <w:b w:val="0"/>
                <w:bCs w:val="0"/>
                <w:kern w:val="0"/>
                <w:sz w:val="24"/>
                <w:szCs w:val="24"/>
                <w:u w:val="none"/>
                <w:lang w:eastAsia="de-DE"/>
                <w14:ligatures w14:val="none"/>
              </w:rPr>
              <w:t xml:space="preserve"> set out in Annex X</w:t>
            </w:r>
            <w:r w:rsidR="195B73F5" w:rsidRPr="00166EBA">
              <w:rPr>
                <w:rStyle w:val="InstructionsTabelleberschrift"/>
                <w:rFonts w:ascii="Times New Roman" w:eastAsia="Arial" w:hAnsi="Times New Roman"/>
                <w:b w:val="0"/>
                <w:bCs w:val="0"/>
                <w:kern w:val="0"/>
                <w:sz w:val="24"/>
                <w:szCs w:val="24"/>
                <w:u w:val="none"/>
                <w:lang w:eastAsia="de-DE"/>
                <w14:ligatures w14:val="none"/>
              </w:rPr>
              <w:t>L</w:t>
            </w:r>
            <w:r w:rsidRPr="00166EBA">
              <w:rPr>
                <w:rStyle w:val="InstructionsTabelleberschrift"/>
                <w:rFonts w:ascii="Times New Roman" w:eastAsia="Arial" w:hAnsi="Times New Roman"/>
                <w:b w:val="0"/>
                <w:bCs w:val="0"/>
                <w:kern w:val="0"/>
                <w:sz w:val="24"/>
                <w:szCs w:val="24"/>
                <w:u w:val="none"/>
                <w:lang w:eastAsia="de-DE"/>
                <w14:ligatures w14:val="none"/>
              </w:rPr>
              <w:t xml:space="preserve"> of the Implementing Regulation 2024/3172. </w:t>
            </w:r>
          </w:p>
        </w:tc>
      </w:tr>
      <w:tr w:rsidR="002C5D53" w:rsidRPr="00891973" w14:paraId="36BC2266" w14:textId="77777777" w:rsidTr="00166EBA">
        <w:tc>
          <w:tcPr>
            <w:tcW w:w="1673" w:type="dxa"/>
          </w:tcPr>
          <w:p w14:paraId="3ECC3217" w14:textId="47D5DA45" w:rsidR="002C5D53" w:rsidRDefault="002C5D53" w:rsidP="00523736">
            <w:pPr>
              <w:pStyle w:val="InstructionsText"/>
              <w:rPr>
                <w:rStyle w:val="FormatvorlageInstructionsTabelleText"/>
                <w:rFonts w:ascii="Times New Roman" w:hAnsi="Times New Roman"/>
                <w:b/>
                <w:sz w:val="24"/>
              </w:rPr>
            </w:pPr>
            <w:r>
              <w:rPr>
                <w:rStyle w:val="FormatvorlageInstructionsTabelleText"/>
                <w:rFonts w:ascii="Times New Roman" w:hAnsi="Times New Roman"/>
                <w:b/>
                <w:sz w:val="24"/>
              </w:rPr>
              <w:t>0225</w:t>
            </w:r>
          </w:p>
        </w:tc>
        <w:tc>
          <w:tcPr>
            <w:tcW w:w="7620" w:type="dxa"/>
          </w:tcPr>
          <w:p w14:paraId="125BFB17" w14:textId="4A9D1B30" w:rsidR="002C5D53" w:rsidRPr="00932B3E" w:rsidRDefault="00914532" w:rsidP="00523736">
            <w:pPr>
              <w:pStyle w:val="InstructionsText"/>
              <w:rPr>
                <w:rStyle w:val="InstructionsTabelleberschrift"/>
                <w:rFonts w:ascii="Times New Roman" w:hAnsi="Times New Roman"/>
                <w:sz w:val="24"/>
              </w:rPr>
            </w:pPr>
            <w:r>
              <w:rPr>
                <w:rStyle w:val="InstructionsTabelleberschrift"/>
                <w:rFonts w:ascii="Times New Roman" w:hAnsi="Times New Roman"/>
                <w:sz w:val="24"/>
              </w:rPr>
              <w:t>O</w:t>
            </w:r>
            <w:r w:rsidR="00C71167" w:rsidRPr="00932B3E">
              <w:rPr>
                <w:rStyle w:val="InstructionsTabelleberschrift"/>
                <w:rFonts w:ascii="Times New Roman" w:hAnsi="Times New Roman"/>
                <w:sz w:val="24"/>
              </w:rPr>
              <w:t>f which</w:t>
            </w:r>
            <w:r>
              <w:rPr>
                <w:rStyle w:val="InstructionsTabelleberschrift"/>
                <w:rFonts w:ascii="Times New Roman" w:hAnsi="Times New Roman"/>
                <w:sz w:val="24"/>
              </w:rPr>
              <w:t>:</w:t>
            </w:r>
            <w:r w:rsidR="00C71167" w:rsidRPr="00932B3E">
              <w:rPr>
                <w:rStyle w:val="InstructionsTabelleberschrift"/>
                <w:rFonts w:ascii="Times New Roman" w:hAnsi="Times New Roman"/>
                <w:sz w:val="24"/>
              </w:rPr>
              <w:t xml:space="preserve"> Scope 3 financed emissions</w:t>
            </w:r>
          </w:p>
          <w:p w14:paraId="3AAA6A48" w14:textId="1B9ACFB7" w:rsidR="0073611F" w:rsidRDefault="000246A6" w:rsidP="009133CD">
            <w:pPr>
              <w:tabs>
                <w:tab w:val="left" w:pos="567"/>
              </w:tabs>
              <w:spacing w:before="120" w:after="120" w:line="240" w:lineRule="auto"/>
              <w:jc w:val="both"/>
              <w:rPr>
                <w:rStyle w:val="InstructionsTabelleberschrift"/>
                <w:rFonts w:ascii="Times New Roman" w:hAnsi="Times New Roman"/>
                <w:sz w:val="24"/>
              </w:rPr>
            </w:pPr>
            <w:r w:rsidRPr="000246A6">
              <w:rPr>
                <w:rStyle w:val="InstructionsTabelleberschrift"/>
                <w:rFonts w:ascii="Times New Roman" w:eastAsia="Arial" w:hAnsi="Times New Roman"/>
                <w:b w:val="0"/>
                <w:sz w:val="24"/>
                <w:u w:val="none"/>
              </w:rPr>
              <w:t xml:space="preserve">Institutions shall report the information referred to in this column in accordance with the instructions provided for </w:t>
            </w:r>
            <w:r w:rsidRPr="00932B3E">
              <w:rPr>
                <w:rStyle w:val="InstructionsTabelleberschrift"/>
                <w:rFonts w:ascii="Times New Roman" w:eastAsia="Arial" w:hAnsi="Times New Roman"/>
                <w:b w:val="0"/>
                <w:i/>
                <w:iCs/>
                <w:sz w:val="24"/>
                <w:u w:val="none"/>
              </w:rPr>
              <w:t>‘EU - CRFR1: Climate change transition risk - Credit quality of exposures by sector, emissions and residual maturity’</w:t>
            </w:r>
            <w:r w:rsidRPr="000246A6">
              <w:rPr>
                <w:rStyle w:val="InstructionsTabelleberschrift"/>
                <w:rFonts w:ascii="Times New Roman" w:eastAsia="Arial" w:hAnsi="Times New Roman"/>
                <w:b w:val="0"/>
                <w:sz w:val="24"/>
                <w:u w:val="none"/>
              </w:rPr>
              <w:t xml:space="preserve"> set out in Annex XL of the Implementing Regulation 2024/3172.</w:t>
            </w:r>
          </w:p>
        </w:tc>
      </w:tr>
      <w:tr w:rsidR="00243458" w:rsidRPr="00891973" w14:paraId="59D8A4EE" w14:textId="77777777" w:rsidTr="00166EBA">
        <w:tc>
          <w:tcPr>
            <w:tcW w:w="1673" w:type="dxa"/>
          </w:tcPr>
          <w:p w14:paraId="16314D91" w14:textId="2F9E5321" w:rsidR="00243458" w:rsidRPr="00166EBA" w:rsidRDefault="00243458" w:rsidP="00166EBA">
            <w:pPr>
              <w:tabs>
                <w:tab w:val="left" w:pos="567"/>
              </w:tabs>
              <w:spacing w:before="120" w:after="120" w:line="240" w:lineRule="auto"/>
              <w:jc w:val="both"/>
              <w:rPr>
                <w:rStyle w:val="InstructionsTabelleberschrift"/>
                <w:rFonts w:ascii="Times New Roman" w:eastAsia="Arial" w:hAnsi="Times New Roman"/>
                <w:kern w:val="0"/>
                <w:sz w:val="24"/>
                <w:szCs w:val="24"/>
                <w:u w:val="none"/>
                <w:lang w:eastAsia="de-DE"/>
                <w14:ligatures w14:val="none"/>
              </w:rPr>
            </w:pPr>
            <w:r w:rsidRPr="00166EBA">
              <w:rPr>
                <w:rStyle w:val="InstructionsTabelleberschrift"/>
                <w:rFonts w:ascii="Times New Roman" w:hAnsi="Times New Roman"/>
                <w:sz w:val="24"/>
                <w:u w:val="none"/>
              </w:rPr>
              <w:t>02</w:t>
            </w:r>
            <w:r w:rsidR="00A4715E" w:rsidRPr="00166EBA">
              <w:rPr>
                <w:rStyle w:val="InstructionsTabelleberschrift"/>
                <w:rFonts w:ascii="Times New Roman" w:hAnsi="Times New Roman"/>
                <w:sz w:val="24"/>
                <w:u w:val="none"/>
              </w:rPr>
              <w:t>3</w:t>
            </w:r>
            <w:r w:rsidRPr="00166EBA">
              <w:rPr>
                <w:rStyle w:val="InstructionsTabelleberschrift"/>
                <w:rFonts w:ascii="Times New Roman" w:hAnsi="Times New Roman"/>
                <w:sz w:val="24"/>
                <w:u w:val="none"/>
              </w:rPr>
              <w:t>0</w:t>
            </w:r>
          </w:p>
        </w:tc>
        <w:tc>
          <w:tcPr>
            <w:tcW w:w="7620" w:type="dxa"/>
          </w:tcPr>
          <w:p w14:paraId="61842820" w14:textId="46F150FC" w:rsidR="00243458" w:rsidRPr="00D90235" w:rsidRDefault="00BE6F14" w:rsidP="00523736">
            <w:pPr>
              <w:pStyle w:val="InstructionsText"/>
              <w:rPr>
                <w:rStyle w:val="InstructionsTabelleberschrift"/>
                <w:rFonts w:ascii="Times New Roman" w:hAnsi="Times New Roman"/>
                <w:sz w:val="24"/>
              </w:rPr>
            </w:pPr>
            <w:r w:rsidRPr="00C1799C">
              <w:rPr>
                <w:rStyle w:val="InstructionsTabelleberschrift"/>
                <w:rFonts w:ascii="Times New Roman" w:hAnsi="Times New Roman"/>
                <w:sz w:val="24"/>
              </w:rPr>
              <w:t>GHG intensity metric per physical output</w:t>
            </w:r>
          </w:p>
          <w:p w14:paraId="7C79705D" w14:textId="7776221F" w:rsidR="00C1799C" w:rsidRPr="00166EBA" w:rsidRDefault="00C1799C" w:rsidP="00166EBA">
            <w:pPr>
              <w:tabs>
                <w:tab w:val="left" w:pos="567"/>
              </w:tabs>
              <w:spacing w:before="120" w:after="120" w:line="240" w:lineRule="auto"/>
              <w:jc w:val="both"/>
              <w:rPr>
                <w:rStyle w:val="InstructionsTabelleberschrift"/>
                <w:rFonts w:ascii="Times New Roman" w:eastAsia="Arial" w:hAnsi="Times New Roman"/>
                <w:b w:val="0"/>
                <w:bCs w:val="0"/>
                <w:kern w:val="0"/>
                <w:sz w:val="24"/>
                <w:szCs w:val="24"/>
                <w:u w:val="none"/>
                <w:lang w:eastAsia="de-DE"/>
                <w14:ligatures w14:val="none"/>
              </w:rPr>
            </w:pPr>
            <w:r w:rsidRPr="005F265A">
              <w:rPr>
                <w:rStyle w:val="InstructionsTabelleberschrift"/>
                <w:rFonts w:ascii="Times New Roman" w:eastAsia="Arial" w:hAnsi="Times New Roman"/>
                <w:b w:val="0"/>
                <w:bCs w:val="0"/>
                <w:kern w:val="0"/>
                <w:sz w:val="24"/>
                <w:szCs w:val="24"/>
                <w:u w:val="none"/>
                <w:lang w:eastAsia="de-DE"/>
                <w14:ligatures w14:val="none"/>
              </w:rPr>
              <w:t xml:space="preserve">Institutions shall report the information referred to in this </w:t>
            </w:r>
            <w:r>
              <w:rPr>
                <w:rStyle w:val="InstructionsTabelleberschrift"/>
                <w:rFonts w:ascii="Times New Roman" w:eastAsia="Arial" w:hAnsi="Times New Roman"/>
                <w:b w:val="0"/>
                <w:bCs w:val="0"/>
                <w:kern w:val="0"/>
                <w:sz w:val="24"/>
                <w:szCs w:val="24"/>
                <w:u w:val="none"/>
                <w:lang w:eastAsia="de-DE"/>
                <w14:ligatures w14:val="none"/>
              </w:rPr>
              <w:t>column</w:t>
            </w:r>
            <w:r w:rsidRPr="005F265A">
              <w:rPr>
                <w:rStyle w:val="InstructionsTabelleberschrift"/>
                <w:rFonts w:ascii="Times New Roman" w:eastAsia="Arial" w:hAnsi="Times New Roman"/>
                <w:b w:val="0"/>
                <w:bCs w:val="0"/>
                <w:kern w:val="0"/>
                <w:sz w:val="24"/>
                <w:szCs w:val="24"/>
                <w:u w:val="none"/>
                <w:lang w:eastAsia="de-DE"/>
                <w14:ligatures w14:val="none"/>
              </w:rPr>
              <w:t xml:space="preserve"> in accordance with the instructions provided for </w:t>
            </w:r>
            <w:r w:rsidRPr="00932B3E">
              <w:rPr>
                <w:rFonts w:ascii="Times New Roman" w:hAnsi="Times New Roman"/>
                <w:i/>
                <w:iCs/>
                <w:sz w:val="24"/>
                <w:szCs w:val="24"/>
              </w:rPr>
              <w:t>‘EU - CRFR4: Template 3: Banking book – Indicators of climate change transition risk: emission intensity per physical output and by sector’</w:t>
            </w:r>
            <w:r w:rsidRPr="3BE9D57E">
              <w:rPr>
                <w:rFonts w:ascii="Times New Roman" w:hAnsi="Times New Roman"/>
                <w:sz w:val="24"/>
                <w:szCs w:val="24"/>
              </w:rPr>
              <w:t xml:space="preserve"> </w:t>
            </w:r>
            <w:r w:rsidRPr="005F265A">
              <w:rPr>
                <w:rStyle w:val="InstructionsTabelleberschrift"/>
                <w:rFonts w:ascii="Times New Roman" w:eastAsia="Arial" w:hAnsi="Times New Roman"/>
                <w:b w:val="0"/>
                <w:bCs w:val="0"/>
                <w:kern w:val="0"/>
                <w:sz w:val="24"/>
                <w:szCs w:val="24"/>
                <w:u w:val="none"/>
                <w:lang w:eastAsia="de-DE"/>
                <w14:ligatures w14:val="none"/>
              </w:rPr>
              <w:t xml:space="preserve">set out in Annex </w:t>
            </w:r>
            <w:r w:rsidR="3FA96077" w:rsidRPr="005F265A">
              <w:rPr>
                <w:rStyle w:val="InstructionsTabelleberschrift"/>
                <w:rFonts w:ascii="Times New Roman" w:eastAsia="Arial" w:hAnsi="Times New Roman"/>
                <w:b w:val="0"/>
                <w:bCs w:val="0"/>
                <w:kern w:val="0"/>
                <w:sz w:val="24"/>
                <w:szCs w:val="24"/>
                <w:u w:val="none"/>
                <w:lang w:eastAsia="de-DE"/>
                <w14:ligatures w14:val="none"/>
              </w:rPr>
              <w:t>XL</w:t>
            </w:r>
            <w:r w:rsidRPr="005F265A">
              <w:rPr>
                <w:rStyle w:val="InstructionsTabelleberschrift"/>
                <w:rFonts w:ascii="Times New Roman" w:eastAsia="Arial" w:hAnsi="Times New Roman"/>
                <w:b w:val="0"/>
                <w:bCs w:val="0"/>
                <w:kern w:val="0"/>
                <w:sz w:val="24"/>
                <w:szCs w:val="24"/>
                <w:u w:val="none"/>
                <w:lang w:eastAsia="de-DE"/>
                <w14:ligatures w14:val="none"/>
              </w:rPr>
              <w:t xml:space="preserve"> of the Implementing Regulation 2024/3172.</w:t>
            </w:r>
          </w:p>
        </w:tc>
      </w:tr>
      <w:tr w:rsidR="00243458" w:rsidRPr="00891973" w14:paraId="55E01AD0" w14:textId="77777777" w:rsidTr="00166EBA">
        <w:tc>
          <w:tcPr>
            <w:tcW w:w="1673" w:type="dxa"/>
          </w:tcPr>
          <w:p w14:paraId="673C361F" w14:textId="32BC9B1B" w:rsidR="00243458" w:rsidRPr="00891973" w:rsidRDefault="00243458" w:rsidP="00523736">
            <w:pPr>
              <w:pStyle w:val="InstructionsText"/>
              <w:rPr>
                <w:rStyle w:val="FormatvorlageInstructionsTabelleText"/>
                <w:rFonts w:ascii="Times New Roman" w:hAnsi="Times New Roman"/>
                <w:b/>
                <w:sz w:val="24"/>
              </w:rPr>
            </w:pPr>
            <w:r w:rsidRPr="00891973">
              <w:rPr>
                <w:rStyle w:val="FormatvorlageInstructionsTabelleText"/>
                <w:rFonts w:ascii="Times New Roman" w:hAnsi="Times New Roman"/>
                <w:b/>
                <w:sz w:val="24"/>
              </w:rPr>
              <w:t>02</w:t>
            </w:r>
            <w:r w:rsidR="00A4715E">
              <w:rPr>
                <w:rStyle w:val="FormatvorlageInstructionsTabelleText"/>
                <w:rFonts w:ascii="Times New Roman" w:hAnsi="Times New Roman"/>
                <w:b/>
                <w:sz w:val="24"/>
              </w:rPr>
              <w:t>4</w:t>
            </w:r>
            <w:r w:rsidRPr="00891973">
              <w:rPr>
                <w:rStyle w:val="FormatvorlageInstructionsTabelleText"/>
                <w:rFonts w:ascii="Times New Roman" w:hAnsi="Times New Roman"/>
                <w:b/>
                <w:sz w:val="24"/>
              </w:rPr>
              <w:t>0</w:t>
            </w:r>
          </w:p>
        </w:tc>
        <w:tc>
          <w:tcPr>
            <w:tcW w:w="7620" w:type="dxa"/>
          </w:tcPr>
          <w:p w14:paraId="3D15BB3D" w14:textId="08972032" w:rsidR="00243458" w:rsidRPr="00932B3E" w:rsidRDefault="00243458" w:rsidP="00523736">
            <w:pPr>
              <w:pStyle w:val="InstructionsText"/>
              <w:rPr>
                <w:rStyle w:val="InstructionsTabelleberschrift"/>
                <w:rFonts w:ascii="Times New Roman" w:hAnsi="Times New Roman"/>
                <w:sz w:val="24"/>
                <w:lang w:val="fr-FR"/>
              </w:rPr>
            </w:pPr>
            <w:r w:rsidRPr="00932B3E">
              <w:rPr>
                <w:rStyle w:val="InstructionsTabelleberschrift"/>
                <w:rFonts w:ascii="Times New Roman" w:hAnsi="Times New Roman"/>
                <w:sz w:val="24"/>
                <w:lang w:val="fr-FR"/>
              </w:rPr>
              <w:t xml:space="preserve">Sectoral decarbonisation </w:t>
            </w:r>
            <w:r w:rsidR="00ED3BEF" w:rsidRPr="00932B3E">
              <w:rPr>
                <w:rStyle w:val="InstructionsTabelleberschrift"/>
                <w:rFonts w:ascii="Times New Roman" w:hAnsi="Times New Roman"/>
                <w:sz w:val="24"/>
                <w:lang w:val="fr-FR"/>
              </w:rPr>
              <w:t>p</w:t>
            </w:r>
            <w:r w:rsidRPr="00932B3E">
              <w:rPr>
                <w:rStyle w:val="InstructionsTabelleberschrift"/>
                <w:rFonts w:ascii="Times New Roman" w:hAnsi="Times New Roman"/>
                <w:sz w:val="24"/>
                <w:lang w:val="fr-FR"/>
              </w:rPr>
              <w:t>athway (Y/N)</w:t>
            </w:r>
          </w:p>
          <w:p w14:paraId="777396E0" w14:textId="77777777" w:rsidR="00375FD7" w:rsidRPr="00375FD7" w:rsidRDefault="00375FD7" w:rsidP="00375FD7">
            <w:pPr>
              <w:tabs>
                <w:tab w:val="left" w:pos="567"/>
              </w:tabs>
              <w:spacing w:before="120" w:after="120" w:line="240" w:lineRule="auto"/>
              <w:jc w:val="both"/>
              <w:rPr>
                <w:rStyle w:val="InstructionsTabelleberschrift"/>
                <w:rFonts w:ascii="Times New Roman" w:eastAsia="Arial" w:hAnsi="Times New Roman"/>
                <w:b w:val="0"/>
                <w:bCs w:val="0"/>
                <w:kern w:val="0"/>
                <w:sz w:val="24"/>
                <w:szCs w:val="24"/>
                <w:u w:val="none"/>
                <w:lang w:eastAsia="de-DE"/>
                <w14:ligatures w14:val="none"/>
              </w:rPr>
            </w:pPr>
            <w:r w:rsidRPr="00375FD7">
              <w:rPr>
                <w:rStyle w:val="InstructionsTabelleberschrift"/>
                <w:rFonts w:ascii="Times New Roman" w:eastAsia="Arial" w:hAnsi="Times New Roman"/>
                <w:b w:val="0"/>
                <w:bCs w:val="0"/>
                <w:kern w:val="0"/>
                <w:sz w:val="24"/>
                <w:szCs w:val="24"/>
                <w:u w:val="none"/>
                <w:lang w:eastAsia="de-DE"/>
                <w14:ligatures w14:val="none"/>
              </w:rPr>
              <w:t>Institutions shall report whether a decarbonisation pathway exists at obligor level or, where not available, at sectoral level.</w:t>
            </w:r>
          </w:p>
          <w:p w14:paraId="0BF5202D" w14:textId="6FE03CC2" w:rsidR="008A79D3" w:rsidRPr="00166EBA" w:rsidRDefault="00375FD7" w:rsidP="00166EBA">
            <w:pPr>
              <w:tabs>
                <w:tab w:val="left" w:pos="567"/>
              </w:tabs>
              <w:spacing w:before="120" w:after="120" w:line="240" w:lineRule="auto"/>
              <w:jc w:val="both"/>
              <w:rPr>
                <w:rStyle w:val="InstructionsTabelleberschrift"/>
                <w:rFonts w:ascii="Times New Roman" w:hAnsi="Times New Roman"/>
                <w:sz w:val="24"/>
                <w:lang w:eastAsia="de-DE"/>
              </w:rPr>
            </w:pPr>
            <w:r w:rsidRPr="00375FD7">
              <w:rPr>
                <w:rStyle w:val="InstructionsTabelleberschrift"/>
                <w:rFonts w:ascii="Times New Roman" w:eastAsia="Arial" w:hAnsi="Times New Roman"/>
                <w:b w:val="0"/>
                <w:bCs w:val="0"/>
                <w:kern w:val="0"/>
                <w:sz w:val="24"/>
                <w:szCs w:val="24"/>
                <w:u w:val="none"/>
                <w:lang w:eastAsia="de-DE"/>
                <w14:ligatures w14:val="none"/>
              </w:rPr>
              <w:t>For the purposes of this template, the identification of such pathways shall be consistent with the expectations on transition planning and the use of forward-looking metrics as set out in paragraphs 37 and 38 of the EBA Guidelines on the management of ESG risks.</w:t>
            </w:r>
            <w:r w:rsidR="00E26216">
              <w:rPr>
                <w:rStyle w:val="InstructionsTabelleberschrift"/>
                <w:rFonts w:ascii="Times New Roman" w:eastAsia="Arial" w:hAnsi="Times New Roman"/>
                <w:b w:val="0"/>
                <w:bCs w:val="0"/>
                <w:kern w:val="0"/>
                <w:sz w:val="24"/>
                <w:szCs w:val="24"/>
                <w:u w:val="none"/>
                <w:lang w:eastAsia="de-DE"/>
                <w14:ligatures w14:val="none"/>
              </w:rPr>
              <w:t xml:space="preserve"> </w:t>
            </w:r>
            <w:proofErr w:type="gramStart"/>
            <w:r w:rsidR="008A0C8F">
              <w:rPr>
                <w:rStyle w:val="InstructionsTabelleberschrift"/>
                <w:rFonts w:ascii="Times New Roman" w:eastAsia="Arial" w:hAnsi="Times New Roman"/>
                <w:b w:val="0"/>
                <w:bCs w:val="0"/>
                <w:kern w:val="0"/>
                <w:sz w:val="24"/>
                <w:szCs w:val="24"/>
                <w:u w:val="none"/>
                <w:lang w:eastAsia="de-DE"/>
                <w14:ligatures w14:val="none"/>
              </w:rPr>
              <w:t>In particular, sectoral</w:t>
            </w:r>
            <w:proofErr w:type="gramEnd"/>
            <w:r w:rsidR="008A0C8F">
              <w:rPr>
                <w:rStyle w:val="InstructionsTabelleberschrift"/>
                <w:rFonts w:ascii="Times New Roman" w:eastAsia="Arial" w:hAnsi="Times New Roman"/>
                <w:b w:val="0"/>
                <w:bCs w:val="0"/>
                <w:kern w:val="0"/>
                <w:sz w:val="24"/>
                <w:szCs w:val="24"/>
                <w:u w:val="none"/>
                <w:lang w:eastAsia="de-DE"/>
                <w14:ligatures w14:val="none"/>
              </w:rPr>
              <w:t xml:space="preserve"> decarbonisation pathways should be </w:t>
            </w:r>
            <w:r w:rsidR="00E26216" w:rsidRPr="000C01C3">
              <w:rPr>
                <w:rStyle w:val="InstructionsTabelleberschrift"/>
                <w:rFonts w:ascii="Times New Roman" w:hAnsi="Times New Roman"/>
                <w:b w:val="0"/>
                <w:sz w:val="24"/>
                <w:u w:val="none"/>
              </w:rPr>
              <w:t>science</w:t>
            </w:r>
            <w:r w:rsidR="00E26216" w:rsidRPr="000C01C3">
              <w:rPr>
                <w:rStyle w:val="InstructionsTabelleberschrift"/>
                <w:rFonts w:ascii="Times New Roman" w:hAnsi="Times New Roman"/>
                <w:b w:val="0"/>
                <w:sz w:val="24"/>
                <w:u w:val="none"/>
              </w:rPr>
              <w:noBreakHyphen/>
              <w:t>based, up</w:t>
            </w:r>
            <w:r w:rsidR="00E26216" w:rsidRPr="000C01C3">
              <w:rPr>
                <w:rStyle w:val="InstructionsTabelleberschrift"/>
                <w:rFonts w:ascii="Times New Roman" w:hAnsi="Times New Roman"/>
                <w:b w:val="0"/>
                <w:sz w:val="24"/>
                <w:u w:val="none"/>
              </w:rPr>
              <w:noBreakHyphen/>
              <w:t>to</w:t>
            </w:r>
            <w:r w:rsidR="00E26216" w:rsidRPr="000C01C3">
              <w:rPr>
                <w:rStyle w:val="InstructionsTabelleberschrift"/>
                <w:rFonts w:ascii="Times New Roman" w:hAnsi="Times New Roman"/>
                <w:b w:val="0"/>
                <w:sz w:val="24"/>
                <w:u w:val="none"/>
              </w:rPr>
              <w:noBreakHyphen/>
              <w:t xml:space="preserve">date </w:t>
            </w:r>
            <w:r w:rsidR="002439E7">
              <w:rPr>
                <w:rStyle w:val="InstructionsTabelleberschrift"/>
                <w:rFonts w:ascii="Times New Roman" w:hAnsi="Times New Roman"/>
                <w:b w:val="0"/>
                <w:sz w:val="24"/>
                <w:u w:val="none"/>
              </w:rPr>
              <w:t>and originating</w:t>
            </w:r>
            <w:r w:rsidR="00E26216" w:rsidRPr="000C01C3">
              <w:rPr>
                <w:rStyle w:val="InstructionsTabelleberschrift"/>
                <w:rFonts w:ascii="Times New Roman" w:hAnsi="Times New Roman"/>
                <w:b w:val="0"/>
                <w:sz w:val="24"/>
                <w:u w:val="none"/>
              </w:rPr>
              <w:t xml:space="preserve"> from recognised national, EU or international sources (e.g. </w:t>
            </w:r>
            <w:r w:rsidR="002439E7" w:rsidRPr="002439E7">
              <w:rPr>
                <w:rFonts w:ascii="Times New Roman" w:hAnsi="Times New Roman" w:cs="Times New Roman"/>
                <w:bCs/>
                <w:sz w:val="24"/>
              </w:rPr>
              <w:t>Commission Sectoral Transition Pathway</w:t>
            </w:r>
            <w:r w:rsidR="00252B95">
              <w:rPr>
                <w:rFonts w:ascii="Times New Roman" w:hAnsi="Times New Roman" w:cs="Times New Roman"/>
                <w:bCs/>
                <w:sz w:val="24"/>
              </w:rPr>
              <w:t xml:space="preserve">s, </w:t>
            </w:r>
            <w:r w:rsidR="00E26216" w:rsidRPr="000C01C3">
              <w:rPr>
                <w:rStyle w:val="InstructionsTabelleberschrift"/>
                <w:rFonts w:ascii="Times New Roman" w:hAnsi="Times New Roman"/>
                <w:b w:val="0"/>
                <w:sz w:val="24"/>
                <w:u w:val="none"/>
              </w:rPr>
              <w:t>IEA, NGFS, IPCC). These pathways should be consistent with applicable climate objectives, including the EU 2030 and 2050 targets.</w:t>
            </w:r>
          </w:p>
        </w:tc>
      </w:tr>
      <w:tr w:rsidR="00243458" w:rsidRPr="00891973" w14:paraId="3229050E" w14:textId="77777777" w:rsidTr="00166EBA">
        <w:tc>
          <w:tcPr>
            <w:tcW w:w="1673" w:type="dxa"/>
          </w:tcPr>
          <w:p w14:paraId="11718DCF" w14:textId="28BAD949" w:rsidR="00243458" w:rsidRPr="00891973" w:rsidRDefault="00243458" w:rsidP="00523736">
            <w:pPr>
              <w:pStyle w:val="InstructionsText"/>
              <w:rPr>
                <w:rStyle w:val="FormatvorlageInstructionsTabelleText"/>
                <w:rFonts w:ascii="Times New Roman" w:hAnsi="Times New Roman"/>
                <w:b/>
                <w:sz w:val="24"/>
              </w:rPr>
            </w:pPr>
            <w:r w:rsidRPr="00891973">
              <w:rPr>
                <w:rStyle w:val="FormatvorlageInstructionsTabelleText"/>
                <w:rFonts w:ascii="Times New Roman" w:hAnsi="Times New Roman"/>
                <w:b/>
                <w:sz w:val="24"/>
              </w:rPr>
              <w:t>02</w:t>
            </w:r>
            <w:r w:rsidR="00A4715E">
              <w:rPr>
                <w:rStyle w:val="FormatvorlageInstructionsTabelleText"/>
                <w:rFonts w:ascii="Times New Roman" w:hAnsi="Times New Roman"/>
                <w:b/>
                <w:sz w:val="24"/>
              </w:rPr>
              <w:t>5</w:t>
            </w:r>
            <w:r w:rsidRPr="00891973">
              <w:rPr>
                <w:rStyle w:val="FormatvorlageInstructionsTabelleText"/>
                <w:rFonts w:ascii="Times New Roman" w:hAnsi="Times New Roman"/>
                <w:b/>
                <w:sz w:val="24"/>
              </w:rPr>
              <w:t>0</w:t>
            </w:r>
          </w:p>
        </w:tc>
        <w:tc>
          <w:tcPr>
            <w:tcW w:w="7620" w:type="dxa"/>
          </w:tcPr>
          <w:p w14:paraId="2F631533" w14:textId="232E8510" w:rsidR="00243458" w:rsidRPr="00D2157E" w:rsidRDefault="00243458" w:rsidP="00166EBA">
            <w:pPr>
              <w:tabs>
                <w:tab w:val="left" w:pos="567"/>
              </w:tabs>
              <w:spacing w:before="120" w:after="120" w:line="240" w:lineRule="auto"/>
              <w:jc w:val="both"/>
              <w:rPr>
                <w:rStyle w:val="InstructionsTabelleberschrift"/>
                <w:rFonts w:ascii="Times New Roman" w:hAnsi="Times New Roman"/>
                <w:sz w:val="24"/>
              </w:rPr>
            </w:pPr>
            <w:r w:rsidRPr="00166EBA">
              <w:rPr>
                <w:rStyle w:val="InstructionsTabelleberschrift"/>
                <w:rFonts w:ascii="Times New Roman" w:hAnsi="Times New Roman"/>
                <w:sz w:val="24"/>
              </w:rPr>
              <w:t xml:space="preserve">Alignment to sectoral decarbonisation </w:t>
            </w:r>
            <w:r w:rsidR="00ED3BEF" w:rsidRPr="00D2157E">
              <w:rPr>
                <w:rStyle w:val="InstructionsTabelleberschrift"/>
                <w:rFonts w:ascii="Times New Roman" w:eastAsia="Arial" w:hAnsi="Times New Roman"/>
                <w:kern w:val="0"/>
                <w:sz w:val="24"/>
                <w:szCs w:val="24"/>
                <w:lang w:eastAsia="de-DE"/>
                <w14:ligatures w14:val="none"/>
              </w:rPr>
              <w:t>p</w:t>
            </w:r>
            <w:r w:rsidRPr="00166EBA">
              <w:rPr>
                <w:rStyle w:val="InstructionsTabelleberschrift"/>
                <w:rFonts w:ascii="Times New Roman" w:hAnsi="Times New Roman"/>
                <w:sz w:val="24"/>
              </w:rPr>
              <w:t>athway</w:t>
            </w:r>
            <w:r w:rsidR="00300A3D" w:rsidRPr="00D2157E">
              <w:rPr>
                <w:rStyle w:val="InstructionsTabelleberschrift"/>
                <w:rFonts w:ascii="Times New Roman" w:eastAsia="Arial" w:hAnsi="Times New Roman"/>
                <w:kern w:val="0"/>
                <w:sz w:val="24"/>
                <w:szCs w:val="24"/>
                <w:lang w:eastAsia="de-DE"/>
                <w14:ligatures w14:val="none"/>
              </w:rPr>
              <w:t xml:space="preserve"> (</w:t>
            </w:r>
            <w:r w:rsidR="00ED3BEF" w:rsidRPr="00D2157E">
              <w:rPr>
                <w:rStyle w:val="InstructionsTabelleberschrift"/>
                <w:rFonts w:ascii="Times New Roman" w:eastAsia="Arial" w:hAnsi="Times New Roman"/>
                <w:kern w:val="0"/>
                <w:sz w:val="24"/>
                <w:szCs w:val="24"/>
                <w:lang w:eastAsia="de-DE"/>
                <w14:ligatures w14:val="none"/>
              </w:rPr>
              <w:t>%)</w:t>
            </w:r>
          </w:p>
          <w:p w14:paraId="70A645E6" w14:textId="35F38F51" w:rsidR="00A20A7F" w:rsidRDefault="009B07AE">
            <w:pPr>
              <w:tabs>
                <w:tab w:val="left" w:pos="567"/>
              </w:tabs>
              <w:spacing w:before="120" w:after="120" w:line="240" w:lineRule="auto"/>
              <w:jc w:val="both"/>
              <w:rPr>
                <w:rStyle w:val="InstructionsTabelleberschrift"/>
                <w:rFonts w:ascii="Times New Roman" w:hAnsi="Times New Roman"/>
                <w:b w:val="0"/>
                <w:sz w:val="24"/>
                <w:u w:val="none"/>
              </w:rPr>
            </w:pPr>
            <w:r w:rsidRPr="00166EBA">
              <w:rPr>
                <w:rStyle w:val="InstructionsTabelleberschrift"/>
                <w:rFonts w:ascii="Times New Roman" w:hAnsi="Times New Roman"/>
                <w:b w:val="0"/>
                <w:sz w:val="24"/>
                <w:u w:val="none"/>
              </w:rPr>
              <w:t>Institutions shall report the alignment of counterparties with a decarbonisation pathway, which reflects the extent to which a counterparty is transitioning its operations towards a decarbonised economy. This alignment is typically measured using production capacity or emission intensity metrics.</w:t>
            </w:r>
            <w:r w:rsidR="000008B6">
              <w:rPr>
                <w:rStyle w:val="InstructionsTabelleberschrift"/>
                <w:rFonts w:ascii="Times New Roman" w:hAnsi="Times New Roman"/>
                <w:b w:val="0"/>
                <w:sz w:val="24"/>
                <w:u w:val="none"/>
              </w:rPr>
              <w:t xml:space="preserve"> </w:t>
            </w:r>
          </w:p>
          <w:p w14:paraId="181266F6" w14:textId="2488AD39" w:rsidR="00300A3D" w:rsidRPr="00166EBA" w:rsidRDefault="00300A3D" w:rsidP="00166EBA">
            <w:pPr>
              <w:tabs>
                <w:tab w:val="left" w:pos="567"/>
              </w:tabs>
              <w:spacing w:before="120" w:after="120" w:line="240" w:lineRule="auto"/>
              <w:jc w:val="both"/>
              <w:rPr>
                <w:rStyle w:val="InstructionsTabelleberschrift"/>
                <w:rFonts w:ascii="Times New Roman" w:hAnsi="Times New Roman"/>
                <w:b w:val="0"/>
                <w:sz w:val="24"/>
                <w:u w:val="none"/>
              </w:rPr>
            </w:pPr>
            <w:r w:rsidRPr="00166EBA">
              <w:rPr>
                <w:rStyle w:val="InstructionsTabelleberschrift"/>
                <w:rFonts w:ascii="Times New Roman" w:hAnsi="Times New Roman"/>
                <w:b w:val="0"/>
                <w:sz w:val="24"/>
                <w:u w:val="none"/>
              </w:rPr>
              <w:t>Institutions may apply their own methodology for calculating the alignment and select the relevant decarbonisation pathway. The alignment values shall be reported as percentages, with the following interpretation:</w:t>
            </w:r>
          </w:p>
          <w:p w14:paraId="1504A48A" w14:textId="77777777" w:rsidR="00300A3D" w:rsidRPr="00166EBA" w:rsidRDefault="00300A3D" w:rsidP="00166EBA">
            <w:pPr>
              <w:pStyle w:val="ListParagraph"/>
              <w:numPr>
                <w:ilvl w:val="0"/>
                <w:numId w:val="16"/>
              </w:numPr>
              <w:tabs>
                <w:tab w:val="left" w:pos="567"/>
              </w:tabs>
              <w:spacing w:before="120" w:after="120" w:line="240" w:lineRule="auto"/>
              <w:jc w:val="both"/>
              <w:rPr>
                <w:rStyle w:val="InstructionsTabelleberschrift"/>
                <w:rFonts w:ascii="Times New Roman" w:hAnsi="Times New Roman"/>
                <w:b w:val="0"/>
                <w:sz w:val="24"/>
                <w:u w:val="none"/>
              </w:rPr>
            </w:pPr>
            <w:r w:rsidRPr="00166EBA">
              <w:rPr>
                <w:rStyle w:val="InstructionsTabelleberschrift"/>
                <w:rFonts w:ascii="Times New Roman" w:hAnsi="Times New Roman"/>
                <w:sz w:val="24"/>
                <w:u w:val="none"/>
              </w:rPr>
              <w:t>0%</w:t>
            </w:r>
            <w:r w:rsidRPr="00166EBA">
              <w:rPr>
                <w:rStyle w:val="InstructionsTabelleberschrift"/>
                <w:rFonts w:ascii="Times New Roman" w:hAnsi="Times New Roman"/>
                <w:b w:val="0"/>
                <w:sz w:val="24"/>
                <w:u w:val="none"/>
              </w:rPr>
              <w:t>: Fully aligned with the pathway</w:t>
            </w:r>
          </w:p>
          <w:p w14:paraId="6E290C4F" w14:textId="77777777" w:rsidR="00300A3D" w:rsidRPr="00166EBA" w:rsidRDefault="00300A3D" w:rsidP="00166EBA">
            <w:pPr>
              <w:pStyle w:val="ListParagraph"/>
              <w:numPr>
                <w:ilvl w:val="0"/>
                <w:numId w:val="16"/>
              </w:numPr>
              <w:tabs>
                <w:tab w:val="left" w:pos="567"/>
              </w:tabs>
              <w:spacing w:before="120" w:after="120" w:line="240" w:lineRule="auto"/>
              <w:jc w:val="both"/>
              <w:rPr>
                <w:rStyle w:val="InstructionsTabelleberschrift"/>
                <w:rFonts w:ascii="Times New Roman" w:hAnsi="Times New Roman"/>
                <w:b w:val="0"/>
                <w:sz w:val="24"/>
                <w:u w:val="none"/>
              </w:rPr>
            </w:pPr>
            <w:r w:rsidRPr="00166EBA">
              <w:rPr>
                <w:rStyle w:val="InstructionsTabelleberschrift"/>
                <w:rFonts w:ascii="Times New Roman" w:hAnsi="Times New Roman"/>
                <w:sz w:val="24"/>
                <w:u w:val="none"/>
              </w:rPr>
              <w:t>-100%</w:t>
            </w:r>
            <w:r w:rsidRPr="00166EBA">
              <w:rPr>
                <w:rStyle w:val="InstructionsTabelleberschrift"/>
                <w:rFonts w:ascii="Times New Roman" w:hAnsi="Times New Roman"/>
                <w:b w:val="0"/>
                <w:sz w:val="24"/>
                <w:u w:val="none"/>
              </w:rPr>
              <w:t>: Transitioning much slower than the pathway</w:t>
            </w:r>
          </w:p>
          <w:p w14:paraId="37CA2C29" w14:textId="77777777" w:rsidR="00300A3D" w:rsidRPr="00166EBA" w:rsidRDefault="00300A3D" w:rsidP="00166EBA">
            <w:pPr>
              <w:pStyle w:val="ListParagraph"/>
              <w:numPr>
                <w:ilvl w:val="0"/>
                <w:numId w:val="16"/>
              </w:numPr>
              <w:tabs>
                <w:tab w:val="left" w:pos="567"/>
              </w:tabs>
              <w:spacing w:before="120" w:after="120" w:line="240" w:lineRule="auto"/>
              <w:jc w:val="both"/>
              <w:rPr>
                <w:rStyle w:val="InstructionsTabelleberschrift"/>
                <w:rFonts w:ascii="Times New Roman" w:hAnsi="Times New Roman"/>
                <w:b w:val="0"/>
                <w:sz w:val="24"/>
                <w:u w:val="none"/>
              </w:rPr>
            </w:pPr>
            <w:r w:rsidRPr="00166EBA">
              <w:rPr>
                <w:rStyle w:val="InstructionsTabelleberschrift"/>
                <w:rFonts w:ascii="Times New Roman" w:hAnsi="Times New Roman"/>
                <w:sz w:val="24"/>
                <w:u w:val="none"/>
              </w:rPr>
              <w:t>+100%</w:t>
            </w:r>
            <w:r w:rsidRPr="00166EBA">
              <w:rPr>
                <w:rStyle w:val="InstructionsTabelleberschrift"/>
                <w:rFonts w:ascii="Times New Roman" w:hAnsi="Times New Roman"/>
                <w:b w:val="0"/>
                <w:sz w:val="24"/>
                <w:u w:val="none"/>
              </w:rPr>
              <w:t>: Transitioning much faster than the pathway</w:t>
            </w:r>
          </w:p>
          <w:p w14:paraId="069490B7" w14:textId="77777777" w:rsidR="00300A3D" w:rsidRPr="00166EBA" w:rsidRDefault="00ED308E" w:rsidP="00166EBA">
            <w:pPr>
              <w:tabs>
                <w:tab w:val="left" w:pos="567"/>
              </w:tabs>
              <w:spacing w:before="120" w:after="120" w:line="240" w:lineRule="auto"/>
              <w:jc w:val="both"/>
              <w:rPr>
                <w:rStyle w:val="InstructionsTabelleberschrift"/>
                <w:rFonts w:ascii="Times New Roman" w:eastAsia="Arial" w:hAnsi="Times New Roman"/>
                <w:b w:val="0"/>
                <w:bCs w:val="0"/>
                <w:kern w:val="0"/>
                <w:sz w:val="24"/>
                <w:szCs w:val="24"/>
                <w:u w:val="none"/>
                <w:lang w:eastAsia="de-DE"/>
                <w14:ligatures w14:val="none"/>
              </w:rPr>
            </w:pPr>
            <w:r w:rsidRPr="00D2157E">
              <w:rPr>
                <w:rStyle w:val="InstructionsTabelleberschrift"/>
                <w:rFonts w:ascii="Times New Roman" w:eastAsia="Arial" w:hAnsi="Times New Roman"/>
                <w:b w:val="0"/>
                <w:kern w:val="0"/>
                <w:sz w:val="24"/>
                <w:szCs w:val="24"/>
                <w:u w:val="none"/>
                <w:lang w:eastAsia="de-DE"/>
                <w14:ligatures w14:val="none"/>
              </w:rPr>
              <w:t xml:space="preserve">When reporting this </w:t>
            </w:r>
            <w:r w:rsidR="00477F16" w:rsidRPr="00D2157E">
              <w:rPr>
                <w:rStyle w:val="InstructionsTabelleberschrift"/>
                <w:rFonts w:ascii="Times New Roman" w:eastAsia="Arial" w:hAnsi="Times New Roman"/>
                <w:b w:val="0"/>
                <w:kern w:val="0"/>
                <w:sz w:val="24"/>
                <w:szCs w:val="24"/>
                <w:u w:val="none"/>
                <w:lang w:eastAsia="de-DE"/>
                <w14:ligatures w14:val="none"/>
              </w:rPr>
              <w:t>column institutions shall consider:</w:t>
            </w:r>
          </w:p>
          <w:p w14:paraId="32D336C1" w14:textId="77777777" w:rsidR="00804A9F" w:rsidRDefault="00477F16" w:rsidP="00331709">
            <w:pPr>
              <w:pStyle w:val="ListParagraph"/>
              <w:numPr>
                <w:ilvl w:val="0"/>
                <w:numId w:val="17"/>
              </w:numPr>
              <w:tabs>
                <w:tab w:val="left" w:pos="567"/>
              </w:tabs>
              <w:spacing w:before="120" w:after="120" w:line="240" w:lineRule="auto"/>
              <w:jc w:val="both"/>
              <w:rPr>
                <w:rFonts w:ascii="Times New Roman" w:eastAsia="Arial" w:hAnsi="Times New Roman" w:cs="Times New Roman"/>
                <w:kern w:val="0"/>
                <w:sz w:val="24"/>
                <w:szCs w:val="24"/>
                <w:lang w:eastAsia="de-DE"/>
                <w14:ligatures w14:val="none"/>
              </w:rPr>
            </w:pPr>
            <w:r w:rsidRPr="00166EBA">
              <w:rPr>
                <w:rStyle w:val="InstructionsTabelleberschrift"/>
                <w:rFonts w:ascii="Times New Roman" w:eastAsia="Arial" w:hAnsi="Times New Roman"/>
                <w:b w:val="0"/>
                <w:sz w:val="24"/>
                <w:szCs w:val="24"/>
                <w:u w:val="none"/>
                <w:lang w:eastAsia="de-DE"/>
              </w:rPr>
              <w:t xml:space="preserve">If calculated values exceed +100% or -100%, </w:t>
            </w:r>
            <w:r w:rsidRPr="00166EBA">
              <w:rPr>
                <w:rStyle w:val="InstructionsTabelleberschrift"/>
                <w:rFonts w:ascii="Times New Roman" w:eastAsia="Arial" w:hAnsi="Times New Roman"/>
                <w:b w:val="0"/>
                <w:bCs w:val="0"/>
                <w:kern w:val="0"/>
                <w:sz w:val="24"/>
                <w:szCs w:val="24"/>
                <w:u w:val="none"/>
                <w:lang w:eastAsia="de-DE"/>
                <w14:ligatures w14:val="none"/>
              </w:rPr>
              <w:t>the value sh</w:t>
            </w:r>
            <w:r w:rsidR="00B15147" w:rsidRPr="00166EBA">
              <w:rPr>
                <w:rStyle w:val="InstructionsTabelleberschrift"/>
                <w:rFonts w:ascii="Times New Roman" w:eastAsia="Arial" w:hAnsi="Times New Roman"/>
                <w:b w:val="0"/>
                <w:bCs w:val="0"/>
                <w:kern w:val="0"/>
                <w:sz w:val="24"/>
                <w:szCs w:val="24"/>
                <w:u w:val="none"/>
                <w:lang w:eastAsia="de-DE"/>
                <w14:ligatures w14:val="none"/>
              </w:rPr>
              <w:t xml:space="preserve">all be rounded to the </w:t>
            </w:r>
            <w:r w:rsidR="00804A9F" w:rsidRPr="00804A9F">
              <w:rPr>
                <w:rFonts w:ascii="Times New Roman" w:eastAsia="Arial" w:hAnsi="Times New Roman" w:cs="Times New Roman"/>
                <w:kern w:val="0"/>
                <w:sz w:val="24"/>
                <w:szCs w:val="24"/>
                <w:lang w:eastAsia="de-DE"/>
                <w14:ligatures w14:val="none"/>
              </w:rPr>
              <w:t>nearest limit (+100% or -100%).</w:t>
            </w:r>
          </w:p>
          <w:p w14:paraId="7F37D6B7" w14:textId="77777777" w:rsidR="009B60AE" w:rsidRDefault="00B15147" w:rsidP="00D2157E">
            <w:pPr>
              <w:pStyle w:val="ListParagraph"/>
              <w:numPr>
                <w:ilvl w:val="0"/>
                <w:numId w:val="17"/>
              </w:numPr>
              <w:tabs>
                <w:tab w:val="left" w:pos="567"/>
              </w:tabs>
              <w:spacing w:before="120" w:after="120" w:line="240" w:lineRule="auto"/>
              <w:jc w:val="both"/>
              <w:rPr>
                <w:rStyle w:val="InstructionsTabelleberschrift"/>
                <w:rFonts w:ascii="Times New Roman" w:eastAsia="Arial" w:hAnsi="Times New Roman"/>
                <w:b w:val="0"/>
                <w:bCs w:val="0"/>
                <w:kern w:val="0"/>
                <w:sz w:val="24"/>
                <w:szCs w:val="24"/>
                <w:u w:val="none"/>
                <w:lang w:eastAsia="de-DE"/>
                <w14:ligatures w14:val="none"/>
              </w:rPr>
            </w:pPr>
            <w:r w:rsidRPr="00166EBA">
              <w:rPr>
                <w:rStyle w:val="InstructionsTabelleberschrift"/>
                <w:rFonts w:ascii="Times New Roman" w:eastAsia="Arial" w:hAnsi="Times New Roman"/>
                <w:b w:val="0"/>
                <w:bCs w:val="0"/>
                <w:kern w:val="0"/>
                <w:sz w:val="24"/>
                <w:szCs w:val="24"/>
                <w:u w:val="none"/>
                <w:lang w:eastAsia="de-DE"/>
                <w14:ligatures w14:val="none"/>
              </w:rPr>
              <w:t>If a different scale is used for reporting the alignment value, the values shall be adjusted so that they correspond to the interpretive framework</w:t>
            </w:r>
            <w:r w:rsidR="00A64DC6">
              <w:rPr>
                <w:rStyle w:val="InstructionsTabelleberschrift"/>
                <w:rFonts w:ascii="Times New Roman" w:eastAsia="Arial" w:hAnsi="Times New Roman"/>
                <w:b w:val="0"/>
                <w:bCs w:val="0"/>
                <w:kern w:val="0"/>
                <w:sz w:val="24"/>
                <w:szCs w:val="24"/>
                <w:u w:val="none"/>
                <w:lang w:eastAsia="de-DE"/>
                <w14:ligatures w14:val="none"/>
              </w:rPr>
              <w:t>.</w:t>
            </w:r>
          </w:p>
          <w:p w14:paraId="4C59F56C" w14:textId="6DFF0317" w:rsidR="009766F5" w:rsidRPr="00F16751" w:rsidRDefault="00477F16" w:rsidP="00166EBA">
            <w:pPr>
              <w:pStyle w:val="ListParagraph"/>
              <w:numPr>
                <w:ilvl w:val="0"/>
                <w:numId w:val="17"/>
              </w:numPr>
              <w:tabs>
                <w:tab w:val="left" w:pos="567"/>
              </w:tabs>
              <w:spacing w:before="120" w:after="120" w:line="240" w:lineRule="auto"/>
              <w:jc w:val="both"/>
              <w:rPr>
                <w:rStyle w:val="InstructionsTabelleberschrift"/>
                <w:rFonts w:ascii="Times New Roman" w:eastAsia="Arial" w:hAnsi="Times New Roman"/>
                <w:b w:val="0"/>
                <w:bCs w:val="0"/>
                <w:kern w:val="0"/>
                <w:sz w:val="24"/>
                <w:szCs w:val="24"/>
                <w:u w:val="none"/>
                <w:lang w:eastAsia="de-DE"/>
                <w14:ligatures w14:val="none"/>
              </w:rPr>
            </w:pPr>
            <w:r w:rsidRPr="009133CD">
              <w:rPr>
                <w:rStyle w:val="InstructionsTabelleberschrift"/>
                <w:rFonts w:ascii="Times New Roman" w:eastAsia="Arial" w:hAnsi="Times New Roman"/>
                <w:b w:val="0"/>
                <w:bCs w:val="0"/>
                <w:sz w:val="24"/>
                <w:u w:val="none"/>
                <w:lang w:eastAsia="de-DE"/>
              </w:rPr>
              <w:t xml:space="preserve">If no alignment calculation is performed for a counterparty, the field should be left blank. </w:t>
            </w:r>
          </w:p>
        </w:tc>
      </w:tr>
    </w:tbl>
    <w:p w14:paraId="6AB3B53D" w14:textId="45501FD9" w:rsidR="00FF53FF" w:rsidRPr="00BE72CB" w:rsidRDefault="00FF53FF" w:rsidP="00FF53FF"/>
    <w:p w14:paraId="2262A19B" w14:textId="3B10AE01" w:rsidR="00C24773" w:rsidRDefault="00C24773" w:rsidP="008C6C11">
      <w:pPr>
        <w:pStyle w:val="subtitlenumbered"/>
        <w:numPr>
          <w:ilvl w:val="0"/>
          <w:numId w:val="7"/>
        </w:numPr>
        <w:ind w:left="180"/>
        <w:jc w:val="both"/>
        <w:rPr>
          <w:b/>
          <w:bCs/>
          <w:caps w:val="0"/>
          <w:lang w:val="en-GB"/>
        </w:rPr>
      </w:pPr>
      <w:bookmarkStart w:id="8" w:name="_Toc225353459"/>
      <w:r w:rsidRPr="00BE72CB">
        <w:rPr>
          <w:b/>
          <w:bCs/>
          <w:caps w:val="0"/>
          <w:lang w:val="en-GB"/>
        </w:rPr>
        <w:t xml:space="preserve">D 05.00 </w:t>
      </w:r>
      <w:r w:rsidR="00FC610F">
        <w:rPr>
          <w:b/>
          <w:bCs/>
          <w:caps w:val="0"/>
          <w:lang w:val="en-GB"/>
        </w:rPr>
        <w:t>–</w:t>
      </w:r>
      <w:r w:rsidRPr="00BE72CB">
        <w:rPr>
          <w:b/>
          <w:bCs/>
          <w:caps w:val="0"/>
          <w:lang w:val="en-GB"/>
        </w:rPr>
        <w:t xml:space="preserve"> Climate</w:t>
      </w:r>
      <w:r w:rsidR="00FC610F">
        <w:rPr>
          <w:b/>
          <w:bCs/>
          <w:caps w:val="0"/>
          <w:lang w:val="en-GB"/>
        </w:rPr>
        <w:t>-related</w:t>
      </w:r>
      <w:r w:rsidRPr="00BE72CB">
        <w:rPr>
          <w:b/>
          <w:bCs/>
          <w:caps w:val="0"/>
          <w:lang w:val="en-GB"/>
        </w:rPr>
        <w:t xml:space="preserve"> physical risk: Exposures subject to physical risk</w:t>
      </w:r>
      <w:bookmarkEnd w:id="8"/>
    </w:p>
    <w:p w14:paraId="20B4C76C" w14:textId="2B1B8679" w:rsidR="004673A4" w:rsidRDefault="004673A4"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Pr>
          <w:rFonts w:ascii="Times New Roman" w:hAnsi="Times New Roman"/>
          <w:sz w:val="24"/>
        </w:rPr>
        <w:t xml:space="preserve">This template shall be reported by </w:t>
      </w:r>
      <w:r w:rsidR="00282215">
        <w:rPr>
          <w:rFonts w:ascii="Times New Roman" w:hAnsi="Times New Roman"/>
          <w:sz w:val="24"/>
        </w:rPr>
        <w:t>large</w:t>
      </w:r>
      <w:r>
        <w:rPr>
          <w:rFonts w:ascii="Times New Roman" w:hAnsi="Times New Roman"/>
          <w:sz w:val="24"/>
        </w:rPr>
        <w:t xml:space="preserve"> institutions</w:t>
      </w:r>
      <w:r w:rsidR="00B95B8D">
        <w:rPr>
          <w:rFonts w:ascii="Times New Roman" w:hAnsi="Times New Roman"/>
          <w:sz w:val="24"/>
        </w:rPr>
        <w:t xml:space="preserve"> on a semi-annual basis</w:t>
      </w:r>
      <w:r>
        <w:rPr>
          <w:rFonts w:ascii="Times New Roman" w:hAnsi="Times New Roman"/>
          <w:sz w:val="24"/>
        </w:rPr>
        <w:t>.</w:t>
      </w:r>
    </w:p>
    <w:p w14:paraId="7103B5B6" w14:textId="552E4FB0" w:rsidR="00466B55" w:rsidRPr="00435766" w:rsidRDefault="00393033"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435766">
        <w:rPr>
          <w:rFonts w:ascii="Times New Roman" w:hAnsi="Times New Roman"/>
          <w:sz w:val="24"/>
        </w:rPr>
        <w:t xml:space="preserve">Institutions shall report the information referred to in this template in accordance with the instructions provided for </w:t>
      </w:r>
      <w:r w:rsidRPr="00AF54AE">
        <w:rPr>
          <w:rFonts w:ascii="Times New Roman" w:hAnsi="Times New Roman"/>
          <w:i/>
          <w:iCs/>
          <w:sz w:val="24"/>
        </w:rPr>
        <w:t>‘</w:t>
      </w:r>
      <w:r w:rsidR="004E70E7" w:rsidRPr="00AF54AE">
        <w:rPr>
          <w:rFonts w:ascii="Times New Roman" w:hAnsi="Times New Roman"/>
          <w:i/>
          <w:iCs/>
          <w:sz w:val="24"/>
        </w:rPr>
        <w:t>‘EU - CRFR2: Climate</w:t>
      </w:r>
      <w:r w:rsidR="00FC610F" w:rsidRPr="00AF54AE">
        <w:rPr>
          <w:rFonts w:ascii="Times New Roman" w:hAnsi="Times New Roman"/>
          <w:i/>
          <w:iCs/>
          <w:sz w:val="24"/>
        </w:rPr>
        <w:t xml:space="preserve">-related </w:t>
      </w:r>
      <w:r w:rsidR="004E70E7" w:rsidRPr="00AF54AE">
        <w:rPr>
          <w:rFonts w:ascii="Times New Roman" w:hAnsi="Times New Roman"/>
          <w:i/>
          <w:iCs/>
          <w:sz w:val="24"/>
        </w:rPr>
        <w:t>physical risk- Exposures subject to physical risk</w:t>
      </w:r>
      <w:r w:rsidRPr="00AF54AE">
        <w:rPr>
          <w:rFonts w:ascii="Times New Roman" w:hAnsi="Times New Roman"/>
          <w:i/>
          <w:iCs/>
          <w:sz w:val="24"/>
        </w:rPr>
        <w:t>’</w:t>
      </w:r>
      <w:r w:rsidRPr="00435766">
        <w:rPr>
          <w:rFonts w:ascii="Times New Roman" w:hAnsi="Times New Roman"/>
          <w:sz w:val="24"/>
        </w:rPr>
        <w:t xml:space="preserve"> set out in Annex </w:t>
      </w:r>
      <w:r w:rsidR="005A0451" w:rsidRPr="00435766">
        <w:rPr>
          <w:rFonts w:ascii="Times New Roman" w:hAnsi="Times New Roman"/>
          <w:sz w:val="24"/>
        </w:rPr>
        <w:t xml:space="preserve">XL </w:t>
      </w:r>
      <w:r w:rsidRPr="00F459F7">
        <w:rPr>
          <w:rFonts w:ascii="Times New Roman" w:hAnsi="Times New Roman"/>
          <w:sz w:val="24"/>
        </w:rPr>
        <w:t>of the Implementing Regulation 2024/3172.</w:t>
      </w:r>
      <w:r w:rsidR="00A34273" w:rsidRPr="00435766">
        <w:rPr>
          <w:rFonts w:ascii="Times New Roman" w:hAnsi="Times New Roman"/>
          <w:sz w:val="24"/>
        </w:rPr>
        <w:t xml:space="preserve"> </w:t>
      </w:r>
      <w:r w:rsidR="00466B55" w:rsidRPr="00435766">
        <w:rPr>
          <w:rFonts w:ascii="Times New Roman" w:hAnsi="Times New Roman"/>
          <w:sz w:val="24"/>
        </w:rPr>
        <w:t>In addition, institutions shall complement those instructions with the instructions provided in this Annex.</w:t>
      </w:r>
    </w:p>
    <w:p w14:paraId="2D8F1110" w14:textId="7A9EC6A0" w:rsidR="00393033" w:rsidRDefault="00CD0DAC" w:rsidP="00435766">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proofErr w:type="gramStart"/>
      <w:r>
        <w:rPr>
          <w:rFonts w:ascii="Times New Roman" w:hAnsi="Times New Roman"/>
          <w:sz w:val="24"/>
        </w:rPr>
        <w:t>C</w:t>
      </w:r>
      <w:r w:rsidR="00B72CDE" w:rsidRPr="00435766">
        <w:rPr>
          <w:rFonts w:ascii="Times New Roman" w:hAnsi="Times New Roman"/>
          <w:sz w:val="24"/>
        </w:rPr>
        <w:t>olumns</w:t>
      </w:r>
      <w:r w:rsidR="00FC610F">
        <w:rPr>
          <w:rFonts w:ascii="Times New Roman" w:hAnsi="Times New Roman"/>
          <w:sz w:val="24"/>
        </w:rPr>
        <w:t xml:space="preserve"> </w:t>
      </w:r>
      <w:r w:rsidR="000C53D3">
        <w:rPr>
          <w:rFonts w:ascii="Times New Roman" w:hAnsi="Times New Roman"/>
          <w:sz w:val="24"/>
        </w:rPr>
        <w:t>(</w:t>
      </w:r>
      <w:r w:rsidR="00712FB1" w:rsidRPr="00435766">
        <w:rPr>
          <w:rFonts w:ascii="Times New Roman" w:hAnsi="Times New Roman"/>
          <w:sz w:val="24"/>
        </w:rPr>
        <w:t>0</w:t>
      </w:r>
      <w:r w:rsidR="00712FB1">
        <w:rPr>
          <w:rFonts w:ascii="Times New Roman" w:hAnsi="Times New Roman"/>
          <w:sz w:val="24"/>
        </w:rPr>
        <w:t>14</w:t>
      </w:r>
      <w:r w:rsidR="00712FB1" w:rsidRPr="00435766">
        <w:rPr>
          <w:rFonts w:ascii="Times New Roman" w:hAnsi="Times New Roman"/>
          <w:sz w:val="24"/>
        </w:rPr>
        <w:t>0</w:t>
      </w:r>
      <w:r w:rsidR="005A030B" w:rsidRPr="00435766">
        <w:rPr>
          <w:rFonts w:ascii="Times New Roman" w:hAnsi="Times New Roman"/>
          <w:sz w:val="24"/>
        </w:rPr>
        <w:t>-</w:t>
      </w:r>
      <w:r w:rsidR="00712FB1" w:rsidRPr="00435766">
        <w:rPr>
          <w:rFonts w:ascii="Times New Roman" w:hAnsi="Times New Roman"/>
          <w:sz w:val="24"/>
        </w:rPr>
        <w:t>0</w:t>
      </w:r>
      <w:r w:rsidR="00712FB1">
        <w:rPr>
          <w:rFonts w:ascii="Times New Roman" w:hAnsi="Times New Roman"/>
          <w:sz w:val="24"/>
        </w:rPr>
        <w:t>17</w:t>
      </w:r>
      <w:r w:rsidR="00712FB1" w:rsidRPr="00435766">
        <w:rPr>
          <w:rFonts w:ascii="Times New Roman" w:hAnsi="Times New Roman"/>
          <w:sz w:val="24"/>
        </w:rPr>
        <w:t>0</w:t>
      </w:r>
      <w:r w:rsidR="000C53D3">
        <w:rPr>
          <w:rFonts w:ascii="Times New Roman" w:hAnsi="Times New Roman"/>
          <w:sz w:val="24"/>
        </w:rPr>
        <w:t>)</w:t>
      </w:r>
      <w:r w:rsidR="005A030B" w:rsidRPr="00435766">
        <w:rPr>
          <w:rFonts w:ascii="Times New Roman" w:hAnsi="Times New Roman"/>
          <w:sz w:val="24"/>
        </w:rPr>
        <w:t>,</w:t>
      </w:r>
      <w:proofErr w:type="gramEnd"/>
      <w:r w:rsidR="005A030B" w:rsidRPr="00435766">
        <w:rPr>
          <w:rFonts w:ascii="Times New Roman" w:hAnsi="Times New Roman"/>
          <w:sz w:val="24"/>
        </w:rPr>
        <w:t xml:space="preserve"> </w:t>
      </w:r>
      <w:r w:rsidRPr="00136151">
        <w:rPr>
          <w:rFonts w:ascii="Times New Roman" w:hAnsi="Times New Roman"/>
          <w:sz w:val="24"/>
        </w:rPr>
        <w:t>shall be reported in accordance with the definition in Annex V – Reporting on Financial Information</w:t>
      </w:r>
      <w:r>
        <w:rPr>
          <w:rFonts w:ascii="Times New Roman" w:hAnsi="Times New Roman"/>
          <w:sz w:val="24"/>
        </w:rPr>
        <w:t>.</w:t>
      </w:r>
      <w:r w:rsidRPr="00136151">
        <w:rPr>
          <w:rFonts w:ascii="Times New Roman" w:hAnsi="Times New Roman"/>
          <w:sz w:val="24"/>
        </w:rPr>
        <w:t xml:space="preserve"> </w:t>
      </w:r>
    </w:p>
    <w:p w14:paraId="01A95A96" w14:textId="13EC197C" w:rsidR="004A11AB" w:rsidRPr="00707E7C" w:rsidRDefault="004A11AB" w:rsidP="00707E7C">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707E7C">
        <w:rPr>
          <w:rFonts w:ascii="Times New Roman" w:hAnsi="Times New Roman"/>
          <w:sz w:val="24"/>
        </w:rPr>
        <w:t>For the reporting of column 0230, institutions shall report the nominal amount as per the instructions provided in Annex V – Reporting on Financial Information (FINREP).</w:t>
      </w:r>
    </w:p>
    <w:p w14:paraId="18B030EC" w14:textId="77777777" w:rsidR="00707E7C" w:rsidRPr="00136151" w:rsidRDefault="00707E7C" w:rsidP="00707E7C">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477CDC">
        <w:rPr>
          <w:rFonts w:ascii="Times New Roman" w:hAnsi="Times New Roman"/>
          <w:sz w:val="24"/>
        </w:rPr>
        <w:t>For the columns 0020 on ‘</w:t>
      </w:r>
      <w:r w:rsidRPr="00477CDC">
        <w:rPr>
          <w:rFonts w:ascii="Times New Roman" w:hAnsi="Times New Roman"/>
          <w:i/>
          <w:iCs/>
          <w:sz w:val="24"/>
        </w:rPr>
        <w:t>exposures subject to physical risk’</w:t>
      </w:r>
      <w:r w:rsidRPr="00477CDC">
        <w:rPr>
          <w:rFonts w:ascii="Times New Roman" w:hAnsi="Times New Roman"/>
          <w:sz w:val="24"/>
        </w:rPr>
        <w:t>, and the breakdowns provided under columns 0030 ‘</w:t>
      </w:r>
      <w:r>
        <w:rPr>
          <w:rFonts w:ascii="Times New Roman" w:hAnsi="Times New Roman"/>
          <w:sz w:val="24"/>
        </w:rPr>
        <w:t>H</w:t>
      </w:r>
      <w:r w:rsidRPr="00136151">
        <w:rPr>
          <w:rFonts w:ascii="Times New Roman" w:hAnsi="Times New Roman"/>
          <w:i/>
          <w:iCs/>
          <w:sz w:val="24"/>
        </w:rPr>
        <w:t>ighly exposed’</w:t>
      </w:r>
      <w:r w:rsidRPr="00477CDC">
        <w:rPr>
          <w:rFonts w:ascii="Times New Roman" w:hAnsi="Times New Roman"/>
          <w:sz w:val="24"/>
        </w:rPr>
        <w:t xml:space="preserve"> and column 0040 </w:t>
      </w:r>
      <w:r w:rsidRPr="00136151">
        <w:rPr>
          <w:rFonts w:ascii="Times New Roman" w:hAnsi="Times New Roman"/>
          <w:i/>
          <w:iCs/>
          <w:sz w:val="24"/>
        </w:rPr>
        <w:t>‘</w:t>
      </w:r>
      <w:r>
        <w:rPr>
          <w:rFonts w:ascii="Times New Roman" w:hAnsi="Times New Roman"/>
          <w:i/>
          <w:iCs/>
          <w:sz w:val="24"/>
        </w:rPr>
        <w:t>M</w:t>
      </w:r>
      <w:r w:rsidRPr="00136151">
        <w:rPr>
          <w:rFonts w:ascii="Times New Roman" w:hAnsi="Times New Roman"/>
          <w:i/>
          <w:iCs/>
          <w:sz w:val="24"/>
        </w:rPr>
        <w:t>oderately exposed’</w:t>
      </w:r>
      <w:r w:rsidRPr="00477CDC">
        <w:rPr>
          <w:rFonts w:ascii="Times New Roman" w:hAnsi="Times New Roman"/>
          <w:sz w:val="24"/>
        </w:rPr>
        <w:t>,  i</w:t>
      </w:r>
      <w:r w:rsidRPr="00136151">
        <w:rPr>
          <w:rFonts w:ascii="Times New Roman" w:hAnsi="Times New Roman"/>
          <w:sz w:val="24"/>
        </w:rPr>
        <w:t xml:space="preserve">nstitutions shall </w:t>
      </w:r>
      <w:r w:rsidRPr="00477CDC">
        <w:rPr>
          <w:rFonts w:ascii="Times New Roman" w:hAnsi="Times New Roman"/>
          <w:sz w:val="24"/>
        </w:rPr>
        <w:t>report</w:t>
      </w:r>
      <w:r w:rsidRPr="00136151">
        <w:rPr>
          <w:rFonts w:ascii="Times New Roman" w:hAnsi="Times New Roman"/>
          <w:sz w:val="24"/>
        </w:rPr>
        <w:t xml:space="preserve"> the gross carrying amount of exposures subject to impact from climate-related physical risk events, including </w:t>
      </w:r>
      <w:r w:rsidRPr="00477CDC">
        <w:rPr>
          <w:rFonts w:ascii="Times New Roman" w:hAnsi="Times New Roman"/>
          <w:sz w:val="24"/>
        </w:rPr>
        <w:t>all exposures in locations identified by institutions as highly or moderately likely to be affected by climate change physical risk hazards, regardless of the expected level of losses in the case of physical risk events</w:t>
      </w:r>
      <w:r w:rsidRPr="00136151">
        <w:rPr>
          <w:rFonts w:ascii="Times New Roman" w:hAnsi="Times New Roman"/>
          <w:sz w:val="24"/>
        </w:rPr>
        <w:t xml:space="preserve">. The identification of exposures subject to climate change physical risk shall be carried out at the highest possible granularity level, in accordance with </w:t>
      </w:r>
      <w:r w:rsidRPr="00477CDC">
        <w:rPr>
          <w:rFonts w:ascii="Times New Roman" w:hAnsi="Times New Roman"/>
          <w:sz w:val="24"/>
        </w:rPr>
        <w:t>methodologies implemented by institutions in accordance with the requirements under Article 87a of Directive 2013/36/EU.</w:t>
      </w:r>
      <w:r w:rsidRPr="00136151">
        <w:rPr>
          <w:rFonts w:ascii="Times New Roman" w:hAnsi="Times New Roman"/>
          <w:sz w:val="24"/>
        </w:rPr>
        <w:t xml:space="preserve"> </w:t>
      </w:r>
    </w:p>
    <w:p w14:paraId="3A519F1B" w14:textId="77777777" w:rsidR="00707E7C" w:rsidRPr="00136151" w:rsidRDefault="00707E7C" w:rsidP="00707E7C">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136151">
        <w:rPr>
          <w:rFonts w:ascii="Times New Roman" w:hAnsi="Times New Roman"/>
          <w:sz w:val="24"/>
        </w:rPr>
        <w:t xml:space="preserve">For non-financial corporates, institutions shall identify exposures subject to climate-related physical risk in relation to the location of main activities or of the financed assets. Where institutions identify exposures subject to climate-related physical risk in relation to the location of main activities of the counterparty, exposures should be </w:t>
      </w:r>
      <w:r>
        <w:rPr>
          <w:rFonts w:ascii="Times New Roman" w:hAnsi="Times New Roman"/>
          <w:sz w:val="24"/>
        </w:rPr>
        <w:t>reported</w:t>
      </w:r>
      <w:r w:rsidRPr="00136151">
        <w:rPr>
          <w:rFonts w:ascii="Times New Roman" w:hAnsi="Times New Roman"/>
          <w:sz w:val="24"/>
        </w:rPr>
        <w:t xml:space="preserve"> as subject to climate-related physical risk if any of the main activities </w:t>
      </w:r>
      <w:proofErr w:type="gramStart"/>
      <w:r w:rsidRPr="00136151">
        <w:rPr>
          <w:rFonts w:ascii="Times New Roman" w:hAnsi="Times New Roman"/>
          <w:sz w:val="24"/>
        </w:rPr>
        <w:t>is located in</w:t>
      </w:r>
      <w:proofErr w:type="gramEnd"/>
      <w:r w:rsidRPr="00136151">
        <w:rPr>
          <w:rFonts w:ascii="Times New Roman" w:hAnsi="Times New Roman"/>
          <w:sz w:val="24"/>
        </w:rPr>
        <w:t xml:space="preserve"> an area highly or moderately likely to be affected by physical risk event. Where institutions identify exposures subject to climate-related physical risk in relation to the location of financed assets, and there are multiple locations of assets financed by the same exposure, they should follow a proportionate allocation similar as for exposures collateralised by </w:t>
      </w:r>
      <w:r>
        <w:rPr>
          <w:rFonts w:ascii="Times New Roman" w:hAnsi="Times New Roman"/>
          <w:sz w:val="24"/>
        </w:rPr>
        <w:t xml:space="preserve">residential </w:t>
      </w:r>
      <w:r w:rsidRPr="00136151">
        <w:rPr>
          <w:rFonts w:ascii="Times New Roman" w:hAnsi="Times New Roman"/>
          <w:sz w:val="24"/>
        </w:rPr>
        <w:t>immovable property.</w:t>
      </w:r>
    </w:p>
    <w:p w14:paraId="6851B2B0" w14:textId="77777777" w:rsidR="00707E7C" w:rsidRPr="00435766" w:rsidRDefault="00707E7C" w:rsidP="00707E7C">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136151">
        <w:rPr>
          <w:rFonts w:ascii="Times New Roman" w:hAnsi="Times New Roman"/>
          <w:sz w:val="24"/>
        </w:rPr>
        <w:t>For exposures collateralised by residential immovable property, institutions shall identify exposures subject to climate-related physical risk in relation to the location of collateral.</w:t>
      </w:r>
    </w:p>
    <w:p w14:paraId="6725DCAB" w14:textId="698B5542" w:rsidR="003E5F28" w:rsidRPr="007808F2" w:rsidRDefault="003E5F28" w:rsidP="00B95C21">
      <w:pPr>
        <w:pStyle w:val="ListParagraph"/>
        <w:tabs>
          <w:tab w:val="left" w:pos="720"/>
        </w:tabs>
        <w:spacing w:before="120" w:after="120" w:line="240" w:lineRule="auto"/>
        <w:ind w:left="540"/>
        <w:contextualSpacing w:val="0"/>
        <w:jc w:val="both"/>
        <w:rPr>
          <w:rFonts w:ascii="Times New Roman" w:hAnsi="Times New Roman"/>
          <w:sz w:val="24"/>
        </w:rPr>
      </w:pPr>
    </w:p>
    <w:p w14:paraId="1F0A3F22" w14:textId="3223E5E2" w:rsidR="00227A0B" w:rsidRPr="000A502E" w:rsidRDefault="00227A0B" w:rsidP="008C6C11">
      <w:pPr>
        <w:pStyle w:val="subtitlenumbered"/>
        <w:numPr>
          <w:ilvl w:val="0"/>
          <w:numId w:val="7"/>
        </w:numPr>
        <w:ind w:left="180"/>
        <w:jc w:val="both"/>
        <w:rPr>
          <w:b/>
          <w:bCs/>
          <w:caps w:val="0"/>
          <w:lang w:val="en-GB"/>
        </w:rPr>
      </w:pPr>
      <w:bookmarkStart w:id="9" w:name="_Toc225353460"/>
      <w:r w:rsidRPr="00BE72CB">
        <w:rPr>
          <w:b/>
          <w:bCs/>
          <w:caps w:val="0"/>
          <w:lang w:val="en-GB"/>
        </w:rPr>
        <w:t xml:space="preserve">D 05.01 </w:t>
      </w:r>
      <w:r w:rsidR="00FC610F">
        <w:rPr>
          <w:b/>
          <w:bCs/>
          <w:caps w:val="0"/>
          <w:lang w:val="en-GB"/>
        </w:rPr>
        <w:t>–</w:t>
      </w:r>
      <w:r w:rsidRPr="00BE72CB">
        <w:rPr>
          <w:b/>
          <w:bCs/>
          <w:caps w:val="0"/>
          <w:lang w:val="en-GB"/>
        </w:rPr>
        <w:t xml:space="preserve"> Clima</w:t>
      </w:r>
      <w:r w:rsidRPr="000A502E">
        <w:rPr>
          <w:b/>
          <w:bCs/>
          <w:caps w:val="0"/>
          <w:lang w:val="en-GB"/>
        </w:rPr>
        <w:t>te</w:t>
      </w:r>
      <w:r w:rsidR="00FC610F">
        <w:rPr>
          <w:b/>
          <w:bCs/>
          <w:caps w:val="0"/>
          <w:lang w:val="en-GB"/>
        </w:rPr>
        <w:t>-</w:t>
      </w:r>
      <w:r w:rsidR="0029762B">
        <w:rPr>
          <w:b/>
          <w:bCs/>
          <w:caps w:val="0"/>
          <w:lang w:val="en-GB"/>
        </w:rPr>
        <w:t>related</w:t>
      </w:r>
      <w:r w:rsidR="0029762B" w:rsidRPr="000A502E">
        <w:rPr>
          <w:b/>
          <w:bCs/>
          <w:caps w:val="0"/>
          <w:lang w:val="en-GB"/>
        </w:rPr>
        <w:t xml:space="preserve"> </w:t>
      </w:r>
      <w:r w:rsidRPr="000A502E">
        <w:rPr>
          <w:b/>
          <w:bCs/>
          <w:caps w:val="0"/>
          <w:lang w:val="en-GB"/>
        </w:rPr>
        <w:t>physical risk: Exposures subject to physical risk</w:t>
      </w:r>
      <w:r w:rsidR="0072280D" w:rsidRPr="000A502E">
        <w:rPr>
          <w:b/>
          <w:bCs/>
          <w:caps w:val="0"/>
          <w:lang w:val="en-GB"/>
        </w:rPr>
        <w:t xml:space="preserve"> (simplified)</w:t>
      </w:r>
      <w:bookmarkEnd w:id="9"/>
    </w:p>
    <w:p w14:paraId="53BA389F" w14:textId="723ACBF7" w:rsidR="004673A4" w:rsidRDefault="004673A4"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Pr>
          <w:rFonts w:ascii="Times New Roman" w:hAnsi="Times New Roman"/>
          <w:sz w:val="24"/>
        </w:rPr>
        <w:t xml:space="preserve">This template shall be reported by </w:t>
      </w:r>
      <w:r w:rsidR="00B03E8B">
        <w:rPr>
          <w:rFonts w:ascii="Times New Roman" w:hAnsi="Times New Roman"/>
          <w:sz w:val="24"/>
        </w:rPr>
        <w:t>other listed institutions and large subsidiaries</w:t>
      </w:r>
      <w:r w:rsidR="00152CFF">
        <w:rPr>
          <w:rFonts w:ascii="Times New Roman" w:hAnsi="Times New Roman"/>
          <w:sz w:val="24"/>
        </w:rPr>
        <w:t xml:space="preserve"> on an annual basis</w:t>
      </w:r>
      <w:r w:rsidR="00B03E8B">
        <w:rPr>
          <w:rFonts w:ascii="Times New Roman" w:hAnsi="Times New Roman"/>
          <w:sz w:val="24"/>
        </w:rPr>
        <w:t>.</w:t>
      </w:r>
    </w:p>
    <w:p w14:paraId="48012198" w14:textId="383887AD" w:rsidR="00D83FC9" w:rsidRPr="009C5681" w:rsidRDefault="00D83FC9"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C5681">
        <w:rPr>
          <w:rFonts w:ascii="Times New Roman" w:hAnsi="Times New Roman"/>
          <w:sz w:val="24"/>
        </w:rPr>
        <w:t>Institutions shall report the information referred to in this template in accordance with the instructions provided for ‘‘</w:t>
      </w:r>
      <w:r w:rsidR="00E31637" w:rsidRPr="00AF54AE">
        <w:rPr>
          <w:rFonts w:ascii="Times New Roman" w:hAnsi="Times New Roman"/>
          <w:i/>
          <w:iCs/>
          <w:sz w:val="24"/>
        </w:rPr>
        <w:t>EU - CRFR2</w:t>
      </w:r>
      <w:r w:rsidR="0054018F">
        <w:rPr>
          <w:rFonts w:ascii="Times New Roman" w:hAnsi="Times New Roman"/>
          <w:i/>
          <w:iCs/>
          <w:sz w:val="24"/>
        </w:rPr>
        <w:t>.1</w:t>
      </w:r>
      <w:r w:rsidR="00E31637" w:rsidRPr="00AF54AE">
        <w:rPr>
          <w:rFonts w:ascii="Times New Roman" w:hAnsi="Times New Roman"/>
          <w:i/>
          <w:iCs/>
          <w:sz w:val="24"/>
        </w:rPr>
        <w:t>: Climate related physical risk: Exposures subject to physical risk (simplified)</w:t>
      </w:r>
      <w:r w:rsidRPr="009C5681">
        <w:rPr>
          <w:rFonts w:ascii="Times New Roman" w:hAnsi="Times New Roman"/>
          <w:sz w:val="24"/>
        </w:rPr>
        <w:t>’ set out in Annex X</w:t>
      </w:r>
      <w:r w:rsidR="145634FD" w:rsidRPr="009C5681">
        <w:rPr>
          <w:rFonts w:ascii="Times New Roman" w:hAnsi="Times New Roman"/>
          <w:sz w:val="24"/>
        </w:rPr>
        <w:t>L</w:t>
      </w:r>
      <w:r w:rsidR="33523CDD" w:rsidRPr="009C5681">
        <w:rPr>
          <w:rFonts w:ascii="Times New Roman" w:hAnsi="Times New Roman"/>
          <w:sz w:val="24"/>
        </w:rPr>
        <w:t xml:space="preserve"> </w:t>
      </w:r>
      <w:r w:rsidRPr="009C5681">
        <w:rPr>
          <w:rFonts w:ascii="Times New Roman" w:hAnsi="Times New Roman"/>
          <w:sz w:val="24"/>
        </w:rPr>
        <w:t>of the Implementing Regulation 2024/3172. In addition, institutions shall complement those instructions with the instructions provided in this Annex.</w:t>
      </w:r>
    </w:p>
    <w:p w14:paraId="12C55D5F" w14:textId="77777777" w:rsidR="00BA55FF" w:rsidRPr="009C5681" w:rsidRDefault="00BA55FF"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133CD">
        <w:rPr>
          <w:rFonts w:ascii="Times New Roman" w:hAnsi="Times New Roman"/>
          <w:sz w:val="24"/>
        </w:rPr>
        <w:t>For the reporting of column 0080, institutions shall report the nominal amount as per the instructions provided in Annex V – Reporting on Financial Information (FINREP).</w:t>
      </w:r>
    </w:p>
    <w:p w14:paraId="6ACB59CC" w14:textId="6C767F86" w:rsidR="00227A0B" w:rsidRDefault="00227A0B" w:rsidP="008C6C11">
      <w:pPr>
        <w:pStyle w:val="subtitlenumbered"/>
        <w:numPr>
          <w:ilvl w:val="0"/>
          <w:numId w:val="7"/>
        </w:numPr>
        <w:ind w:left="180"/>
        <w:jc w:val="both"/>
        <w:rPr>
          <w:b/>
          <w:bCs/>
          <w:caps w:val="0"/>
          <w:lang w:val="en-GB"/>
        </w:rPr>
      </w:pPr>
      <w:bookmarkStart w:id="10" w:name="_Toc225353461"/>
      <w:r w:rsidRPr="00BE72CB">
        <w:rPr>
          <w:b/>
          <w:bCs/>
          <w:caps w:val="0"/>
          <w:lang w:val="en-GB"/>
        </w:rPr>
        <w:t>D 10.00</w:t>
      </w:r>
      <w:r w:rsidR="00CE30A6">
        <w:rPr>
          <w:b/>
          <w:bCs/>
          <w:caps w:val="0"/>
          <w:lang w:val="en-GB"/>
        </w:rPr>
        <w:t xml:space="preserve"> -</w:t>
      </w:r>
      <w:r w:rsidRPr="00BE72CB">
        <w:rPr>
          <w:b/>
          <w:bCs/>
          <w:caps w:val="0"/>
          <w:lang w:val="en-GB"/>
        </w:rPr>
        <w:t xml:space="preserve"> Mitigating actions: Exposures contributing to sustainability objectives</w:t>
      </w:r>
      <w:bookmarkEnd w:id="10"/>
    </w:p>
    <w:p w14:paraId="576829D4" w14:textId="5E1CE84F" w:rsidR="00B03E8B" w:rsidRDefault="00B03E8B"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B03E8B">
        <w:rPr>
          <w:rFonts w:ascii="Times New Roman" w:hAnsi="Times New Roman"/>
          <w:sz w:val="24"/>
        </w:rPr>
        <w:t xml:space="preserve">This template shall be reported by </w:t>
      </w:r>
      <w:proofErr w:type="gramStart"/>
      <w:r>
        <w:rPr>
          <w:rFonts w:ascii="Times New Roman" w:hAnsi="Times New Roman"/>
          <w:sz w:val="24"/>
        </w:rPr>
        <w:t>Large</w:t>
      </w:r>
      <w:proofErr w:type="gramEnd"/>
      <w:r>
        <w:rPr>
          <w:rFonts w:ascii="Times New Roman" w:hAnsi="Times New Roman"/>
          <w:sz w:val="24"/>
        </w:rPr>
        <w:t xml:space="preserve"> institutions, </w:t>
      </w:r>
      <w:r w:rsidRPr="00B03E8B">
        <w:rPr>
          <w:rFonts w:ascii="Times New Roman" w:hAnsi="Times New Roman"/>
          <w:sz w:val="24"/>
        </w:rPr>
        <w:t>other listed institutions and large subsidiaries</w:t>
      </w:r>
      <w:r w:rsidR="003838BF">
        <w:rPr>
          <w:rFonts w:ascii="Times New Roman" w:hAnsi="Times New Roman"/>
          <w:sz w:val="24"/>
        </w:rPr>
        <w:t xml:space="preserve"> on an annual basis</w:t>
      </w:r>
    </w:p>
    <w:p w14:paraId="24BD31D0" w14:textId="6E103E41" w:rsidR="00412E7C" w:rsidRPr="00932B3E" w:rsidRDefault="00412E7C" w:rsidP="00932B3E">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32B3E">
        <w:rPr>
          <w:rFonts w:ascii="Times New Roman" w:hAnsi="Times New Roman"/>
          <w:sz w:val="24"/>
        </w:rPr>
        <w:t xml:space="preserve">Institutions are required to </w:t>
      </w:r>
      <w:r>
        <w:rPr>
          <w:rFonts w:ascii="Times New Roman" w:hAnsi="Times New Roman"/>
          <w:sz w:val="24"/>
        </w:rPr>
        <w:t>report</w:t>
      </w:r>
      <w:r w:rsidRPr="00932B3E">
        <w:rPr>
          <w:rFonts w:ascii="Times New Roman" w:hAnsi="Times New Roman"/>
          <w:sz w:val="24"/>
        </w:rPr>
        <w:t xml:space="preserve"> all exposures that mitigate climate-related risks, regardless of taxonomy alignment. The template also covers investments in assets and activities contributing to climate change mitigation, climate change adaptation and other environmental objectives, including nature and biodiversity protection, addressing both transition and physical risks.</w:t>
      </w:r>
    </w:p>
    <w:p w14:paraId="64CABFF0" w14:textId="049ED606" w:rsidR="00B72CDE" w:rsidRPr="009C5681" w:rsidRDefault="00B72CDE"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C5681">
        <w:rPr>
          <w:rFonts w:ascii="Times New Roman" w:hAnsi="Times New Roman"/>
          <w:sz w:val="24"/>
        </w:rPr>
        <w:t xml:space="preserve">Institutions shall report the information referred to in this template in accordance with the instructions provided for </w:t>
      </w:r>
      <w:r w:rsidRPr="00AF54AE">
        <w:rPr>
          <w:rFonts w:ascii="Times New Roman" w:hAnsi="Times New Roman"/>
          <w:i/>
          <w:iCs/>
          <w:sz w:val="24"/>
        </w:rPr>
        <w:t>‘</w:t>
      </w:r>
      <w:r w:rsidR="007915E5" w:rsidRPr="00AF54AE">
        <w:rPr>
          <w:rFonts w:ascii="Times New Roman" w:hAnsi="Times New Roman"/>
          <w:i/>
          <w:iCs/>
          <w:sz w:val="24"/>
        </w:rPr>
        <w:t>EU - Template 10: Mitigating actions: Exposures contributing to sustainability objectives</w:t>
      </w:r>
      <w:r w:rsidRPr="00AF54AE">
        <w:rPr>
          <w:rFonts w:ascii="Times New Roman" w:hAnsi="Times New Roman"/>
          <w:i/>
          <w:iCs/>
          <w:sz w:val="24"/>
        </w:rPr>
        <w:t>’</w:t>
      </w:r>
      <w:r w:rsidRPr="009C5681">
        <w:rPr>
          <w:rFonts w:ascii="Times New Roman" w:hAnsi="Times New Roman"/>
          <w:sz w:val="24"/>
        </w:rPr>
        <w:t xml:space="preserve"> set out in Annex X</w:t>
      </w:r>
      <w:r w:rsidR="3B5CD0EB" w:rsidRPr="009C5681">
        <w:rPr>
          <w:rFonts w:ascii="Times New Roman" w:hAnsi="Times New Roman"/>
          <w:sz w:val="24"/>
        </w:rPr>
        <w:t>L</w:t>
      </w:r>
      <w:r w:rsidRPr="009C5681">
        <w:rPr>
          <w:rFonts w:ascii="Times New Roman" w:hAnsi="Times New Roman"/>
          <w:sz w:val="24"/>
        </w:rPr>
        <w:t xml:space="preserve"> of the Implementing Regulation 2024/3172. </w:t>
      </w:r>
    </w:p>
    <w:p w14:paraId="3618A7B8" w14:textId="77777777" w:rsidR="00B72CDE" w:rsidRPr="00BE72CB" w:rsidRDefault="00B72CDE" w:rsidP="00166EBA">
      <w:pPr>
        <w:pStyle w:val="subtitlenumbered"/>
        <w:ind w:left="180"/>
        <w:jc w:val="both"/>
        <w:rPr>
          <w:b/>
          <w:bCs/>
          <w:caps w:val="0"/>
          <w:lang w:val="en-GB"/>
        </w:rPr>
      </w:pPr>
    </w:p>
    <w:p w14:paraId="75B91B77" w14:textId="6390112C" w:rsidR="00227A0B" w:rsidRDefault="00227A0B" w:rsidP="008C6C11">
      <w:pPr>
        <w:pStyle w:val="subtitlenumbered"/>
        <w:numPr>
          <w:ilvl w:val="0"/>
          <w:numId w:val="7"/>
        </w:numPr>
        <w:ind w:left="180"/>
        <w:jc w:val="both"/>
        <w:rPr>
          <w:b/>
          <w:bCs/>
          <w:caps w:val="0"/>
          <w:lang w:val="en-GB"/>
        </w:rPr>
      </w:pPr>
      <w:bookmarkStart w:id="11" w:name="_Toc225353462"/>
      <w:r w:rsidRPr="00BE72CB">
        <w:rPr>
          <w:b/>
          <w:bCs/>
          <w:caps w:val="0"/>
          <w:lang w:val="en-GB"/>
        </w:rPr>
        <w:t>D 11.00 - Banking book- Exposures to environmental risks (beyond climate) - Physical and transition risks</w:t>
      </w:r>
      <w:bookmarkEnd w:id="11"/>
    </w:p>
    <w:p w14:paraId="59EE69A4" w14:textId="78DADA67" w:rsidR="00B365FE" w:rsidRPr="00B03E8B" w:rsidRDefault="00B365FE"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B03E8B">
        <w:rPr>
          <w:rFonts w:ascii="Times New Roman" w:hAnsi="Times New Roman"/>
          <w:sz w:val="24"/>
        </w:rPr>
        <w:t xml:space="preserve">This template shall be reported by </w:t>
      </w:r>
      <w:r w:rsidR="0065244A">
        <w:rPr>
          <w:rFonts w:ascii="Times New Roman" w:hAnsi="Times New Roman"/>
          <w:sz w:val="24"/>
        </w:rPr>
        <w:t>l</w:t>
      </w:r>
      <w:r>
        <w:rPr>
          <w:rFonts w:ascii="Times New Roman" w:hAnsi="Times New Roman"/>
          <w:sz w:val="24"/>
        </w:rPr>
        <w:t xml:space="preserve">arge institutions, </w:t>
      </w:r>
      <w:r w:rsidRPr="00B03E8B">
        <w:rPr>
          <w:rFonts w:ascii="Times New Roman" w:hAnsi="Times New Roman"/>
          <w:sz w:val="24"/>
        </w:rPr>
        <w:t>other listed institutions and large subsidiaries</w:t>
      </w:r>
      <w:r w:rsidR="005C1EB6">
        <w:rPr>
          <w:rFonts w:ascii="Times New Roman" w:hAnsi="Times New Roman"/>
          <w:sz w:val="24"/>
        </w:rPr>
        <w:t xml:space="preserve"> on an annual basis</w:t>
      </w:r>
    </w:p>
    <w:p w14:paraId="53484C49" w14:textId="48331EAC" w:rsidR="00217E28" w:rsidRDefault="00101277"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Pr>
          <w:rFonts w:ascii="Times New Roman" w:hAnsi="Times New Roman"/>
          <w:sz w:val="24"/>
        </w:rPr>
        <w:t>The t</w:t>
      </w:r>
      <w:r w:rsidRPr="00705094">
        <w:rPr>
          <w:rFonts w:ascii="Times New Roman" w:hAnsi="Times New Roman"/>
          <w:sz w:val="24"/>
        </w:rPr>
        <w:t>emplate aims to collect information necessary for the supervisory assessment of institutions’ exposures to environmental risks beyond climate</w:t>
      </w:r>
      <w:r w:rsidR="00272531">
        <w:rPr>
          <w:rFonts w:ascii="Times New Roman" w:hAnsi="Times New Roman"/>
          <w:sz w:val="24"/>
        </w:rPr>
        <w:t xml:space="preserve"> change</w:t>
      </w:r>
      <w:r w:rsidRPr="00705094">
        <w:rPr>
          <w:rFonts w:ascii="Times New Roman" w:hAnsi="Times New Roman"/>
          <w:sz w:val="24"/>
        </w:rPr>
        <w:t>.</w:t>
      </w:r>
      <w:r w:rsidR="00A23503">
        <w:rPr>
          <w:rFonts w:ascii="Times New Roman" w:hAnsi="Times New Roman"/>
          <w:sz w:val="24"/>
        </w:rPr>
        <w:t xml:space="preserve"> </w:t>
      </w:r>
    </w:p>
    <w:p w14:paraId="5CBBBDA4" w14:textId="14210EFA" w:rsidR="00A23503" w:rsidRPr="00A23503" w:rsidRDefault="00A23503"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A23503">
        <w:rPr>
          <w:rFonts w:ascii="Times New Roman" w:hAnsi="Times New Roman"/>
          <w:sz w:val="24"/>
        </w:rPr>
        <w:t>Environmental risks beyond climate refer to the potential adverse effects on economies, individual institutions, and financial systems arising from:</w:t>
      </w:r>
    </w:p>
    <w:p w14:paraId="29672E52" w14:textId="77777777" w:rsidR="00A23503" w:rsidRPr="00A23503" w:rsidRDefault="00A23503" w:rsidP="00166EBA">
      <w:pPr>
        <w:pStyle w:val="ListParagraph"/>
        <w:jc w:val="both"/>
        <w:rPr>
          <w:rFonts w:ascii="Times New Roman" w:hAnsi="Times New Roman"/>
          <w:sz w:val="24"/>
        </w:rPr>
      </w:pPr>
      <w:r w:rsidRPr="00A23503">
        <w:rPr>
          <w:rFonts w:ascii="Times New Roman" w:hAnsi="Times New Roman"/>
          <w:sz w:val="24"/>
        </w:rPr>
        <w:t>(</w:t>
      </w:r>
      <w:proofErr w:type="spellStart"/>
      <w:r w:rsidRPr="00A23503">
        <w:rPr>
          <w:rFonts w:ascii="Times New Roman" w:hAnsi="Times New Roman"/>
          <w:sz w:val="24"/>
        </w:rPr>
        <w:t>i</w:t>
      </w:r>
      <w:proofErr w:type="spellEnd"/>
      <w:r w:rsidRPr="00A23503">
        <w:rPr>
          <w:rFonts w:ascii="Times New Roman" w:hAnsi="Times New Roman"/>
          <w:sz w:val="24"/>
        </w:rPr>
        <w:t>) the degradation of nature, including biodiversity loss and the decline of ecosystem services on which economic activities depend (physical risks); and</w:t>
      </w:r>
    </w:p>
    <w:p w14:paraId="7B4667F5" w14:textId="77777777" w:rsidR="00217E28" w:rsidRPr="003500C5" w:rsidRDefault="00A23503" w:rsidP="00337FE5">
      <w:pPr>
        <w:pStyle w:val="ListParagraph"/>
        <w:jc w:val="both"/>
        <w:rPr>
          <w:rFonts w:ascii="Times New Roman" w:hAnsi="Times New Roman"/>
          <w:sz w:val="24"/>
        </w:rPr>
      </w:pPr>
      <w:r w:rsidRPr="00A23503">
        <w:rPr>
          <w:rFonts w:ascii="Times New Roman" w:hAnsi="Times New Roman"/>
          <w:sz w:val="24"/>
        </w:rPr>
        <w:t>(ii) the misalignment of economic actors with measures aimed at protecting, restoring, or reducing negative impacts on nature (transition risks).</w:t>
      </w:r>
    </w:p>
    <w:p w14:paraId="2D716551" w14:textId="0358A88A" w:rsidR="00337FE5" w:rsidRDefault="00337FE5"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166EBA">
        <w:rPr>
          <w:rFonts w:ascii="Times New Roman" w:hAnsi="Times New Roman"/>
          <w:sz w:val="24"/>
        </w:rPr>
        <w:t>Understanding how counterparties interact with nature is essential for assessing environmental risks beyond climate. Financial institutions are exposed to these risks through the activities of the companies they finance, whose business models both impact nature and depend on ecosystem services. These dependencies and impacts can affect the stability of cashflows, the reliability of inputs, and ultimately the creditworthiness of counterparties.</w:t>
      </w:r>
    </w:p>
    <w:p w14:paraId="0578E7C6" w14:textId="1D0EAED8" w:rsidR="00217E28" w:rsidRDefault="00114C33"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114C33">
        <w:rPr>
          <w:rFonts w:ascii="Times New Roman" w:hAnsi="Times New Roman"/>
          <w:sz w:val="24"/>
        </w:rPr>
        <w:t>To reflect these risk drivers, this template integrates a breakdown by environmental impact categories and ecosystem</w:t>
      </w:r>
      <w:r w:rsidRPr="009C5681">
        <w:rPr>
          <w:rFonts w:ascii="Times New Roman" w:hAnsi="Times New Roman"/>
          <w:sz w:val="24"/>
        </w:rPr>
        <w:t>‑</w:t>
      </w:r>
      <w:r w:rsidRPr="00114C33">
        <w:rPr>
          <w:rFonts w:ascii="Times New Roman" w:hAnsi="Times New Roman"/>
          <w:sz w:val="24"/>
        </w:rPr>
        <w:t>service dependency categories.</w:t>
      </w:r>
      <w:r w:rsidR="00217FED">
        <w:rPr>
          <w:rFonts w:ascii="Times New Roman" w:hAnsi="Times New Roman"/>
          <w:sz w:val="24"/>
        </w:rPr>
        <w:t xml:space="preserve"> </w:t>
      </w:r>
      <w:r w:rsidR="00E846BA">
        <w:rPr>
          <w:rFonts w:ascii="Times New Roman" w:hAnsi="Times New Roman"/>
          <w:sz w:val="24"/>
        </w:rPr>
        <w:t>Th</w:t>
      </w:r>
      <w:r w:rsidR="00217E28" w:rsidRPr="00166EBA">
        <w:rPr>
          <w:rFonts w:ascii="Times New Roman" w:hAnsi="Times New Roman"/>
          <w:sz w:val="24"/>
        </w:rPr>
        <w:t>e</w:t>
      </w:r>
      <w:r w:rsidR="00217E28" w:rsidRPr="003500C5">
        <w:rPr>
          <w:rFonts w:ascii="Times New Roman" w:hAnsi="Times New Roman"/>
          <w:sz w:val="24"/>
        </w:rPr>
        <w:t xml:space="preserve"> template </w:t>
      </w:r>
      <w:r w:rsidR="00FD7452" w:rsidRPr="003500C5">
        <w:rPr>
          <w:rFonts w:ascii="Times New Roman" w:hAnsi="Times New Roman"/>
          <w:sz w:val="24"/>
        </w:rPr>
        <w:t xml:space="preserve">aims to </w:t>
      </w:r>
      <w:r w:rsidR="00217E28" w:rsidRPr="003500C5">
        <w:rPr>
          <w:rFonts w:ascii="Times New Roman" w:hAnsi="Times New Roman"/>
          <w:sz w:val="24"/>
        </w:rPr>
        <w:t>capture</w:t>
      </w:r>
      <w:r w:rsidR="002663DE" w:rsidRPr="003500C5">
        <w:rPr>
          <w:rFonts w:ascii="Times New Roman" w:hAnsi="Times New Roman"/>
          <w:sz w:val="24"/>
        </w:rPr>
        <w:t xml:space="preserve"> exposures</w:t>
      </w:r>
      <w:r w:rsidR="002663DE" w:rsidRPr="009C5681">
        <w:rPr>
          <w:rFonts w:ascii="Times New Roman" w:hAnsi="Times New Roman"/>
          <w:sz w:val="24"/>
        </w:rPr>
        <w:t xml:space="preserve"> where the counterpart</w:t>
      </w:r>
      <w:r w:rsidR="00004295" w:rsidRPr="009C5681">
        <w:rPr>
          <w:rFonts w:ascii="Times New Roman" w:hAnsi="Times New Roman"/>
          <w:sz w:val="24"/>
        </w:rPr>
        <w:t>y’s</w:t>
      </w:r>
      <w:r w:rsidR="002663DE" w:rsidRPr="009C5681">
        <w:rPr>
          <w:rFonts w:ascii="Times New Roman" w:hAnsi="Times New Roman"/>
          <w:sz w:val="24"/>
        </w:rPr>
        <w:t xml:space="preserve"> activity </w:t>
      </w:r>
      <w:r w:rsidR="004D553A" w:rsidRPr="009C5681">
        <w:rPr>
          <w:rFonts w:ascii="Times New Roman" w:hAnsi="Times New Roman"/>
          <w:sz w:val="24"/>
        </w:rPr>
        <w:t>negatively impact</w:t>
      </w:r>
      <w:r w:rsidR="00BC12CF" w:rsidRPr="009C5681">
        <w:rPr>
          <w:rFonts w:ascii="Times New Roman" w:hAnsi="Times New Roman"/>
          <w:sz w:val="24"/>
        </w:rPr>
        <w:t xml:space="preserve">s </w:t>
      </w:r>
      <w:r w:rsidR="00A808CE" w:rsidRPr="009C5681">
        <w:rPr>
          <w:rFonts w:ascii="Times New Roman" w:hAnsi="Times New Roman"/>
          <w:sz w:val="24"/>
        </w:rPr>
        <w:t xml:space="preserve">drivers of </w:t>
      </w:r>
      <w:r w:rsidR="00D648D1" w:rsidRPr="009C5681">
        <w:rPr>
          <w:rFonts w:ascii="Times New Roman" w:hAnsi="Times New Roman"/>
          <w:sz w:val="24"/>
        </w:rPr>
        <w:t>nature change</w:t>
      </w:r>
      <w:r w:rsidR="00217E28" w:rsidRPr="003500C5">
        <w:rPr>
          <w:rFonts w:ascii="Times New Roman" w:hAnsi="Times New Roman"/>
          <w:sz w:val="24"/>
        </w:rPr>
        <w:t xml:space="preserve"> </w:t>
      </w:r>
      <w:r w:rsidR="00DE7EE9" w:rsidRPr="003500C5">
        <w:rPr>
          <w:rFonts w:ascii="Times New Roman" w:hAnsi="Times New Roman"/>
          <w:sz w:val="24"/>
        </w:rPr>
        <w:t>and/</w:t>
      </w:r>
      <w:r w:rsidR="00217E28" w:rsidRPr="003500C5">
        <w:rPr>
          <w:rFonts w:ascii="Times New Roman" w:hAnsi="Times New Roman"/>
          <w:sz w:val="24"/>
        </w:rPr>
        <w:t xml:space="preserve">or </w:t>
      </w:r>
      <w:r w:rsidR="00B62EF0" w:rsidRPr="003500C5">
        <w:rPr>
          <w:rFonts w:ascii="Times New Roman" w:hAnsi="Times New Roman"/>
          <w:sz w:val="24"/>
        </w:rPr>
        <w:t>depend</w:t>
      </w:r>
      <w:r w:rsidR="00DE7EE9" w:rsidRPr="003500C5">
        <w:rPr>
          <w:rFonts w:ascii="Times New Roman" w:hAnsi="Times New Roman"/>
          <w:sz w:val="24"/>
        </w:rPr>
        <w:t>s</w:t>
      </w:r>
      <w:r w:rsidR="00B62EF0" w:rsidRPr="003500C5">
        <w:rPr>
          <w:rFonts w:ascii="Times New Roman" w:hAnsi="Times New Roman"/>
          <w:sz w:val="24"/>
        </w:rPr>
        <w:t xml:space="preserve"> on </w:t>
      </w:r>
      <w:r w:rsidR="00217E28" w:rsidRPr="003500C5">
        <w:rPr>
          <w:rFonts w:ascii="Times New Roman" w:hAnsi="Times New Roman"/>
          <w:sz w:val="24"/>
        </w:rPr>
        <w:t>ecosystem</w:t>
      </w:r>
      <w:r w:rsidR="00DE7EE9" w:rsidRPr="003500C5">
        <w:rPr>
          <w:rFonts w:ascii="Times New Roman" w:hAnsi="Times New Roman"/>
          <w:sz w:val="24"/>
        </w:rPr>
        <w:t xml:space="preserve"> </w:t>
      </w:r>
      <w:r w:rsidR="00217E28" w:rsidRPr="003500C5">
        <w:rPr>
          <w:rFonts w:ascii="Times New Roman" w:hAnsi="Times New Roman"/>
          <w:sz w:val="24"/>
        </w:rPr>
        <w:t>service</w:t>
      </w:r>
      <w:r w:rsidR="00DE7EE9" w:rsidRPr="003500C5">
        <w:rPr>
          <w:rFonts w:ascii="Times New Roman" w:hAnsi="Times New Roman"/>
          <w:sz w:val="24"/>
        </w:rPr>
        <w:t>s</w:t>
      </w:r>
      <w:r w:rsidR="00217E28" w:rsidRPr="003500C5">
        <w:rPr>
          <w:rFonts w:ascii="Times New Roman" w:hAnsi="Times New Roman"/>
          <w:sz w:val="24"/>
        </w:rPr>
        <w:t xml:space="preserve"> </w:t>
      </w:r>
      <w:r w:rsidR="0013387A" w:rsidRPr="003500C5">
        <w:rPr>
          <w:rFonts w:ascii="Times New Roman" w:hAnsi="Times New Roman"/>
          <w:sz w:val="24"/>
        </w:rPr>
        <w:t>which</w:t>
      </w:r>
      <w:r w:rsidR="00217E28" w:rsidRPr="003500C5">
        <w:rPr>
          <w:rFonts w:ascii="Times New Roman" w:hAnsi="Times New Roman"/>
          <w:sz w:val="24"/>
        </w:rPr>
        <w:t xml:space="preserve"> may give rise to prudential risks. </w:t>
      </w:r>
      <w:r w:rsidR="00577BC8" w:rsidRPr="00577BC8">
        <w:rPr>
          <w:rFonts w:ascii="Times New Roman" w:hAnsi="Times New Roman"/>
          <w:sz w:val="24"/>
        </w:rPr>
        <w:t>This structure supports a risk‑based view of exposures, allowing to identify where a counterparty’s operations may be vulnerable to the degradation of natural systems or to policy actions aimed at protecting and restoring them.</w:t>
      </w:r>
      <w:r w:rsidR="00577BC8">
        <w:rPr>
          <w:rFonts w:ascii="Times New Roman" w:hAnsi="Times New Roman"/>
          <w:sz w:val="24"/>
        </w:rPr>
        <w:t xml:space="preserve"> </w:t>
      </w:r>
      <w:r w:rsidR="00944864">
        <w:rPr>
          <w:rFonts w:ascii="Times New Roman" w:hAnsi="Times New Roman"/>
          <w:sz w:val="24"/>
        </w:rPr>
        <w:t>The classifications of e</w:t>
      </w:r>
      <w:r w:rsidR="002F1FCE" w:rsidRPr="00166EBA">
        <w:rPr>
          <w:rFonts w:ascii="Times New Roman" w:hAnsi="Times New Roman"/>
          <w:sz w:val="24"/>
        </w:rPr>
        <w:t>nvironmental</w:t>
      </w:r>
      <w:r w:rsidR="002F1FCE" w:rsidRPr="006672BD">
        <w:rPr>
          <w:rFonts w:ascii="Times New Roman" w:hAnsi="Times New Roman"/>
          <w:sz w:val="24"/>
        </w:rPr>
        <w:t xml:space="preserve"> impact</w:t>
      </w:r>
      <w:r w:rsidR="00281FAC">
        <w:rPr>
          <w:rFonts w:ascii="Times New Roman" w:hAnsi="Times New Roman"/>
          <w:sz w:val="24"/>
        </w:rPr>
        <w:t>s</w:t>
      </w:r>
      <w:r w:rsidR="002F1FCE" w:rsidRPr="006672BD">
        <w:rPr>
          <w:rFonts w:ascii="Times New Roman" w:hAnsi="Times New Roman"/>
          <w:sz w:val="24"/>
        </w:rPr>
        <w:t xml:space="preserve"> and ecosystem</w:t>
      </w:r>
      <w:r w:rsidR="00281FAC">
        <w:rPr>
          <w:rFonts w:ascii="Times New Roman" w:hAnsi="Times New Roman"/>
          <w:sz w:val="24"/>
        </w:rPr>
        <w:t>-</w:t>
      </w:r>
      <w:r w:rsidR="002F1FCE" w:rsidRPr="006672BD">
        <w:rPr>
          <w:rFonts w:ascii="Times New Roman" w:hAnsi="Times New Roman"/>
          <w:sz w:val="24"/>
        </w:rPr>
        <w:t>service dependenc</w:t>
      </w:r>
      <w:r w:rsidR="00281FAC">
        <w:rPr>
          <w:rFonts w:ascii="Times New Roman" w:hAnsi="Times New Roman"/>
          <w:sz w:val="24"/>
        </w:rPr>
        <w:t>ies</w:t>
      </w:r>
      <w:r w:rsidR="002F1FCE" w:rsidRPr="006672BD">
        <w:rPr>
          <w:rFonts w:ascii="Times New Roman" w:hAnsi="Times New Roman"/>
          <w:sz w:val="24"/>
        </w:rPr>
        <w:t xml:space="preserve"> follow recognised conceptual frameworks. </w:t>
      </w:r>
      <w:r w:rsidR="008123D5">
        <w:rPr>
          <w:rFonts w:ascii="Times New Roman" w:hAnsi="Times New Roman"/>
          <w:sz w:val="24"/>
        </w:rPr>
        <w:t xml:space="preserve">For further information on the </w:t>
      </w:r>
      <w:r w:rsidR="00FA65D1">
        <w:rPr>
          <w:rFonts w:ascii="Times New Roman" w:hAnsi="Times New Roman"/>
          <w:sz w:val="24"/>
        </w:rPr>
        <w:t xml:space="preserve">environmental impact drivers and ecosystem-service dependencies, </w:t>
      </w:r>
      <w:r w:rsidR="002F1FCE" w:rsidRPr="00166EBA">
        <w:rPr>
          <w:rFonts w:ascii="Times New Roman" w:hAnsi="Times New Roman"/>
          <w:sz w:val="24"/>
        </w:rPr>
        <w:t xml:space="preserve">institutions may </w:t>
      </w:r>
      <w:r w:rsidR="002F1FCE">
        <w:rPr>
          <w:rFonts w:ascii="Times New Roman" w:hAnsi="Times New Roman"/>
          <w:sz w:val="24"/>
        </w:rPr>
        <w:t>r</w:t>
      </w:r>
      <w:r w:rsidR="002F1FCE" w:rsidRPr="00166EBA">
        <w:rPr>
          <w:rFonts w:ascii="Times New Roman" w:hAnsi="Times New Roman"/>
          <w:sz w:val="24"/>
        </w:rPr>
        <w:t>efer to</w:t>
      </w:r>
      <w:r w:rsidR="007E666F">
        <w:rPr>
          <w:rFonts w:ascii="Times New Roman" w:hAnsi="Times New Roman"/>
          <w:sz w:val="24"/>
        </w:rPr>
        <w:t xml:space="preserve"> </w:t>
      </w:r>
      <w:r w:rsidR="008B5B92">
        <w:rPr>
          <w:rFonts w:ascii="Times New Roman" w:hAnsi="Times New Roman"/>
          <w:sz w:val="24"/>
        </w:rPr>
        <w:t>publications and/or guidance</w:t>
      </w:r>
      <w:r w:rsidR="007E666F">
        <w:rPr>
          <w:rFonts w:ascii="Times New Roman" w:hAnsi="Times New Roman"/>
          <w:sz w:val="24"/>
        </w:rPr>
        <w:t xml:space="preserve"> from</w:t>
      </w:r>
      <w:r w:rsidR="002F1FCE" w:rsidRPr="00166EBA">
        <w:rPr>
          <w:rFonts w:ascii="Times New Roman" w:hAnsi="Times New Roman"/>
          <w:sz w:val="24"/>
        </w:rPr>
        <w:t>:</w:t>
      </w:r>
    </w:p>
    <w:p w14:paraId="5788D297" w14:textId="7FE30AD0" w:rsidR="00531218" w:rsidRDefault="007E666F" w:rsidP="00932B3E">
      <w:pPr>
        <w:pStyle w:val="ListParagraph"/>
        <w:numPr>
          <w:ilvl w:val="0"/>
          <w:numId w:val="42"/>
        </w:numPr>
        <w:tabs>
          <w:tab w:val="left" w:pos="720"/>
        </w:tabs>
        <w:spacing w:before="120" w:after="120" w:line="240" w:lineRule="auto"/>
        <w:contextualSpacing w:val="0"/>
        <w:jc w:val="both"/>
        <w:rPr>
          <w:rFonts w:ascii="Times New Roman" w:hAnsi="Times New Roman"/>
          <w:sz w:val="24"/>
        </w:rPr>
      </w:pPr>
      <w:r>
        <w:rPr>
          <w:rFonts w:ascii="Times New Roman" w:hAnsi="Times New Roman"/>
          <w:sz w:val="24"/>
        </w:rPr>
        <w:t>t</w:t>
      </w:r>
      <w:r w:rsidR="00531218">
        <w:rPr>
          <w:rFonts w:ascii="Times New Roman" w:hAnsi="Times New Roman"/>
          <w:sz w:val="24"/>
        </w:rPr>
        <w:t xml:space="preserve">he </w:t>
      </w:r>
      <w:r w:rsidR="009F4084">
        <w:rPr>
          <w:rFonts w:ascii="Times New Roman" w:hAnsi="Times New Roman"/>
          <w:sz w:val="24"/>
        </w:rPr>
        <w:t>Taskforce on Nature-related Financial Disclosures (TNFD)</w:t>
      </w:r>
      <w:r w:rsidR="007E377C">
        <w:rPr>
          <w:rStyle w:val="FootnoteReference"/>
        </w:rPr>
        <w:footnoteReference w:id="2"/>
      </w:r>
      <w:r w:rsidR="003A7BC8">
        <w:rPr>
          <w:rFonts w:ascii="Times New Roman" w:hAnsi="Times New Roman"/>
          <w:sz w:val="24"/>
        </w:rPr>
        <w:t>;</w:t>
      </w:r>
    </w:p>
    <w:p w14:paraId="78482D96" w14:textId="528EA1A7" w:rsidR="003A7BC8" w:rsidRDefault="003A7BC8" w:rsidP="00932B3E">
      <w:pPr>
        <w:pStyle w:val="ListParagraph"/>
        <w:numPr>
          <w:ilvl w:val="0"/>
          <w:numId w:val="42"/>
        </w:numPr>
        <w:tabs>
          <w:tab w:val="left" w:pos="720"/>
        </w:tabs>
        <w:spacing w:before="120" w:after="120" w:line="240" w:lineRule="auto"/>
        <w:contextualSpacing w:val="0"/>
        <w:jc w:val="both"/>
        <w:rPr>
          <w:rFonts w:ascii="Times New Roman" w:hAnsi="Times New Roman"/>
          <w:sz w:val="24"/>
        </w:rPr>
      </w:pPr>
      <w:r>
        <w:rPr>
          <w:rFonts w:ascii="Times New Roman" w:hAnsi="Times New Roman"/>
          <w:sz w:val="24"/>
        </w:rPr>
        <w:t xml:space="preserve">the Network </w:t>
      </w:r>
      <w:r w:rsidR="001E07CA">
        <w:rPr>
          <w:rFonts w:ascii="Times New Roman" w:hAnsi="Times New Roman"/>
          <w:sz w:val="24"/>
        </w:rPr>
        <w:t>for</w:t>
      </w:r>
      <w:r>
        <w:rPr>
          <w:rFonts w:ascii="Times New Roman" w:hAnsi="Times New Roman"/>
          <w:sz w:val="24"/>
        </w:rPr>
        <w:t xml:space="preserve"> Greening the Financ</w:t>
      </w:r>
      <w:r w:rsidR="001E07CA">
        <w:rPr>
          <w:rFonts w:ascii="Times New Roman" w:hAnsi="Times New Roman"/>
          <w:sz w:val="24"/>
        </w:rPr>
        <w:t>ial System (NGFS)</w:t>
      </w:r>
      <w:r w:rsidR="00DB2852">
        <w:rPr>
          <w:rStyle w:val="FootnoteReference"/>
        </w:rPr>
        <w:footnoteReference w:id="3"/>
      </w:r>
      <w:r w:rsidR="001E07CA">
        <w:rPr>
          <w:rFonts w:ascii="Times New Roman" w:hAnsi="Times New Roman"/>
          <w:sz w:val="24"/>
        </w:rPr>
        <w:t>;</w:t>
      </w:r>
    </w:p>
    <w:p w14:paraId="4FD4A43C" w14:textId="6FED65E0" w:rsidR="007E666F" w:rsidRDefault="00FD0F2F" w:rsidP="00932B3E">
      <w:pPr>
        <w:pStyle w:val="ListParagraph"/>
        <w:numPr>
          <w:ilvl w:val="0"/>
          <w:numId w:val="42"/>
        </w:numPr>
        <w:tabs>
          <w:tab w:val="left" w:pos="720"/>
        </w:tabs>
        <w:spacing w:before="120" w:after="120" w:line="240" w:lineRule="auto"/>
        <w:contextualSpacing w:val="0"/>
        <w:jc w:val="both"/>
        <w:rPr>
          <w:rFonts w:ascii="Times New Roman" w:hAnsi="Times New Roman"/>
          <w:sz w:val="24"/>
        </w:rPr>
      </w:pPr>
      <w:r>
        <w:rPr>
          <w:rFonts w:ascii="Times New Roman" w:hAnsi="Times New Roman"/>
          <w:sz w:val="24"/>
        </w:rPr>
        <w:t>the Intergovernmental Science-Policy Platform on Biodiversity and Ecosystem Services (IPBES)</w:t>
      </w:r>
      <w:r w:rsidR="00D82DEF">
        <w:rPr>
          <w:rStyle w:val="FootnoteReference"/>
        </w:rPr>
        <w:footnoteReference w:id="4"/>
      </w:r>
      <w:r w:rsidR="003A7BC8">
        <w:rPr>
          <w:rFonts w:ascii="Times New Roman" w:hAnsi="Times New Roman"/>
          <w:sz w:val="24"/>
        </w:rPr>
        <w:t>;</w:t>
      </w:r>
    </w:p>
    <w:p w14:paraId="3050B602" w14:textId="2525E60C" w:rsidR="00FD0F2F" w:rsidRDefault="00EF33A1" w:rsidP="00932B3E">
      <w:pPr>
        <w:pStyle w:val="ListParagraph"/>
        <w:numPr>
          <w:ilvl w:val="0"/>
          <w:numId w:val="42"/>
        </w:numPr>
        <w:tabs>
          <w:tab w:val="left" w:pos="720"/>
        </w:tabs>
        <w:spacing w:before="120" w:after="120" w:line="240" w:lineRule="auto"/>
        <w:contextualSpacing w:val="0"/>
        <w:jc w:val="both"/>
        <w:rPr>
          <w:rFonts w:ascii="Times New Roman" w:hAnsi="Times New Roman"/>
          <w:sz w:val="24"/>
        </w:rPr>
      </w:pPr>
      <w:r>
        <w:rPr>
          <w:rFonts w:ascii="Times New Roman" w:hAnsi="Times New Roman"/>
          <w:sz w:val="24"/>
        </w:rPr>
        <w:t>ENCORE</w:t>
      </w:r>
      <w:r w:rsidR="00E772DB">
        <w:rPr>
          <w:rStyle w:val="FootnoteReference"/>
        </w:rPr>
        <w:footnoteReference w:id="5"/>
      </w:r>
      <w:r>
        <w:rPr>
          <w:rFonts w:ascii="Times New Roman" w:hAnsi="Times New Roman"/>
          <w:sz w:val="24"/>
        </w:rPr>
        <w:t xml:space="preserve"> </w:t>
      </w:r>
      <w:r w:rsidR="003A7BC8">
        <w:rPr>
          <w:rFonts w:ascii="Times New Roman" w:hAnsi="Times New Roman"/>
          <w:sz w:val="24"/>
        </w:rPr>
        <w:t>(</w:t>
      </w:r>
      <w:r w:rsidR="003A7BC8" w:rsidRPr="003A7BC8">
        <w:rPr>
          <w:rFonts w:ascii="Times New Roman" w:hAnsi="Times New Roman"/>
          <w:sz w:val="24"/>
        </w:rPr>
        <w:t>Exploring Natural Capital Opportunities, Risks and Exposure)</w:t>
      </w:r>
      <w:r w:rsidR="003A7BC8">
        <w:rPr>
          <w:rFonts w:ascii="Times New Roman" w:hAnsi="Times New Roman"/>
          <w:sz w:val="24"/>
        </w:rPr>
        <w:t xml:space="preserve"> </w:t>
      </w:r>
      <w:proofErr w:type="gramStart"/>
      <w:r w:rsidR="003A7BC8">
        <w:rPr>
          <w:rFonts w:ascii="Times New Roman" w:hAnsi="Times New Roman"/>
          <w:sz w:val="24"/>
        </w:rPr>
        <w:t>tool;</w:t>
      </w:r>
      <w:proofErr w:type="gramEnd"/>
    </w:p>
    <w:p w14:paraId="5E070095" w14:textId="7EF9ACEE" w:rsidR="00337E7A" w:rsidRPr="00166EBA" w:rsidRDefault="00337E7A"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337E7A">
        <w:rPr>
          <w:rFonts w:ascii="Times New Roman" w:hAnsi="Times New Roman"/>
          <w:sz w:val="24"/>
        </w:rPr>
        <w:t xml:space="preserve">Regardless of the </w:t>
      </w:r>
      <w:r w:rsidR="003F447B">
        <w:rPr>
          <w:rFonts w:ascii="Times New Roman" w:hAnsi="Times New Roman"/>
          <w:sz w:val="24"/>
        </w:rPr>
        <w:t xml:space="preserve">type and </w:t>
      </w:r>
      <w:r w:rsidRPr="00337E7A">
        <w:rPr>
          <w:rFonts w:ascii="Times New Roman" w:hAnsi="Times New Roman"/>
          <w:sz w:val="24"/>
        </w:rPr>
        <w:t xml:space="preserve">level of granularity of the assessment, </w:t>
      </w:r>
      <w:r>
        <w:rPr>
          <w:rFonts w:ascii="Times New Roman" w:hAnsi="Times New Roman"/>
          <w:sz w:val="24"/>
        </w:rPr>
        <w:t>reporting</w:t>
      </w:r>
      <w:r w:rsidRPr="00337E7A">
        <w:rPr>
          <w:rFonts w:ascii="Times New Roman" w:hAnsi="Times New Roman"/>
          <w:sz w:val="24"/>
        </w:rPr>
        <w:t xml:space="preserve"> shall be </w:t>
      </w:r>
      <w:r>
        <w:rPr>
          <w:rFonts w:ascii="Times New Roman" w:hAnsi="Times New Roman"/>
          <w:sz w:val="24"/>
        </w:rPr>
        <w:t>done</w:t>
      </w:r>
      <w:r w:rsidRPr="00337E7A">
        <w:rPr>
          <w:rFonts w:ascii="Times New Roman" w:hAnsi="Times New Roman"/>
          <w:sz w:val="24"/>
        </w:rPr>
        <w:t xml:space="preserve"> at country level</w:t>
      </w:r>
      <w:r w:rsidR="000F2B1D">
        <w:rPr>
          <w:rFonts w:ascii="Times New Roman" w:hAnsi="Times New Roman"/>
          <w:sz w:val="24"/>
        </w:rPr>
        <w:t xml:space="preserve"> and </w:t>
      </w:r>
      <w:r w:rsidRPr="00337E7A">
        <w:rPr>
          <w:rFonts w:ascii="Times New Roman" w:hAnsi="Times New Roman"/>
          <w:sz w:val="24"/>
        </w:rPr>
        <w:t xml:space="preserve">shall include </w:t>
      </w:r>
      <w:r w:rsidR="000F2B1D">
        <w:rPr>
          <w:rFonts w:ascii="Times New Roman" w:hAnsi="Times New Roman"/>
          <w:sz w:val="24"/>
        </w:rPr>
        <w:t xml:space="preserve">all </w:t>
      </w:r>
      <w:r w:rsidRPr="00337E7A">
        <w:rPr>
          <w:rFonts w:ascii="Times New Roman" w:hAnsi="Times New Roman"/>
          <w:sz w:val="24"/>
        </w:rPr>
        <w:t xml:space="preserve">exposures to </w:t>
      </w:r>
      <w:r w:rsidR="00ED758E">
        <w:rPr>
          <w:rFonts w:ascii="Times New Roman" w:hAnsi="Times New Roman"/>
          <w:sz w:val="24"/>
        </w:rPr>
        <w:t>non-finan</w:t>
      </w:r>
      <w:r w:rsidR="00F81839">
        <w:rPr>
          <w:rFonts w:ascii="Times New Roman" w:hAnsi="Times New Roman"/>
          <w:sz w:val="24"/>
        </w:rPr>
        <w:t>cial corporates</w:t>
      </w:r>
      <w:r w:rsidR="00ED758E" w:rsidRPr="00337E7A">
        <w:rPr>
          <w:rFonts w:ascii="Times New Roman" w:hAnsi="Times New Roman"/>
          <w:sz w:val="24"/>
        </w:rPr>
        <w:t xml:space="preserve"> </w:t>
      </w:r>
      <w:r w:rsidR="0026329C">
        <w:rPr>
          <w:rFonts w:ascii="Times New Roman" w:hAnsi="Times New Roman"/>
          <w:sz w:val="24"/>
        </w:rPr>
        <w:t xml:space="preserve">that are </w:t>
      </w:r>
      <w:r w:rsidRPr="00337E7A">
        <w:rPr>
          <w:rFonts w:ascii="Times New Roman" w:hAnsi="Times New Roman"/>
          <w:sz w:val="24"/>
        </w:rPr>
        <w:t xml:space="preserve">subject to </w:t>
      </w:r>
      <w:r>
        <w:rPr>
          <w:rFonts w:ascii="Times New Roman" w:hAnsi="Times New Roman"/>
          <w:sz w:val="24"/>
        </w:rPr>
        <w:t>environmental</w:t>
      </w:r>
      <w:r w:rsidRPr="00337E7A">
        <w:rPr>
          <w:rFonts w:ascii="Times New Roman" w:hAnsi="Times New Roman"/>
          <w:sz w:val="24"/>
        </w:rPr>
        <w:t xml:space="preserve"> risk</w:t>
      </w:r>
      <w:r w:rsidR="00C56C8B">
        <w:rPr>
          <w:rFonts w:ascii="Times New Roman" w:hAnsi="Times New Roman"/>
          <w:sz w:val="24"/>
        </w:rPr>
        <w:t xml:space="preserve"> beyond climate</w:t>
      </w:r>
      <w:r w:rsidRPr="00337E7A">
        <w:rPr>
          <w:rFonts w:ascii="Times New Roman" w:hAnsi="Times New Roman"/>
          <w:sz w:val="24"/>
        </w:rPr>
        <w:t>.</w:t>
      </w:r>
      <w:r w:rsidR="000805D0">
        <w:rPr>
          <w:rFonts w:ascii="Times New Roman" w:hAnsi="Times New Roman"/>
          <w:sz w:val="24"/>
        </w:rPr>
        <w:t xml:space="preserve"> </w:t>
      </w:r>
      <w:r w:rsidR="00A6095E">
        <w:rPr>
          <w:rFonts w:ascii="Times New Roman" w:hAnsi="Times New Roman"/>
          <w:sz w:val="24"/>
        </w:rPr>
        <w:t>Institutions shall identify</w:t>
      </w:r>
      <w:r w:rsidR="00B618F3">
        <w:rPr>
          <w:rFonts w:ascii="Times New Roman" w:hAnsi="Times New Roman"/>
          <w:sz w:val="24"/>
        </w:rPr>
        <w:t xml:space="preserve"> </w:t>
      </w:r>
      <w:r w:rsidR="00F23109">
        <w:rPr>
          <w:rFonts w:ascii="Times New Roman" w:hAnsi="Times New Roman"/>
          <w:sz w:val="24"/>
        </w:rPr>
        <w:t xml:space="preserve">exposures subject to environmental risks beyond climate </w:t>
      </w:r>
      <w:r w:rsidR="006F0662">
        <w:rPr>
          <w:rFonts w:ascii="Times New Roman" w:hAnsi="Times New Roman"/>
          <w:sz w:val="24"/>
        </w:rPr>
        <w:t xml:space="preserve">in relation to the main activities </w:t>
      </w:r>
      <w:r w:rsidR="00431CB3">
        <w:rPr>
          <w:rFonts w:ascii="Times New Roman" w:hAnsi="Times New Roman"/>
          <w:sz w:val="24"/>
        </w:rPr>
        <w:t>of the counterparty.</w:t>
      </w:r>
      <w:r w:rsidR="00F23109">
        <w:rPr>
          <w:rFonts w:ascii="Times New Roman" w:hAnsi="Times New Roman"/>
          <w:sz w:val="24"/>
        </w:rPr>
        <w:t xml:space="preserve"> </w:t>
      </w:r>
      <w:r w:rsidR="000805D0">
        <w:rPr>
          <w:rFonts w:ascii="Times New Roman" w:hAnsi="Times New Roman"/>
          <w:sz w:val="24"/>
        </w:rPr>
        <w:t xml:space="preserve">For </w:t>
      </w:r>
      <w:r w:rsidR="000805D0" w:rsidRPr="000805D0">
        <w:rPr>
          <w:rFonts w:ascii="Times New Roman" w:hAnsi="Times New Roman"/>
          <w:sz w:val="24"/>
        </w:rPr>
        <w:t>the purpose of this template, exposures</w:t>
      </w:r>
      <w:r w:rsidR="000805D0">
        <w:rPr>
          <w:rFonts w:ascii="Times New Roman" w:hAnsi="Times New Roman"/>
          <w:sz w:val="24"/>
        </w:rPr>
        <w:t xml:space="preserve"> subject to environmental risk beyond climate</w:t>
      </w:r>
      <w:r w:rsidR="000805D0" w:rsidRPr="000805D0">
        <w:rPr>
          <w:rFonts w:ascii="Times New Roman" w:hAnsi="Times New Roman"/>
          <w:sz w:val="24"/>
        </w:rPr>
        <w:t xml:space="preserve"> shall be understood as those identified by institutions as </w:t>
      </w:r>
      <w:r w:rsidR="000805D0" w:rsidRPr="00166EBA">
        <w:rPr>
          <w:rFonts w:ascii="Times New Roman" w:hAnsi="Times New Roman"/>
          <w:sz w:val="24"/>
        </w:rPr>
        <w:t>subject to material environmental risks beyond climate</w:t>
      </w:r>
      <w:r w:rsidR="000805D0" w:rsidRPr="000805D0">
        <w:rPr>
          <w:rFonts w:ascii="Times New Roman" w:hAnsi="Times New Roman"/>
          <w:sz w:val="24"/>
        </w:rPr>
        <w:t>, based on either (</w:t>
      </w:r>
      <w:proofErr w:type="spellStart"/>
      <w:r w:rsidR="000805D0" w:rsidRPr="000805D0">
        <w:rPr>
          <w:rFonts w:ascii="Times New Roman" w:hAnsi="Times New Roman"/>
          <w:sz w:val="24"/>
        </w:rPr>
        <w:t>i</w:t>
      </w:r>
      <w:proofErr w:type="spellEnd"/>
      <w:r w:rsidR="000805D0" w:rsidRPr="000805D0">
        <w:rPr>
          <w:rFonts w:ascii="Times New Roman" w:hAnsi="Times New Roman"/>
          <w:sz w:val="24"/>
        </w:rPr>
        <w:t xml:space="preserve">) the extent to which a counterparty’s activities contribute to pressures on nature — such as land or freshwater use change, pollution, overexploitation of natural resources, or the introduction of invasive species — or (ii) the extent to which a counterparty relies on natural systems for the continuity of its operations, including dependencies on water supply, provisioning </w:t>
      </w:r>
      <w:r w:rsidR="009E2B45" w:rsidRPr="000805D0">
        <w:rPr>
          <w:rFonts w:ascii="Times New Roman" w:hAnsi="Times New Roman"/>
          <w:sz w:val="24"/>
        </w:rPr>
        <w:t xml:space="preserve">ecosystem </w:t>
      </w:r>
      <w:r w:rsidR="000805D0" w:rsidRPr="000805D0">
        <w:rPr>
          <w:rFonts w:ascii="Times New Roman" w:hAnsi="Times New Roman"/>
          <w:sz w:val="24"/>
        </w:rPr>
        <w:t>services, regulating</w:t>
      </w:r>
      <w:r w:rsidR="001B7391">
        <w:rPr>
          <w:rFonts w:ascii="Times New Roman" w:hAnsi="Times New Roman"/>
          <w:sz w:val="24"/>
        </w:rPr>
        <w:t xml:space="preserve"> and/or </w:t>
      </w:r>
      <w:r w:rsidR="009E2B45">
        <w:rPr>
          <w:rFonts w:ascii="Times New Roman" w:hAnsi="Times New Roman"/>
          <w:sz w:val="24"/>
        </w:rPr>
        <w:t>supporting</w:t>
      </w:r>
      <w:r w:rsidR="000805D0" w:rsidRPr="000805D0">
        <w:rPr>
          <w:rFonts w:ascii="Times New Roman" w:hAnsi="Times New Roman"/>
          <w:sz w:val="24"/>
        </w:rPr>
        <w:t xml:space="preserve"> </w:t>
      </w:r>
      <w:r w:rsidR="009E2B45" w:rsidRPr="000805D0">
        <w:rPr>
          <w:rFonts w:ascii="Times New Roman" w:hAnsi="Times New Roman"/>
          <w:sz w:val="24"/>
        </w:rPr>
        <w:t xml:space="preserve">ecosystem </w:t>
      </w:r>
      <w:r w:rsidR="000805D0" w:rsidRPr="000805D0">
        <w:rPr>
          <w:rFonts w:ascii="Times New Roman" w:hAnsi="Times New Roman"/>
          <w:sz w:val="24"/>
        </w:rPr>
        <w:t>services or cultural ecosystem services.</w:t>
      </w:r>
      <w:r w:rsidR="000805D0" w:rsidRPr="000805D0">
        <w:rPr>
          <w:rFonts w:ascii="Times New Roman" w:hAnsi="Times New Roman"/>
          <w:sz w:val="24"/>
        </w:rPr>
        <w:br/>
        <w:t>These exposures shall be reported irrespective of the expected level of loss.</w:t>
      </w:r>
    </w:p>
    <w:p w14:paraId="2FD64635" w14:textId="78D98DB4" w:rsidR="00101277" w:rsidRDefault="00101277"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166EBA">
        <w:rPr>
          <w:rFonts w:ascii="Times New Roman" w:hAnsi="Times New Roman"/>
          <w:sz w:val="24"/>
        </w:rPr>
        <w:t>The template applies the same materiality logic and granularity</w:t>
      </w:r>
      <w:r w:rsidR="00F820B3">
        <w:rPr>
          <w:rFonts w:ascii="Times New Roman" w:hAnsi="Times New Roman"/>
          <w:sz w:val="24"/>
        </w:rPr>
        <w:t>-</w:t>
      </w:r>
      <w:r w:rsidRPr="00166EBA">
        <w:rPr>
          <w:rFonts w:ascii="Times New Roman" w:hAnsi="Times New Roman"/>
          <w:sz w:val="24"/>
        </w:rPr>
        <w:t>reduction options as proposed in the other ESG risk templates.</w:t>
      </w:r>
    </w:p>
    <w:p w14:paraId="27D5E2B5" w14:textId="676EE77A" w:rsidR="006D4E6D" w:rsidRDefault="00101277" w:rsidP="009133CD">
      <w:pPr>
        <w:pStyle w:val="ListParagraph"/>
        <w:numPr>
          <w:ilvl w:val="0"/>
          <w:numId w:val="4"/>
        </w:numPr>
        <w:tabs>
          <w:tab w:val="left" w:pos="720"/>
        </w:tabs>
        <w:spacing w:before="120" w:after="120" w:line="240" w:lineRule="auto"/>
        <w:ind w:left="540"/>
        <w:contextualSpacing w:val="0"/>
        <w:jc w:val="both"/>
        <w:rPr>
          <w:rFonts w:ascii="Times New Roman" w:hAnsi="Times New Roman"/>
          <w:sz w:val="24"/>
        </w:rPr>
      </w:pPr>
      <w:r w:rsidRPr="009A0119">
        <w:rPr>
          <w:rFonts w:ascii="Times New Roman" w:hAnsi="Times New Roman"/>
          <w:sz w:val="24"/>
        </w:rPr>
        <w:t>Institutions shall report in this template:</w:t>
      </w:r>
    </w:p>
    <w:p w14:paraId="39226104" w14:textId="10560B06" w:rsidR="00822A93" w:rsidRPr="00822A93" w:rsidRDefault="009C3F1A" w:rsidP="00822A93">
      <w:pPr>
        <w:pStyle w:val="ListParagraph"/>
        <w:numPr>
          <w:ilvl w:val="1"/>
          <w:numId w:val="21"/>
        </w:numPr>
        <w:rPr>
          <w:rFonts w:ascii="Times New Roman" w:hAnsi="Times New Roman"/>
          <w:sz w:val="24"/>
          <w:szCs w:val="24"/>
        </w:rPr>
      </w:pPr>
      <w:r w:rsidRPr="5448098F">
        <w:rPr>
          <w:rFonts w:ascii="Times New Roman" w:hAnsi="Times New Roman"/>
          <w:b/>
          <w:sz w:val="24"/>
          <w:szCs w:val="24"/>
        </w:rPr>
        <w:t>Z-axis</w:t>
      </w:r>
      <w:r w:rsidR="0043085E" w:rsidRPr="5448098F">
        <w:rPr>
          <w:rFonts w:ascii="Times New Roman" w:hAnsi="Times New Roman"/>
          <w:b/>
          <w:sz w:val="24"/>
          <w:szCs w:val="24"/>
        </w:rPr>
        <w:t xml:space="preserve"> (c</w:t>
      </w:r>
      <w:r w:rsidR="001A1BE6" w:rsidRPr="5448098F">
        <w:rPr>
          <w:rFonts w:ascii="Times New Roman" w:hAnsi="Times New Roman"/>
          <w:b/>
          <w:sz w:val="24"/>
          <w:szCs w:val="24"/>
        </w:rPr>
        <w:t xml:space="preserve">ountry breakdown </w:t>
      </w:r>
      <w:r w:rsidR="009C5681">
        <w:rPr>
          <w:rFonts w:ascii="Times New Roman" w:hAnsi="Times New Roman"/>
          <w:b/>
          <w:sz w:val="24"/>
          <w:szCs w:val="24"/>
        </w:rPr>
        <w:t>–</w:t>
      </w:r>
      <w:r w:rsidR="00E60ABE" w:rsidRPr="5448098F">
        <w:rPr>
          <w:rFonts w:ascii="Times New Roman" w:hAnsi="Times New Roman"/>
          <w:b/>
          <w:sz w:val="24"/>
          <w:szCs w:val="24"/>
        </w:rPr>
        <w:t xml:space="preserve"> </w:t>
      </w:r>
      <w:proofErr w:type="gramStart"/>
      <w:r w:rsidR="001A1BE6" w:rsidRPr="5448098F">
        <w:rPr>
          <w:rFonts w:ascii="Times New Roman" w:hAnsi="Times New Roman"/>
          <w:b/>
          <w:bCs/>
          <w:sz w:val="24"/>
          <w:szCs w:val="24"/>
        </w:rPr>
        <w:t>location</w:t>
      </w:r>
      <w:r w:rsidR="009C5681">
        <w:rPr>
          <w:rFonts w:ascii="Times New Roman" w:hAnsi="Times New Roman"/>
          <w:b/>
          <w:bCs/>
          <w:sz w:val="24"/>
          <w:szCs w:val="24"/>
        </w:rPr>
        <w:t xml:space="preserve"> </w:t>
      </w:r>
      <w:r w:rsidR="001A1BE6" w:rsidRPr="5448098F">
        <w:rPr>
          <w:rFonts w:ascii="Times New Roman" w:hAnsi="Times New Roman"/>
          <w:b/>
          <w:bCs/>
          <w:sz w:val="24"/>
          <w:szCs w:val="24"/>
        </w:rPr>
        <w:t>based</w:t>
      </w:r>
      <w:proofErr w:type="gramEnd"/>
      <w:r w:rsidR="001A1BE6" w:rsidRPr="5448098F">
        <w:rPr>
          <w:rFonts w:ascii="Times New Roman" w:hAnsi="Times New Roman"/>
          <w:b/>
          <w:sz w:val="24"/>
          <w:szCs w:val="24"/>
        </w:rPr>
        <w:t xml:space="preserve"> dimension</w:t>
      </w:r>
      <w:r w:rsidR="0043085E" w:rsidRPr="5448098F">
        <w:rPr>
          <w:rFonts w:ascii="Times New Roman" w:hAnsi="Times New Roman"/>
          <w:b/>
          <w:sz w:val="24"/>
          <w:szCs w:val="24"/>
        </w:rPr>
        <w:t>)</w:t>
      </w:r>
      <w:r w:rsidR="005046B9" w:rsidRPr="5448098F">
        <w:rPr>
          <w:rFonts w:ascii="Times New Roman" w:hAnsi="Times New Roman"/>
          <w:b/>
          <w:sz w:val="24"/>
          <w:szCs w:val="24"/>
        </w:rPr>
        <w:t>:</w:t>
      </w:r>
      <w:r w:rsidR="005046B9" w:rsidRPr="5448098F">
        <w:rPr>
          <w:rFonts w:ascii="Times New Roman" w:hAnsi="Times New Roman"/>
          <w:sz w:val="24"/>
          <w:szCs w:val="24"/>
        </w:rPr>
        <w:t xml:space="preserve"> Given the location</w:t>
      </w:r>
      <w:r w:rsidR="00B549A5" w:rsidRPr="5448098F">
        <w:rPr>
          <w:rFonts w:ascii="Times New Roman" w:hAnsi="Times New Roman"/>
          <w:sz w:val="24"/>
          <w:szCs w:val="24"/>
        </w:rPr>
        <w:t>-</w:t>
      </w:r>
      <w:r w:rsidR="005046B9" w:rsidRPr="5448098F">
        <w:rPr>
          <w:rFonts w:ascii="Times New Roman" w:hAnsi="Times New Roman"/>
          <w:sz w:val="24"/>
          <w:szCs w:val="24"/>
        </w:rPr>
        <w:t xml:space="preserve">dependent nature of environmental risks, </w:t>
      </w:r>
      <w:r w:rsidR="00515F3C" w:rsidRPr="5448098F">
        <w:rPr>
          <w:rFonts w:ascii="Times New Roman" w:hAnsi="Times New Roman"/>
          <w:sz w:val="24"/>
          <w:szCs w:val="24"/>
        </w:rPr>
        <w:t xml:space="preserve">the approach used in template D 05.00 </w:t>
      </w:r>
      <w:r w:rsidR="002346C5" w:rsidRPr="5448098F">
        <w:rPr>
          <w:rFonts w:ascii="Times New Roman" w:hAnsi="Times New Roman"/>
          <w:sz w:val="24"/>
          <w:szCs w:val="24"/>
        </w:rPr>
        <w:t>shall</w:t>
      </w:r>
      <w:r w:rsidR="00515F3C" w:rsidRPr="5448098F">
        <w:rPr>
          <w:rFonts w:ascii="Times New Roman" w:hAnsi="Times New Roman"/>
          <w:sz w:val="24"/>
          <w:szCs w:val="24"/>
        </w:rPr>
        <w:t xml:space="preserve"> be mirrored for this template. </w:t>
      </w:r>
      <w:r w:rsidR="000547AC" w:rsidRPr="5448098F">
        <w:rPr>
          <w:rFonts w:ascii="Times New Roman" w:hAnsi="Times New Roman"/>
          <w:sz w:val="24"/>
          <w:szCs w:val="24"/>
        </w:rPr>
        <w:t>I</w:t>
      </w:r>
      <w:r w:rsidR="005046B9" w:rsidRPr="5448098F">
        <w:rPr>
          <w:rFonts w:ascii="Times New Roman" w:hAnsi="Times New Roman"/>
          <w:sz w:val="24"/>
          <w:szCs w:val="24"/>
        </w:rPr>
        <w:t xml:space="preserve">nstitutions shall </w:t>
      </w:r>
      <w:r w:rsidR="000547AC" w:rsidRPr="5448098F">
        <w:rPr>
          <w:rFonts w:ascii="Times New Roman" w:hAnsi="Times New Roman"/>
          <w:sz w:val="24"/>
          <w:szCs w:val="24"/>
        </w:rPr>
        <w:t>therefore</w:t>
      </w:r>
      <w:r w:rsidR="005046B9" w:rsidRPr="5448098F">
        <w:rPr>
          <w:rFonts w:ascii="Times New Roman" w:hAnsi="Times New Roman"/>
          <w:sz w:val="24"/>
          <w:szCs w:val="24"/>
        </w:rPr>
        <w:t xml:space="preserve"> report </w:t>
      </w:r>
      <w:r w:rsidR="006A68F1" w:rsidRPr="5448098F">
        <w:rPr>
          <w:rFonts w:ascii="Times New Roman" w:hAnsi="Times New Roman"/>
          <w:sz w:val="24"/>
          <w:szCs w:val="24"/>
        </w:rPr>
        <w:t>i</w:t>
      </w:r>
      <w:r w:rsidR="00822A93" w:rsidRPr="5448098F">
        <w:rPr>
          <w:rFonts w:ascii="Times New Roman" w:hAnsi="Times New Roman"/>
          <w:sz w:val="24"/>
          <w:szCs w:val="24"/>
        </w:rPr>
        <w:t xml:space="preserve">n the z-axis the geographical information </w:t>
      </w:r>
      <w:r w:rsidR="003112CD" w:rsidRPr="5448098F">
        <w:rPr>
          <w:rFonts w:ascii="Times New Roman" w:hAnsi="Times New Roman"/>
          <w:sz w:val="24"/>
          <w:szCs w:val="24"/>
        </w:rPr>
        <w:t>covering the</w:t>
      </w:r>
      <w:r w:rsidR="00822A93" w:rsidRPr="5448098F">
        <w:rPr>
          <w:rFonts w:ascii="Times New Roman" w:hAnsi="Times New Roman"/>
          <w:sz w:val="24"/>
          <w:szCs w:val="24"/>
        </w:rPr>
        <w:t xml:space="preserve"> countries where exposures subject to </w:t>
      </w:r>
      <w:r w:rsidR="006A68F1" w:rsidRPr="5448098F">
        <w:rPr>
          <w:rFonts w:ascii="Times New Roman" w:hAnsi="Times New Roman"/>
          <w:sz w:val="24"/>
          <w:szCs w:val="24"/>
        </w:rPr>
        <w:t xml:space="preserve">environmental risks beyond climate </w:t>
      </w:r>
      <w:r w:rsidR="00822A93" w:rsidRPr="5448098F">
        <w:rPr>
          <w:rFonts w:ascii="Times New Roman" w:hAnsi="Times New Roman"/>
          <w:sz w:val="24"/>
          <w:szCs w:val="24"/>
        </w:rPr>
        <w:t>were identified.</w:t>
      </w:r>
      <w:r w:rsidR="006A68F1" w:rsidRPr="5448098F">
        <w:rPr>
          <w:rFonts w:ascii="Times New Roman" w:hAnsi="Times New Roman"/>
          <w:sz w:val="24"/>
          <w:szCs w:val="24"/>
        </w:rPr>
        <w:t xml:space="preserve"> </w:t>
      </w:r>
      <w:r w:rsidR="00822A93" w:rsidRPr="5448098F">
        <w:rPr>
          <w:rFonts w:ascii="Times New Roman" w:hAnsi="Times New Roman"/>
          <w:sz w:val="24"/>
          <w:szCs w:val="24"/>
        </w:rPr>
        <w:t xml:space="preserve">Additionally, institutions shall </w:t>
      </w:r>
      <w:r w:rsidR="6326F028" w:rsidRPr="009133CD">
        <w:rPr>
          <w:rFonts w:ascii="Times New Roman" w:hAnsi="Times New Roman"/>
          <w:sz w:val="24"/>
          <w:szCs w:val="24"/>
        </w:rPr>
        <w:t>report</w:t>
      </w:r>
      <w:r w:rsidR="6326F028" w:rsidRPr="72A6F959">
        <w:rPr>
          <w:rFonts w:ascii="Times New Roman" w:hAnsi="Times New Roman"/>
          <w:b/>
          <w:bCs/>
          <w:sz w:val="24"/>
          <w:szCs w:val="24"/>
        </w:rPr>
        <w:t xml:space="preserve"> </w:t>
      </w:r>
      <w:r w:rsidR="00822A93" w:rsidRPr="72A6F959">
        <w:rPr>
          <w:rFonts w:ascii="Times New Roman" w:hAnsi="Times New Roman"/>
          <w:sz w:val="24"/>
          <w:szCs w:val="24"/>
        </w:rPr>
        <w:t>by</w:t>
      </w:r>
      <w:r w:rsidR="00822A93" w:rsidRPr="5448098F">
        <w:rPr>
          <w:rFonts w:ascii="Times New Roman" w:hAnsi="Times New Roman"/>
          <w:sz w:val="24"/>
          <w:szCs w:val="24"/>
        </w:rPr>
        <w:t xml:space="preserve"> the z-axis the template covering:</w:t>
      </w:r>
    </w:p>
    <w:p w14:paraId="161C732C" w14:textId="66D96AE3" w:rsidR="007D6D2B" w:rsidRPr="00166EBA" w:rsidRDefault="007D6D2B" w:rsidP="00166EBA">
      <w:pPr>
        <w:pStyle w:val="ListParagraph"/>
        <w:numPr>
          <w:ilvl w:val="2"/>
          <w:numId w:val="21"/>
        </w:numPr>
        <w:jc w:val="both"/>
        <w:rPr>
          <w:rFonts w:ascii="Times New Roman" w:hAnsi="Times New Roman"/>
          <w:sz w:val="24"/>
        </w:rPr>
      </w:pPr>
      <w:r w:rsidRPr="00166EBA">
        <w:rPr>
          <w:rFonts w:ascii="Times New Roman" w:hAnsi="Times New Roman"/>
          <w:sz w:val="24"/>
        </w:rPr>
        <w:t xml:space="preserve">All individual countries where such exposures represent more than 10% of the total exposures subject to </w:t>
      </w:r>
      <w:r w:rsidR="00555792">
        <w:rPr>
          <w:rFonts w:ascii="Times New Roman" w:hAnsi="Times New Roman"/>
          <w:sz w:val="24"/>
        </w:rPr>
        <w:t>environmental</w:t>
      </w:r>
      <w:r>
        <w:rPr>
          <w:rFonts w:ascii="Times New Roman" w:hAnsi="Times New Roman"/>
          <w:sz w:val="24"/>
        </w:rPr>
        <w:t xml:space="preserve"> risk </w:t>
      </w:r>
      <w:r w:rsidR="00555792">
        <w:rPr>
          <w:rFonts w:ascii="Times New Roman" w:hAnsi="Times New Roman"/>
          <w:sz w:val="24"/>
        </w:rPr>
        <w:t xml:space="preserve">beyond </w:t>
      </w:r>
      <w:proofErr w:type="gramStart"/>
      <w:r w:rsidR="00555792">
        <w:rPr>
          <w:rFonts w:ascii="Times New Roman" w:hAnsi="Times New Roman"/>
          <w:sz w:val="24"/>
        </w:rPr>
        <w:t>climate</w:t>
      </w:r>
      <w:r w:rsidRPr="00166EBA">
        <w:rPr>
          <w:rFonts w:ascii="Times New Roman" w:hAnsi="Times New Roman"/>
          <w:sz w:val="24"/>
        </w:rPr>
        <w:t>;</w:t>
      </w:r>
      <w:proofErr w:type="gramEnd"/>
      <w:r w:rsidRPr="00166EBA">
        <w:rPr>
          <w:rFonts w:ascii="Times New Roman" w:hAnsi="Times New Roman"/>
          <w:sz w:val="24"/>
        </w:rPr>
        <w:t xml:space="preserve"> </w:t>
      </w:r>
    </w:p>
    <w:p w14:paraId="5C7B23D8" w14:textId="77777777" w:rsidR="007D6D2B" w:rsidRPr="00166EBA" w:rsidRDefault="007D6D2B" w:rsidP="00166EBA">
      <w:pPr>
        <w:pStyle w:val="ListParagraph"/>
        <w:numPr>
          <w:ilvl w:val="2"/>
          <w:numId w:val="21"/>
        </w:numPr>
        <w:jc w:val="both"/>
        <w:rPr>
          <w:rFonts w:ascii="Times New Roman" w:hAnsi="Times New Roman"/>
          <w:sz w:val="24"/>
        </w:rPr>
      </w:pPr>
      <w:r w:rsidRPr="00166EBA">
        <w:rPr>
          <w:rFonts w:ascii="Times New Roman" w:hAnsi="Times New Roman"/>
          <w:sz w:val="24"/>
        </w:rPr>
        <w:t xml:space="preserve">Total EU exposures, including countries below the 10% threshold; and, </w:t>
      </w:r>
    </w:p>
    <w:p w14:paraId="52504AE0" w14:textId="77777777" w:rsidR="007D6D2B" w:rsidRPr="00166EBA" w:rsidRDefault="007D6D2B" w:rsidP="00166EBA">
      <w:pPr>
        <w:pStyle w:val="ListParagraph"/>
        <w:numPr>
          <w:ilvl w:val="2"/>
          <w:numId w:val="21"/>
        </w:numPr>
        <w:jc w:val="both"/>
        <w:rPr>
          <w:rFonts w:ascii="Times New Roman" w:hAnsi="Times New Roman"/>
          <w:sz w:val="24"/>
        </w:rPr>
      </w:pPr>
      <w:r w:rsidRPr="00166EBA">
        <w:rPr>
          <w:rFonts w:ascii="Times New Roman" w:hAnsi="Times New Roman"/>
          <w:sz w:val="24"/>
        </w:rPr>
        <w:t xml:space="preserve">Total exposures across all countries. </w:t>
      </w:r>
    </w:p>
    <w:p w14:paraId="62863F4F" w14:textId="004F8CDF" w:rsidR="006E3F12" w:rsidRDefault="00236C0A" w:rsidP="003500C5">
      <w:pPr>
        <w:pStyle w:val="ListParagraph"/>
        <w:numPr>
          <w:ilvl w:val="1"/>
          <w:numId w:val="21"/>
        </w:numPr>
        <w:jc w:val="both"/>
        <w:rPr>
          <w:rFonts w:ascii="Times New Roman" w:hAnsi="Times New Roman"/>
          <w:b/>
          <w:bCs/>
          <w:sz w:val="24"/>
        </w:rPr>
      </w:pPr>
      <w:r w:rsidRPr="00166EBA">
        <w:rPr>
          <w:rFonts w:ascii="Times New Roman" w:hAnsi="Times New Roman"/>
          <w:b/>
          <w:bCs/>
          <w:sz w:val="24"/>
        </w:rPr>
        <w:t>Rows (</w:t>
      </w:r>
      <w:r w:rsidR="008C3F4F">
        <w:rPr>
          <w:rFonts w:ascii="Times New Roman" w:hAnsi="Times New Roman"/>
          <w:b/>
          <w:bCs/>
          <w:sz w:val="24"/>
        </w:rPr>
        <w:t xml:space="preserve">total exposures with </w:t>
      </w:r>
      <w:r>
        <w:rPr>
          <w:rFonts w:ascii="Times New Roman" w:hAnsi="Times New Roman"/>
          <w:b/>
          <w:bCs/>
          <w:sz w:val="24"/>
        </w:rPr>
        <w:t>b</w:t>
      </w:r>
      <w:r w:rsidRPr="00166EBA">
        <w:rPr>
          <w:rFonts w:ascii="Times New Roman" w:hAnsi="Times New Roman"/>
          <w:b/>
          <w:bCs/>
          <w:sz w:val="24"/>
        </w:rPr>
        <w:t>reakdown by</w:t>
      </w:r>
      <w:r>
        <w:rPr>
          <w:rFonts w:ascii="Times New Roman" w:hAnsi="Times New Roman"/>
          <w:b/>
          <w:bCs/>
          <w:sz w:val="24"/>
        </w:rPr>
        <w:t xml:space="preserve"> e</w:t>
      </w:r>
      <w:r w:rsidRPr="00166EBA">
        <w:rPr>
          <w:rFonts w:ascii="Times New Roman" w:hAnsi="Times New Roman"/>
          <w:b/>
          <w:bCs/>
          <w:sz w:val="24"/>
        </w:rPr>
        <w:t xml:space="preserve">nvironmental </w:t>
      </w:r>
      <w:r>
        <w:rPr>
          <w:rFonts w:ascii="Times New Roman" w:hAnsi="Times New Roman"/>
          <w:b/>
          <w:bCs/>
          <w:sz w:val="24"/>
        </w:rPr>
        <w:t>i</w:t>
      </w:r>
      <w:r w:rsidRPr="00166EBA">
        <w:rPr>
          <w:rFonts w:ascii="Times New Roman" w:hAnsi="Times New Roman"/>
          <w:b/>
          <w:bCs/>
          <w:sz w:val="24"/>
        </w:rPr>
        <w:t xml:space="preserve">mpact and </w:t>
      </w:r>
      <w:r w:rsidR="00DA4CAA" w:rsidRPr="00166EBA">
        <w:rPr>
          <w:rFonts w:ascii="Times New Roman" w:hAnsi="Times New Roman"/>
          <w:b/>
          <w:bCs/>
          <w:sz w:val="24"/>
        </w:rPr>
        <w:t xml:space="preserve">ecosystem-service </w:t>
      </w:r>
      <w:r>
        <w:rPr>
          <w:rFonts w:ascii="Times New Roman" w:hAnsi="Times New Roman"/>
          <w:b/>
          <w:bCs/>
          <w:sz w:val="24"/>
        </w:rPr>
        <w:t>d</w:t>
      </w:r>
      <w:r w:rsidRPr="00166EBA">
        <w:rPr>
          <w:rFonts w:ascii="Times New Roman" w:hAnsi="Times New Roman"/>
          <w:b/>
          <w:bCs/>
          <w:sz w:val="24"/>
        </w:rPr>
        <w:t xml:space="preserve">ependency </w:t>
      </w:r>
      <w:r>
        <w:rPr>
          <w:rFonts w:ascii="Times New Roman" w:hAnsi="Times New Roman"/>
          <w:b/>
          <w:bCs/>
          <w:sz w:val="24"/>
        </w:rPr>
        <w:t>c</w:t>
      </w:r>
      <w:r w:rsidRPr="00166EBA">
        <w:rPr>
          <w:rFonts w:ascii="Times New Roman" w:hAnsi="Times New Roman"/>
          <w:b/>
          <w:bCs/>
          <w:sz w:val="24"/>
        </w:rPr>
        <w:t>ategories):</w:t>
      </w:r>
    </w:p>
    <w:p w14:paraId="51286C7B" w14:textId="52108CF7" w:rsidR="006E3F12" w:rsidRDefault="00D72953" w:rsidP="006E3F12">
      <w:pPr>
        <w:pStyle w:val="ListParagraph"/>
        <w:ind w:left="1440"/>
        <w:jc w:val="both"/>
        <w:rPr>
          <w:rFonts w:ascii="Times New Roman" w:hAnsi="Times New Roman"/>
          <w:sz w:val="24"/>
        </w:rPr>
      </w:pPr>
      <w:r>
        <w:rPr>
          <w:rFonts w:ascii="Times New Roman" w:hAnsi="Times New Roman"/>
          <w:sz w:val="24"/>
        </w:rPr>
        <w:t>The</w:t>
      </w:r>
      <w:r w:rsidR="00330E30">
        <w:rPr>
          <w:rFonts w:ascii="Times New Roman" w:hAnsi="Times New Roman"/>
          <w:sz w:val="24"/>
        </w:rPr>
        <w:t xml:space="preserve"> </w:t>
      </w:r>
      <w:r w:rsidR="00236C0A">
        <w:rPr>
          <w:rFonts w:ascii="Times New Roman" w:hAnsi="Times New Roman"/>
          <w:sz w:val="24"/>
        </w:rPr>
        <w:t xml:space="preserve">template </w:t>
      </w:r>
      <w:r>
        <w:rPr>
          <w:rFonts w:ascii="Times New Roman" w:hAnsi="Times New Roman"/>
          <w:sz w:val="24"/>
        </w:rPr>
        <w:t>displays</w:t>
      </w:r>
      <w:r w:rsidR="00330E30">
        <w:rPr>
          <w:rFonts w:ascii="Times New Roman" w:hAnsi="Times New Roman"/>
          <w:sz w:val="24"/>
        </w:rPr>
        <w:t xml:space="preserve"> in the rows the</w:t>
      </w:r>
      <w:r w:rsidR="006F3877">
        <w:rPr>
          <w:rFonts w:ascii="Times New Roman" w:hAnsi="Times New Roman"/>
          <w:sz w:val="24"/>
        </w:rPr>
        <w:t xml:space="preserve"> institution’s</w:t>
      </w:r>
      <w:r w:rsidR="00330E30">
        <w:rPr>
          <w:rFonts w:ascii="Times New Roman" w:hAnsi="Times New Roman"/>
          <w:sz w:val="24"/>
        </w:rPr>
        <w:t xml:space="preserve"> total exposure </w:t>
      </w:r>
      <w:r w:rsidR="006F3877">
        <w:rPr>
          <w:rFonts w:ascii="Times New Roman" w:hAnsi="Times New Roman"/>
          <w:sz w:val="24"/>
        </w:rPr>
        <w:t>subject to environmental risks beyond climate</w:t>
      </w:r>
      <w:r w:rsidR="00A56A40">
        <w:rPr>
          <w:rFonts w:ascii="Times New Roman" w:hAnsi="Times New Roman"/>
          <w:sz w:val="24"/>
        </w:rPr>
        <w:t xml:space="preserve"> for each relevant </w:t>
      </w:r>
      <w:r w:rsidR="000275AC">
        <w:rPr>
          <w:rFonts w:ascii="Times New Roman" w:hAnsi="Times New Roman"/>
          <w:sz w:val="24"/>
        </w:rPr>
        <w:t xml:space="preserve">z-axis. </w:t>
      </w:r>
      <w:r w:rsidR="00083A87">
        <w:rPr>
          <w:rFonts w:ascii="Times New Roman" w:hAnsi="Times New Roman"/>
          <w:sz w:val="24"/>
        </w:rPr>
        <w:t xml:space="preserve">The total exposure amount will be further </w:t>
      </w:r>
      <w:r w:rsidR="00236C0A" w:rsidRPr="00166EBA">
        <w:rPr>
          <w:rFonts w:ascii="Times New Roman" w:hAnsi="Times New Roman"/>
          <w:sz w:val="24"/>
        </w:rPr>
        <w:t>distinguishe</w:t>
      </w:r>
      <w:r w:rsidR="00083A87">
        <w:rPr>
          <w:rFonts w:ascii="Times New Roman" w:hAnsi="Times New Roman"/>
          <w:sz w:val="24"/>
        </w:rPr>
        <w:t>d</w:t>
      </w:r>
      <w:r w:rsidR="00236C0A">
        <w:rPr>
          <w:rFonts w:ascii="Times New Roman" w:hAnsi="Times New Roman"/>
          <w:sz w:val="24"/>
        </w:rPr>
        <w:t xml:space="preserve"> </w:t>
      </w:r>
      <w:r w:rsidR="00236C0A" w:rsidRPr="00166EBA">
        <w:rPr>
          <w:rFonts w:ascii="Times New Roman" w:hAnsi="Times New Roman"/>
          <w:sz w:val="24"/>
        </w:rPr>
        <w:t xml:space="preserve">through two dimensions: environmental impacts and ecosystem service dependencies. </w:t>
      </w:r>
    </w:p>
    <w:p w14:paraId="606E05A3" w14:textId="6B9C8C1F" w:rsidR="006E3F12" w:rsidRPr="00166EBA" w:rsidRDefault="00236C0A" w:rsidP="00166EBA">
      <w:pPr>
        <w:pStyle w:val="ListParagraph"/>
        <w:ind w:left="1440"/>
        <w:jc w:val="both"/>
        <w:rPr>
          <w:rFonts w:ascii="Times New Roman" w:hAnsi="Times New Roman"/>
          <w:b/>
          <w:bCs/>
          <w:sz w:val="24"/>
        </w:rPr>
      </w:pPr>
      <w:r w:rsidRPr="00166EBA">
        <w:rPr>
          <w:rFonts w:ascii="Times New Roman" w:hAnsi="Times New Roman"/>
          <w:sz w:val="24"/>
        </w:rPr>
        <w:t xml:space="preserve">Institutions shall classify exposures </w:t>
      </w:r>
      <w:r w:rsidR="00BB255D">
        <w:rPr>
          <w:rFonts w:ascii="Times New Roman" w:hAnsi="Times New Roman"/>
          <w:sz w:val="24"/>
        </w:rPr>
        <w:t xml:space="preserve">subject to environmental risks beyond climate </w:t>
      </w:r>
      <w:r w:rsidRPr="00166EBA">
        <w:rPr>
          <w:rFonts w:ascii="Times New Roman" w:hAnsi="Times New Roman"/>
          <w:sz w:val="24"/>
        </w:rPr>
        <w:t xml:space="preserve">according to the following </w:t>
      </w:r>
      <w:r w:rsidR="00BB255D">
        <w:rPr>
          <w:rFonts w:ascii="Times New Roman" w:hAnsi="Times New Roman"/>
          <w:sz w:val="24"/>
        </w:rPr>
        <w:t>breakdowns</w:t>
      </w:r>
      <w:r w:rsidRPr="00166EBA">
        <w:rPr>
          <w:rFonts w:ascii="Times New Roman" w:hAnsi="Times New Roman"/>
          <w:sz w:val="24"/>
        </w:rPr>
        <w:t>:</w:t>
      </w:r>
      <w:r w:rsidR="006E3F12" w:rsidRPr="00166EBA">
        <w:rPr>
          <w:rFonts w:ascii="Times New Roman" w:hAnsi="Times New Roman"/>
          <w:sz w:val="24"/>
        </w:rPr>
        <w:t xml:space="preserve"> </w:t>
      </w:r>
    </w:p>
    <w:p w14:paraId="5CE56952" w14:textId="1B70765E" w:rsidR="006E3F12" w:rsidRPr="00166EBA" w:rsidRDefault="006E3F12" w:rsidP="003500C5">
      <w:pPr>
        <w:pStyle w:val="ListParagraph"/>
        <w:numPr>
          <w:ilvl w:val="2"/>
          <w:numId w:val="21"/>
        </w:numPr>
        <w:jc w:val="both"/>
        <w:rPr>
          <w:rFonts w:ascii="Times New Roman" w:hAnsi="Times New Roman"/>
          <w:b/>
          <w:bCs/>
          <w:sz w:val="24"/>
        </w:rPr>
      </w:pPr>
      <w:r w:rsidRPr="00166EBA">
        <w:rPr>
          <w:rFonts w:ascii="Times New Roman" w:hAnsi="Times New Roman"/>
          <w:b/>
          <w:bCs/>
          <w:sz w:val="24"/>
        </w:rPr>
        <w:t>Environmental impact</w:t>
      </w:r>
      <w:r w:rsidR="00CD4BA1">
        <w:rPr>
          <w:rFonts w:ascii="Times New Roman" w:hAnsi="Times New Roman"/>
          <w:b/>
          <w:bCs/>
          <w:sz w:val="24"/>
        </w:rPr>
        <w:t xml:space="preserve"> categories</w:t>
      </w:r>
      <w:r w:rsidR="00295CC2">
        <w:rPr>
          <w:rFonts w:ascii="Times New Roman" w:hAnsi="Times New Roman"/>
          <w:b/>
          <w:bCs/>
          <w:sz w:val="24"/>
        </w:rPr>
        <w:t>:</w:t>
      </w:r>
    </w:p>
    <w:p w14:paraId="680661CD" w14:textId="455DBDB3" w:rsidR="006E3F12" w:rsidRPr="006E3F12" w:rsidRDefault="006E3F12" w:rsidP="00166EBA">
      <w:pPr>
        <w:pStyle w:val="ListParagraph"/>
        <w:ind w:left="2160"/>
        <w:jc w:val="both"/>
        <w:rPr>
          <w:rFonts w:ascii="Times New Roman" w:hAnsi="Times New Roman"/>
          <w:sz w:val="24"/>
        </w:rPr>
      </w:pPr>
      <w:r w:rsidRPr="006E3F12">
        <w:rPr>
          <w:rFonts w:ascii="Times New Roman" w:hAnsi="Times New Roman"/>
          <w:sz w:val="24"/>
        </w:rPr>
        <w:t xml:space="preserve">Institutions shall report exposures to companies whose activities negatively </w:t>
      </w:r>
      <w:r w:rsidR="007F5BBB">
        <w:rPr>
          <w:rFonts w:ascii="Times New Roman" w:hAnsi="Times New Roman"/>
          <w:sz w:val="24"/>
        </w:rPr>
        <w:t>impact</w:t>
      </w:r>
      <w:r w:rsidR="009E2152">
        <w:rPr>
          <w:rFonts w:ascii="Times New Roman" w:hAnsi="Times New Roman"/>
          <w:sz w:val="24"/>
        </w:rPr>
        <w:t xml:space="preserve"> and/or </w:t>
      </w:r>
      <w:r w:rsidRPr="006E3F12">
        <w:rPr>
          <w:rFonts w:ascii="Times New Roman" w:hAnsi="Times New Roman"/>
          <w:sz w:val="24"/>
        </w:rPr>
        <w:t>contribute to:</w:t>
      </w:r>
    </w:p>
    <w:p w14:paraId="57E2EEB5" w14:textId="0C892409" w:rsidR="006E3F12" w:rsidRPr="006E3F12" w:rsidRDefault="00AE750C" w:rsidP="00166EBA">
      <w:pPr>
        <w:pStyle w:val="ListParagraph"/>
        <w:numPr>
          <w:ilvl w:val="3"/>
          <w:numId w:val="21"/>
        </w:numPr>
        <w:jc w:val="both"/>
        <w:rPr>
          <w:rFonts w:ascii="Times New Roman" w:hAnsi="Times New Roman"/>
          <w:sz w:val="24"/>
        </w:rPr>
      </w:pPr>
      <w:r>
        <w:rPr>
          <w:rFonts w:ascii="Times New Roman" w:hAnsi="Times New Roman"/>
          <w:sz w:val="24"/>
        </w:rPr>
        <w:t>l</w:t>
      </w:r>
      <w:r w:rsidR="006E3F12" w:rsidRPr="006E3F12">
        <w:rPr>
          <w:rFonts w:ascii="Times New Roman" w:hAnsi="Times New Roman"/>
          <w:sz w:val="24"/>
        </w:rPr>
        <w:t xml:space="preserve">and / freshwater / ocean use </w:t>
      </w:r>
      <w:proofErr w:type="gramStart"/>
      <w:r w:rsidR="006E3F12" w:rsidRPr="006E3F12">
        <w:rPr>
          <w:rFonts w:ascii="Times New Roman" w:hAnsi="Times New Roman"/>
          <w:sz w:val="24"/>
        </w:rPr>
        <w:t>change</w:t>
      </w:r>
      <w:r>
        <w:rPr>
          <w:rFonts w:ascii="Times New Roman" w:hAnsi="Times New Roman"/>
          <w:sz w:val="24"/>
        </w:rPr>
        <w:t>;</w:t>
      </w:r>
      <w:proofErr w:type="gramEnd"/>
    </w:p>
    <w:p w14:paraId="37EC6B8C" w14:textId="68DFE12A" w:rsidR="006E3F12" w:rsidRPr="006E3F12" w:rsidRDefault="00AE750C" w:rsidP="00166EBA">
      <w:pPr>
        <w:pStyle w:val="ListParagraph"/>
        <w:numPr>
          <w:ilvl w:val="3"/>
          <w:numId w:val="21"/>
        </w:numPr>
        <w:jc w:val="both"/>
        <w:rPr>
          <w:rFonts w:ascii="Times New Roman" w:hAnsi="Times New Roman"/>
          <w:sz w:val="24"/>
        </w:rPr>
      </w:pPr>
      <w:proofErr w:type="gramStart"/>
      <w:r>
        <w:rPr>
          <w:rFonts w:ascii="Times New Roman" w:hAnsi="Times New Roman"/>
          <w:sz w:val="24"/>
        </w:rPr>
        <w:t>p</w:t>
      </w:r>
      <w:r w:rsidR="006E3F12" w:rsidRPr="006E3F12">
        <w:rPr>
          <w:rFonts w:ascii="Times New Roman" w:hAnsi="Times New Roman"/>
          <w:sz w:val="24"/>
        </w:rPr>
        <w:t>ollution</w:t>
      </w:r>
      <w:r>
        <w:rPr>
          <w:rFonts w:ascii="Times New Roman" w:hAnsi="Times New Roman"/>
          <w:sz w:val="24"/>
        </w:rPr>
        <w:t>;</w:t>
      </w:r>
      <w:proofErr w:type="gramEnd"/>
    </w:p>
    <w:p w14:paraId="03E6B2E1" w14:textId="6AA8C0F1" w:rsidR="006E3F12" w:rsidRPr="006E3F12" w:rsidRDefault="00AE750C" w:rsidP="00166EBA">
      <w:pPr>
        <w:pStyle w:val="ListParagraph"/>
        <w:numPr>
          <w:ilvl w:val="3"/>
          <w:numId w:val="21"/>
        </w:numPr>
        <w:jc w:val="both"/>
        <w:rPr>
          <w:rFonts w:ascii="Times New Roman" w:hAnsi="Times New Roman"/>
          <w:sz w:val="24"/>
        </w:rPr>
      </w:pPr>
      <w:r>
        <w:rPr>
          <w:rFonts w:ascii="Times New Roman" w:hAnsi="Times New Roman"/>
          <w:sz w:val="24"/>
        </w:rPr>
        <w:t>o</w:t>
      </w:r>
      <w:r w:rsidR="006E3F12" w:rsidRPr="006E3F12">
        <w:rPr>
          <w:rFonts w:ascii="Times New Roman" w:hAnsi="Times New Roman"/>
          <w:sz w:val="24"/>
        </w:rPr>
        <w:t xml:space="preserve">verexploitation or inefficient use of natural </w:t>
      </w:r>
      <w:proofErr w:type="gramStart"/>
      <w:r w:rsidR="006E3F12" w:rsidRPr="006E3F12">
        <w:rPr>
          <w:rFonts w:ascii="Times New Roman" w:hAnsi="Times New Roman"/>
          <w:sz w:val="24"/>
        </w:rPr>
        <w:t>resources</w:t>
      </w:r>
      <w:r>
        <w:rPr>
          <w:rFonts w:ascii="Times New Roman" w:hAnsi="Times New Roman"/>
          <w:sz w:val="24"/>
        </w:rPr>
        <w:t>;</w:t>
      </w:r>
      <w:proofErr w:type="gramEnd"/>
    </w:p>
    <w:p w14:paraId="44690D1F" w14:textId="3DAD3BD5" w:rsidR="006E3F12" w:rsidRPr="006E3F12" w:rsidRDefault="00AE750C" w:rsidP="00166EBA">
      <w:pPr>
        <w:pStyle w:val="ListParagraph"/>
        <w:numPr>
          <w:ilvl w:val="3"/>
          <w:numId w:val="21"/>
        </w:numPr>
        <w:jc w:val="both"/>
        <w:rPr>
          <w:rFonts w:ascii="Times New Roman" w:hAnsi="Times New Roman"/>
          <w:sz w:val="24"/>
        </w:rPr>
      </w:pPr>
      <w:r>
        <w:rPr>
          <w:rFonts w:ascii="Times New Roman" w:hAnsi="Times New Roman"/>
          <w:sz w:val="24"/>
        </w:rPr>
        <w:t>i</w:t>
      </w:r>
      <w:r w:rsidR="006E3F12" w:rsidRPr="006E3F12">
        <w:rPr>
          <w:rFonts w:ascii="Times New Roman" w:hAnsi="Times New Roman"/>
          <w:sz w:val="24"/>
        </w:rPr>
        <w:t>nvasive species (i.e., activities contributing to introduction or spread of invasive species)</w:t>
      </w:r>
      <w:r>
        <w:rPr>
          <w:rFonts w:ascii="Times New Roman" w:hAnsi="Times New Roman"/>
          <w:sz w:val="24"/>
        </w:rPr>
        <w:t>.</w:t>
      </w:r>
    </w:p>
    <w:p w14:paraId="0D293E9F" w14:textId="78E6242C" w:rsidR="006E3F12" w:rsidRPr="006E3F12" w:rsidRDefault="0045409A" w:rsidP="00166EBA">
      <w:pPr>
        <w:pStyle w:val="ListParagraph"/>
        <w:ind w:left="2160"/>
        <w:jc w:val="both"/>
        <w:rPr>
          <w:rFonts w:ascii="Times New Roman" w:hAnsi="Times New Roman"/>
          <w:sz w:val="24"/>
        </w:rPr>
      </w:pPr>
      <w:r>
        <w:rPr>
          <w:rFonts w:ascii="Times New Roman" w:hAnsi="Times New Roman"/>
          <w:sz w:val="24"/>
        </w:rPr>
        <w:t xml:space="preserve">Institutions shall </w:t>
      </w:r>
      <w:r w:rsidR="004957F9">
        <w:rPr>
          <w:rFonts w:ascii="Times New Roman" w:hAnsi="Times New Roman"/>
          <w:sz w:val="24"/>
        </w:rPr>
        <w:t xml:space="preserve">report </w:t>
      </w:r>
      <w:r>
        <w:rPr>
          <w:rFonts w:ascii="Times New Roman" w:hAnsi="Times New Roman"/>
          <w:sz w:val="24"/>
        </w:rPr>
        <w:t xml:space="preserve">exposures </w:t>
      </w:r>
      <w:r w:rsidR="004957F9">
        <w:rPr>
          <w:rFonts w:ascii="Times New Roman" w:hAnsi="Times New Roman"/>
          <w:sz w:val="24"/>
        </w:rPr>
        <w:t>under all relevant</w:t>
      </w:r>
      <w:r w:rsidR="00ED7A8F">
        <w:rPr>
          <w:rFonts w:ascii="Times New Roman" w:hAnsi="Times New Roman"/>
          <w:sz w:val="24"/>
        </w:rPr>
        <w:t xml:space="preserve"> environmental impact drivers </w:t>
      </w:r>
      <w:r w:rsidR="00991202">
        <w:rPr>
          <w:rFonts w:ascii="Times New Roman" w:hAnsi="Times New Roman"/>
          <w:sz w:val="24"/>
        </w:rPr>
        <w:t>to which the</w:t>
      </w:r>
      <w:r w:rsidR="00242E24">
        <w:rPr>
          <w:rFonts w:ascii="Times New Roman" w:hAnsi="Times New Roman"/>
          <w:sz w:val="24"/>
        </w:rPr>
        <w:t xml:space="preserve"> </w:t>
      </w:r>
      <w:r w:rsidR="00457856">
        <w:rPr>
          <w:rFonts w:ascii="Times New Roman" w:hAnsi="Times New Roman"/>
          <w:sz w:val="24"/>
        </w:rPr>
        <w:t>activities of the counterparty</w:t>
      </w:r>
      <w:r w:rsidR="00991202">
        <w:rPr>
          <w:rFonts w:ascii="Times New Roman" w:hAnsi="Times New Roman"/>
          <w:sz w:val="24"/>
        </w:rPr>
        <w:t xml:space="preserve"> contribute to. </w:t>
      </w:r>
      <w:r>
        <w:rPr>
          <w:rFonts w:ascii="Times New Roman" w:hAnsi="Times New Roman"/>
          <w:sz w:val="24"/>
        </w:rPr>
        <w:t xml:space="preserve"> </w:t>
      </w:r>
      <w:r w:rsidR="008B16E9">
        <w:rPr>
          <w:rFonts w:ascii="Times New Roman" w:hAnsi="Times New Roman"/>
          <w:sz w:val="24"/>
        </w:rPr>
        <w:t>R</w:t>
      </w:r>
      <w:r w:rsidR="00E13CFD">
        <w:rPr>
          <w:rFonts w:ascii="Times New Roman" w:eastAsia="Times New Roman" w:hAnsi="Times New Roman" w:cs="Times New Roman"/>
          <w:noProof/>
          <w:sz w:val="24"/>
        </w:rPr>
        <w:t>eporting</w:t>
      </w:r>
      <w:r w:rsidR="00E13CFD" w:rsidRPr="1D082E15">
        <w:rPr>
          <w:rFonts w:ascii="Times New Roman" w:eastAsia="Times New Roman" w:hAnsi="Times New Roman" w:cs="Times New Roman"/>
          <w:noProof/>
          <w:sz w:val="24"/>
        </w:rPr>
        <w:t xml:space="preserve"> </w:t>
      </w:r>
      <w:r w:rsidR="008B16E9">
        <w:rPr>
          <w:rFonts w:ascii="Times New Roman" w:eastAsia="Times New Roman" w:hAnsi="Times New Roman" w:cs="Times New Roman"/>
          <w:noProof/>
          <w:sz w:val="24"/>
        </w:rPr>
        <w:t>under</w:t>
      </w:r>
      <w:r w:rsidR="00E13CFD" w:rsidRPr="1D082E15">
        <w:rPr>
          <w:rFonts w:ascii="Times New Roman" w:eastAsia="Times New Roman" w:hAnsi="Times New Roman" w:cs="Times New Roman"/>
          <w:noProof/>
          <w:sz w:val="24"/>
        </w:rPr>
        <w:t xml:space="preserve"> </w:t>
      </w:r>
      <w:r w:rsidR="00E13CFD">
        <w:rPr>
          <w:rFonts w:ascii="Times New Roman" w:eastAsia="Times New Roman" w:hAnsi="Times New Roman" w:cs="Times New Roman"/>
          <w:noProof/>
          <w:sz w:val="24"/>
        </w:rPr>
        <w:t xml:space="preserve">environmental impact </w:t>
      </w:r>
      <w:r w:rsidR="008B16E9">
        <w:rPr>
          <w:rFonts w:ascii="Times New Roman" w:eastAsia="Times New Roman" w:hAnsi="Times New Roman" w:cs="Times New Roman"/>
          <w:noProof/>
          <w:sz w:val="24"/>
        </w:rPr>
        <w:t>categories</w:t>
      </w:r>
      <w:r w:rsidR="00E13CFD" w:rsidRPr="1D082E15">
        <w:rPr>
          <w:rFonts w:ascii="Times New Roman" w:eastAsia="Times New Roman" w:hAnsi="Times New Roman" w:cs="Times New Roman"/>
          <w:noProof/>
          <w:sz w:val="24"/>
        </w:rPr>
        <w:t xml:space="preserve"> shall therefore not be mutually exclusive, and the same exposure may be reported under multiple categories. The sum of exposures reported across individual </w:t>
      </w:r>
      <w:r w:rsidR="000C7ACF">
        <w:rPr>
          <w:rFonts w:ascii="Times New Roman" w:eastAsia="Times New Roman" w:hAnsi="Times New Roman" w:cs="Times New Roman"/>
          <w:noProof/>
          <w:sz w:val="24"/>
        </w:rPr>
        <w:t xml:space="preserve">environmental impact drivers </w:t>
      </w:r>
      <w:r w:rsidR="00E13CFD" w:rsidRPr="1D082E15">
        <w:rPr>
          <w:rFonts w:ascii="Times New Roman" w:eastAsia="Times New Roman" w:hAnsi="Times New Roman" w:cs="Times New Roman"/>
          <w:noProof/>
          <w:sz w:val="24"/>
        </w:rPr>
        <w:t xml:space="preserve">may exceed the total exposures subject to </w:t>
      </w:r>
      <w:r w:rsidR="00FA2140">
        <w:rPr>
          <w:rFonts w:ascii="Times New Roman" w:eastAsia="Times New Roman" w:hAnsi="Times New Roman" w:cs="Times New Roman"/>
          <w:noProof/>
          <w:sz w:val="24"/>
        </w:rPr>
        <w:t>environmental</w:t>
      </w:r>
      <w:r w:rsidR="00E13CFD" w:rsidRPr="1D082E15">
        <w:rPr>
          <w:rFonts w:ascii="Times New Roman" w:eastAsia="Times New Roman" w:hAnsi="Times New Roman" w:cs="Times New Roman"/>
          <w:noProof/>
          <w:sz w:val="24"/>
        </w:rPr>
        <w:t xml:space="preserve"> risk</w:t>
      </w:r>
      <w:r w:rsidR="00FA2140">
        <w:rPr>
          <w:rFonts w:ascii="Times New Roman" w:eastAsia="Times New Roman" w:hAnsi="Times New Roman" w:cs="Times New Roman"/>
          <w:noProof/>
          <w:sz w:val="24"/>
        </w:rPr>
        <w:t xml:space="preserve"> beyond climate</w:t>
      </w:r>
      <w:r w:rsidR="00E13CFD" w:rsidRPr="1D082E15">
        <w:rPr>
          <w:rFonts w:ascii="Times New Roman" w:eastAsia="Times New Roman" w:hAnsi="Times New Roman" w:cs="Times New Roman"/>
          <w:noProof/>
          <w:sz w:val="24"/>
        </w:rPr>
        <w:t>.</w:t>
      </w:r>
      <w:r w:rsidR="006E3F12" w:rsidRPr="006E3F12">
        <w:rPr>
          <w:rFonts w:ascii="Times New Roman" w:hAnsi="Times New Roman"/>
          <w:sz w:val="24"/>
        </w:rPr>
        <w:t xml:space="preserve"> </w:t>
      </w:r>
    </w:p>
    <w:p w14:paraId="4DE710FB" w14:textId="4A61CB75" w:rsidR="00811E76" w:rsidRPr="00166EBA" w:rsidRDefault="00811E76" w:rsidP="003500C5">
      <w:pPr>
        <w:pStyle w:val="ListParagraph"/>
        <w:numPr>
          <w:ilvl w:val="2"/>
          <w:numId w:val="21"/>
        </w:numPr>
        <w:jc w:val="both"/>
        <w:rPr>
          <w:rFonts w:ascii="Times New Roman" w:hAnsi="Times New Roman"/>
          <w:b/>
          <w:bCs/>
          <w:sz w:val="24"/>
        </w:rPr>
      </w:pPr>
      <w:r w:rsidRPr="00166EBA">
        <w:rPr>
          <w:rFonts w:ascii="Times New Roman" w:hAnsi="Times New Roman"/>
          <w:b/>
          <w:bCs/>
          <w:sz w:val="24"/>
        </w:rPr>
        <w:t>Ecosystem</w:t>
      </w:r>
      <w:r w:rsidR="00593E35">
        <w:rPr>
          <w:rFonts w:ascii="Times New Roman" w:hAnsi="Times New Roman"/>
          <w:b/>
          <w:bCs/>
          <w:sz w:val="24"/>
        </w:rPr>
        <w:t>-</w:t>
      </w:r>
      <w:r w:rsidRPr="00166EBA">
        <w:rPr>
          <w:rFonts w:ascii="Times New Roman" w:hAnsi="Times New Roman"/>
          <w:b/>
          <w:bCs/>
          <w:sz w:val="24"/>
        </w:rPr>
        <w:t>service dependency</w:t>
      </w:r>
      <w:r w:rsidR="00593E35">
        <w:rPr>
          <w:rFonts w:ascii="Times New Roman" w:hAnsi="Times New Roman"/>
          <w:b/>
          <w:bCs/>
          <w:sz w:val="24"/>
        </w:rPr>
        <w:t xml:space="preserve"> categories</w:t>
      </w:r>
      <w:r w:rsidR="00295CC2">
        <w:rPr>
          <w:rFonts w:ascii="Times New Roman" w:hAnsi="Times New Roman"/>
          <w:b/>
          <w:bCs/>
          <w:sz w:val="24"/>
        </w:rPr>
        <w:t>:</w:t>
      </w:r>
    </w:p>
    <w:p w14:paraId="04A89D6D" w14:textId="77777777" w:rsidR="00811E76" w:rsidRPr="00811E76" w:rsidRDefault="00811E76" w:rsidP="00166EBA">
      <w:pPr>
        <w:pStyle w:val="ListParagraph"/>
        <w:ind w:left="2160"/>
        <w:jc w:val="both"/>
        <w:rPr>
          <w:rFonts w:ascii="Times New Roman" w:hAnsi="Times New Roman"/>
          <w:sz w:val="24"/>
        </w:rPr>
      </w:pPr>
      <w:r w:rsidRPr="00811E76">
        <w:rPr>
          <w:rFonts w:ascii="Times New Roman" w:hAnsi="Times New Roman"/>
          <w:sz w:val="24"/>
        </w:rPr>
        <w:t>Institutions shall report exposures to companies whose activities depend on:</w:t>
      </w:r>
    </w:p>
    <w:p w14:paraId="53AC0F86" w14:textId="65B6E5C8" w:rsidR="00811E76" w:rsidRPr="00811E76" w:rsidRDefault="00AE750C" w:rsidP="00166EBA">
      <w:pPr>
        <w:pStyle w:val="ListParagraph"/>
        <w:numPr>
          <w:ilvl w:val="3"/>
          <w:numId w:val="21"/>
        </w:numPr>
        <w:jc w:val="both"/>
        <w:rPr>
          <w:rFonts w:ascii="Times New Roman" w:hAnsi="Times New Roman"/>
          <w:sz w:val="24"/>
        </w:rPr>
      </w:pPr>
      <w:r>
        <w:rPr>
          <w:rFonts w:ascii="Times New Roman" w:hAnsi="Times New Roman"/>
          <w:sz w:val="24"/>
        </w:rPr>
        <w:t>w</w:t>
      </w:r>
      <w:r w:rsidR="00811E76" w:rsidRPr="00811E76">
        <w:rPr>
          <w:rFonts w:ascii="Times New Roman" w:hAnsi="Times New Roman"/>
          <w:sz w:val="24"/>
        </w:rPr>
        <w:t xml:space="preserve">ater </w:t>
      </w:r>
      <w:proofErr w:type="gramStart"/>
      <w:r w:rsidR="00560338">
        <w:rPr>
          <w:rFonts w:ascii="Times New Roman" w:hAnsi="Times New Roman"/>
          <w:sz w:val="24"/>
        </w:rPr>
        <w:t>supply</w:t>
      </w:r>
      <w:r>
        <w:rPr>
          <w:rFonts w:ascii="Times New Roman" w:hAnsi="Times New Roman"/>
          <w:sz w:val="24"/>
        </w:rPr>
        <w:t>;</w:t>
      </w:r>
      <w:proofErr w:type="gramEnd"/>
    </w:p>
    <w:p w14:paraId="4719B482" w14:textId="3F31406C" w:rsidR="00811E76" w:rsidRPr="00166EBA" w:rsidRDefault="00AE750C" w:rsidP="00166EBA">
      <w:pPr>
        <w:pStyle w:val="ListParagraph"/>
        <w:numPr>
          <w:ilvl w:val="3"/>
          <w:numId w:val="21"/>
        </w:numPr>
        <w:jc w:val="both"/>
        <w:rPr>
          <w:rFonts w:ascii="Times New Roman" w:hAnsi="Times New Roman"/>
          <w:sz w:val="24"/>
        </w:rPr>
      </w:pPr>
      <w:r>
        <w:rPr>
          <w:rFonts w:ascii="Times New Roman" w:hAnsi="Times New Roman"/>
          <w:sz w:val="24"/>
        </w:rPr>
        <w:t>a</w:t>
      </w:r>
      <w:r w:rsidR="00811E76" w:rsidRPr="00811E76">
        <w:rPr>
          <w:rFonts w:ascii="Times New Roman" w:hAnsi="Times New Roman"/>
          <w:sz w:val="24"/>
        </w:rPr>
        <w:t xml:space="preserve">t least one provisioning service other than water </w:t>
      </w:r>
      <w:proofErr w:type="gramStart"/>
      <w:r w:rsidR="00811E76" w:rsidRPr="00811E76">
        <w:rPr>
          <w:rFonts w:ascii="Times New Roman" w:hAnsi="Times New Roman"/>
          <w:sz w:val="24"/>
        </w:rPr>
        <w:t>supply</w:t>
      </w:r>
      <w:r>
        <w:rPr>
          <w:rFonts w:ascii="Times New Roman" w:hAnsi="Times New Roman"/>
          <w:sz w:val="24"/>
        </w:rPr>
        <w:t>;</w:t>
      </w:r>
      <w:proofErr w:type="gramEnd"/>
    </w:p>
    <w:p w14:paraId="5D981AAA" w14:textId="5F7C9D56" w:rsidR="00811E76" w:rsidRPr="00166EBA" w:rsidRDefault="00AE750C" w:rsidP="00166EBA">
      <w:pPr>
        <w:pStyle w:val="ListParagraph"/>
        <w:numPr>
          <w:ilvl w:val="3"/>
          <w:numId w:val="21"/>
        </w:numPr>
        <w:jc w:val="both"/>
        <w:rPr>
          <w:rFonts w:ascii="Times New Roman" w:hAnsi="Times New Roman"/>
          <w:sz w:val="24"/>
        </w:rPr>
      </w:pPr>
      <w:r>
        <w:rPr>
          <w:rFonts w:ascii="Times New Roman" w:hAnsi="Times New Roman"/>
          <w:sz w:val="24"/>
        </w:rPr>
        <w:t>a</w:t>
      </w:r>
      <w:r w:rsidR="00811E76" w:rsidRPr="00811E76">
        <w:rPr>
          <w:rFonts w:ascii="Times New Roman" w:hAnsi="Times New Roman"/>
          <w:sz w:val="24"/>
        </w:rPr>
        <w:t xml:space="preserve">t least one regulating </w:t>
      </w:r>
      <w:r w:rsidR="003B2607">
        <w:rPr>
          <w:rFonts w:ascii="Times New Roman" w:hAnsi="Times New Roman"/>
          <w:sz w:val="24"/>
        </w:rPr>
        <w:t xml:space="preserve">and/or </w:t>
      </w:r>
      <w:r w:rsidR="00F81933">
        <w:rPr>
          <w:rFonts w:ascii="Times New Roman" w:hAnsi="Times New Roman"/>
          <w:sz w:val="24"/>
        </w:rPr>
        <w:t xml:space="preserve">supporting </w:t>
      </w:r>
      <w:r w:rsidR="00811E76" w:rsidRPr="00811E76">
        <w:rPr>
          <w:rFonts w:ascii="Times New Roman" w:hAnsi="Times New Roman"/>
          <w:sz w:val="24"/>
        </w:rPr>
        <w:t xml:space="preserve">ecosystem </w:t>
      </w:r>
      <w:proofErr w:type="gramStart"/>
      <w:r w:rsidR="00811E76" w:rsidRPr="00811E76">
        <w:rPr>
          <w:rFonts w:ascii="Times New Roman" w:hAnsi="Times New Roman"/>
          <w:sz w:val="24"/>
        </w:rPr>
        <w:t>service</w:t>
      </w:r>
      <w:r>
        <w:rPr>
          <w:rFonts w:ascii="Times New Roman" w:hAnsi="Times New Roman"/>
          <w:sz w:val="24"/>
        </w:rPr>
        <w:t>;</w:t>
      </w:r>
      <w:proofErr w:type="gramEnd"/>
    </w:p>
    <w:p w14:paraId="00BE47DE" w14:textId="7D5B70DD" w:rsidR="00811E76" w:rsidRPr="00166EBA" w:rsidRDefault="00AE750C" w:rsidP="00166EBA">
      <w:pPr>
        <w:pStyle w:val="ListParagraph"/>
        <w:numPr>
          <w:ilvl w:val="3"/>
          <w:numId w:val="21"/>
        </w:numPr>
        <w:jc w:val="both"/>
        <w:rPr>
          <w:rFonts w:ascii="Times New Roman" w:hAnsi="Times New Roman"/>
          <w:sz w:val="24"/>
        </w:rPr>
      </w:pPr>
      <w:r>
        <w:rPr>
          <w:rFonts w:ascii="Times New Roman" w:hAnsi="Times New Roman"/>
          <w:sz w:val="24"/>
        </w:rPr>
        <w:t>a</w:t>
      </w:r>
      <w:r w:rsidR="00811E76" w:rsidRPr="00166EBA">
        <w:rPr>
          <w:rFonts w:ascii="Times New Roman" w:hAnsi="Times New Roman"/>
          <w:sz w:val="24"/>
        </w:rPr>
        <w:t>t least one cultural ecosystem service</w:t>
      </w:r>
      <w:r>
        <w:rPr>
          <w:rFonts w:ascii="Times New Roman" w:hAnsi="Times New Roman"/>
          <w:sz w:val="24"/>
        </w:rPr>
        <w:t>.</w:t>
      </w:r>
    </w:p>
    <w:p w14:paraId="75EEDA3B" w14:textId="0A729D2D" w:rsidR="004A1FB2" w:rsidRPr="006E3F12" w:rsidRDefault="00811E76" w:rsidP="004A1FB2">
      <w:pPr>
        <w:pStyle w:val="ListParagraph"/>
        <w:ind w:left="2160"/>
        <w:jc w:val="both"/>
        <w:rPr>
          <w:rFonts w:ascii="Times New Roman" w:hAnsi="Times New Roman"/>
          <w:sz w:val="24"/>
        </w:rPr>
      </w:pPr>
      <w:r w:rsidRPr="00811E76">
        <w:rPr>
          <w:rFonts w:ascii="Times New Roman" w:hAnsi="Times New Roman"/>
          <w:sz w:val="24"/>
        </w:rPr>
        <w:t xml:space="preserve">Institutions shall </w:t>
      </w:r>
      <w:r w:rsidR="004A1FB2">
        <w:rPr>
          <w:rFonts w:ascii="Times New Roman" w:hAnsi="Times New Roman"/>
          <w:sz w:val="24"/>
        </w:rPr>
        <w:t>report exposures under all relevant ecosystem-service</w:t>
      </w:r>
      <w:r w:rsidR="00400CC0">
        <w:rPr>
          <w:rFonts w:ascii="Times New Roman" w:hAnsi="Times New Roman"/>
          <w:sz w:val="24"/>
        </w:rPr>
        <w:t>s on</w:t>
      </w:r>
      <w:r w:rsidR="004A1FB2">
        <w:rPr>
          <w:rFonts w:ascii="Times New Roman" w:hAnsi="Times New Roman"/>
          <w:sz w:val="24"/>
        </w:rPr>
        <w:t xml:space="preserve"> which the activities of the counterparty </w:t>
      </w:r>
      <w:r w:rsidR="00400CC0">
        <w:rPr>
          <w:rFonts w:ascii="Times New Roman" w:hAnsi="Times New Roman"/>
          <w:sz w:val="24"/>
        </w:rPr>
        <w:t>may depend</w:t>
      </w:r>
      <w:r w:rsidR="004A1FB2">
        <w:rPr>
          <w:rFonts w:ascii="Times New Roman" w:hAnsi="Times New Roman"/>
          <w:sz w:val="24"/>
        </w:rPr>
        <w:t xml:space="preserve">.  </w:t>
      </w:r>
      <w:r w:rsidR="002176CC">
        <w:rPr>
          <w:rFonts w:ascii="Times New Roman" w:hAnsi="Times New Roman"/>
          <w:sz w:val="24"/>
        </w:rPr>
        <w:t>R</w:t>
      </w:r>
      <w:r w:rsidR="004A1FB2">
        <w:rPr>
          <w:rFonts w:ascii="Times New Roman" w:eastAsia="Times New Roman" w:hAnsi="Times New Roman" w:cs="Times New Roman"/>
          <w:noProof/>
          <w:sz w:val="24"/>
        </w:rPr>
        <w:t>eporting</w:t>
      </w:r>
      <w:r w:rsidR="004A1FB2" w:rsidRPr="1D082E15">
        <w:rPr>
          <w:rFonts w:ascii="Times New Roman" w:eastAsia="Times New Roman" w:hAnsi="Times New Roman" w:cs="Times New Roman"/>
          <w:noProof/>
          <w:sz w:val="24"/>
        </w:rPr>
        <w:t xml:space="preserve"> </w:t>
      </w:r>
      <w:r w:rsidR="002176CC">
        <w:rPr>
          <w:rFonts w:ascii="Times New Roman" w:eastAsia="Times New Roman" w:hAnsi="Times New Roman" w:cs="Times New Roman"/>
          <w:noProof/>
          <w:sz w:val="24"/>
        </w:rPr>
        <w:t>under</w:t>
      </w:r>
      <w:r w:rsidR="004A1FB2" w:rsidRPr="1D082E15">
        <w:rPr>
          <w:rFonts w:ascii="Times New Roman" w:eastAsia="Times New Roman" w:hAnsi="Times New Roman" w:cs="Times New Roman"/>
          <w:noProof/>
          <w:sz w:val="24"/>
        </w:rPr>
        <w:t xml:space="preserve"> </w:t>
      </w:r>
      <w:r w:rsidR="00400CC0">
        <w:rPr>
          <w:rFonts w:ascii="Times New Roman" w:eastAsia="Times New Roman" w:hAnsi="Times New Roman" w:cs="Times New Roman"/>
          <w:noProof/>
          <w:sz w:val="24"/>
        </w:rPr>
        <w:t>ecosystem-service dependency</w:t>
      </w:r>
      <w:r w:rsidR="004A1FB2" w:rsidRPr="1D082E15">
        <w:rPr>
          <w:rFonts w:ascii="Times New Roman" w:eastAsia="Times New Roman" w:hAnsi="Times New Roman" w:cs="Times New Roman"/>
          <w:noProof/>
          <w:sz w:val="24"/>
        </w:rPr>
        <w:t xml:space="preserve"> </w:t>
      </w:r>
      <w:r w:rsidR="002176CC">
        <w:rPr>
          <w:rFonts w:ascii="Times New Roman" w:eastAsia="Times New Roman" w:hAnsi="Times New Roman" w:cs="Times New Roman"/>
          <w:noProof/>
          <w:sz w:val="24"/>
        </w:rPr>
        <w:t xml:space="preserve">categories </w:t>
      </w:r>
      <w:r w:rsidR="004A1FB2" w:rsidRPr="1D082E15">
        <w:rPr>
          <w:rFonts w:ascii="Times New Roman" w:eastAsia="Times New Roman" w:hAnsi="Times New Roman" w:cs="Times New Roman"/>
          <w:noProof/>
          <w:sz w:val="24"/>
        </w:rPr>
        <w:t xml:space="preserve">shall therefore not be mutually exclusive, and the same exposure may be reported under multiple categories. The sum of exposures reported across individual </w:t>
      </w:r>
      <w:r w:rsidR="00400CC0">
        <w:rPr>
          <w:rFonts w:ascii="Times New Roman" w:eastAsia="Times New Roman" w:hAnsi="Times New Roman" w:cs="Times New Roman"/>
          <w:noProof/>
          <w:sz w:val="24"/>
        </w:rPr>
        <w:t xml:space="preserve">ecosystem-service dependencies </w:t>
      </w:r>
      <w:r w:rsidR="004A1FB2" w:rsidRPr="1D082E15">
        <w:rPr>
          <w:rFonts w:ascii="Times New Roman" w:eastAsia="Times New Roman" w:hAnsi="Times New Roman" w:cs="Times New Roman"/>
          <w:noProof/>
          <w:sz w:val="24"/>
        </w:rPr>
        <w:t xml:space="preserve">may exceed the total exposures subject to </w:t>
      </w:r>
      <w:r w:rsidR="004A1FB2">
        <w:rPr>
          <w:rFonts w:ascii="Times New Roman" w:eastAsia="Times New Roman" w:hAnsi="Times New Roman" w:cs="Times New Roman"/>
          <w:noProof/>
          <w:sz w:val="24"/>
        </w:rPr>
        <w:t>environmental</w:t>
      </w:r>
      <w:r w:rsidR="004A1FB2" w:rsidRPr="1D082E15">
        <w:rPr>
          <w:rFonts w:ascii="Times New Roman" w:eastAsia="Times New Roman" w:hAnsi="Times New Roman" w:cs="Times New Roman"/>
          <w:noProof/>
          <w:sz w:val="24"/>
        </w:rPr>
        <w:t xml:space="preserve"> risk</w:t>
      </w:r>
      <w:r w:rsidR="004A1FB2">
        <w:rPr>
          <w:rFonts w:ascii="Times New Roman" w:eastAsia="Times New Roman" w:hAnsi="Times New Roman" w:cs="Times New Roman"/>
          <w:noProof/>
          <w:sz w:val="24"/>
        </w:rPr>
        <w:t xml:space="preserve"> beyond climate</w:t>
      </w:r>
      <w:r w:rsidR="004A1FB2" w:rsidRPr="1D082E15">
        <w:rPr>
          <w:rFonts w:ascii="Times New Roman" w:eastAsia="Times New Roman" w:hAnsi="Times New Roman" w:cs="Times New Roman"/>
          <w:noProof/>
          <w:sz w:val="24"/>
        </w:rPr>
        <w:t>.</w:t>
      </w:r>
      <w:r w:rsidR="004A1FB2" w:rsidRPr="006E3F12">
        <w:rPr>
          <w:rFonts w:ascii="Times New Roman" w:hAnsi="Times New Roman"/>
          <w:sz w:val="24"/>
        </w:rPr>
        <w:t xml:space="preserve"> </w:t>
      </w:r>
    </w:p>
    <w:p w14:paraId="57DEDF21" w14:textId="52DB4E0D" w:rsidR="00DD5AEB" w:rsidRPr="00166EBA" w:rsidRDefault="00A91C33" w:rsidP="003500C5">
      <w:pPr>
        <w:pStyle w:val="ListParagraph"/>
        <w:numPr>
          <w:ilvl w:val="1"/>
          <w:numId w:val="21"/>
        </w:numPr>
        <w:jc w:val="both"/>
        <w:rPr>
          <w:rFonts w:ascii="Times New Roman" w:hAnsi="Times New Roman"/>
          <w:b/>
          <w:bCs/>
          <w:sz w:val="24"/>
        </w:rPr>
      </w:pPr>
      <w:r w:rsidRPr="00166EBA">
        <w:rPr>
          <w:rFonts w:ascii="Times New Roman" w:hAnsi="Times New Roman"/>
          <w:b/>
          <w:bCs/>
          <w:sz w:val="24"/>
        </w:rPr>
        <w:t>Columns (exposure amounts and credit quality metrics)</w:t>
      </w:r>
      <w:r w:rsidR="005B1A0C">
        <w:rPr>
          <w:rFonts w:ascii="Times New Roman" w:hAnsi="Times New Roman"/>
          <w:b/>
          <w:bCs/>
          <w:sz w:val="24"/>
        </w:rPr>
        <w:t>:</w:t>
      </w:r>
    </w:p>
    <w:p w14:paraId="413392CC" w14:textId="2D39A623" w:rsidR="005B1A0C" w:rsidRPr="00166EBA" w:rsidRDefault="005B1A0C" w:rsidP="003500C5">
      <w:pPr>
        <w:pStyle w:val="ListParagraph"/>
        <w:numPr>
          <w:ilvl w:val="2"/>
          <w:numId w:val="21"/>
        </w:numPr>
        <w:jc w:val="both"/>
        <w:rPr>
          <w:rFonts w:ascii="Times New Roman" w:hAnsi="Times New Roman"/>
          <w:b/>
          <w:bCs/>
          <w:sz w:val="24"/>
        </w:rPr>
      </w:pPr>
      <w:r>
        <w:rPr>
          <w:rFonts w:ascii="Times New Roman" w:hAnsi="Times New Roman"/>
          <w:b/>
          <w:sz w:val="24"/>
        </w:rPr>
        <w:t>Total e</w:t>
      </w:r>
      <w:r w:rsidRPr="00166EBA">
        <w:rPr>
          <w:rFonts w:ascii="Times New Roman" w:hAnsi="Times New Roman"/>
          <w:b/>
          <w:bCs/>
          <w:sz w:val="24"/>
        </w:rPr>
        <w:t xml:space="preserve">xposure amount: </w:t>
      </w:r>
    </w:p>
    <w:p w14:paraId="0216DDDA" w14:textId="047271FF" w:rsidR="005B1A0C" w:rsidRDefault="005B1A0C" w:rsidP="00166EBA">
      <w:pPr>
        <w:pStyle w:val="ListParagraph"/>
        <w:numPr>
          <w:ilvl w:val="3"/>
          <w:numId w:val="21"/>
        </w:numPr>
        <w:jc w:val="both"/>
        <w:rPr>
          <w:rFonts w:ascii="Times New Roman" w:hAnsi="Times New Roman"/>
          <w:sz w:val="24"/>
        </w:rPr>
      </w:pPr>
      <w:r w:rsidRPr="00166EBA">
        <w:rPr>
          <w:rFonts w:ascii="Times New Roman" w:hAnsi="Times New Roman"/>
          <w:sz w:val="24"/>
        </w:rPr>
        <w:t xml:space="preserve">Column </w:t>
      </w:r>
      <w:r w:rsidR="0069368A">
        <w:rPr>
          <w:rFonts w:ascii="Times New Roman" w:hAnsi="Times New Roman"/>
          <w:sz w:val="24"/>
        </w:rPr>
        <w:t>0010</w:t>
      </w:r>
      <w:r>
        <w:rPr>
          <w:rFonts w:ascii="Times New Roman" w:hAnsi="Times New Roman"/>
          <w:sz w:val="24"/>
        </w:rPr>
        <w:t xml:space="preserve"> </w:t>
      </w:r>
      <w:r w:rsidRPr="00166EBA">
        <w:rPr>
          <w:rFonts w:ascii="Times New Roman" w:hAnsi="Times New Roman"/>
          <w:sz w:val="24"/>
        </w:rPr>
        <w:t xml:space="preserve">reports the </w:t>
      </w:r>
      <w:r>
        <w:rPr>
          <w:rFonts w:ascii="Times New Roman" w:hAnsi="Times New Roman"/>
          <w:sz w:val="24"/>
        </w:rPr>
        <w:t xml:space="preserve">total </w:t>
      </w:r>
      <w:r w:rsidRPr="00166EBA">
        <w:rPr>
          <w:rFonts w:ascii="Times New Roman" w:hAnsi="Times New Roman"/>
          <w:sz w:val="24"/>
        </w:rPr>
        <w:t>exposure amount subject to environmental risks beyond climate</w:t>
      </w:r>
      <w:r w:rsidR="007B50AE">
        <w:rPr>
          <w:rFonts w:ascii="Times New Roman" w:hAnsi="Times New Roman"/>
          <w:sz w:val="24"/>
        </w:rPr>
        <w:t xml:space="preserve"> </w:t>
      </w:r>
      <w:r w:rsidR="00FC1BA5">
        <w:rPr>
          <w:rFonts w:ascii="Times New Roman" w:hAnsi="Times New Roman"/>
          <w:sz w:val="24"/>
        </w:rPr>
        <w:t>as per the respective z-axis</w:t>
      </w:r>
      <w:r w:rsidR="00D14930">
        <w:rPr>
          <w:rFonts w:ascii="Times New Roman" w:hAnsi="Times New Roman"/>
          <w:sz w:val="24"/>
        </w:rPr>
        <w:t>,</w:t>
      </w:r>
      <w:r w:rsidR="007B50AE">
        <w:rPr>
          <w:rFonts w:ascii="Times New Roman" w:hAnsi="Times New Roman"/>
          <w:sz w:val="24"/>
        </w:rPr>
        <w:t xml:space="preserve"> with a breakdown by environmental </w:t>
      </w:r>
      <w:r w:rsidR="00FD4546">
        <w:rPr>
          <w:rFonts w:ascii="Times New Roman" w:hAnsi="Times New Roman"/>
          <w:sz w:val="24"/>
        </w:rPr>
        <w:t>impact</w:t>
      </w:r>
      <w:r w:rsidR="007B50AE">
        <w:rPr>
          <w:rFonts w:ascii="Times New Roman" w:hAnsi="Times New Roman"/>
          <w:sz w:val="24"/>
        </w:rPr>
        <w:t xml:space="preserve"> driver (row 00</w:t>
      </w:r>
      <w:r w:rsidR="00FC1BA5">
        <w:rPr>
          <w:rFonts w:ascii="Times New Roman" w:hAnsi="Times New Roman"/>
          <w:sz w:val="24"/>
        </w:rPr>
        <w:t>2</w:t>
      </w:r>
      <w:r w:rsidR="007B50AE">
        <w:rPr>
          <w:rFonts w:ascii="Times New Roman" w:hAnsi="Times New Roman"/>
          <w:sz w:val="24"/>
        </w:rPr>
        <w:t>0 to 00</w:t>
      </w:r>
      <w:r w:rsidR="00FC1BA5">
        <w:rPr>
          <w:rFonts w:ascii="Times New Roman" w:hAnsi="Times New Roman"/>
          <w:sz w:val="24"/>
        </w:rPr>
        <w:t>6</w:t>
      </w:r>
      <w:r w:rsidR="007B50AE">
        <w:rPr>
          <w:rFonts w:ascii="Times New Roman" w:hAnsi="Times New Roman"/>
          <w:sz w:val="24"/>
        </w:rPr>
        <w:t xml:space="preserve">0) and by ecosystem-service dependency (row </w:t>
      </w:r>
      <w:r w:rsidR="00F413A2">
        <w:rPr>
          <w:rFonts w:ascii="Times New Roman" w:hAnsi="Times New Roman"/>
          <w:sz w:val="24"/>
        </w:rPr>
        <w:t>00</w:t>
      </w:r>
      <w:r w:rsidR="00FD4546">
        <w:rPr>
          <w:rFonts w:ascii="Times New Roman" w:hAnsi="Times New Roman"/>
          <w:sz w:val="24"/>
        </w:rPr>
        <w:t>7</w:t>
      </w:r>
      <w:r w:rsidR="00F413A2">
        <w:rPr>
          <w:rFonts w:ascii="Times New Roman" w:hAnsi="Times New Roman"/>
          <w:sz w:val="24"/>
        </w:rPr>
        <w:t xml:space="preserve">0 to </w:t>
      </w:r>
      <w:r w:rsidR="0066096B">
        <w:rPr>
          <w:rFonts w:ascii="Times New Roman" w:hAnsi="Times New Roman"/>
          <w:sz w:val="24"/>
        </w:rPr>
        <w:t>0</w:t>
      </w:r>
      <w:r w:rsidR="00354867">
        <w:rPr>
          <w:rFonts w:ascii="Times New Roman" w:hAnsi="Times New Roman"/>
          <w:sz w:val="24"/>
        </w:rPr>
        <w:t>12</w:t>
      </w:r>
      <w:r w:rsidR="0066096B">
        <w:rPr>
          <w:rFonts w:ascii="Times New Roman" w:hAnsi="Times New Roman"/>
          <w:sz w:val="24"/>
        </w:rPr>
        <w:t>0).</w:t>
      </w:r>
    </w:p>
    <w:p w14:paraId="57E3BE6B" w14:textId="77777777" w:rsidR="005B1A0C" w:rsidRPr="0018235A" w:rsidRDefault="005B1A0C" w:rsidP="003500C5">
      <w:pPr>
        <w:pStyle w:val="ListParagraph"/>
        <w:numPr>
          <w:ilvl w:val="2"/>
          <w:numId w:val="21"/>
        </w:numPr>
        <w:jc w:val="both"/>
        <w:rPr>
          <w:rFonts w:ascii="Times New Roman" w:hAnsi="Times New Roman"/>
          <w:b/>
          <w:bCs/>
          <w:sz w:val="24"/>
        </w:rPr>
      </w:pPr>
      <w:r w:rsidRPr="0018235A">
        <w:rPr>
          <w:rFonts w:ascii="Times New Roman" w:hAnsi="Times New Roman"/>
          <w:b/>
          <w:bCs/>
          <w:sz w:val="24"/>
        </w:rPr>
        <w:t>Credit quality metrics:</w:t>
      </w:r>
    </w:p>
    <w:p w14:paraId="25620CF2" w14:textId="3ADD5696" w:rsidR="005B1A0C" w:rsidRPr="0018235A" w:rsidRDefault="005B1A0C" w:rsidP="00166EBA">
      <w:pPr>
        <w:pStyle w:val="ListParagraph"/>
        <w:ind w:left="2160"/>
        <w:jc w:val="both"/>
        <w:rPr>
          <w:rFonts w:ascii="Times New Roman" w:hAnsi="Times New Roman"/>
          <w:sz w:val="24"/>
        </w:rPr>
      </w:pPr>
      <w:r w:rsidRPr="0018235A">
        <w:rPr>
          <w:rFonts w:ascii="Times New Roman" w:hAnsi="Times New Roman"/>
          <w:sz w:val="24"/>
        </w:rPr>
        <w:t xml:space="preserve">Institutions shall also report the following metrics, consistent with FINREP and </w:t>
      </w:r>
      <w:r w:rsidR="00EF7016" w:rsidRPr="0018235A">
        <w:rPr>
          <w:rFonts w:ascii="Times New Roman" w:hAnsi="Times New Roman"/>
          <w:sz w:val="24"/>
        </w:rPr>
        <w:t>ESG</w:t>
      </w:r>
      <w:r w:rsidRPr="0018235A">
        <w:rPr>
          <w:rFonts w:ascii="Times New Roman" w:hAnsi="Times New Roman"/>
          <w:sz w:val="24"/>
        </w:rPr>
        <w:t xml:space="preserve"> Pillar 3</w:t>
      </w:r>
      <w:r w:rsidR="00EF7016" w:rsidRPr="0018235A">
        <w:rPr>
          <w:rFonts w:ascii="Times New Roman" w:hAnsi="Times New Roman"/>
          <w:sz w:val="24"/>
        </w:rPr>
        <w:t xml:space="preserve"> disclosure</w:t>
      </w:r>
      <w:r w:rsidR="00FA0920" w:rsidRPr="0018235A">
        <w:rPr>
          <w:rFonts w:ascii="Times New Roman" w:hAnsi="Times New Roman"/>
          <w:sz w:val="24"/>
        </w:rPr>
        <w:t>s</w:t>
      </w:r>
      <w:r w:rsidRPr="0018235A">
        <w:rPr>
          <w:rFonts w:ascii="Times New Roman" w:hAnsi="Times New Roman"/>
          <w:sz w:val="24"/>
        </w:rPr>
        <w:t>:</w:t>
      </w:r>
    </w:p>
    <w:p w14:paraId="20CA231C" w14:textId="014DE070" w:rsidR="005B1A0C" w:rsidRPr="0018235A" w:rsidRDefault="005B1A0C" w:rsidP="003500C5">
      <w:pPr>
        <w:pStyle w:val="ListParagraph"/>
        <w:numPr>
          <w:ilvl w:val="3"/>
          <w:numId w:val="21"/>
        </w:numPr>
        <w:jc w:val="both"/>
        <w:rPr>
          <w:rFonts w:ascii="Times New Roman" w:hAnsi="Times New Roman"/>
          <w:sz w:val="24"/>
        </w:rPr>
      </w:pPr>
      <w:r w:rsidRPr="0018235A">
        <w:rPr>
          <w:rFonts w:ascii="Times New Roman" w:hAnsi="Times New Roman"/>
          <w:sz w:val="24"/>
        </w:rPr>
        <w:t xml:space="preserve">In Column </w:t>
      </w:r>
      <w:r w:rsidR="009F7D52" w:rsidRPr="0018235A">
        <w:rPr>
          <w:rFonts w:ascii="Times New Roman" w:hAnsi="Times New Roman"/>
          <w:sz w:val="24"/>
        </w:rPr>
        <w:t>0020</w:t>
      </w:r>
      <w:r w:rsidRPr="0018235A">
        <w:rPr>
          <w:rFonts w:ascii="Times New Roman" w:hAnsi="Times New Roman"/>
          <w:sz w:val="24"/>
        </w:rPr>
        <w:t>, Stage 2 exposures</w:t>
      </w:r>
      <w:r w:rsidR="00047757" w:rsidRPr="0018235A">
        <w:rPr>
          <w:rFonts w:ascii="Times New Roman" w:hAnsi="Times New Roman"/>
          <w:sz w:val="24"/>
        </w:rPr>
        <w:t>,</w:t>
      </w:r>
    </w:p>
    <w:p w14:paraId="619F6668" w14:textId="56EDB80D" w:rsidR="0C0AA4B6" w:rsidRPr="009133CD" w:rsidRDefault="005B1A0C" w:rsidP="0018235A">
      <w:pPr>
        <w:pStyle w:val="ListParagraph"/>
        <w:numPr>
          <w:ilvl w:val="3"/>
          <w:numId w:val="21"/>
        </w:numPr>
        <w:jc w:val="both"/>
        <w:rPr>
          <w:rFonts w:ascii="Times New Roman" w:hAnsi="Times New Roman"/>
          <w:sz w:val="24"/>
        </w:rPr>
      </w:pPr>
      <w:r w:rsidRPr="0018235A">
        <w:rPr>
          <w:rFonts w:ascii="Times New Roman" w:hAnsi="Times New Roman"/>
          <w:sz w:val="24"/>
          <w:szCs w:val="24"/>
        </w:rPr>
        <w:t>I</w:t>
      </w:r>
      <w:r w:rsidRPr="0018235A">
        <w:rPr>
          <w:rFonts w:ascii="Times New Roman" w:hAnsi="Times New Roman"/>
          <w:sz w:val="24"/>
        </w:rPr>
        <w:t xml:space="preserve">n Column </w:t>
      </w:r>
      <w:r w:rsidR="00047757" w:rsidRPr="0018235A">
        <w:rPr>
          <w:rFonts w:ascii="Times New Roman" w:hAnsi="Times New Roman"/>
          <w:sz w:val="24"/>
        </w:rPr>
        <w:t>0030</w:t>
      </w:r>
      <w:r w:rsidR="003D76B0" w:rsidRPr="0018235A">
        <w:rPr>
          <w:rFonts w:ascii="Times New Roman" w:hAnsi="Times New Roman"/>
          <w:sz w:val="24"/>
        </w:rPr>
        <w:t xml:space="preserve">, </w:t>
      </w:r>
      <w:r w:rsidR="79AD24E8" w:rsidRPr="0018235A">
        <w:rPr>
          <w:rFonts w:ascii="Times New Roman" w:hAnsi="Times New Roman"/>
          <w:sz w:val="24"/>
        </w:rPr>
        <w:t>Non-Performing exposure</w:t>
      </w:r>
      <w:r w:rsidR="00047757" w:rsidRPr="0018235A">
        <w:rPr>
          <w:rFonts w:ascii="Times New Roman" w:hAnsi="Times New Roman"/>
          <w:sz w:val="24"/>
        </w:rPr>
        <w:t>,</w:t>
      </w:r>
    </w:p>
    <w:p w14:paraId="55CF7FDD" w14:textId="2CD78802" w:rsidR="005B1A0C" w:rsidRPr="0018235A" w:rsidRDefault="005B1A0C" w:rsidP="00166EBA">
      <w:pPr>
        <w:pStyle w:val="ListParagraph"/>
        <w:numPr>
          <w:ilvl w:val="3"/>
          <w:numId w:val="21"/>
        </w:numPr>
        <w:jc w:val="both"/>
        <w:rPr>
          <w:rFonts w:ascii="Times New Roman" w:hAnsi="Times New Roman"/>
          <w:sz w:val="24"/>
        </w:rPr>
      </w:pPr>
      <w:r w:rsidRPr="0018235A">
        <w:rPr>
          <w:rFonts w:ascii="Times New Roman" w:hAnsi="Times New Roman"/>
          <w:sz w:val="24"/>
        </w:rPr>
        <w:t>In Colum</w:t>
      </w:r>
      <w:r w:rsidR="00047757" w:rsidRPr="0018235A">
        <w:rPr>
          <w:rFonts w:ascii="Times New Roman" w:hAnsi="Times New Roman"/>
          <w:sz w:val="24"/>
        </w:rPr>
        <w:t xml:space="preserve">ns </w:t>
      </w:r>
      <w:r w:rsidR="0044673C" w:rsidRPr="0018235A">
        <w:rPr>
          <w:rFonts w:ascii="Times New Roman" w:hAnsi="Times New Roman"/>
          <w:sz w:val="24"/>
        </w:rPr>
        <w:t>0040-006</w:t>
      </w:r>
      <w:r w:rsidR="00371674">
        <w:rPr>
          <w:rFonts w:ascii="Times New Roman" w:hAnsi="Times New Roman"/>
          <w:sz w:val="24"/>
        </w:rPr>
        <w:t>0</w:t>
      </w:r>
      <w:r w:rsidRPr="0018235A">
        <w:rPr>
          <w:rFonts w:ascii="Times New Roman" w:hAnsi="Times New Roman"/>
          <w:sz w:val="24"/>
        </w:rPr>
        <w:t>, accumulated impairment / accumulated negative changes in fair value due to credit risk</w:t>
      </w:r>
      <w:r w:rsidR="00047757" w:rsidRPr="0018235A">
        <w:rPr>
          <w:rFonts w:ascii="Times New Roman" w:hAnsi="Times New Roman"/>
          <w:sz w:val="24"/>
        </w:rPr>
        <w:t>.</w:t>
      </w:r>
    </w:p>
    <w:p w14:paraId="3E809066" w14:textId="638990D0" w:rsidR="00A91C33" w:rsidRDefault="00A91C33" w:rsidP="005B1A0C">
      <w:pPr>
        <w:pStyle w:val="ListParagraph"/>
        <w:ind w:left="2160"/>
        <w:jc w:val="both"/>
        <w:rPr>
          <w:rFonts w:ascii="Times New Roman" w:hAnsi="Times New Roman"/>
          <w:sz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513"/>
      </w:tblGrid>
      <w:tr w:rsidR="00D92FE1" w:rsidRPr="00E50FA4" w14:paraId="3D41B35B" w14:textId="77777777" w:rsidTr="00166EBA">
        <w:trPr>
          <w:trHeight w:val="238"/>
        </w:trPr>
        <w:tc>
          <w:tcPr>
            <w:tcW w:w="1271" w:type="dxa"/>
            <w:shd w:val="clear" w:color="auto" w:fill="D9D9D9" w:themeFill="background1" w:themeFillShade="D9"/>
          </w:tcPr>
          <w:p w14:paraId="0EF1A66C" w14:textId="77777777" w:rsidR="00D92FE1" w:rsidRPr="00166EBA" w:rsidRDefault="00D92FE1">
            <w:pPr>
              <w:autoSpaceDE w:val="0"/>
              <w:autoSpaceDN w:val="0"/>
              <w:adjustRightInd w:val="0"/>
              <w:jc w:val="both"/>
              <w:rPr>
                <w:rFonts w:ascii="Times New Roman" w:hAnsi="Times New Roman" w:cs="Times New Roman"/>
                <w:b/>
                <w:sz w:val="24"/>
              </w:rPr>
            </w:pPr>
            <w:r w:rsidRPr="00166EBA">
              <w:rPr>
                <w:rFonts w:ascii="Times New Roman" w:hAnsi="Times New Roman" w:cs="Times New Roman"/>
                <w:b/>
                <w:sz w:val="24"/>
              </w:rPr>
              <w:t>Columns</w:t>
            </w:r>
          </w:p>
        </w:tc>
        <w:tc>
          <w:tcPr>
            <w:tcW w:w="7513" w:type="dxa"/>
            <w:shd w:val="clear" w:color="auto" w:fill="D9D9D9" w:themeFill="background1" w:themeFillShade="D9"/>
          </w:tcPr>
          <w:p w14:paraId="678A3C8C" w14:textId="77777777" w:rsidR="00D92FE1" w:rsidRPr="00166EBA" w:rsidRDefault="00D92FE1">
            <w:pPr>
              <w:autoSpaceDE w:val="0"/>
              <w:autoSpaceDN w:val="0"/>
              <w:adjustRightInd w:val="0"/>
              <w:jc w:val="both"/>
              <w:rPr>
                <w:rFonts w:ascii="Times New Roman" w:hAnsi="Times New Roman" w:cs="Times New Roman"/>
                <w:b/>
                <w:color w:val="000000"/>
                <w:sz w:val="24"/>
              </w:rPr>
            </w:pPr>
            <w:r w:rsidRPr="00166EBA">
              <w:rPr>
                <w:rFonts w:ascii="Times New Roman" w:hAnsi="Times New Roman" w:cs="Times New Roman"/>
                <w:b/>
                <w:sz w:val="24"/>
              </w:rPr>
              <w:t>Instructions</w:t>
            </w:r>
          </w:p>
        </w:tc>
      </w:tr>
      <w:tr w:rsidR="00D92FE1" w:rsidRPr="00E50FA4" w14:paraId="00D17E3A" w14:textId="77777777" w:rsidTr="00166EBA">
        <w:trPr>
          <w:trHeight w:val="316"/>
        </w:trPr>
        <w:tc>
          <w:tcPr>
            <w:tcW w:w="1271" w:type="dxa"/>
          </w:tcPr>
          <w:p w14:paraId="5D42426C" w14:textId="088F1024" w:rsidR="00D92FE1" w:rsidRPr="00E50FA4" w:rsidRDefault="00A94F75">
            <w:pPr>
              <w:autoSpaceDE w:val="0"/>
              <w:autoSpaceDN w:val="0"/>
              <w:adjustRightInd w:val="0"/>
              <w:jc w:val="both"/>
              <w:rPr>
                <w:rFonts w:ascii="Times New Roman" w:eastAsia="Times New Roman" w:hAnsi="Times New Roman" w:cs="Times New Roman"/>
                <w:noProof/>
                <w:sz w:val="24"/>
              </w:rPr>
            </w:pPr>
            <w:r>
              <w:rPr>
                <w:rFonts w:ascii="Times New Roman" w:eastAsia="Times New Roman" w:hAnsi="Times New Roman" w:cs="Times New Roman"/>
                <w:noProof/>
                <w:sz w:val="24"/>
              </w:rPr>
              <w:t>0010</w:t>
            </w:r>
          </w:p>
        </w:tc>
        <w:tc>
          <w:tcPr>
            <w:tcW w:w="7513" w:type="dxa"/>
          </w:tcPr>
          <w:p w14:paraId="51FB102F" w14:textId="10ED074A" w:rsidR="00D92FE1" w:rsidRPr="00E50FA4" w:rsidRDefault="00A94F75">
            <w:pPr>
              <w:spacing w:before="120" w:after="120"/>
              <w:jc w:val="both"/>
              <w:rPr>
                <w:rFonts w:ascii="Times New Roman" w:eastAsia="Times New Roman" w:hAnsi="Times New Roman" w:cs="Times New Roman"/>
                <w:b/>
                <w:bCs/>
                <w:noProof/>
                <w:sz w:val="24"/>
                <w:u w:val="single"/>
              </w:rPr>
            </w:pPr>
            <w:r>
              <w:rPr>
                <w:rFonts w:ascii="Times New Roman" w:eastAsia="Times New Roman" w:hAnsi="Times New Roman" w:cs="Times New Roman"/>
                <w:b/>
                <w:bCs/>
                <w:noProof/>
                <w:sz w:val="24"/>
                <w:u w:val="single"/>
              </w:rPr>
              <w:t xml:space="preserve">Gross carrying amount - </w:t>
            </w:r>
            <w:r w:rsidR="00D92FE1" w:rsidRPr="1D082E15">
              <w:rPr>
                <w:rFonts w:ascii="Times New Roman" w:eastAsia="Times New Roman" w:hAnsi="Times New Roman" w:cs="Times New Roman"/>
                <w:b/>
                <w:bCs/>
                <w:noProof/>
                <w:sz w:val="24"/>
                <w:u w:val="single"/>
              </w:rPr>
              <w:t xml:space="preserve">exposures </w:t>
            </w:r>
            <w:r w:rsidR="006104C8">
              <w:rPr>
                <w:rFonts w:ascii="Times New Roman" w:eastAsia="Times New Roman" w:hAnsi="Times New Roman" w:cs="Times New Roman"/>
                <w:b/>
                <w:bCs/>
                <w:noProof/>
                <w:sz w:val="24"/>
                <w:u w:val="single"/>
              </w:rPr>
              <w:t xml:space="preserve">subject </w:t>
            </w:r>
            <w:r w:rsidR="00D92FE1" w:rsidRPr="1D082E15">
              <w:rPr>
                <w:rFonts w:ascii="Times New Roman" w:eastAsia="Times New Roman" w:hAnsi="Times New Roman" w:cs="Times New Roman"/>
                <w:b/>
                <w:bCs/>
                <w:noProof/>
                <w:sz w:val="24"/>
                <w:u w:val="single"/>
              </w:rPr>
              <w:t xml:space="preserve">to </w:t>
            </w:r>
            <w:r w:rsidR="006104C8">
              <w:rPr>
                <w:rFonts w:ascii="Times New Roman" w:eastAsia="Times New Roman" w:hAnsi="Times New Roman" w:cs="Times New Roman"/>
                <w:b/>
                <w:bCs/>
                <w:noProof/>
                <w:sz w:val="24"/>
                <w:u w:val="single"/>
              </w:rPr>
              <w:t>environmental</w:t>
            </w:r>
            <w:r w:rsidR="00D92FE1" w:rsidRPr="1D082E15">
              <w:rPr>
                <w:rFonts w:ascii="Times New Roman" w:eastAsia="Times New Roman" w:hAnsi="Times New Roman" w:cs="Times New Roman"/>
                <w:b/>
                <w:bCs/>
                <w:noProof/>
                <w:sz w:val="24"/>
                <w:u w:val="single"/>
              </w:rPr>
              <w:t xml:space="preserve"> risk</w:t>
            </w:r>
            <w:r w:rsidR="006104C8">
              <w:rPr>
                <w:rFonts w:ascii="Times New Roman" w:eastAsia="Times New Roman" w:hAnsi="Times New Roman" w:cs="Times New Roman"/>
                <w:b/>
                <w:bCs/>
                <w:noProof/>
                <w:sz w:val="24"/>
                <w:u w:val="single"/>
              </w:rPr>
              <w:t>s beyond climate</w:t>
            </w:r>
            <w:r w:rsidR="00D92FE1" w:rsidRPr="1D082E15">
              <w:rPr>
                <w:rFonts w:ascii="Times New Roman" w:eastAsia="Times New Roman" w:hAnsi="Times New Roman" w:cs="Times New Roman"/>
                <w:b/>
                <w:bCs/>
                <w:noProof/>
                <w:sz w:val="24"/>
                <w:u w:val="single"/>
              </w:rPr>
              <w:t xml:space="preserve"> </w:t>
            </w:r>
          </w:p>
          <w:p w14:paraId="27A8CAF2" w14:textId="2F855E78" w:rsidR="00D92FE1" w:rsidRDefault="00D92FE1" w:rsidP="47C00354">
            <w:pPr>
              <w:spacing w:before="120" w:after="120"/>
              <w:jc w:val="both"/>
              <w:rPr>
                <w:rFonts w:ascii="Times New Roman" w:hAnsi="Times New Roman" w:cs="Times New Roman"/>
                <w:sz w:val="24"/>
                <w:szCs w:val="24"/>
              </w:rPr>
            </w:pPr>
            <w:r w:rsidRPr="47C00354">
              <w:rPr>
                <w:rFonts w:ascii="Times New Roman" w:hAnsi="Times New Roman" w:cs="Times New Roman"/>
                <w:sz w:val="24"/>
                <w:szCs w:val="24"/>
              </w:rPr>
              <w:t xml:space="preserve">Institutions shall </w:t>
            </w:r>
            <w:r w:rsidR="2B4B5362" w:rsidRPr="2488E1D9">
              <w:rPr>
                <w:rFonts w:ascii="Times New Roman" w:hAnsi="Times New Roman" w:cs="Times New Roman"/>
                <w:noProof/>
                <w:sz w:val="24"/>
                <w:szCs w:val="24"/>
              </w:rPr>
              <w:t xml:space="preserve">report </w:t>
            </w:r>
            <w:r w:rsidRPr="2488E1D9">
              <w:rPr>
                <w:rFonts w:ascii="Times New Roman" w:hAnsi="Times New Roman" w:cs="Times New Roman"/>
                <w:sz w:val="24"/>
                <w:szCs w:val="24"/>
              </w:rPr>
              <w:t>the</w:t>
            </w:r>
            <w:r w:rsidRPr="47C00354">
              <w:rPr>
                <w:rFonts w:ascii="Times New Roman" w:hAnsi="Times New Roman" w:cs="Times New Roman"/>
                <w:sz w:val="24"/>
                <w:szCs w:val="24"/>
              </w:rPr>
              <w:t xml:space="preserve"> gross carrying amount of </w:t>
            </w:r>
            <w:r w:rsidR="001F4C83" w:rsidRPr="47C00354">
              <w:rPr>
                <w:rFonts w:ascii="Times New Roman" w:hAnsi="Times New Roman" w:cs="Times New Roman"/>
                <w:sz w:val="24"/>
                <w:szCs w:val="24"/>
              </w:rPr>
              <w:t xml:space="preserve">non-financial corporates </w:t>
            </w:r>
            <w:r w:rsidRPr="47C00354">
              <w:rPr>
                <w:rFonts w:ascii="Times New Roman" w:hAnsi="Times New Roman" w:cs="Times New Roman"/>
                <w:sz w:val="24"/>
                <w:szCs w:val="24"/>
              </w:rPr>
              <w:t xml:space="preserve">exposures subject to </w:t>
            </w:r>
            <w:r w:rsidR="00A115FB" w:rsidRPr="47C00354">
              <w:rPr>
                <w:rFonts w:ascii="Times New Roman" w:hAnsi="Times New Roman" w:cs="Times New Roman"/>
                <w:sz w:val="24"/>
                <w:szCs w:val="24"/>
              </w:rPr>
              <w:t>environmental risks beyond climate change</w:t>
            </w:r>
            <w:r w:rsidRPr="47C00354">
              <w:rPr>
                <w:rFonts w:ascii="Times New Roman" w:hAnsi="Times New Roman" w:cs="Times New Roman"/>
                <w:sz w:val="24"/>
                <w:szCs w:val="24"/>
              </w:rPr>
              <w:t xml:space="preserve">, </w:t>
            </w:r>
            <w:r w:rsidR="00FD4971" w:rsidRPr="47C00354">
              <w:rPr>
                <w:rFonts w:ascii="Times New Roman" w:hAnsi="Times New Roman" w:cs="Times New Roman"/>
                <w:sz w:val="24"/>
                <w:szCs w:val="24"/>
              </w:rPr>
              <w:t xml:space="preserve">including </w:t>
            </w:r>
            <w:proofErr w:type="gramStart"/>
            <w:r w:rsidR="00FD4971" w:rsidRPr="47C00354">
              <w:rPr>
                <w:rFonts w:ascii="Times New Roman" w:hAnsi="Times New Roman" w:cs="Times New Roman"/>
                <w:sz w:val="24"/>
                <w:szCs w:val="24"/>
              </w:rPr>
              <w:t xml:space="preserve">by </w:t>
            </w:r>
            <w:r w:rsidR="00F10E44" w:rsidRPr="47C00354">
              <w:rPr>
                <w:rFonts w:ascii="Times New Roman" w:hAnsi="Times New Roman" w:cs="Times New Roman"/>
                <w:sz w:val="24"/>
                <w:szCs w:val="24"/>
              </w:rPr>
              <w:t xml:space="preserve"> </w:t>
            </w:r>
            <w:r w:rsidR="00E94364" w:rsidRPr="47C00354">
              <w:rPr>
                <w:rFonts w:ascii="Times New Roman" w:hAnsi="Times New Roman" w:cs="Times New Roman"/>
                <w:sz w:val="24"/>
                <w:szCs w:val="24"/>
              </w:rPr>
              <w:t>geographical</w:t>
            </w:r>
            <w:proofErr w:type="gramEnd"/>
            <w:r w:rsidR="00E94364" w:rsidRPr="47C00354">
              <w:rPr>
                <w:rFonts w:ascii="Times New Roman" w:hAnsi="Times New Roman" w:cs="Times New Roman"/>
                <w:sz w:val="24"/>
                <w:szCs w:val="24"/>
              </w:rPr>
              <w:t xml:space="preserve"> </w:t>
            </w:r>
            <w:r w:rsidR="00324706" w:rsidRPr="47C00354">
              <w:rPr>
                <w:rFonts w:ascii="Times New Roman" w:hAnsi="Times New Roman" w:cs="Times New Roman"/>
                <w:sz w:val="24"/>
                <w:szCs w:val="24"/>
              </w:rPr>
              <w:t>area</w:t>
            </w:r>
            <w:r w:rsidR="00521FEB" w:rsidRPr="47C00354">
              <w:rPr>
                <w:rFonts w:ascii="Times New Roman" w:hAnsi="Times New Roman" w:cs="Times New Roman"/>
                <w:sz w:val="24"/>
                <w:szCs w:val="24"/>
              </w:rPr>
              <w:t>.</w:t>
            </w:r>
            <w:r w:rsidRPr="47C00354">
              <w:rPr>
                <w:rFonts w:ascii="Times New Roman" w:hAnsi="Times New Roman" w:cs="Times New Roman"/>
                <w:sz w:val="24"/>
                <w:szCs w:val="24"/>
              </w:rPr>
              <w:t xml:space="preserve"> </w:t>
            </w:r>
          </w:p>
          <w:p w14:paraId="456700F7" w14:textId="6FB2B283" w:rsidR="00EA5F99" w:rsidRDefault="00F04F7C" w:rsidP="0076075A">
            <w:pPr>
              <w:autoSpaceDE w:val="0"/>
              <w:autoSpaceDN w:val="0"/>
              <w:adjustRightInd w:val="0"/>
              <w:spacing w:before="120" w:after="120"/>
              <w:jc w:val="both"/>
              <w:rPr>
                <w:rFonts w:ascii="Times New Roman" w:hAnsi="Times New Roman" w:cs="Times New Roman"/>
                <w:noProof/>
                <w:sz w:val="24"/>
              </w:rPr>
            </w:pPr>
            <w:r>
              <w:rPr>
                <w:rFonts w:ascii="Times New Roman" w:hAnsi="Times New Roman" w:cs="Times New Roman"/>
                <w:noProof/>
                <w:sz w:val="24"/>
              </w:rPr>
              <w:t>I</w:t>
            </w:r>
            <w:r w:rsidR="00115843">
              <w:rPr>
                <w:rFonts w:ascii="Times New Roman" w:hAnsi="Times New Roman" w:cs="Times New Roman"/>
                <w:noProof/>
                <w:sz w:val="24"/>
              </w:rPr>
              <w:t>nstitutions shall identify exposures subject to environmental risks beyond climat</w:t>
            </w:r>
            <w:r w:rsidR="00115843">
              <w:rPr>
                <w:rFonts w:ascii="Times New Roman" w:hAnsi="Times New Roman"/>
                <w:sz w:val="24"/>
              </w:rPr>
              <w:t xml:space="preserve">e in relation to the main activities of the counterparty. </w:t>
            </w:r>
            <w:r w:rsidR="00EA5F99">
              <w:rPr>
                <w:rFonts w:ascii="Times New Roman" w:hAnsi="Times New Roman"/>
                <w:sz w:val="24"/>
              </w:rPr>
              <w:t xml:space="preserve">For </w:t>
            </w:r>
            <w:r w:rsidR="00EA5F99" w:rsidRPr="000805D0">
              <w:rPr>
                <w:rFonts w:ascii="Times New Roman" w:hAnsi="Times New Roman"/>
                <w:sz w:val="24"/>
              </w:rPr>
              <w:t>the purpose of this template, exposures</w:t>
            </w:r>
            <w:r w:rsidR="00EA5F99">
              <w:rPr>
                <w:rFonts w:ascii="Times New Roman" w:hAnsi="Times New Roman"/>
                <w:sz w:val="24"/>
              </w:rPr>
              <w:t xml:space="preserve"> subject to environmental risk beyond climate</w:t>
            </w:r>
            <w:r w:rsidR="00EA5F99" w:rsidRPr="000805D0">
              <w:rPr>
                <w:rFonts w:ascii="Times New Roman" w:hAnsi="Times New Roman"/>
                <w:sz w:val="24"/>
              </w:rPr>
              <w:t xml:space="preserve"> shall be understood as those identified by institutions as </w:t>
            </w:r>
            <w:r w:rsidR="00EA5F99" w:rsidRPr="009E4E51">
              <w:rPr>
                <w:rFonts w:ascii="Times New Roman" w:hAnsi="Times New Roman"/>
                <w:sz w:val="24"/>
              </w:rPr>
              <w:t>subject to material environmental risks beyond climate</w:t>
            </w:r>
            <w:r w:rsidR="00EA5F99" w:rsidRPr="000805D0">
              <w:rPr>
                <w:rFonts w:ascii="Times New Roman" w:hAnsi="Times New Roman"/>
                <w:sz w:val="24"/>
              </w:rPr>
              <w:t>, based on either (</w:t>
            </w:r>
            <w:proofErr w:type="spellStart"/>
            <w:r w:rsidR="00EA5F99" w:rsidRPr="000805D0">
              <w:rPr>
                <w:rFonts w:ascii="Times New Roman" w:hAnsi="Times New Roman"/>
                <w:sz w:val="24"/>
              </w:rPr>
              <w:t>i</w:t>
            </w:r>
            <w:proofErr w:type="spellEnd"/>
            <w:r w:rsidR="00EA5F99" w:rsidRPr="000805D0">
              <w:rPr>
                <w:rFonts w:ascii="Times New Roman" w:hAnsi="Times New Roman"/>
                <w:sz w:val="24"/>
              </w:rPr>
              <w:t>) the extent to which a counterparty’s activities contribute to pressures on nature — such as land or freshwater use change, pollution, overexploitation of natural resources, or the introduction of invasive species — or (ii) the extent to which a counterparty relies on natural systems for the continuity of its operations, including dependencies on water supply, provisioning ecosystem services, regulating</w:t>
            </w:r>
            <w:r w:rsidR="00EA5F99">
              <w:rPr>
                <w:rFonts w:ascii="Times New Roman" w:hAnsi="Times New Roman"/>
                <w:sz w:val="24"/>
              </w:rPr>
              <w:t xml:space="preserve"> and/or supporting</w:t>
            </w:r>
            <w:r w:rsidR="00EA5F99" w:rsidRPr="000805D0">
              <w:rPr>
                <w:rFonts w:ascii="Times New Roman" w:hAnsi="Times New Roman"/>
                <w:sz w:val="24"/>
              </w:rPr>
              <w:t xml:space="preserve"> ecosystem services or cultural ecosystem services.</w:t>
            </w:r>
            <w:r w:rsidR="00EA5F99" w:rsidRPr="000805D0">
              <w:rPr>
                <w:rFonts w:ascii="Times New Roman" w:hAnsi="Times New Roman"/>
                <w:sz w:val="24"/>
              </w:rPr>
              <w:br/>
              <w:t>These exposures shall be reported irrespective of the expected level of loss.</w:t>
            </w:r>
          </w:p>
          <w:p w14:paraId="4851AFC9" w14:textId="27B75EA0" w:rsidR="00D92FE1" w:rsidRPr="00E50FA4" w:rsidRDefault="00D92FE1">
            <w:pPr>
              <w:autoSpaceDE w:val="0"/>
              <w:autoSpaceDN w:val="0"/>
              <w:adjustRightInd w:val="0"/>
              <w:spacing w:before="120" w:after="120"/>
              <w:jc w:val="both"/>
              <w:rPr>
                <w:rFonts w:ascii="Times New Roman" w:hAnsi="Times New Roman" w:cs="Times New Roman"/>
                <w:noProof/>
                <w:sz w:val="24"/>
              </w:rPr>
            </w:pPr>
            <w:r>
              <w:rPr>
                <w:rFonts w:ascii="Times New Roman" w:hAnsi="Times New Roman" w:cs="Times New Roman"/>
                <w:noProof/>
                <w:sz w:val="24"/>
              </w:rPr>
              <w:t xml:space="preserve">The identification of exposures subject to </w:t>
            </w:r>
            <w:r w:rsidR="00521FEB">
              <w:rPr>
                <w:rFonts w:ascii="Times New Roman" w:hAnsi="Times New Roman" w:cs="Times New Roman"/>
                <w:noProof/>
                <w:sz w:val="24"/>
              </w:rPr>
              <w:t>environmental risks beyond climate</w:t>
            </w:r>
            <w:r>
              <w:rPr>
                <w:rFonts w:ascii="Times New Roman" w:hAnsi="Times New Roman" w:cs="Times New Roman"/>
                <w:noProof/>
                <w:sz w:val="24"/>
              </w:rPr>
              <w:t xml:space="preserve"> shall be carried out at the highest possible granularity level, in accordance with </w:t>
            </w:r>
            <w:r>
              <w:rPr>
                <w:rFonts w:ascii="Times New Roman" w:hAnsi="Times New Roman"/>
                <w:sz w:val="24"/>
              </w:rPr>
              <w:t>methodologies implemented by institutions in accordance with the requirements under Article 87</w:t>
            </w:r>
            <w:proofErr w:type="gramStart"/>
            <w:r>
              <w:rPr>
                <w:rFonts w:ascii="Times New Roman" w:hAnsi="Times New Roman"/>
                <w:sz w:val="24"/>
              </w:rPr>
              <w:t>a</w:t>
            </w:r>
            <w:r w:rsidR="002E1823">
              <w:rPr>
                <w:rFonts w:ascii="Times New Roman" w:hAnsi="Times New Roman"/>
                <w:sz w:val="24"/>
              </w:rPr>
              <w:t>(</w:t>
            </w:r>
            <w:proofErr w:type="gramEnd"/>
            <w:r w:rsidR="002E1823">
              <w:rPr>
                <w:rFonts w:ascii="Times New Roman" w:hAnsi="Times New Roman"/>
                <w:sz w:val="24"/>
              </w:rPr>
              <w:t>5)</w:t>
            </w:r>
            <w:r>
              <w:rPr>
                <w:rFonts w:ascii="Times New Roman" w:hAnsi="Times New Roman"/>
                <w:sz w:val="24"/>
              </w:rPr>
              <w:t xml:space="preserve"> </w:t>
            </w:r>
            <w:r w:rsidRPr="00EE6DA7">
              <w:rPr>
                <w:rFonts w:ascii="Times New Roman" w:hAnsi="Times New Roman"/>
                <w:noProof/>
                <w:sz w:val="24"/>
              </w:rPr>
              <w:t>of Directive 2013/36/EU</w:t>
            </w:r>
            <w:r>
              <w:rPr>
                <w:rFonts w:ascii="Times New Roman" w:hAnsi="Times New Roman"/>
                <w:noProof/>
                <w:sz w:val="24"/>
              </w:rPr>
              <w:t>.</w:t>
            </w:r>
            <w:r>
              <w:rPr>
                <w:rFonts w:ascii="Times New Roman" w:hAnsi="Times New Roman" w:cs="Times New Roman"/>
                <w:noProof/>
                <w:sz w:val="24"/>
              </w:rPr>
              <w:t xml:space="preserve"> </w:t>
            </w:r>
          </w:p>
        </w:tc>
      </w:tr>
      <w:tr w:rsidR="00D92FE1" w:rsidRPr="00E50FA4" w14:paraId="7CDCEAF0" w14:textId="77777777" w:rsidTr="00166EBA">
        <w:trPr>
          <w:trHeight w:val="316"/>
        </w:trPr>
        <w:tc>
          <w:tcPr>
            <w:tcW w:w="1271" w:type="dxa"/>
          </w:tcPr>
          <w:p w14:paraId="105ACDFA" w14:textId="30E32D50" w:rsidR="00D92FE1" w:rsidRPr="00E50FA4" w:rsidRDefault="00A94F7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0020</w:t>
            </w:r>
          </w:p>
        </w:tc>
        <w:tc>
          <w:tcPr>
            <w:tcW w:w="7513" w:type="dxa"/>
          </w:tcPr>
          <w:p w14:paraId="069CBA87" w14:textId="37EEA518" w:rsidR="00D92FE1" w:rsidRPr="00164894" w:rsidRDefault="00D92FE1">
            <w:pPr>
              <w:spacing w:before="120" w:after="120"/>
              <w:jc w:val="both"/>
              <w:rPr>
                <w:rFonts w:ascii="Times New Roman" w:eastAsia="Times New Roman" w:hAnsi="Times New Roman" w:cs="Times New Roman"/>
                <w:b/>
                <w:sz w:val="24"/>
                <w:szCs w:val="24"/>
                <w:u w:val="single"/>
              </w:rPr>
            </w:pPr>
            <w:r w:rsidRPr="244930CE">
              <w:rPr>
                <w:rFonts w:ascii="Times New Roman" w:eastAsia="Times New Roman" w:hAnsi="Times New Roman" w:cs="Times New Roman"/>
                <w:b/>
                <w:sz w:val="24"/>
                <w:szCs w:val="24"/>
                <w:u w:val="single"/>
              </w:rPr>
              <w:t>Of which</w:t>
            </w:r>
            <w:r w:rsidR="1A9169E4" w:rsidRPr="244930CE">
              <w:rPr>
                <w:rFonts w:ascii="Times New Roman" w:eastAsia="Times New Roman" w:hAnsi="Times New Roman" w:cs="Times New Roman"/>
                <w:b/>
                <w:bCs/>
                <w:noProof/>
                <w:sz w:val="24"/>
                <w:szCs w:val="24"/>
                <w:u w:val="single"/>
              </w:rPr>
              <w:t>:</w:t>
            </w:r>
            <w:r w:rsidRPr="244930CE">
              <w:rPr>
                <w:rFonts w:ascii="Times New Roman" w:eastAsia="Times New Roman" w:hAnsi="Times New Roman" w:cs="Times New Roman"/>
                <w:b/>
                <w:sz w:val="24"/>
                <w:szCs w:val="24"/>
                <w:u w:val="single"/>
              </w:rPr>
              <w:t xml:space="preserve"> </w:t>
            </w:r>
            <w:r w:rsidR="005746A4" w:rsidRPr="005746A4">
              <w:rPr>
                <w:rFonts w:ascii="Times New Roman" w:eastAsia="Times New Roman" w:hAnsi="Times New Roman" w:cs="Times New Roman"/>
                <w:b/>
                <w:sz w:val="24"/>
                <w:szCs w:val="24"/>
                <w:u w:val="single"/>
              </w:rPr>
              <w:t>Assets with significant increase in credit risk since initial recognition but not credit-impaired (Stage 2)</w:t>
            </w:r>
          </w:p>
          <w:p w14:paraId="45AC8431" w14:textId="02E9376C" w:rsidR="00D92FE1" w:rsidRPr="00164894" w:rsidRDefault="00D92FE1">
            <w:pPr>
              <w:autoSpaceDE w:val="0"/>
              <w:autoSpaceDN w:val="0"/>
              <w:adjustRightInd w:val="0"/>
              <w:spacing w:before="120" w:after="120"/>
              <w:jc w:val="both"/>
              <w:rPr>
                <w:rFonts w:ascii="Times New Roman" w:hAnsi="Times New Roman" w:cs="Times New Roman"/>
                <w:noProof/>
                <w:sz w:val="24"/>
              </w:rPr>
            </w:pPr>
            <w:r w:rsidRPr="00164894">
              <w:rPr>
                <w:rFonts w:ascii="Times New Roman" w:hAnsi="Times New Roman" w:cs="Times New Roman"/>
                <w:noProof/>
                <w:sz w:val="24"/>
              </w:rPr>
              <w:t xml:space="preserve">Institutions applying IFRS shall </w:t>
            </w:r>
            <w:r w:rsidR="00A31717">
              <w:rPr>
                <w:rFonts w:ascii="Times New Roman" w:hAnsi="Times New Roman" w:cs="Times New Roman"/>
                <w:noProof/>
                <w:sz w:val="24"/>
              </w:rPr>
              <w:t>report</w:t>
            </w:r>
            <w:r w:rsidRPr="00164894">
              <w:rPr>
                <w:rFonts w:ascii="Times New Roman" w:hAnsi="Times New Roman" w:cs="Times New Roman"/>
                <w:noProof/>
                <w:sz w:val="24"/>
              </w:rPr>
              <w:t xml:space="preserve"> the gross carrying amount of </w:t>
            </w:r>
            <w:r w:rsidR="00546402">
              <w:rPr>
                <w:rFonts w:ascii="Times New Roman" w:hAnsi="Times New Roman" w:cs="Times New Roman"/>
                <w:noProof/>
                <w:sz w:val="24"/>
              </w:rPr>
              <w:t>‘</w:t>
            </w:r>
            <w:r w:rsidRPr="00164894">
              <w:rPr>
                <w:rFonts w:ascii="Times New Roman" w:hAnsi="Times New Roman" w:cs="Times New Roman"/>
                <w:noProof/>
                <w:sz w:val="24"/>
              </w:rPr>
              <w:t>Stage 2</w:t>
            </w:r>
            <w:r w:rsidR="00546402">
              <w:rPr>
                <w:rFonts w:ascii="Times New Roman" w:hAnsi="Times New Roman" w:cs="Times New Roman"/>
                <w:noProof/>
                <w:sz w:val="24"/>
              </w:rPr>
              <w:t>’</w:t>
            </w:r>
            <w:r w:rsidRPr="00164894">
              <w:rPr>
                <w:rFonts w:ascii="Times New Roman" w:hAnsi="Times New Roman" w:cs="Times New Roman"/>
                <w:noProof/>
                <w:sz w:val="24"/>
              </w:rPr>
              <w:t xml:space="preserve"> instruments as defined in IFRS 9. </w:t>
            </w:r>
          </w:p>
          <w:p w14:paraId="065819A8" w14:textId="2ACF3E54" w:rsidR="00D92FE1" w:rsidRPr="009E4E51" w:rsidRDefault="00D92FE1">
            <w:pPr>
              <w:autoSpaceDE w:val="0"/>
              <w:autoSpaceDN w:val="0"/>
              <w:adjustRightInd w:val="0"/>
              <w:spacing w:before="120" w:after="120"/>
              <w:jc w:val="both"/>
              <w:rPr>
                <w:rFonts w:ascii="Times New Roman" w:hAnsi="Times New Roman" w:cs="Times New Roman"/>
                <w:noProof/>
              </w:rPr>
            </w:pPr>
            <w:r w:rsidRPr="244930CE">
              <w:rPr>
                <w:rFonts w:ascii="Times New Roman" w:hAnsi="Times New Roman" w:cs="Times New Roman"/>
                <w:sz w:val="24"/>
                <w:szCs w:val="24"/>
              </w:rPr>
              <w:t>The columns on ‘</w:t>
            </w:r>
            <w:r w:rsidR="00967C4F" w:rsidRPr="00967C4F">
              <w:rPr>
                <w:rFonts w:ascii="Times New Roman" w:hAnsi="Times New Roman" w:cs="Times New Roman"/>
                <w:sz w:val="24"/>
                <w:szCs w:val="24"/>
              </w:rPr>
              <w:t>Of which: Assets with significant increase in credit risk since initial recognition but not credit-impaired (Stage 2)</w:t>
            </w:r>
            <w:r w:rsidRPr="244930CE">
              <w:rPr>
                <w:rFonts w:ascii="Times New Roman" w:hAnsi="Times New Roman" w:cs="Times New Roman"/>
                <w:sz w:val="24"/>
                <w:szCs w:val="24"/>
              </w:rPr>
              <w:t xml:space="preserve">’ shall not be </w:t>
            </w:r>
            <w:r w:rsidR="00A31717" w:rsidRPr="244930CE">
              <w:rPr>
                <w:rFonts w:ascii="Times New Roman" w:hAnsi="Times New Roman" w:cs="Times New Roman"/>
                <w:sz w:val="24"/>
                <w:szCs w:val="24"/>
              </w:rPr>
              <w:t>reported</w:t>
            </w:r>
            <w:r w:rsidRPr="244930CE">
              <w:rPr>
                <w:rFonts w:ascii="Times New Roman" w:hAnsi="Times New Roman" w:cs="Times New Roman"/>
                <w:sz w:val="24"/>
                <w:szCs w:val="24"/>
              </w:rPr>
              <w:t xml:space="preserve"> by institutions that apply national generally accepted accounting principles based on Directive 86/635/EEC</w:t>
            </w:r>
            <w:r w:rsidRPr="009E4E51">
              <w:rPr>
                <w:rFonts w:ascii="Times New Roman" w:hAnsi="Times New Roman" w:cs="Times New Roman"/>
                <w:noProof/>
              </w:rPr>
              <w:t>.</w:t>
            </w:r>
          </w:p>
        </w:tc>
      </w:tr>
      <w:tr w:rsidR="00D92FE1" w:rsidRPr="00C640F4" w14:paraId="3D8C2CC0" w14:textId="77777777" w:rsidTr="00166EBA">
        <w:trPr>
          <w:trHeight w:val="316"/>
        </w:trPr>
        <w:tc>
          <w:tcPr>
            <w:tcW w:w="1271" w:type="dxa"/>
          </w:tcPr>
          <w:p w14:paraId="422E0022" w14:textId="521A3C81" w:rsidR="00D92FE1" w:rsidRPr="00E50FA4" w:rsidRDefault="00A94F7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0030</w:t>
            </w:r>
          </w:p>
        </w:tc>
        <w:tc>
          <w:tcPr>
            <w:tcW w:w="7513" w:type="dxa"/>
          </w:tcPr>
          <w:p w14:paraId="510CA95B" w14:textId="6B96E977" w:rsidR="004B3254" w:rsidRPr="00E50FA4" w:rsidRDefault="004B3254" w:rsidP="004B3254">
            <w:pPr>
              <w:spacing w:before="120" w:after="120"/>
              <w:jc w:val="both"/>
              <w:rPr>
                <w:rFonts w:ascii="Times New Roman" w:eastAsia="Times New Roman" w:hAnsi="Times New Roman" w:cs="Times New Roman"/>
                <w:b/>
                <w:noProof/>
                <w:sz w:val="24"/>
                <w:u w:val="single"/>
              </w:rPr>
            </w:pPr>
            <w:r w:rsidRPr="00E50FA4">
              <w:rPr>
                <w:rFonts w:ascii="Times New Roman" w:eastAsia="Times New Roman" w:hAnsi="Times New Roman" w:cs="Times New Roman"/>
                <w:b/>
                <w:noProof/>
                <w:sz w:val="24"/>
                <w:u w:val="single"/>
              </w:rPr>
              <w:t>Of which</w:t>
            </w:r>
            <w:r w:rsidR="0433E620" w:rsidRPr="1044A876">
              <w:rPr>
                <w:rFonts w:ascii="Times New Roman" w:eastAsia="Times New Roman" w:hAnsi="Times New Roman" w:cs="Times New Roman"/>
                <w:b/>
                <w:bCs/>
                <w:noProof/>
                <w:sz w:val="24"/>
                <w:szCs w:val="24"/>
                <w:u w:val="single"/>
              </w:rPr>
              <w:t>:</w:t>
            </w:r>
            <w:r w:rsidRPr="00E50FA4">
              <w:rPr>
                <w:rFonts w:ascii="Times New Roman" w:eastAsia="Times New Roman" w:hAnsi="Times New Roman" w:cs="Times New Roman"/>
                <w:b/>
                <w:noProof/>
                <w:sz w:val="24"/>
                <w:u w:val="single"/>
              </w:rPr>
              <w:t xml:space="preserve"> </w:t>
            </w:r>
            <w:r w:rsidR="00967C4F">
              <w:rPr>
                <w:rFonts w:ascii="Times New Roman" w:eastAsia="Times New Roman" w:hAnsi="Times New Roman" w:cs="Times New Roman"/>
                <w:b/>
                <w:noProof/>
                <w:sz w:val="24"/>
                <w:u w:val="single"/>
              </w:rPr>
              <w:t>N</w:t>
            </w:r>
            <w:r w:rsidRPr="00E50FA4">
              <w:rPr>
                <w:rFonts w:ascii="Times New Roman" w:eastAsia="Times New Roman" w:hAnsi="Times New Roman" w:cs="Times New Roman"/>
                <w:b/>
                <w:noProof/>
                <w:sz w:val="24"/>
                <w:u w:val="single"/>
              </w:rPr>
              <w:t>on-performing exposures</w:t>
            </w:r>
          </w:p>
          <w:p w14:paraId="1ADEE47F" w14:textId="285C7F2E" w:rsidR="004B3254" w:rsidDel="00B468AF" w:rsidRDefault="004B3254" w:rsidP="00B468AF">
            <w:pPr>
              <w:spacing w:before="120" w:after="120"/>
              <w:jc w:val="both"/>
              <w:rPr>
                <w:rFonts w:ascii="Times New Roman" w:eastAsia="Times New Roman" w:hAnsi="Times New Roman" w:cs="Times New Roman"/>
                <w:sz w:val="24"/>
                <w:szCs w:val="24"/>
              </w:rPr>
            </w:pPr>
            <w:r w:rsidRPr="42B38024">
              <w:rPr>
                <w:rFonts w:ascii="Times New Roman" w:eastAsia="Times New Roman" w:hAnsi="Times New Roman" w:cs="Times New Roman"/>
                <w:sz w:val="24"/>
                <w:szCs w:val="24"/>
              </w:rPr>
              <w:t xml:space="preserve">Institutions </w:t>
            </w:r>
            <w:r w:rsidR="00F16057" w:rsidRPr="42B38024">
              <w:rPr>
                <w:rFonts w:ascii="Times New Roman" w:eastAsia="Times New Roman" w:hAnsi="Times New Roman" w:cs="Times New Roman"/>
                <w:sz w:val="24"/>
                <w:szCs w:val="24"/>
              </w:rPr>
              <w:t xml:space="preserve">applying IFRS </w:t>
            </w:r>
            <w:r w:rsidRPr="42B38024">
              <w:rPr>
                <w:rFonts w:ascii="Times New Roman" w:eastAsia="Times New Roman" w:hAnsi="Times New Roman" w:cs="Times New Roman"/>
                <w:sz w:val="24"/>
                <w:szCs w:val="24"/>
              </w:rPr>
              <w:t xml:space="preserve">shall </w:t>
            </w:r>
            <w:r w:rsidR="00F97965" w:rsidRPr="42B38024">
              <w:rPr>
                <w:rFonts w:ascii="Times New Roman" w:eastAsia="Times New Roman" w:hAnsi="Times New Roman" w:cs="Times New Roman"/>
                <w:sz w:val="24"/>
                <w:szCs w:val="24"/>
              </w:rPr>
              <w:t xml:space="preserve">report </w:t>
            </w:r>
            <w:r w:rsidR="00C46CDB" w:rsidRPr="42B38024">
              <w:rPr>
                <w:rFonts w:ascii="Times New Roman" w:eastAsia="Times New Roman" w:hAnsi="Times New Roman" w:cs="Times New Roman"/>
                <w:sz w:val="24"/>
                <w:szCs w:val="24"/>
              </w:rPr>
              <w:t xml:space="preserve">non-performing </w:t>
            </w:r>
            <w:r w:rsidR="00C823E1" w:rsidRPr="42B38024">
              <w:rPr>
                <w:rFonts w:ascii="Times New Roman" w:eastAsia="Times New Roman" w:hAnsi="Times New Roman" w:cs="Times New Roman"/>
                <w:sz w:val="24"/>
                <w:szCs w:val="24"/>
              </w:rPr>
              <w:t xml:space="preserve">exposures </w:t>
            </w:r>
            <w:r w:rsidR="008524CE" w:rsidRPr="42B38024">
              <w:rPr>
                <w:rFonts w:ascii="Times New Roman" w:eastAsia="Times New Roman" w:hAnsi="Times New Roman" w:cs="Times New Roman"/>
                <w:sz w:val="24"/>
                <w:szCs w:val="24"/>
              </w:rPr>
              <w:t xml:space="preserve">as referred to in Article </w:t>
            </w:r>
            <w:r w:rsidR="006E06C9" w:rsidRPr="42B38024">
              <w:rPr>
                <w:rFonts w:ascii="Times New Roman" w:eastAsia="Times New Roman" w:hAnsi="Times New Roman" w:cs="Times New Roman"/>
                <w:sz w:val="24"/>
                <w:szCs w:val="24"/>
              </w:rPr>
              <w:t>47</w:t>
            </w:r>
            <w:proofErr w:type="gramStart"/>
            <w:r w:rsidR="006E06C9" w:rsidRPr="42B38024">
              <w:rPr>
                <w:rFonts w:ascii="Times New Roman" w:eastAsia="Times New Roman" w:hAnsi="Times New Roman" w:cs="Times New Roman"/>
                <w:sz w:val="24"/>
                <w:szCs w:val="24"/>
              </w:rPr>
              <w:t>a(</w:t>
            </w:r>
            <w:proofErr w:type="gramEnd"/>
            <w:r w:rsidR="006E06C9" w:rsidRPr="42B38024">
              <w:rPr>
                <w:rFonts w:ascii="Times New Roman" w:eastAsia="Times New Roman" w:hAnsi="Times New Roman" w:cs="Times New Roman"/>
                <w:sz w:val="24"/>
                <w:szCs w:val="24"/>
              </w:rPr>
              <w:t>3) Regulation (EU)</w:t>
            </w:r>
            <w:r w:rsidR="008E65DC" w:rsidRPr="42B38024">
              <w:rPr>
                <w:rFonts w:ascii="Times New Roman" w:eastAsia="Times New Roman" w:hAnsi="Times New Roman" w:cs="Times New Roman"/>
                <w:sz w:val="24"/>
                <w:szCs w:val="24"/>
              </w:rPr>
              <w:t xml:space="preserve"> No 575/2013</w:t>
            </w:r>
            <w:r w:rsidR="00DC09C8">
              <w:rPr>
                <w:rFonts w:ascii="Times New Roman" w:eastAsia="Times New Roman" w:hAnsi="Times New Roman" w:cs="Times New Roman"/>
                <w:sz w:val="24"/>
                <w:szCs w:val="24"/>
              </w:rPr>
              <w:t>.</w:t>
            </w:r>
          </w:p>
          <w:p w14:paraId="606FD6B1" w14:textId="5C82372A" w:rsidR="00D92FE1" w:rsidRPr="00E50FA4" w:rsidRDefault="00D92FE1">
            <w:pPr>
              <w:pStyle w:val="Fait"/>
              <w:spacing w:before="0" w:after="120"/>
              <w:rPr>
                <w:noProof/>
              </w:rPr>
            </w:pPr>
          </w:p>
        </w:tc>
      </w:tr>
      <w:tr w:rsidR="00D92FE1" w:rsidRPr="00E50FA4" w14:paraId="02DD730C" w14:textId="77777777" w:rsidTr="00166EBA">
        <w:trPr>
          <w:trHeight w:val="316"/>
        </w:trPr>
        <w:tc>
          <w:tcPr>
            <w:tcW w:w="1271" w:type="dxa"/>
          </w:tcPr>
          <w:p w14:paraId="459DA388" w14:textId="62FCF73E" w:rsidR="00D92FE1" w:rsidRPr="00E50FA4" w:rsidRDefault="00A94F7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0040</w:t>
            </w:r>
          </w:p>
        </w:tc>
        <w:tc>
          <w:tcPr>
            <w:tcW w:w="7513" w:type="dxa"/>
          </w:tcPr>
          <w:p w14:paraId="4B9773D2" w14:textId="77777777" w:rsidR="00D92FE1" w:rsidRPr="00E50FA4" w:rsidRDefault="00D92FE1">
            <w:pPr>
              <w:spacing w:before="120" w:after="120"/>
              <w:jc w:val="both"/>
              <w:rPr>
                <w:rFonts w:ascii="Times New Roman" w:eastAsia="Times New Roman" w:hAnsi="Times New Roman" w:cs="Times New Roman"/>
                <w:b/>
                <w:noProof/>
                <w:sz w:val="24"/>
                <w:u w:val="single"/>
              </w:rPr>
            </w:pPr>
            <w:r w:rsidRPr="00E50FA4">
              <w:rPr>
                <w:rFonts w:ascii="Times New Roman" w:eastAsia="Times New Roman" w:hAnsi="Times New Roman" w:cs="Times New Roman"/>
                <w:b/>
                <w:noProof/>
                <w:sz w:val="24"/>
                <w:u w:val="single"/>
              </w:rPr>
              <w:t>Accumulated impairment, accumulated negative changes in fair value due to credit risk and provisions</w:t>
            </w:r>
          </w:p>
          <w:p w14:paraId="0C4309D9" w14:textId="00EDD5F3" w:rsidR="00D92FE1" w:rsidRPr="00E50FA4" w:rsidRDefault="00D92FE1">
            <w:pPr>
              <w:autoSpaceDE w:val="0"/>
              <w:autoSpaceDN w:val="0"/>
              <w:adjustRightInd w:val="0"/>
              <w:spacing w:before="120" w:after="120"/>
              <w:jc w:val="both"/>
              <w:rPr>
                <w:rFonts w:ascii="Times New Roman" w:eastAsia="Times New Roman" w:hAnsi="Times New Roman" w:cs="Times New Roman"/>
                <w:noProof/>
                <w:sz w:val="24"/>
                <w:lang w:eastAsia="sv-SE"/>
              </w:rPr>
            </w:pPr>
            <w:r w:rsidRPr="00E50FA4">
              <w:rPr>
                <w:rFonts w:ascii="Times New Roman" w:eastAsia="Times New Roman" w:hAnsi="Times New Roman" w:cs="Times New Roman"/>
                <w:noProof/>
                <w:sz w:val="24"/>
              </w:rPr>
              <w:t xml:space="preserve">Institutions shall </w:t>
            </w:r>
            <w:r w:rsidR="00A31717">
              <w:rPr>
                <w:rFonts w:ascii="Times New Roman" w:eastAsia="Times New Roman" w:hAnsi="Times New Roman" w:cs="Times New Roman"/>
                <w:noProof/>
                <w:sz w:val="24"/>
              </w:rPr>
              <w:t>report</w:t>
            </w:r>
            <w:r w:rsidRPr="00E50FA4">
              <w:rPr>
                <w:rFonts w:ascii="Times New Roman" w:eastAsia="Times New Roman" w:hAnsi="Times New Roman" w:cs="Times New Roman"/>
                <w:noProof/>
                <w:sz w:val="24"/>
              </w:rPr>
              <w:t xml:space="preserve"> the amounts referred to in Part 2, points 11, 69, 70, 71, 106 and 110, </w:t>
            </w:r>
            <w:r w:rsidRPr="00783530">
              <w:rPr>
                <w:rFonts w:ascii="Times New Roman" w:eastAsia="Times New Roman" w:hAnsi="Times New Roman" w:cs="Times New Roman"/>
                <w:noProof/>
                <w:sz w:val="24"/>
              </w:rPr>
              <w:t>of the EBA IT solutions published on EBA’s website related to the reporting on financial information.</w:t>
            </w:r>
          </w:p>
        </w:tc>
      </w:tr>
      <w:tr w:rsidR="00D92FE1" w:rsidRPr="00E50FA4" w14:paraId="4B18114C" w14:textId="77777777" w:rsidTr="00166EBA">
        <w:trPr>
          <w:trHeight w:val="316"/>
        </w:trPr>
        <w:tc>
          <w:tcPr>
            <w:tcW w:w="1271" w:type="dxa"/>
          </w:tcPr>
          <w:p w14:paraId="04934318" w14:textId="49F35BC1" w:rsidR="00D92FE1"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0050</w:t>
            </w:r>
          </w:p>
        </w:tc>
        <w:tc>
          <w:tcPr>
            <w:tcW w:w="7513" w:type="dxa"/>
          </w:tcPr>
          <w:p w14:paraId="208197E3" w14:textId="40D30447" w:rsidR="00D92FE1" w:rsidRPr="00E50FA4" w:rsidRDefault="00967C4F">
            <w:pPr>
              <w:spacing w:before="120" w:after="1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w:t>
            </w:r>
            <w:r w:rsidR="00D92FE1" w:rsidRPr="1850200D">
              <w:rPr>
                <w:rFonts w:ascii="Times New Roman" w:eastAsia="Times New Roman" w:hAnsi="Times New Roman" w:cs="Times New Roman"/>
                <w:b/>
                <w:sz w:val="24"/>
                <w:szCs w:val="24"/>
                <w:u w:val="single"/>
              </w:rPr>
              <w:t xml:space="preserve">f </w:t>
            </w:r>
            <w:r w:rsidR="00D92FE1" w:rsidRPr="586FC5CA">
              <w:rPr>
                <w:rFonts w:ascii="Times New Roman" w:eastAsia="Times New Roman" w:hAnsi="Times New Roman" w:cs="Times New Roman"/>
                <w:b/>
                <w:sz w:val="24"/>
                <w:szCs w:val="24"/>
                <w:u w:val="single"/>
              </w:rPr>
              <w:t>which</w:t>
            </w:r>
            <w:r w:rsidR="0ADD0875" w:rsidRPr="1850200D">
              <w:rPr>
                <w:rFonts w:ascii="Times New Roman" w:eastAsia="Times New Roman" w:hAnsi="Times New Roman" w:cs="Times New Roman"/>
                <w:b/>
                <w:bCs/>
                <w:noProof/>
                <w:sz w:val="24"/>
                <w:szCs w:val="24"/>
                <w:u w:val="single"/>
              </w:rPr>
              <w:t>:</w:t>
            </w:r>
            <w:r w:rsidR="00D92FE1" w:rsidRPr="1850200D">
              <w:rPr>
                <w:rFonts w:ascii="Times New Roman" w:eastAsia="Times New Roman" w:hAnsi="Times New Roman" w:cs="Times New Roman"/>
                <w:b/>
                <w:sz w:val="24"/>
                <w:szCs w:val="24"/>
                <w:u w:val="single"/>
              </w:rPr>
              <w:t xml:space="preserve"> </w:t>
            </w:r>
            <w:r w:rsidRPr="005746A4">
              <w:rPr>
                <w:rFonts w:ascii="Times New Roman" w:eastAsia="Times New Roman" w:hAnsi="Times New Roman" w:cs="Times New Roman"/>
                <w:b/>
                <w:sz w:val="24"/>
                <w:szCs w:val="24"/>
                <w:u w:val="single"/>
              </w:rPr>
              <w:t>Assets with significant increase in credit risk since initial recognition but not credit-impaired (Stage 2)</w:t>
            </w:r>
          </w:p>
          <w:p w14:paraId="45513FF7" w14:textId="15A1C56A" w:rsidR="00D92FE1" w:rsidRPr="00E50FA4" w:rsidRDefault="00D92FE1">
            <w:pPr>
              <w:spacing w:before="120" w:after="120"/>
              <w:jc w:val="both"/>
              <w:rPr>
                <w:rFonts w:ascii="Times New Roman" w:eastAsia="Times New Roman" w:hAnsi="Times New Roman" w:cs="Times New Roman"/>
                <w:noProof/>
                <w:sz w:val="24"/>
              </w:rPr>
            </w:pPr>
            <w:r>
              <w:rPr>
                <w:rFonts w:ascii="Times New Roman" w:eastAsia="Times New Roman" w:hAnsi="Times New Roman" w:cs="Times New Roman"/>
                <w:noProof/>
                <w:sz w:val="24"/>
              </w:rPr>
              <w:t xml:space="preserve">Institutions </w:t>
            </w:r>
            <w:r w:rsidR="00231F3C" w:rsidRPr="00E50FA4">
              <w:rPr>
                <w:rFonts w:ascii="Times New Roman" w:eastAsia="Times New Roman" w:hAnsi="Times New Roman" w:cs="Times New Roman"/>
                <w:noProof/>
                <w:sz w:val="24"/>
              </w:rPr>
              <w:t>applying IFRS</w:t>
            </w:r>
            <w:r w:rsidR="00231F3C">
              <w:rPr>
                <w:rFonts w:ascii="Times New Roman" w:eastAsia="Times New Roman" w:hAnsi="Times New Roman" w:cs="Times New Roman"/>
                <w:noProof/>
                <w:sz w:val="24"/>
              </w:rPr>
              <w:t xml:space="preserve"> </w:t>
            </w:r>
            <w:r>
              <w:rPr>
                <w:rFonts w:ascii="Times New Roman" w:eastAsia="Times New Roman" w:hAnsi="Times New Roman" w:cs="Times New Roman"/>
                <w:noProof/>
                <w:sz w:val="24"/>
              </w:rPr>
              <w:t xml:space="preserve">shall </w:t>
            </w:r>
            <w:r w:rsidR="00A31717">
              <w:rPr>
                <w:rFonts w:ascii="Times New Roman" w:eastAsia="Times New Roman" w:hAnsi="Times New Roman" w:cs="Times New Roman"/>
                <w:noProof/>
                <w:sz w:val="24"/>
              </w:rPr>
              <w:t>report</w:t>
            </w:r>
            <w:r w:rsidRPr="00E50FA4">
              <w:rPr>
                <w:rFonts w:ascii="Times New Roman" w:eastAsia="Times New Roman" w:hAnsi="Times New Roman" w:cs="Times New Roman"/>
                <w:noProof/>
                <w:sz w:val="24"/>
              </w:rPr>
              <w:t xml:space="preserve"> the accumulated impairment amount </w:t>
            </w:r>
            <w:r w:rsidR="00C63792">
              <w:rPr>
                <w:rFonts w:ascii="Times New Roman" w:eastAsia="Times New Roman" w:hAnsi="Times New Roman" w:cs="Times New Roman"/>
                <w:noProof/>
                <w:sz w:val="24"/>
              </w:rPr>
              <w:t>of</w:t>
            </w:r>
            <w:r w:rsidRPr="00E50FA4">
              <w:rPr>
                <w:rFonts w:ascii="Times New Roman" w:eastAsia="Times New Roman" w:hAnsi="Times New Roman" w:cs="Times New Roman"/>
                <w:noProof/>
                <w:sz w:val="24"/>
              </w:rPr>
              <w:t xml:space="preserve"> ‘Stage 2’ instruments as defined in IFRS 9.</w:t>
            </w:r>
          </w:p>
          <w:p w14:paraId="590FB824" w14:textId="146338CE" w:rsidR="00D92FE1" w:rsidRPr="00E50FA4" w:rsidRDefault="00D92FE1">
            <w:pPr>
              <w:spacing w:before="120" w:after="120"/>
              <w:jc w:val="both"/>
              <w:rPr>
                <w:rFonts w:ascii="Times New Roman" w:eastAsia="Times New Roman" w:hAnsi="Times New Roman" w:cs="Times New Roman"/>
                <w:sz w:val="24"/>
                <w:szCs w:val="24"/>
              </w:rPr>
            </w:pPr>
            <w:r w:rsidRPr="586FC5CA">
              <w:rPr>
                <w:rFonts w:ascii="Times New Roman" w:eastAsia="Times New Roman" w:hAnsi="Times New Roman" w:cs="Times New Roman"/>
                <w:sz w:val="24"/>
                <w:szCs w:val="24"/>
              </w:rPr>
              <w:t>The columns on ‘</w:t>
            </w:r>
            <w:r w:rsidR="00967C4F" w:rsidRPr="00932B3E">
              <w:rPr>
                <w:rFonts w:ascii="Times New Roman" w:eastAsia="Times New Roman" w:hAnsi="Times New Roman" w:cs="Times New Roman"/>
                <w:bCs/>
                <w:sz w:val="24"/>
                <w:szCs w:val="24"/>
              </w:rPr>
              <w:t>Of which</w:t>
            </w:r>
            <w:r w:rsidR="00967C4F" w:rsidRPr="00932B3E">
              <w:rPr>
                <w:rFonts w:ascii="Times New Roman" w:eastAsia="Times New Roman" w:hAnsi="Times New Roman" w:cs="Times New Roman"/>
                <w:bCs/>
                <w:noProof/>
                <w:sz w:val="24"/>
                <w:szCs w:val="24"/>
              </w:rPr>
              <w:t>:</w:t>
            </w:r>
            <w:r w:rsidR="00967C4F" w:rsidRPr="00932B3E">
              <w:rPr>
                <w:rFonts w:ascii="Times New Roman" w:eastAsia="Times New Roman" w:hAnsi="Times New Roman" w:cs="Times New Roman"/>
                <w:bCs/>
                <w:sz w:val="24"/>
                <w:szCs w:val="24"/>
              </w:rPr>
              <w:t xml:space="preserve"> Assets with significant increase in credit risk since initial recognition but not credit-impaired (Stage 2)</w:t>
            </w:r>
            <w:r w:rsidRPr="00967C4F">
              <w:rPr>
                <w:rFonts w:ascii="Times New Roman" w:eastAsia="Times New Roman" w:hAnsi="Times New Roman" w:cs="Times New Roman"/>
                <w:bCs/>
                <w:sz w:val="24"/>
                <w:szCs w:val="24"/>
              </w:rPr>
              <w:t>’</w:t>
            </w:r>
            <w:r w:rsidRPr="586FC5CA">
              <w:rPr>
                <w:rFonts w:ascii="Times New Roman" w:eastAsia="Times New Roman" w:hAnsi="Times New Roman" w:cs="Times New Roman"/>
                <w:sz w:val="24"/>
                <w:szCs w:val="24"/>
              </w:rPr>
              <w:t xml:space="preserve"> shall not be </w:t>
            </w:r>
            <w:r w:rsidR="00A31717" w:rsidRPr="586FC5CA">
              <w:rPr>
                <w:rFonts w:ascii="Times New Roman" w:eastAsia="Times New Roman" w:hAnsi="Times New Roman" w:cs="Times New Roman"/>
                <w:sz w:val="24"/>
                <w:szCs w:val="24"/>
              </w:rPr>
              <w:t>reported</w:t>
            </w:r>
            <w:r w:rsidRPr="586FC5CA">
              <w:rPr>
                <w:rFonts w:ascii="Times New Roman" w:eastAsia="Times New Roman" w:hAnsi="Times New Roman" w:cs="Times New Roman"/>
                <w:sz w:val="24"/>
                <w:szCs w:val="24"/>
              </w:rPr>
              <w:t xml:space="preserve"> by institutions that apply national generally accepted accounting principles based on </w:t>
            </w:r>
            <w:r w:rsidRPr="586FC5CA">
              <w:rPr>
                <w:rFonts w:ascii="Times New Roman" w:hAnsi="Times New Roman" w:cs="Times New Roman"/>
                <w:sz w:val="24"/>
                <w:szCs w:val="24"/>
              </w:rPr>
              <w:t>Directive 86/635/EEC.</w:t>
            </w:r>
          </w:p>
        </w:tc>
      </w:tr>
      <w:tr w:rsidR="00D92FE1" w:rsidRPr="00E50FA4" w14:paraId="1D72E978" w14:textId="77777777" w:rsidTr="00166EBA">
        <w:trPr>
          <w:trHeight w:val="316"/>
        </w:trPr>
        <w:tc>
          <w:tcPr>
            <w:tcW w:w="1271" w:type="dxa"/>
          </w:tcPr>
          <w:p w14:paraId="755C70BD" w14:textId="4DC97B8D" w:rsidR="00D92FE1"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0060</w:t>
            </w:r>
          </w:p>
        </w:tc>
        <w:tc>
          <w:tcPr>
            <w:tcW w:w="7513" w:type="dxa"/>
          </w:tcPr>
          <w:p w14:paraId="09F675BF" w14:textId="3D86E6F1" w:rsidR="00436BBA" w:rsidRPr="00E50FA4" w:rsidRDefault="00436BBA" w:rsidP="00436BBA">
            <w:pPr>
              <w:spacing w:before="120" w:after="120"/>
              <w:jc w:val="both"/>
              <w:rPr>
                <w:rFonts w:ascii="Times New Roman" w:eastAsia="Times New Roman" w:hAnsi="Times New Roman" w:cs="Times New Roman"/>
                <w:b/>
                <w:sz w:val="24"/>
                <w:szCs w:val="24"/>
                <w:u w:val="single"/>
              </w:rPr>
            </w:pPr>
            <w:r w:rsidRPr="53646B8A">
              <w:rPr>
                <w:rFonts w:ascii="Times New Roman" w:eastAsia="Times New Roman" w:hAnsi="Times New Roman" w:cs="Times New Roman"/>
                <w:b/>
                <w:sz w:val="24"/>
                <w:szCs w:val="24"/>
                <w:u w:val="single"/>
              </w:rPr>
              <w:t>Of which</w:t>
            </w:r>
            <w:r w:rsidR="33DDD6E3" w:rsidRPr="53646B8A">
              <w:rPr>
                <w:rFonts w:ascii="Times New Roman" w:eastAsia="Times New Roman" w:hAnsi="Times New Roman" w:cs="Times New Roman"/>
                <w:b/>
                <w:bCs/>
                <w:noProof/>
                <w:sz w:val="24"/>
                <w:szCs w:val="24"/>
                <w:u w:val="single"/>
              </w:rPr>
              <w:t>:</w:t>
            </w:r>
            <w:r w:rsidRPr="53646B8A">
              <w:rPr>
                <w:rFonts w:ascii="Times New Roman" w:eastAsia="Times New Roman" w:hAnsi="Times New Roman" w:cs="Times New Roman"/>
                <w:b/>
                <w:sz w:val="24"/>
                <w:szCs w:val="24"/>
                <w:u w:val="single"/>
              </w:rPr>
              <w:t xml:space="preserve"> </w:t>
            </w:r>
            <w:r w:rsidR="00967C4F">
              <w:rPr>
                <w:rFonts w:ascii="Times New Roman" w:eastAsia="Times New Roman" w:hAnsi="Times New Roman" w:cs="Times New Roman"/>
                <w:b/>
                <w:sz w:val="24"/>
                <w:szCs w:val="24"/>
                <w:u w:val="single"/>
              </w:rPr>
              <w:t>N</w:t>
            </w:r>
            <w:r w:rsidRPr="53646B8A">
              <w:rPr>
                <w:rFonts w:ascii="Times New Roman" w:eastAsia="Times New Roman" w:hAnsi="Times New Roman" w:cs="Times New Roman"/>
                <w:b/>
                <w:sz w:val="24"/>
                <w:szCs w:val="24"/>
                <w:u w:val="single"/>
              </w:rPr>
              <w:t>on-performing exposures</w:t>
            </w:r>
          </w:p>
          <w:p w14:paraId="2BF9BC39" w14:textId="682E4843" w:rsidR="00641F81" w:rsidRDefault="00436BBA" w:rsidP="00FE4903">
            <w:pPr>
              <w:spacing w:before="120" w:after="120"/>
              <w:jc w:val="both"/>
              <w:rPr>
                <w:rFonts w:ascii="Times New Roman" w:eastAsia="Times New Roman" w:hAnsi="Times New Roman" w:cs="Times New Roman"/>
                <w:noProof/>
                <w:sz w:val="24"/>
              </w:rPr>
            </w:pPr>
            <w:r w:rsidRPr="00E50FA4">
              <w:rPr>
                <w:rFonts w:ascii="Times New Roman" w:eastAsia="Times New Roman" w:hAnsi="Times New Roman" w:cs="Times New Roman"/>
                <w:noProof/>
                <w:sz w:val="24"/>
              </w:rPr>
              <w:t xml:space="preserve">Institutions </w:t>
            </w:r>
            <w:r w:rsidR="000277FF">
              <w:rPr>
                <w:rFonts w:ascii="Times New Roman" w:eastAsia="Times New Roman" w:hAnsi="Times New Roman" w:cs="Times New Roman"/>
                <w:noProof/>
                <w:sz w:val="24"/>
              </w:rPr>
              <w:t xml:space="preserve">applying IFRS </w:t>
            </w:r>
            <w:r w:rsidRPr="00E50FA4">
              <w:rPr>
                <w:rFonts w:ascii="Times New Roman" w:eastAsia="Times New Roman" w:hAnsi="Times New Roman" w:cs="Times New Roman"/>
                <w:noProof/>
                <w:sz w:val="24"/>
              </w:rPr>
              <w:t xml:space="preserve">shall </w:t>
            </w:r>
            <w:r w:rsidR="005520FF">
              <w:rPr>
                <w:rFonts w:ascii="Times New Roman" w:eastAsia="Times New Roman" w:hAnsi="Times New Roman" w:cs="Times New Roman"/>
                <w:noProof/>
                <w:sz w:val="24"/>
              </w:rPr>
              <w:t>report</w:t>
            </w:r>
            <w:r w:rsidR="005520FF" w:rsidRPr="00E50FA4">
              <w:rPr>
                <w:rFonts w:ascii="Times New Roman" w:eastAsia="Times New Roman" w:hAnsi="Times New Roman" w:cs="Times New Roman"/>
                <w:noProof/>
                <w:sz w:val="24"/>
              </w:rPr>
              <w:t xml:space="preserve"> </w:t>
            </w:r>
            <w:r w:rsidR="00AE539F" w:rsidRPr="00AE539F">
              <w:rPr>
                <w:rFonts w:ascii="Times New Roman" w:eastAsia="Times New Roman" w:hAnsi="Times New Roman" w:cs="Times New Roman"/>
                <w:bCs/>
                <w:noProof/>
                <w:sz w:val="24"/>
              </w:rPr>
              <w:t>non-performing exposures as referred to in Article 47a(3) Regulation (EU) No 575/2013</w:t>
            </w:r>
            <w:r w:rsidR="00BC4A79">
              <w:rPr>
                <w:rFonts w:ascii="Times New Roman" w:eastAsia="Times New Roman" w:hAnsi="Times New Roman" w:cs="Times New Roman"/>
                <w:bCs/>
                <w:noProof/>
                <w:sz w:val="24"/>
              </w:rPr>
              <w:t>.</w:t>
            </w:r>
            <w:r w:rsidR="00DD5B0A">
              <w:rPr>
                <w:rFonts w:ascii="Times New Roman" w:eastAsia="Times New Roman" w:hAnsi="Times New Roman" w:cs="Times New Roman"/>
                <w:bCs/>
                <w:noProof/>
                <w:sz w:val="24"/>
              </w:rPr>
              <w:t xml:space="preserve"> </w:t>
            </w:r>
          </w:p>
          <w:p w14:paraId="25ADF3E9" w14:textId="2D8D5C01" w:rsidR="00D92FE1" w:rsidRPr="00166EBA" w:rsidRDefault="00D92FE1">
            <w:pPr>
              <w:spacing w:before="120" w:after="120"/>
              <w:jc w:val="both"/>
              <w:rPr>
                <w:rFonts w:ascii="Times New Roman" w:eastAsia="Times New Roman" w:hAnsi="Times New Roman" w:cs="Times New Roman"/>
                <w:sz w:val="24"/>
              </w:rPr>
            </w:pPr>
          </w:p>
        </w:tc>
      </w:tr>
      <w:tr w:rsidR="00282025" w:rsidRPr="00E50FA4" w14:paraId="677CCDDB" w14:textId="77777777" w:rsidTr="00166EBA">
        <w:trPr>
          <w:trHeight w:val="238"/>
        </w:trPr>
        <w:tc>
          <w:tcPr>
            <w:tcW w:w="1271" w:type="dxa"/>
            <w:shd w:val="clear" w:color="auto" w:fill="D9D9D9" w:themeFill="background1" w:themeFillShade="D9"/>
          </w:tcPr>
          <w:p w14:paraId="1C2CD4FD" w14:textId="6596CE0A" w:rsidR="00282025" w:rsidRPr="00166EBA" w:rsidRDefault="00282025">
            <w:pPr>
              <w:autoSpaceDE w:val="0"/>
              <w:autoSpaceDN w:val="0"/>
              <w:adjustRightInd w:val="0"/>
              <w:jc w:val="both"/>
              <w:rPr>
                <w:rFonts w:ascii="Times New Roman" w:hAnsi="Times New Roman" w:cs="Times New Roman"/>
                <w:b/>
                <w:sz w:val="24"/>
              </w:rPr>
            </w:pPr>
            <w:r w:rsidRPr="00166EBA">
              <w:rPr>
                <w:rFonts w:ascii="Times New Roman" w:hAnsi="Times New Roman" w:cs="Times New Roman"/>
                <w:b/>
                <w:sz w:val="24"/>
              </w:rPr>
              <w:t>Rows</w:t>
            </w:r>
          </w:p>
        </w:tc>
        <w:tc>
          <w:tcPr>
            <w:tcW w:w="7513" w:type="dxa"/>
            <w:shd w:val="clear" w:color="auto" w:fill="D9D9D9" w:themeFill="background1" w:themeFillShade="D9"/>
          </w:tcPr>
          <w:p w14:paraId="7EF3BBE9" w14:textId="77777777" w:rsidR="00282025" w:rsidRPr="00166EBA" w:rsidRDefault="00282025">
            <w:pPr>
              <w:autoSpaceDE w:val="0"/>
              <w:autoSpaceDN w:val="0"/>
              <w:adjustRightInd w:val="0"/>
              <w:jc w:val="both"/>
              <w:rPr>
                <w:rFonts w:ascii="Times New Roman" w:hAnsi="Times New Roman" w:cs="Times New Roman"/>
                <w:b/>
                <w:color w:val="000000"/>
                <w:sz w:val="24"/>
              </w:rPr>
            </w:pPr>
            <w:r w:rsidRPr="00166EBA">
              <w:rPr>
                <w:rFonts w:ascii="Times New Roman" w:hAnsi="Times New Roman" w:cs="Times New Roman"/>
                <w:b/>
                <w:sz w:val="24"/>
              </w:rPr>
              <w:t>Instructions</w:t>
            </w:r>
          </w:p>
        </w:tc>
      </w:tr>
      <w:tr w:rsidR="00282025" w:rsidRPr="00E50FA4" w14:paraId="1D30AFAB" w14:textId="77777777" w:rsidTr="00166EBA">
        <w:trPr>
          <w:trHeight w:val="316"/>
        </w:trPr>
        <w:tc>
          <w:tcPr>
            <w:tcW w:w="1271" w:type="dxa"/>
          </w:tcPr>
          <w:p w14:paraId="39F24046" w14:textId="731090D9" w:rsidR="00282025" w:rsidRPr="00E50FA4" w:rsidRDefault="00282025">
            <w:pPr>
              <w:autoSpaceDE w:val="0"/>
              <w:autoSpaceDN w:val="0"/>
              <w:adjustRightInd w:val="0"/>
              <w:jc w:val="both"/>
              <w:rPr>
                <w:rFonts w:ascii="Times New Roman" w:eastAsia="Times New Roman" w:hAnsi="Times New Roman" w:cs="Times New Roman"/>
                <w:noProof/>
                <w:sz w:val="24"/>
              </w:rPr>
            </w:pPr>
            <w:r>
              <w:rPr>
                <w:rFonts w:ascii="Times New Roman" w:eastAsia="Times New Roman" w:hAnsi="Times New Roman" w:cs="Times New Roman"/>
                <w:noProof/>
                <w:sz w:val="24"/>
              </w:rPr>
              <w:t>00</w:t>
            </w:r>
            <w:r w:rsidR="008926B1">
              <w:rPr>
                <w:rFonts w:ascii="Times New Roman" w:eastAsia="Times New Roman" w:hAnsi="Times New Roman" w:cs="Times New Roman"/>
                <w:noProof/>
                <w:sz w:val="24"/>
              </w:rPr>
              <w:t>2</w:t>
            </w:r>
            <w:r>
              <w:rPr>
                <w:rFonts w:ascii="Times New Roman" w:eastAsia="Times New Roman" w:hAnsi="Times New Roman" w:cs="Times New Roman"/>
                <w:noProof/>
                <w:sz w:val="24"/>
              </w:rPr>
              <w:t>0 -</w:t>
            </w:r>
            <w:r w:rsidR="005C40E3">
              <w:rPr>
                <w:rFonts w:ascii="Times New Roman" w:eastAsia="Times New Roman" w:hAnsi="Times New Roman" w:cs="Times New Roman"/>
                <w:noProof/>
                <w:sz w:val="24"/>
              </w:rPr>
              <w:t>00</w:t>
            </w:r>
            <w:r w:rsidR="008926B1">
              <w:rPr>
                <w:rFonts w:ascii="Times New Roman" w:eastAsia="Times New Roman" w:hAnsi="Times New Roman" w:cs="Times New Roman"/>
                <w:noProof/>
                <w:sz w:val="24"/>
              </w:rPr>
              <w:t>6</w:t>
            </w:r>
            <w:r w:rsidR="005C40E3">
              <w:rPr>
                <w:rFonts w:ascii="Times New Roman" w:eastAsia="Times New Roman" w:hAnsi="Times New Roman" w:cs="Times New Roman"/>
                <w:noProof/>
                <w:sz w:val="24"/>
              </w:rPr>
              <w:t>0</w:t>
            </w:r>
          </w:p>
        </w:tc>
        <w:tc>
          <w:tcPr>
            <w:tcW w:w="7513" w:type="dxa"/>
          </w:tcPr>
          <w:p w14:paraId="1D987E9F" w14:textId="7597842D" w:rsidR="00282025" w:rsidRPr="00E50FA4" w:rsidRDefault="007D5B33">
            <w:pPr>
              <w:spacing w:before="120" w:after="120"/>
              <w:jc w:val="both"/>
              <w:rPr>
                <w:rFonts w:ascii="Times New Roman" w:eastAsia="Times New Roman" w:hAnsi="Times New Roman" w:cs="Times New Roman"/>
                <w:b/>
                <w:bCs/>
                <w:noProof/>
                <w:sz w:val="24"/>
                <w:u w:val="single"/>
              </w:rPr>
            </w:pPr>
            <w:r>
              <w:rPr>
                <w:rFonts w:ascii="Times New Roman" w:eastAsia="Times New Roman" w:hAnsi="Times New Roman" w:cs="Times New Roman"/>
                <w:b/>
                <w:bCs/>
                <w:noProof/>
                <w:sz w:val="24"/>
                <w:u w:val="single"/>
              </w:rPr>
              <w:t xml:space="preserve">Of which: </w:t>
            </w:r>
            <w:r w:rsidR="003D0D71">
              <w:rPr>
                <w:rFonts w:ascii="Times New Roman" w:eastAsia="Times New Roman" w:hAnsi="Times New Roman" w:cs="Times New Roman"/>
                <w:b/>
                <w:bCs/>
                <w:noProof/>
                <w:sz w:val="24"/>
                <w:u w:val="single"/>
              </w:rPr>
              <w:t>E</w:t>
            </w:r>
            <w:r w:rsidR="00282025" w:rsidRPr="1D082E15">
              <w:rPr>
                <w:rFonts w:ascii="Times New Roman" w:eastAsia="Times New Roman" w:hAnsi="Times New Roman" w:cs="Times New Roman"/>
                <w:b/>
                <w:bCs/>
                <w:noProof/>
                <w:sz w:val="24"/>
                <w:u w:val="single"/>
              </w:rPr>
              <w:t>xposures</w:t>
            </w:r>
            <w:r w:rsidR="00282025">
              <w:rPr>
                <w:rFonts w:ascii="Times New Roman" w:eastAsia="Times New Roman" w:hAnsi="Times New Roman" w:cs="Times New Roman"/>
                <w:b/>
                <w:bCs/>
                <w:noProof/>
                <w:sz w:val="24"/>
                <w:u w:val="single"/>
              </w:rPr>
              <w:t xml:space="preserve"> </w:t>
            </w:r>
            <w:r w:rsidR="00282025" w:rsidRPr="1D082E15">
              <w:rPr>
                <w:rFonts w:ascii="Times New Roman" w:eastAsia="Times New Roman" w:hAnsi="Times New Roman" w:cs="Times New Roman"/>
                <w:b/>
                <w:bCs/>
                <w:noProof/>
                <w:sz w:val="24"/>
                <w:u w:val="single"/>
              </w:rPr>
              <w:t xml:space="preserve">to </w:t>
            </w:r>
            <w:r w:rsidR="00282025">
              <w:rPr>
                <w:rFonts w:ascii="Times New Roman" w:eastAsia="Times New Roman" w:hAnsi="Times New Roman" w:cs="Times New Roman"/>
                <w:b/>
                <w:bCs/>
                <w:noProof/>
                <w:sz w:val="24"/>
                <w:u w:val="single"/>
              </w:rPr>
              <w:t>environmental</w:t>
            </w:r>
            <w:r w:rsidR="00282025" w:rsidRPr="1D082E15">
              <w:rPr>
                <w:rFonts w:ascii="Times New Roman" w:eastAsia="Times New Roman" w:hAnsi="Times New Roman" w:cs="Times New Roman"/>
                <w:b/>
                <w:bCs/>
                <w:noProof/>
                <w:sz w:val="24"/>
                <w:u w:val="single"/>
              </w:rPr>
              <w:t xml:space="preserve"> risk</w:t>
            </w:r>
            <w:r w:rsidR="00282025">
              <w:rPr>
                <w:rFonts w:ascii="Times New Roman" w:eastAsia="Times New Roman" w:hAnsi="Times New Roman" w:cs="Times New Roman"/>
                <w:b/>
                <w:bCs/>
                <w:noProof/>
                <w:sz w:val="24"/>
                <w:u w:val="single"/>
              </w:rPr>
              <w:t>s beyond climate</w:t>
            </w:r>
            <w:r w:rsidR="00282025" w:rsidRPr="1D082E15">
              <w:rPr>
                <w:rFonts w:ascii="Times New Roman" w:eastAsia="Times New Roman" w:hAnsi="Times New Roman" w:cs="Times New Roman"/>
                <w:b/>
                <w:bCs/>
                <w:noProof/>
                <w:sz w:val="24"/>
                <w:u w:val="single"/>
              </w:rPr>
              <w:t xml:space="preserve"> </w:t>
            </w:r>
            <w:r w:rsidR="003D0D71">
              <w:rPr>
                <w:rFonts w:ascii="Times New Roman" w:eastAsia="Times New Roman" w:hAnsi="Times New Roman" w:cs="Times New Roman"/>
                <w:b/>
                <w:bCs/>
                <w:noProof/>
                <w:sz w:val="24"/>
                <w:u w:val="single"/>
              </w:rPr>
              <w:t>(by environmental impact)</w:t>
            </w:r>
          </w:p>
          <w:p w14:paraId="2D2FC8A2" w14:textId="2BA7EB09" w:rsidR="00282025" w:rsidRPr="00E50FA4" w:rsidRDefault="001A3506">
            <w:pPr>
              <w:autoSpaceDE w:val="0"/>
              <w:autoSpaceDN w:val="0"/>
              <w:adjustRightInd w:val="0"/>
              <w:spacing w:before="120" w:after="120"/>
              <w:jc w:val="both"/>
              <w:rPr>
                <w:rFonts w:ascii="Times New Roman" w:hAnsi="Times New Roman" w:cs="Times New Roman"/>
                <w:noProof/>
                <w:sz w:val="24"/>
              </w:rPr>
            </w:pPr>
            <w:r w:rsidRPr="001A3506">
              <w:rPr>
                <w:rFonts w:ascii="Times New Roman" w:hAnsi="Times New Roman" w:cs="Times New Roman"/>
                <w:noProof/>
                <w:sz w:val="24"/>
              </w:rPr>
              <w:t xml:space="preserve">Institutions shall </w:t>
            </w:r>
            <w:r w:rsidR="00223B56">
              <w:rPr>
                <w:rFonts w:ascii="Times New Roman" w:hAnsi="Times New Roman" w:cs="Times New Roman"/>
                <w:noProof/>
                <w:sz w:val="24"/>
              </w:rPr>
              <w:t>report</w:t>
            </w:r>
            <w:r w:rsidRPr="001A3506">
              <w:rPr>
                <w:rFonts w:ascii="Times New Roman" w:hAnsi="Times New Roman" w:cs="Times New Roman"/>
                <w:noProof/>
                <w:sz w:val="24"/>
              </w:rPr>
              <w:t xml:space="preserve"> exposures to companies whose activities negatively contribute to any of the relevant environmental impact drivers. The </w:t>
            </w:r>
            <w:r w:rsidR="00223B56">
              <w:rPr>
                <w:rFonts w:ascii="Times New Roman" w:hAnsi="Times New Roman" w:cs="Times New Roman"/>
                <w:noProof/>
                <w:sz w:val="24"/>
              </w:rPr>
              <w:t>reporting</w:t>
            </w:r>
            <w:r w:rsidRPr="001A3506">
              <w:rPr>
                <w:rFonts w:ascii="Times New Roman" w:hAnsi="Times New Roman" w:cs="Times New Roman"/>
                <w:noProof/>
                <w:sz w:val="24"/>
              </w:rPr>
              <w:t xml:space="preserve"> by </w:t>
            </w:r>
            <w:r w:rsidR="007056FA">
              <w:rPr>
                <w:rFonts w:ascii="Times New Roman" w:hAnsi="Times New Roman" w:cs="Times New Roman"/>
                <w:noProof/>
                <w:sz w:val="24"/>
              </w:rPr>
              <w:t>environmental impact</w:t>
            </w:r>
            <w:r w:rsidRPr="001A3506">
              <w:rPr>
                <w:rFonts w:ascii="Times New Roman" w:hAnsi="Times New Roman" w:cs="Times New Roman"/>
                <w:noProof/>
                <w:sz w:val="24"/>
              </w:rPr>
              <w:t xml:space="preserve"> category is not mutually exclusive, and the same exposure may be reported under multiple categories where a counterparty contributes to more than one driver. Consequently, the sum of exposures reported across individual environmental impact‑driver categories may exceed the total exposures subject to environmental risk beyond climate.</w:t>
            </w:r>
          </w:p>
        </w:tc>
      </w:tr>
      <w:tr w:rsidR="00282025" w:rsidRPr="00E50FA4" w14:paraId="0910DC29" w14:textId="77777777" w:rsidTr="00166EBA">
        <w:trPr>
          <w:trHeight w:val="316"/>
        </w:trPr>
        <w:tc>
          <w:tcPr>
            <w:tcW w:w="1271" w:type="dxa"/>
          </w:tcPr>
          <w:p w14:paraId="6FCFEB2A" w14:textId="1C8C6A25" w:rsidR="00282025"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8926B1">
              <w:rPr>
                <w:rFonts w:ascii="Times New Roman" w:hAnsi="Times New Roman" w:cs="Times New Roman"/>
                <w:noProof/>
                <w:sz w:val="24"/>
              </w:rPr>
              <w:t>3</w:t>
            </w:r>
            <w:r w:rsidR="005C40E3">
              <w:rPr>
                <w:rFonts w:ascii="Times New Roman" w:hAnsi="Times New Roman" w:cs="Times New Roman"/>
                <w:noProof/>
                <w:sz w:val="24"/>
              </w:rPr>
              <w:t>0</w:t>
            </w:r>
          </w:p>
        </w:tc>
        <w:tc>
          <w:tcPr>
            <w:tcW w:w="7513" w:type="dxa"/>
          </w:tcPr>
          <w:p w14:paraId="05A77AA8" w14:textId="43B121B7" w:rsidR="00F74C23" w:rsidRDefault="00F74C23">
            <w:pPr>
              <w:autoSpaceDE w:val="0"/>
              <w:autoSpaceDN w:val="0"/>
              <w:adjustRightInd w:val="0"/>
              <w:spacing w:before="120" w:after="120"/>
              <w:jc w:val="both"/>
              <w:rPr>
                <w:rFonts w:ascii="Times New Roman" w:eastAsia="Times New Roman" w:hAnsi="Times New Roman" w:cs="Times New Roman"/>
                <w:b/>
                <w:noProof/>
                <w:sz w:val="24"/>
                <w:u w:val="single"/>
              </w:rPr>
            </w:pPr>
            <w:r w:rsidRPr="00F74C23">
              <w:rPr>
                <w:rFonts w:ascii="Times New Roman" w:eastAsia="Times New Roman" w:hAnsi="Times New Roman" w:cs="Times New Roman"/>
                <w:b/>
                <w:noProof/>
                <w:sz w:val="24"/>
                <w:u w:val="single"/>
              </w:rPr>
              <w:t>Exposures to companies whose activities negatively impact land/freshwater/ ocean use change</w:t>
            </w:r>
          </w:p>
          <w:p w14:paraId="76B140D3" w14:textId="6AE3B161" w:rsidR="00282025" w:rsidRPr="009E4E51" w:rsidRDefault="00E74AD2">
            <w:pPr>
              <w:autoSpaceDE w:val="0"/>
              <w:autoSpaceDN w:val="0"/>
              <w:adjustRightInd w:val="0"/>
              <w:spacing w:before="120" w:after="120"/>
              <w:jc w:val="both"/>
              <w:rPr>
                <w:rFonts w:ascii="Times New Roman" w:hAnsi="Times New Roman" w:cs="Times New Roman"/>
                <w:noProof/>
              </w:rPr>
            </w:pPr>
            <w:r w:rsidRPr="00166EBA">
              <w:rPr>
                <w:rFonts w:ascii="Times New Roman" w:hAnsi="Times New Roman" w:cs="Times New Roman"/>
                <w:noProof/>
                <w:sz w:val="24"/>
              </w:rPr>
              <w:t>Institutions shall report exposures to companies whose activities negatively impact land, freshwater or ocean use change, including actions that convert, degrade or fragment natural ecosystems. This covers pressures such as land‑use conversion, alteration of water bodies, or disturbance of marine habitats that reduce ecosystem extent or condition.</w:t>
            </w:r>
          </w:p>
        </w:tc>
      </w:tr>
      <w:tr w:rsidR="00282025" w:rsidRPr="00C640F4" w14:paraId="11BF685D" w14:textId="77777777" w:rsidTr="00166EBA">
        <w:trPr>
          <w:trHeight w:val="316"/>
        </w:trPr>
        <w:tc>
          <w:tcPr>
            <w:tcW w:w="1271" w:type="dxa"/>
          </w:tcPr>
          <w:p w14:paraId="66DACDF6" w14:textId="54F68042" w:rsidR="00282025"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8926B1">
              <w:rPr>
                <w:rFonts w:ascii="Times New Roman" w:hAnsi="Times New Roman" w:cs="Times New Roman"/>
                <w:noProof/>
                <w:sz w:val="24"/>
              </w:rPr>
              <w:t>4</w:t>
            </w:r>
            <w:r w:rsidR="005C40E3">
              <w:rPr>
                <w:rFonts w:ascii="Times New Roman" w:hAnsi="Times New Roman" w:cs="Times New Roman"/>
                <w:noProof/>
                <w:sz w:val="24"/>
              </w:rPr>
              <w:t>0</w:t>
            </w:r>
          </w:p>
        </w:tc>
        <w:tc>
          <w:tcPr>
            <w:tcW w:w="7513" w:type="dxa"/>
          </w:tcPr>
          <w:p w14:paraId="731C31A1" w14:textId="69DF5344" w:rsidR="00282025" w:rsidRPr="00E50FA4" w:rsidRDefault="00AA0EFE">
            <w:pPr>
              <w:spacing w:before="120" w:after="120"/>
              <w:jc w:val="both"/>
              <w:rPr>
                <w:rFonts w:ascii="Times New Roman" w:eastAsia="Times New Roman" w:hAnsi="Times New Roman" w:cs="Times New Roman"/>
                <w:b/>
                <w:noProof/>
                <w:sz w:val="24"/>
                <w:u w:val="single"/>
              </w:rPr>
            </w:pPr>
            <w:r w:rsidRPr="00AA0EFE">
              <w:rPr>
                <w:rFonts w:ascii="Times New Roman" w:eastAsia="Times New Roman" w:hAnsi="Times New Roman" w:cs="Times New Roman"/>
                <w:b/>
                <w:noProof/>
                <w:sz w:val="24"/>
                <w:u w:val="single"/>
              </w:rPr>
              <w:t>Exposures to companies whose activities contribute to pollution</w:t>
            </w:r>
          </w:p>
          <w:p w14:paraId="3652637C" w14:textId="54952989" w:rsidR="00282025" w:rsidRPr="00E50FA4" w:rsidRDefault="008D5D27">
            <w:pPr>
              <w:pStyle w:val="Fait"/>
              <w:spacing w:before="0" w:after="120"/>
              <w:rPr>
                <w:noProof/>
              </w:rPr>
            </w:pPr>
            <w:r w:rsidRPr="008D5D27">
              <w:rPr>
                <w:noProof/>
              </w:rPr>
              <w:t xml:space="preserve">Institutions shall report exposures to companies whose activities </w:t>
            </w:r>
            <w:r w:rsidR="0008311C">
              <w:rPr>
                <w:noProof/>
              </w:rPr>
              <w:t>contribute to</w:t>
            </w:r>
            <w:r w:rsidRPr="008D5D27">
              <w:rPr>
                <w:noProof/>
              </w:rPr>
              <w:t xml:space="preserve"> pollution, including the release of air pollutants, water contaminants, soil pollutants, waste or other disturbances.</w:t>
            </w:r>
          </w:p>
        </w:tc>
      </w:tr>
      <w:tr w:rsidR="00282025" w:rsidRPr="00E50FA4" w14:paraId="703654F0" w14:textId="77777777" w:rsidTr="00166EBA">
        <w:trPr>
          <w:trHeight w:val="316"/>
        </w:trPr>
        <w:tc>
          <w:tcPr>
            <w:tcW w:w="1271" w:type="dxa"/>
          </w:tcPr>
          <w:p w14:paraId="771362DE" w14:textId="1CF2AF1D" w:rsidR="00282025"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8926B1">
              <w:rPr>
                <w:rFonts w:ascii="Times New Roman" w:hAnsi="Times New Roman" w:cs="Times New Roman"/>
                <w:noProof/>
                <w:sz w:val="24"/>
              </w:rPr>
              <w:t>5</w:t>
            </w:r>
            <w:r w:rsidR="005C40E3">
              <w:rPr>
                <w:rFonts w:ascii="Times New Roman" w:hAnsi="Times New Roman" w:cs="Times New Roman"/>
                <w:noProof/>
                <w:sz w:val="24"/>
              </w:rPr>
              <w:t>0</w:t>
            </w:r>
          </w:p>
        </w:tc>
        <w:tc>
          <w:tcPr>
            <w:tcW w:w="7513" w:type="dxa"/>
          </w:tcPr>
          <w:p w14:paraId="2376399D" w14:textId="6979985E" w:rsidR="009C35F8" w:rsidRDefault="009C35F8">
            <w:pPr>
              <w:autoSpaceDE w:val="0"/>
              <w:autoSpaceDN w:val="0"/>
              <w:adjustRightInd w:val="0"/>
              <w:spacing w:before="120" w:after="120"/>
              <w:jc w:val="both"/>
              <w:rPr>
                <w:rFonts w:ascii="Times New Roman" w:eastAsia="Times New Roman" w:hAnsi="Times New Roman" w:cs="Times New Roman"/>
                <w:b/>
                <w:noProof/>
                <w:sz w:val="24"/>
                <w:u w:val="single"/>
              </w:rPr>
            </w:pPr>
            <w:r w:rsidRPr="009C35F8">
              <w:rPr>
                <w:rFonts w:ascii="Times New Roman" w:eastAsia="Times New Roman" w:hAnsi="Times New Roman" w:cs="Times New Roman"/>
                <w:b/>
                <w:noProof/>
                <w:sz w:val="24"/>
                <w:u w:val="single"/>
              </w:rPr>
              <w:t>Exposures to companies whose activities negatively impact overexploitation of resources</w:t>
            </w:r>
          </w:p>
          <w:p w14:paraId="4172E7E0" w14:textId="476E228F" w:rsidR="00282025" w:rsidRPr="00E50FA4" w:rsidRDefault="000C4089">
            <w:pPr>
              <w:autoSpaceDE w:val="0"/>
              <w:autoSpaceDN w:val="0"/>
              <w:adjustRightInd w:val="0"/>
              <w:spacing w:before="120" w:after="120"/>
              <w:jc w:val="both"/>
              <w:rPr>
                <w:rFonts w:ascii="Times New Roman" w:eastAsia="Times New Roman" w:hAnsi="Times New Roman" w:cs="Times New Roman"/>
                <w:noProof/>
                <w:sz w:val="24"/>
                <w:lang w:eastAsia="sv-SE"/>
              </w:rPr>
            </w:pPr>
            <w:r w:rsidRPr="000C4089">
              <w:rPr>
                <w:rFonts w:ascii="Times New Roman" w:eastAsia="Times New Roman" w:hAnsi="Times New Roman" w:cs="Times New Roman"/>
                <w:noProof/>
                <w:sz w:val="24"/>
                <w:lang w:eastAsia="sv-SE"/>
              </w:rPr>
              <w:t>Institutions shall report exposures to companies whose activities negatively impact nature through the overexploitation or unsustainable use of natural resources, such as excessive water abstraction, over‑harvesting of biological resources, or unsustainable extraction of natural materials.</w:t>
            </w:r>
          </w:p>
        </w:tc>
      </w:tr>
      <w:tr w:rsidR="00C817C3" w:rsidRPr="00E50FA4" w14:paraId="5D41BEE7" w14:textId="77777777" w:rsidTr="00166EBA">
        <w:trPr>
          <w:trHeight w:val="316"/>
        </w:trPr>
        <w:tc>
          <w:tcPr>
            <w:tcW w:w="1271" w:type="dxa"/>
          </w:tcPr>
          <w:p w14:paraId="75291465" w14:textId="273FE4D3" w:rsidR="00C817C3" w:rsidRDefault="002251C3">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8926B1">
              <w:rPr>
                <w:rFonts w:ascii="Times New Roman" w:hAnsi="Times New Roman" w:cs="Times New Roman"/>
                <w:noProof/>
                <w:sz w:val="24"/>
              </w:rPr>
              <w:t>6</w:t>
            </w:r>
            <w:r>
              <w:rPr>
                <w:rFonts w:ascii="Times New Roman" w:hAnsi="Times New Roman" w:cs="Times New Roman"/>
                <w:noProof/>
                <w:sz w:val="24"/>
              </w:rPr>
              <w:t>0</w:t>
            </w:r>
          </w:p>
        </w:tc>
        <w:tc>
          <w:tcPr>
            <w:tcW w:w="7513" w:type="dxa"/>
          </w:tcPr>
          <w:p w14:paraId="36AB8489" w14:textId="77777777" w:rsidR="00B73ADB" w:rsidRDefault="00C817C3" w:rsidP="00C817C3">
            <w:pPr>
              <w:autoSpaceDE w:val="0"/>
              <w:autoSpaceDN w:val="0"/>
              <w:adjustRightInd w:val="0"/>
              <w:spacing w:before="120" w:after="120"/>
              <w:jc w:val="both"/>
              <w:rPr>
                <w:rFonts w:ascii="Times New Roman" w:eastAsia="Times New Roman" w:hAnsi="Times New Roman" w:cs="Times New Roman"/>
                <w:b/>
                <w:noProof/>
                <w:sz w:val="24"/>
                <w:u w:val="single"/>
              </w:rPr>
            </w:pPr>
            <w:r w:rsidRPr="009C35F8">
              <w:rPr>
                <w:rFonts w:ascii="Times New Roman" w:eastAsia="Times New Roman" w:hAnsi="Times New Roman" w:cs="Times New Roman"/>
                <w:b/>
                <w:noProof/>
                <w:sz w:val="24"/>
                <w:u w:val="single"/>
              </w:rPr>
              <w:t xml:space="preserve">Exposures to companies whose activities </w:t>
            </w:r>
            <w:r w:rsidR="00BA5E7D">
              <w:rPr>
                <w:rFonts w:ascii="Times New Roman" w:eastAsia="Times New Roman" w:hAnsi="Times New Roman" w:cs="Times New Roman"/>
                <w:b/>
                <w:noProof/>
                <w:sz w:val="24"/>
                <w:u w:val="single"/>
              </w:rPr>
              <w:t xml:space="preserve">have </w:t>
            </w:r>
            <w:r w:rsidR="00BA5E7D" w:rsidRPr="00BA5E7D">
              <w:rPr>
                <w:rFonts w:ascii="Times New Roman" w:eastAsia="Times New Roman" w:hAnsi="Times New Roman" w:cs="Times New Roman"/>
                <w:b/>
                <w:noProof/>
                <w:sz w:val="24"/>
                <w:u w:val="single"/>
              </w:rPr>
              <w:t xml:space="preserve">detrimental impacts regarding invasive species </w:t>
            </w:r>
          </w:p>
          <w:p w14:paraId="44005ECD" w14:textId="0DE6EE31" w:rsidR="00C817C3" w:rsidRPr="00166EBA" w:rsidRDefault="00825570" w:rsidP="00C817C3">
            <w:pPr>
              <w:autoSpaceDE w:val="0"/>
              <w:autoSpaceDN w:val="0"/>
              <w:adjustRightInd w:val="0"/>
              <w:spacing w:before="120" w:after="120"/>
              <w:jc w:val="both"/>
              <w:rPr>
                <w:rFonts w:ascii="Times New Roman" w:eastAsia="Times New Roman" w:hAnsi="Times New Roman" w:cs="Times New Roman"/>
                <w:sz w:val="24"/>
                <w:lang w:eastAsia="sv-SE"/>
              </w:rPr>
            </w:pPr>
            <w:r w:rsidRPr="00166EBA">
              <w:rPr>
                <w:rFonts w:ascii="Times New Roman" w:eastAsia="Times New Roman" w:hAnsi="Times New Roman" w:cs="Times New Roman"/>
                <w:noProof/>
                <w:sz w:val="24"/>
                <w:lang w:eastAsia="sv-SE"/>
              </w:rPr>
              <w:t xml:space="preserve">Institutions shall report exposures to companies whose activities negatively impact ecosystems by contributing to the introduction or spread of invasive alien species. </w:t>
            </w:r>
            <w:r w:rsidR="00471B6D" w:rsidRPr="00471B6D">
              <w:rPr>
                <w:rFonts w:ascii="Times New Roman" w:eastAsia="Times New Roman" w:hAnsi="Times New Roman" w:cs="Times New Roman"/>
                <w:noProof/>
                <w:sz w:val="24"/>
                <w:lang w:eastAsia="sv-SE"/>
              </w:rPr>
              <w:t>This includes activities that facilitate the movement, release or establishment of species outside their natural range, where they may outcompete native species, disrupt ecological processes or alter ecosystem functioning.</w:t>
            </w:r>
          </w:p>
        </w:tc>
      </w:tr>
      <w:tr w:rsidR="00282025" w:rsidRPr="00E50FA4" w14:paraId="434D8890" w14:textId="77777777" w:rsidTr="00166EBA">
        <w:trPr>
          <w:trHeight w:val="316"/>
        </w:trPr>
        <w:tc>
          <w:tcPr>
            <w:tcW w:w="1271" w:type="dxa"/>
          </w:tcPr>
          <w:p w14:paraId="6F656FD9" w14:textId="42FC7706" w:rsidR="00282025"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4B4D90">
              <w:rPr>
                <w:rFonts w:ascii="Times New Roman" w:hAnsi="Times New Roman" w:cs="Times New Roman"/>
                <w:noProof/>
                <w:sz w:val="24"/>
              </w:rPr>
              <w:t>7</w:t>
            </w:r>
            <w:r w:rsidR="002251C3">
              <w:rPr>
                <w:rFonts w:ascii="Times New Roman" w:hAnsi="Times New Roman" w:cs="Times New Roman"/>
                <w:noProof/>
                <w:sz w:val="24"/>
              </w:rPr>
              <w:t>0-</w:t>
            </w:r>
            <w:r w:rsidR="00EA1736">
              <w:rPr>
                <w:rFonts w:ascii="Times New Roman" w:hAnsi="Times New Roman" w:cs="Times New Roman"/>
                <w:noProof/>
                <w:sz w:val="24"/>
              </w:rPr>
              <w:t>0</w:t>
            </w:r>
            <w:r w:rsidR="004B4D90">
              <w:rPr>
                <w:rFonts w:ascii="Times New Roman" w:hAnsi="Times New Roman" w:cs="Times New Roman"/>
                <w:noProof/>
                <w:sz w:val="24"/>
              </w:rPr>
              <w:t>12</w:t>
            </w:r>
            <w:r w:rsidR="00EA1736">
              <w:rPr>
                <w:rFonts w:ascii="Times New Roman" w:hAnsi="Times New Roman" w:cs="Times New Roman"/>
                <w:noProof/>
                <w:sz w:val="24"/>
              </w:rPr>
              <w:t>0</w:t>
            </w:r>
          </w:p>
        </w:tc>
        <w:tc>
          <w:tcPr>
            <w:tcW w:w="7513" w:type="dxa"/>
          </w:tcPr>
          <w:p w14:paraId="6297B53D" w14:textId="18C7A260" w:rsidR="00D04780" w:rsidRPr="0004558A" w:rsidRDefault="00661ABD" w:rsidP="005C40E3">
            <w:pPr>
              <w:spacing w:before="120" w:after="120"/>
              <w:jc w:val="both"/>
              <w:rPr>
                <w:rFonts w:ascii="Times New Roman" w:eastAsia="Times New Roman" w:hAnsi="Times New Roman" w:cs="Times New Roman"/>
                <w:b/>
                <w:bCs/>
                <w:noProof/>
                <w:sz w:val="24"/>
                <w:u w:val="single"/>
              </w:rPr>
            </w:pPr>
            <w:r>
              <w:rPr>
                <w:rFonts w:ascii="Times New Roman" w:eastAsia="Times New Roman" w:hAnsi="Times New Roman" w:cs="Times New Roman"/>
                <w:b/>
                <w:bCs/>
                <w:noProof/>
                <w:sz w:val="24"/>
                <w:u w:val="single"/>
              </w:rPr>
              <w:t xml:space="preserve">Of which: </w:t>
            </w:r>
            <w:r w:rsidR="0004558A">
              <w:rPr>
                <w:rFonts w:ascii="Times New Roman" w:eastAsia="Times New Roman" w:hAnsi="Times New Roman" w:cs="Times New Roman"/>
                <w:b/>
                <w:bCs/>
                <w:noProof/>
                <w:sz w:val="24"/>
                <w:u w:val="single"/>
              </w:rPr>
              <w:t>E</w:t>
            </w:r>
            <w:r w:rsidR="0004558A" w:rsidRPr="1D082E15">
              <w:rPr>
                <w:rFonts w:ascii="Times New Roman" w:eastAsia="Times New Roman" w:hAnsi="Times New Roman" w:cs="Times New Roman"/>
                <w:b/>
                <w:bCs/>
                <w:noProof/>
                <w:sz w:val="24"/>
                <w:u w:val="single"/>
              </w:rPr>
              <w:t xml:space="preserve">xposures to </w:t>
            </w:r>
            <w:r w:rsidR="0004558A">
              <w:rPr>
                <w:rFonts w:ascii="Times New Roman" w:eastAsia="Times New Roman" w:hAnsi="Times New Roman" w:cs="Times New Roman"/>
                <w:b/>
                <w:bCs/>
                <w:noProof/>
                <w:sz w:val="24"/>
                <w:u w:val="single"/>
              </w:rPr>
              <w:t>environmental</w:t>
            </w:r>
            <w:r w:rsidR="0004558A" w:rsidRPr="1D082E15">
              <w:rPr>
                <w:rFonts w:ascii="Times New Roman" w:eastAsia="Times New Roman" w:hAnsi="Times New Roman" w:cs="Times New Roman"/>
                <w:b/>
                <w:bCs/>
                <w:noProof/>
                <w:sz w:val="24"/>
                <w:u w:val="single"/>
              </w:rPr>
              <w:t xml:space="preserve"> risk</w:t>
            </w:r>
            <w:r w:rsidR="0004558A">
              <w:rPr>
                <w:rFonts w:ascii="Times New Roman" w:eastAsia="Times New Roman" w:hAnsi="Times New Roman" w:cs="Times New Roman"/>
                <w:b/>
                <w:bCs/>
                <w:noProof/>
                <w:sz w:val="24"/>
                <w:u w:val="single"/>
              </w:rPr>
              <w:t>s beyond climate</w:t>
            </w:r>
            <w:r w:rsidR="0004558A" w:rsidRPr="1D082E15">
              <w:rPr>
                <w:rFonts w:ascii="Times New Roman" w:eastAsia="Times New Roman" w:hAnsi="Times New Roman" w:cs="Times New Roman"/>
                <w:b/>
                <w:bCs/>
                <w:noProof/>
                <w:sz w:val="24"/>
                <w:u w:val="single"/>
              </w:rPr>
              <w:t xml:space="preserve"> </w:t>
            </w:r>
            <w:r w:rsidR="0004558A">
              <w:rPr>
                <w:rFonts w:ascii="Times New Roman" w:eastAsia="Times New Roman" w:hAnsi="Times New Roman" w:cs="Times New Roman"/>
                <w:b/>
                <w:bCs/>
                <w:noProof/>
                <w:sz w:val="24"/>
                <w:u w:val="single"/>
              </w:rPr>
              <w:t>(by ecosystem-service dependency)</w:t>
            </w:r>
          </w:p>
          <w:p w14:paraId="5A24729B" w14:textId="185F1308" w:rsidR="00282025" w:rsidRPr="00E50FA4" w:rsidRDefault="00C74B83">
            <w:pPr>
              <w:spacing w:before="120" w:after="120"/>
              <w:jc w:val="both"/>
              <w:rPr>
                <w:rFonts w:ascii="Times New Roman" w:eastAsia="Times New Roman" w:hAnsi="Times New Roman" w:cs="Times New Roman"/>
                <w:noProof/>
                <w:sz w:val="24"/>
              </w:rPr>
            </w:pPr>
            <w:r w:rsidRPr="00C74B83">
              <w:rPr>
                <w:rFonts w:ascii="Times New Roman" w:eastAsia="Times New Roman" w:hAnsi="Times New Roman" w:cs="Times New Roman"/>
                <w:noProof/>
                <w:sz w:val="24"/>
              </w:rPr>
              <w:t xml:space="preserve">Institutions shall </w:t>
            </w:r>
            <w:r w:rsidR="00223B56">
              <w:rPr>
                <w:rFonts w:ascii="Times New Roman" w:eastAsia="Times New Roman" w:hAnsi="Times New Roman" w:cs="Times New Roman"/>
                <w:noProof/>
                <w:sz w:val="24"/>
              </w:rPr>
              <w:t>report</w:t>
            </w:r>
            <w:r w:rsidRPr="00C74B83">
              <w:rPr>
                <w:rFonts w:ascii="Times New Roman" w:eastAsia="Times New Roman" w:hAnsi="Times New Roman" w:cs="Times New Roman"/>
                <w:noProof/>
                <w:sz w:val="24"/>
              </w:rPr>
              <w:t xml:space="preserve"> exposures to companies whose activities </w:t>
            </w:r>
            <w:r w:rsidR="00DF1F4F">
              <w:rPr>
                <w:rFonts w:ascii="Times New Roman" w:eastAsia="Times New Roman" w:hAnsi="Times New Roman" w:cs="Times New Roman"/>
                <w:noProof/>
                <w:sz w:val="24"/>
              </w:rPr>
              <w:t xml:space="preserve">highly </w:t>
            </w:r>
            <w:r w:rsidRPr="00C74B83">
              <w:rPr>
                <w:rFonts w:ascii="Times New Roman" w:eastAsia="Times New Roman" w:hAnsi="Times New Roman" w:cs="Times New Roman"/>
                <w:noProof/>
                <w:sz w:val="24"/>
              </w:rPr>
              <w:t xml:space="preserve">depend on any of the relevant ecosystem services. The </w:t>
            </w:r>
            <w:r w:rsidR="00223B56">
              <w:rPr>
                <w:rFonts w:ascii="Times New Roman" w:eastAsia="Times New Roman" w:hAnsi="Times New Roman" w:cs="Times New Roman"/>
                <w:noProof/>
                <w:sz w:val="24"/>
              </w:rPr>
              <w:t>reporting</w:t>
            </w:r>
            <w:r w:rsidRPr="00C74B83">
              <w:rPr>
                <w:rFonts w:ascii="Times New Roman" w:eastAsia="Times New Roman" w:hAnsi="Times New Roman" w:cs="Times New Roman"/>
                <w:noProof/>
                <w:sz w:val="24"/>
              </w:rPr>
              <w:t xml:space="preserve"> by dependency category is not mutually exclusive, and the same exposure may be reported under multiple categories where a counterparty relies on more than one ecosystem service. Consequently, the sum of exposures reported across individual ecosystem‑service dependency categories may exceed the total exposures subject to environmental risk beyond climate.</w:t>
            </w:r>
          </w:p>
        </w:tc>
      </w:tr>
      <w:tr w:rsidR="00282025" w:rsidRPr="00E50FA4" w14:paraId="33BC24D6" w14:textId="77777777" w:rsidTr="00166EBA">
        <w:trPr>
          <w:trHeight w:val="316"/>
        </w:trPr>
        <w:tc>
          <w:tcPr>
            <w:tcW w:w="1271" w:type="dxa"/>
          </w:tcPr>
          <w:p w14:paraId="107CD781" w14:textId="191FEF9C" w:rsidR="00282025" w:rsidRPr="00E50FA4" w:rsidRDefault="00282025">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661ABD">
              <w:rPr>
                <w:rFonts w:ascii="Times New Roman" w:hAnsi="Times New Roman" w:cs="Times New Roman"/>
                <w:noProof/>
                <w:sz w:val="24"/>
              </w:rPr>
              <w:t>8</w:t>
            </w:r>
            <w:r w:rsidR="00EA1736">
              <w:rPr>
                <w:rFonts w:ascii="Times New Roman" w:hAnsi="Times New Roman" w:cs="Times New Roman"/>
                <w:noProof/>
                <w:sz w:val="24"/>
              </w:rPr>
              <w:t>0</w:t>
            </w:r>
          </w:p>
        </w:tc>
        <w:tc>
          <w:tcPr>
            <w:tcW w:w="7513" w:type="dxa"/>
          </w:tcPr>
          <w:p w14:paraId="25377F6E" w14:textId="45271116" w:rsidR="0004558A" w:rsidRDefault="0004558A">
            <w:pPr>
              <w:spacing w:before="120" w:after="120"/>
              <w:jc w:val="both"/>
              <w:rPr>
                <w:rFonts w:ascii="Times New Roman" w:eastAsia="Times New Roman" w:hAnsi="Times New Roman" w:cs="Times New Roman"/>
                <w:b/>
                <w:noProof/>
                <w:sz w:val="24"/>
                <w:u w:val="single"/>
              </w:rPr>
            </w:pPr>
            <w:r w:rsidRPr="0004558A">
              <w:rPr>
                <w:rFonts w:ascii="Times New Roman" w:eastAsia="Times New Roman" w:hAnsi="Times New Roman" w:cs="Times New Roman"/>
                <w:b/>
                <w:noProof/>
                <w:sz w:val="24"/>
                <w:u w:val="single"/>
              </w:rPr>
              <w:t xml:space="preserve">Exposure to companies whose activities depend on water supply </w:t>
            </w:r>
          </w:p>
          <w:p w14:paraId="5AE58F6D" w14:textId="6F18B0A8" w:rsidR="00282025" w:rsidRPr="00166EBA" w:rsidRDefault="00425A24">
            <w:pPr>
              <w:spacing w:before="120" w:after="120"/>
              <w:jc w:val="both"/>
              <w:rPr>
                <w:rFonts w:ascii="Times New Roman" w:eastAsia="Times New Roman" w:hAnsi="Times New Roman" w:cs="Times New Roman"/>
                <w:sz w:val="24"/>
              </w:rPr>
            </w:pPr>
            <w:r w:rsidRPr="00425A24">
              <w:rPr>
                <w:rFonts w:ascii="Times New Roman" w:eastAsia="Times New Roman" w:hAnsi="Times New Roman" w:cs="Times New Roman"/>
                <w:noProof/>
                <w:sz w:val="24"/>
              </w:rPr>
              <w:t xml:space="preserve">Institutions shall report exposures to companies whose activities </w:t>
            </w:r>
            <w:r w:rsidR="00A11FE9">
              <w:rPr>
                <w:rFonts w:ascii="Times New Roman" w:eastAsia="Times New Roman" w:hAnsi="Times New Roman" w:cs="Times New Roman"/>
                <w:noProof/>
                <w:sz w:val="24"/>
              </w:rPr>
              <w:t xml:space="preserve">highly </w:t>
            </w:r>
            <w:r w:rsidRPr="00425A24">
              <w:rPr>
                <w:rFonts w:ascii="Times New Roman" w:eastAsia="Times New Roman" w:hAnsi="Times New Roman" w:cs="Times New Roman"/>
                <w:noProof/>
                <w:sz w:val="24"/>
              </w:rPr>
              <w:t>rely on the availability and quality of freshwater resources, reflecting a dependency on the ecosystem service of water provision, which may be affected by depletion, pollution, or changes in hydrological systems.</w:t>
            </w:r>
          </w:p>
        </w:tc>
      </w:tr>
      <w:tr w:rsidR="00EA1736" w:rsidRPr="00E50FA4" w14:paraId="4A45A200" w14:textId="77777777" w:rsidTr="00166EBA">
        <w:trPr>
          <w:trHeight w:val="316"/>
        </w:trPr>
        <w:tc>
          <w:tcPr>
            <w:tcW w:w="1271" w:type="dxa"/>
          </w:tcPr>
          <w:p w14:paraId="5100C202" w14:textId="7B082BD4" w:rsidR="00EA1736" w:rsidRDefault="00EA1736">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00</w:t>
            </w:r>
            <w:r w:rsidR="00661ABD">
              <w:rPr>
                <w:rFonts w:ascii="Times New Roman" w:hAnsi="Times New Roman" w:cs="Times New Roman"/>
                <w:noProof/>
                <w:sz w:val="24"/>
              </w:rPr>
              <w:t>9</w:t>
            </w:r>
            <w:r>
              <w:rPr>
                <w:rFonts w:ascii="Times New Roman" w:hAnsi="Times New Roman" w:cs="Times New Roman"/>
                <w:noProof/>
                <w:sz w:val="24"/>
              </w:rPr>
              <w:t>0</w:t>
            </w:r>
          </w:p>
        </w:tc>
        <w:tc>
          <w:tcPr>
            <w:tcW w:w="7513" w:type="dxa"/>
          </w:tcPr>
          <w:p w14:paraId="6E86DB0A" w14:textId="5819AC20" w:rsidR="00EA1736" w:rsidRDefault="00EA1736" w:rsidP="00EA1736">
            <w:pPr>
              <w:spacing w:before="120" w:after="120"/>
              <w:jc w:val="both"/>
              <w:rPr>
                <w:rFonts w:ascii="Times New Roman" w:eastAsia="Times New Roman" w:hAnsi="Times New Roman" w:cs="Times New Roman"/>
                <w:b/>
                <w:noProof/>
                <w:sz w:val="24"/>
                <w:u w:val="single"/>
              </w:rPr>
            </w:pPr>
            <w:r w:rsidRPr="0004558A">
              <w:rPr>
                <w:rFonts w:ascii="Times New Roman" w:eastAsia="Times New Roman" w:hAnsi="Times New Roman" w:cs="Times New Roman"/>
                <w:b/>
                <w:noProof/>
                <w:sz w:val="24"/>
                <w:u w:val="single"/>
              </w:rPr>
              <w:t>Exposure to companies whose activities depend on</w:t>
            </w:r>
            <w:r>
              <w:rPr>
                <w:rFonts w:ascii="Times New Roman" w:eastAsia="Times New Roman" w:hAnsi="Times New Roman" w:cs="Times New Roman"/>
                <w:b/>
                <w:noProof/>
                <w:sz w:val="24"/>
                <w:u w:val="single"/>
              </w:rPr>
              <w:t xml:space="preserve"> provisioning services (other than</w:t>
            </w:r>
            <w:r w:rsidRPr="0004558A">
              <w:rPr>
                <w:rFonts w:ascii="Times New Roman" w:eastAsia="Times New Roman" w:hAnsi="Times New Roman" w:cs="Times New Roman"/>
                <w:b/>
                <w:noProof/>
                <w:sz w:val="24"/>
                <w:u w:val="single"/>
              </w:rPr>
              <w:t xml:space="preserve"> water supply</w:t>
            </w:r>
            <w:r>
              <w:rPr>
                <w:rFonts w:ascii="Times New Roman" w:eastAsia="Times New Roman" w:hAnsi="Times New Roman" w:cs="Times New Roman"/>
                <w:b/>
                <w:noProof/>
                <w:sz w:val="24"/>
                <w:u w:val="single"/>
              </w:rPr>
              <w:t>)</w:t>
            </w:r>
            <w:r w:rsidRPr="0004558A">
              <w:rPr>
                <w:rFonts w:ascii="Times New Roman" w:eastAsia="Times New Roman" w:hAnsi="Times New Roman" w:cs="Times New Roman"/>
                <w:b/>
                <w:noProof/>
                <w:sz w:val="24"/>
                <w:u w:val="single"/>
              </w:rPr>
              <w:t xml:space="preserve"> </w:t>
            </w:r>
          </w:p>
          <w:p w14:paraId="251FA690" w14:textId="2F91F6D1" w:rsidR="00EA1736" w:rsidRPr="00166EBA" w:rsidRDefault="004B625C">
            <w:pPr>
              <w:spacing w:before="120" w:after="120"/>
              <w:jc w:val="both"/>
              <w:rPr>
                <w:rFonts w:ascii="Times New Roman" w:eastAsia="Times New Roman" w:hAnsi="Times New Roman" w:cs="Times New Roman"/>
                <w:noProof/>
                <w:sz w:val="24"/>
              </w:rPr>
            </w:pPr>
            <w:r w:rsidRPr="004B625C">
              <w:rPr>
                <w:rFonts w:ascii="Times New Roman" w:eastAsia="Times New Roman" w:hAnsi="Times New Roman" w:cs="Times New Roman"/>
                <w:noProof/>
                <w:sz w:val="24"/>
              </w:rPr>
              <w:t xml:space="preserve">Institutions shall report exposures to companies </w:t>
            </w:r>
            <w:r w:rsidR="00A11FE9">
              <w:rPr>
                <w:rFonts w:ascii="Times New Roman" w:eastAsia="Times New Roman" w:hAnsi="Times New Roman" w:cs="Times New Roman"/>
                <w:noProof/>
                <w:sz w:val="24"/>
              </w:rPr>
              <w:t xml:space="preserve">whose activities highly </w:t>
            </w:r>
            <w:r w:rsidRPr="004B625C">
              <w:rPr>
                <w:rFonts w:ascii="Times New Roman" w:eastAsia="Times New Roman" w:hAnsi="Times New Roman" w:cs="Times New Roman"/>
                <w:noProof/>
                <w:sz w:val="24"/>
              </w:rPr>
              <w:t xml:space="preserve">depend on </w:t>
            </w:r>
            <w:r w:rsidR="00A35048">
              <w:rPr>
                <w:rFonts w:ascii="Times New Roman" w:eastAsia="Times New Roman" w:hAnsi="Times New Roman" w:cs="Times New Roman"/>
                <w:noProof/>
                <w:sz w:val="24"/>
              </w:rPr>
              <w:t xml:space="preserve">at least one </w:t>
            </w:r>
            <w:r w:rsidRPr="004B625C">
              <w:rPr>
                <w:rFonts w:ascii="Times New Roman" w:eastAsia="Times New Roman" w:hAnsi="Times New Roman" w:cs="Times New Roman"/>
                <w:noProof/>
                <w:sz w:val="24"/>
              </w:rPr>
              <w:t>other provisioning ecosystem service, including biomass, fibres, genetic resources or other biological materials that serve as essential inputs to production processes and may be sensitive to ecosystem degradation or resource depletion.</w:t>
            </w:r>
          </w:p>
        </w:tc>
      </w:tr>
      <w:tr w:rsidR="00EA1736" w:rsidRPr="00E50FA4" w14:paraId="5E2E5250" w14:textId="77777777" w:rsidTr="00166EBA">
        <w:trPr>
          <w:trHeight w:val="316"/>
        </w:trPr>
        <w:tc>
          <w:tcPr>
            <w:tcW w:w="1271" w:type="dxa"/>
          </w:tcPr>
          <w:p w14:paraId="4EECD087" w14:textId="2924AFDC" w:rsidR="00EA1736" w:rsidRDefault="00EA1736">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w:t>
            </w:r>
            <w:r w:rsidR="00661ABD">
              <w:rPr>
                <w:rFonts w:ascii="Times New Roman" w:hAnsi="Times New Roman" w:cs="Times New Roman"/>
                <w:noProof/>
                <w:sz w:val="24"/>
              </w:rPr>
              <w:t>11</w:t>
            </w:r>
            <w:r>
              <w:rPr>
                <w:rFonts w:ascii="Times New Roman" w:hAnsi="Times New Roman" w:cs="Times New Roman"/>
                <w:noProof/>
                <w:sz w:val="24"/>
              </w:rPr>
              <w:t>0</w:t>
            </w:r>
          </w:p>
        </w:tc>
        <w:tc>
          <w:tcPr>
            <w:tcW w:w="7513" w:type="dxa"/>
          </w:tcPr>
          <w:p w14:paraId="426F497D" w14:textId="1A3B8380" w:rsidR="00EA1736" w:rsidRDefault="00EA1736" w:rsidP="00EA1736">
            <w:pPr>
              <w:spacing w:before="120" w:after="120"/>
              <w:jc w:val="both"/>
              <w:rPr>
                <w:rFonts w:ascii="Times New Roman" w:eastAsia="Times New Roman" w:hAnsi="Times New Roman" w:cs="Times New Roman"/>
                <w:b/>
                <w:noProof/>
                <w:sz w:val="24"/>
                <w:u w:val="single"/>
              </w:rPr>
            </w:pPr>
            <w:r w:rsidRPr="0004558A">
              <w:rPr>
                <w:rFonts w:ascii="Times New Roman" w:eastAsia="Times New Roman" w:hAnsi="Times New Roman" w:cs="Times New Roman"/>
                <w:b/>
                <w:noProof/>
                <w:sz w:val="24"/>
                <w:u w:val="single"/>
              </w:rPr>
              <w:t xml:space="preserve">Exposure to companies whose activities depend on </w:t>
            </w:r>
            <w:r>
              <w:rPr>
                <w:rFonts w:ascii="Times New Roman" w:eastAsia="Times New Roman" w:hAnsi="Times New Roman" w:cs="Times New Roman"/>
                <w:b/>
                <w:noProof/>
                <w:sz w:val="24"/>
                <w:u w:val="single"/>
              </w:rPr>
              <w:t>regulating and supporting ecosystem</w:t>
            </w:r>
            <w:r w:rsidRPr="0004558A">
              <w:rPr>
                <w:rFonts w:ascii="Times New Roman" w:eastAsia="Times New Roman" w:hAnsi="Times New Roman" w:cs="Times New Roman"/>
                <w:b/>
                <w:noProof/>
                <w:sz w:val="24"/>
                <w:u w:val="single"/>
              </w:rPr>
              <w:t xml:space="preserve"> </w:t>
            </w:r>
            <w:r w:rsidR="00B467B8">
              <w:rPr>
                <w:rFonts w:ascii="Times New Roman" w:eastAsia="Times New Roman" w:hAnsi="Times New Roman" w:cs="Times New Roman"/>
                <w:b/>
                <w:noProof/>
                <w:sz w:val="24"/>
                <w:u w:val="single"/>
              </w:rPr>
              <w:t>services</w:t>
            </w:r>
            <w:r w:rsidRPr="0004558A">
              <w:rPr>
                <w:rFonts w:ascii="Times New Roman" w:eastAsia="Times New Roman" w:hAnsi="Times New Roman" w:cs="Times New Roman"/>
                <w:b/>
                <w:noProof/>
                <w:sz w:val="24"/>
                <w:u w:val="single"/>
              </w:rPr>
              <w:t xml:space="preserve"> </w:t>
            </w:r>
          </w:p>
          <w:p w14:paraId="6E08AEFF" w14:textId="309B7A8F" w:rsidR="00EA1736" w:rsidRPr="00166EBA" w:rsidRDefault="00E35C79">
            <w:pPr>
              <w:spacing w:before="120" w:after="120"/>
              <w:jc w:val="both"/>
              <w:rPr>
                <w:rFonts w:ascii="Times New Roman" w:eastAsia="Times New Roman" w:hAnsi="Times New Roman" w:cs="Times New Roman"/>
                <w:noProof/>
                <w:sz w:val="24"/>
              </w:rPr>
            </w:pPr>
            <w:r w:rsidRPr="00E35C79">
              <w:rPr>
                <w:rFonts w:ascii="Times New Roman" w:eastAsia="Times New Roman" w:hAnsi="Times New Roman" w:cs="Times New Roman"/>
                <w:noProof/>
                <w:sz w:val="24"/>
              </w:rPr>
              <w:t xml:space="preserve">Institutions shall report exposures to companies whose </w:t>
            </w:r>
            <w:r w:rsidR="00A11FE9">
              <w:rPr>
                <w:rFonts w:ascii="Times New Roman" w:eastAsia="Times New Roman" w:hAnsi="Times New Roman" w:cs="Times New Roman"/>
                <w:noProof/>
                <w:sz w:val="24"/>
              </w:rPr>
              <w:t>activities</w:t>
            </w:r>
            <w:r w:rsidRPr="00E35C79">
              <w:rPr>
                <w:rFonts w:ascii="Times New Roman" w:eastAsia="Times New Roman" w:hAnsi="Times New Roman" w:cs="Times New Roman"/>
                <w:noProof/>
                <w:sz w:val="24"/>
              </w:rPr>
              <w:t xml:space="preserve"> </w:t>
            </w:r>
            <w:r w:rsidR="00A11FE9">
              <w:rPr>
                <w:rFonts w:ascii="Times New Roman" w:eastAsia="Times New Roman" w:hAnsi="Times New Roman" w:cs="Times New Roman"/>
                <w:noProof/>
                <w:sz w:val="24"/>
              </w:rPr>
              <w:t xml:space="preserve">highly </w:t>
            </w:r>
            <w:r w:rsidRPr="00E35C79">
              <w:rPr>
                <w:rFonts w:ascii="Times New Roman" w:eastAsia="Times New Roman" w:hAnsi="Times New Roman" w:cs="Times New Roman"/>
                <w:noProof/>
                <w:sz w:val="24"/>
              </w:rPr>
              <w:t xml:space="preserve">depend on </w:t>
            </w:r>
            <w:r w:rsidR="00A11FE9">
              <w:rPr>
                <w:rFonts w:ascii="Times New Roman" w:eastAsia="Times New Roman" w:hAnsi="Times New Roman" w:cs="Times New Roman"/>
                <w:noProof/>
                <w:sz w:val="24"/>
              </w:rPr>
              <w:t xml:space="preserve">at least one </w:t>
            </w:r>
            <w:r w:rsidRPr="00E35C79">
              <w:rPr>
                <w:rFonts w:ascii="Times New Roman" w:eastAsia="Times New Roman" w:hAnsi="Times New Roman" w:cs="Times New Roman"/>
                <w:noProof/>
                <w:sz w:val="24"/>
              </w:rPr>
              <w:t xml:space="preserve">regulating </w:t>
            </w:r>
            <w:r w:rsidR="00C3219F">
              <w:rPr>
                <w:rFonts w:ascii="Times New Roman" w:eastAsia="Times New Roman" w:hAnsi="Times New Roman" w:cs="Times New Roman"/>
                <w:noProof/>
                <w:sz w:val="24"/>
              </w:rPr>
              <w:t>and/</w:t>
            </w:r>
            <w:r w:rsidRPr="00E35C79">
              <w:rPr>
                <w:rFonts w:ascii="Times New Roman" w:eastAsia="Times New Roman" w:hAnsi="Times New Roman" w:cs="Times New Roman"/>
                <w:noProof/>
                <w:sz w:val="24"/>
              </w:rPr>
              <w:t>or supporting ecosystem service, such as pollination, soil formation, water purification, erosion control, climate regulation or habitat maintenance.</w:t>
            </w:r>
          </w:p>
        </w:tc>
      </w:tr>
      <w:tr w:rsidR="00EA1736" w:rsidRPr="00E50FA4" w14:paraId="136089BD" w14:textId="77777777" w:rsidTr="00166EBA">
        <w:trPr>
          <w:trHeight w:val="316"/>
        </w:trPr>
        <w:tc>
          <w:tcPr>
            <w:tcW w:w="1271" w:type="dxa"/>
          </w:tcPr>
          <w:p w14:paraId="780DFEB7" w14:textId="25D938B7" w:rsidR="00EA1736" w:rsidRDefault="00EA1736">
            <w:pPr>
              <w:autoSpaceDE w:val="0"/>
              <w:autoSpaceDN w:val="0"/>
              <w:adjustRightInd w:val="0"/>
              <w:jc w:val="both"/>
              <w:rPr>
                <w:rFonts w:ascii="Times New Roman" w:hAnsi="Times New Roman" w:cs="Times New Roman"/>
                <w:noProof/>
                <w:sz w:val="24"/>
              </w:rPr>
            </w:pPr>
            <w:r>
              <w:rPr>
                <w:rFonts w:ascii="Times New Roman" w:hAnsi="Times New Roman" w:cs="Times New Roman"/>
                <w:noProof/>
                <w:sz w:val="24"/>
              </w:rPr>
              <w:t>0</w:t>
            </w:r>
            <w:r w:rsidR="00661ABD">
              <w:rPr>
                <w:rFonts w:ascii="Times New Roman" w:hAnsi="Times New Roman" w:cs="Times New Roman"/>
                <w:noProof/>
                <w:sz w:val="24"/>
              </w:rPr>
              <w:t>12</w:t>
            </w:r>
            <w:r>
              <w:rPr>
                <w:rFonts w:ascii="Times New Roman" w:hAnsi="Times New Roman" w:cs="Times New Roman"/>
                <w:noProof/>
                <w:sz w:val="24"/>
              </w:rPr>
              <w:t>0</w:t>
            </w:r>
          </w:p>
        </w:tc>
        <w:tc>
          <w:tcPr>
            <w:tcW w:w="7513" w:type="dxa"/>
          </w:tcPr>
          <w:p w14:paraId="66DE27C3" w14:textId="0887261A" w:rsidR="00EA1736" w:rsidRDefault="00EA1736" w:rsidP="00EA1736">
            <w:pPr>
              <w:spacing w:before="120" w:after="120"/>
              <w:jc w:val="both"/>
              <w:rPr>
                <w:rFonts w:ascii="Times New Roman" w:eastAsia="Times New Roman" w:hAnsi="Times New Roman" w:cs="Times New Roman"/>
                <w:b/>
                <w:noProof/>
                <w:sz w:val="24"/>
                <w:u w:val="single"/>
              </w:rPr>
            </w:pPr>
            <w:r w:rsidRPr="0004558A">
              <w:rPr>
                <w:rFonts w:ascii="Times New Roman" w:eastAsia="Times New Roman" w:hAnsi="Times New Roman" w:cs="Times New Roman"/>
                <w:b/>
                <w:noProof/>
                <w:sz w:val="24"/>
                <w:u w:val="single"/>
              </w:rPr>
              <w:t xml:space="preserve">Exposure to companies whose activities depend on </w:t>
            </w:r>
            <w:r w:rsidR="00B467B8">
              <w:rPr>
                <w:rFonts w:ascii="Times New Roman" w:eastAsia="Times New Roman" w:hAnsi="Times New Roman" w:cs="Times New Roman"/>
                <w:b/>
                <w:noProof/>
                <w:sz w:val="24"/>
                <w:u w:val="single"/>
              </w:rPr>
              <w:t>cultural ecosystem services</w:t>
            </w:r>
          </w:p>
          <w:p w14:paraId="4BF1B95A" w14:textId="262AA25F" w:rsidR="00EA1736" w:rsidRPr="00166EBA" w:rsidRDefault="00223B56">
            <w:pPr>
              <w:spacing w:before="120" w:after="120"/>
              <w:jc w:val="both"/>
              <w:rPr>
                <w:rFonts w:ascii="Times New Roman" w:eastAsia="Times New Roman" w:hAnsi="Times New Roman" w:cs="Times New Roman"/>
                <w:noProof/>
                <w:sz w:val="24"/>
              </w:rPr>
            </w:pPr>
            <w:r w:rsidRPr="00166EBA">
              <w:rPr>
                <w:rFonts w:ascii="Times New Roman" w:eastAsia="Times New Roman" w:hAnsi="Times New Roman" w:cs="Times New Roman"/>
                <w:noProof/>
                <w:sz w:val="24"/>
              </w:rPr>
              <w:t>Institutions shall report</w:t>
            </w:r>
            <w:r w:rsidRPr="00223B56">
              <w:rPr>
                <w:rFonts w:ascii="Times New Roman" w:eastAsia="Times New Roman" w:hAnsi="Times New Roman" w:cs="Times New Roman"/>
                <w:noProof/>
                <w:sz w:val="24"/>
              </w:rPr>
              <w:t xml:space="preserve"> exposures to companies whose activities </w:t>
            </w:r>
            <w:r w:rsidRPr="00166EBA">
              <w:rPr>
                <w:rFonts w:ascii="Times New Roman" w:eastAsia="Times New Roman" w:hAnsi="Times New Roman" w:cs="Times New Roman"/>
                <w:noProof/>
                <w:sz w:val="24"/>
              </w:rPr>
              <w:t>highly depend</w:t>
            </w:r>
            <w:r w:rsidRPr="00223B56">
              <w:rPr>
                <w:rFonts w:ascii="Times New Roman" w:eastAsia="Times New Roman" w:hAnsi="Times New Roman" w:cs="Times New Roman"/>
                <w:noProof/>
                <w:sz w:val="24"/>
              </w:rPr>
              <w:t xml:space="preserve"> on </w:t>
            </w:r>
            <w:r w:rsidR="00A11FE9">
              <w:rPr>
                <w:rFonts w:ascii="Times New Roman" w:eastAsia="Times New Roman" w:hAnsi="Times New Roman" w:cs="Times New Roman"/>
                <w:noProof/>
                <w:sz w:val="24"/>
              </w:rPr>
              <w:t xml:space="preserve">at least one </w:t>
            </w:r>
            <w:r w:rsidRPr="00166EBA">
              <w:rPr>
                <w:rFonts w:ascii="Times New Roman" w:eastAsia="Times New Roman" w:hAnsi="Times New Roman" w:cs="Times New Roman"/>
                <w:noProof/>
                <w:sz w:val="24"/>
              </w:rPr>
              <w:t>cultural ecosystem service</w:t>
            </w:r>
            <w:r w:rsidRPr="00223B56">
              <w:rPr>
                <w:rFonts w:ascii="Times New Roman" w:eastAsia="Times New Roman" w:hAnsi="Times New Roman" w:cs="Times New Roman"/>
                <w:noProof/>
                <w:sz w:val="24"/>
              </w:rPr>
              <w:t>, including recreational, aesthetic, spiritual, heritage</w:t>
            </w:r>
            <w:r w:rsidRPr="00223B56">
              <w:rPr>
                <w:rFonts w:ascii="Times New Roman" w:eastAsia="Times New Roman" w:hAnsi="Times New Roman" w:cs="Times New Roman"/>
                <w:noProof/>
                <w:sz w:val="24"/>
              </w:rPr>
              <w:noBreakHyphen/>
              <w:t>related or tourism</w:t>
            </w:r>
            <w:r w:rsidRPr="00223B56">
              <w:rPr>
                <w:rFonts w:ascii="Times New Roman" w:eastAsia="Times New Roman" w:hAnsi="Times New Roman" w:cs="Times New Roman"/>
                <w:noProof/>
                <w:sz w:val="24"/>
              </w:rPr>
              <w:noBreakHyphen/>
              <w:t>related benefits derived from natural ecosystems, which may be sensitive to changes in landscape quality or biodiversity.</w:t>
            </w:r>
          </w:p>
        </w:tc>
      </w:tr>
    </w:tbl>
    <w:p w14:paraId="3ACEC09A" w14:textId="77777777" w:rsidR="00F52FCD" w:rsidRPr="00166EBA" w:rsidRDefault="00F52FCD" w:rsidP="00166EBA">
      <w:pPr>
        <w:jc w:val="both"/>
        <w:rPr>
          <w:rFonts w:ascii="Times New Roman" w:hAnsi="Times New Roman"/>
          <w:sz w:val="24"/>
        </w:rPr>
      </w:pPr>
    </w:p>
    <w:p w14:paraId="7C9A30BC" w14:textId="77777777" w:rsidR="001A1BE6" w:rsidRPr="00166EBA" w:rsidRDefault="001A1BE6" w:rsidP="00166EBA">
      <w:pPr>
        <w:pStyle w:val="ListParagraph"/>
        <w:ind w:left="1440"/>
        <w:jc w:val="both"/>
        <w:rPr>
          <w:caps/>
        </w:rPr>
      </w:pPr>
    </w:p>
    <w:p w14:paraId="307B7F1E" w14:textId="3A3D80AC" w:rsidR="00227A0B" w:rsidRPr="00166EBA" w:rsidRDefault="006D4E6D" w:rsidP="00166EBA">
      <w:pPr>
        <w:pStyle w:val="subtitlenumbered"/>
        <w:jc w:val="both"/>
        <w:rPr>
          <w:caps w:val="0"/>
          <w:lang w:val="en-GB"/>
        </w:rPr>
      </w:pPr>
      <w:r w:rsidRPr="00166EBA">
        <w:rPr>
          <w:caps w:val="0"/>
          <w:lang w:val="en-GB"/>
        </w:rPr>
        <w:t xml:space="preserve"> </w:t>
      </w:r>
    </w:p>
    <w:sectPr w:rsidR="00227A0B" w:rsidRPr="00166EBA" w:rsidSect="00BE3AE4">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E2A8" w14:textId="77777777" w:rsidR="009B79B8" w:rsidRPr="00BE72CB" w:rsidRDefault="009B79B8" w:rsidP="004073C4">
      <w:pPr>
        <w:spacing w:after="0" w:line="240" w:lineRule="auto"/>
      </w:pPr>
      <w:r w:rsidRPr="00BE72CB">
        <w:separator/>
      </w:r>
    </w:p>
  </w:endnote>
  <w:endnote w:type="continuationSeparator" w:id="0">
    <w:p w14:paraId="14DA477A" w14:textId="77777777" w:rsidR="009B79B8" w:rsidRPr="00BE72CB" w:rsidRDefault="009B79B8" w:rsidP="004073C4">
      <w:pPr>
        <w:spacing w:after="0" w:line="240" w:lineRule="auto"/>
      </w:pPr>
      <w:r w:rsidRPr="00BE72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358163"/>
      <w:docPartObj>
        <w:docPartGallery w:val="Page Numbers (Bottom of Page)"/>
        <w:docPartUnique/>
      </w:docPartObj>
    </w:sdtPr>
    <w:sdtEndPr/>
    <w:sdtContent>
      <w:p w14:paraId="220373DF" w14:textId="518D4583" w:rsidR="0012605B" w:rsidRPr="00BE72CB" w:rsidRDefault="0012605B">
        <w:pPr>
          <w:pStyle w:val="Footer"/>
          <w:jc w:val="right"/>
        </w:pPr>
        <w:r w:rsidRPr="00BE72CB">
          <w:fldChar w:fldCharType="begin"/>
        </w:r>
        <w:r w:rsidRPr="00BE72CB">
          <w:instrText xml:space="preserve"> PAGE   \* MERGEFORMAT </w:instrText>
        </w:r>
        <w:r w:rsidRPr="00BE72CB">
          <w:fldChar w:fldCharType="separate"/>
        </w:r>
        <w:r w:rsidRPr="00BE72CB">
          <w:t>2</w:t>
        </w:r>
        <w:r w:rsidRPr="00BE72CB">
          <w:fldChar w:fldCharType="end"/>
        </w:r>
      </w:p>
    </w:sdtContent>
  </w:sdt>
  <w:p w14:paraId="7D031985" w14:textId="77777777" w:rsidR="0012605B" w:rsidRPr="00BE72CB" w:rsidRDefault="00126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0C47" w14:textId="77777777" w:rsidR="009B79B8" w:rsidRPr="00BE72CB" w:rsidRDefault="009B79B8" w:rsidP="004073C4">
      <w:pPr>
        <w:spacing w:after="0" w:line="240" w:lineRule="auto"/>
      </w:pPr>
      <w:r w:rsidRPr="00BE72CB">
        <w:separator/>
      </w:r>
    </w:p>
  </w:footnote>
  <w:footnote w:type="continuationSeparator" w:id="0">
    <w:p w14:paraId="51EB31DD" w14:textId="77777777" w:rsidR="009B79B8" w:rsidRPr="00BE72CB" w:rsidRDefault="009B79B8" w:rsidP="004073C4">
      <w:pPr>
        <w:spacing w:after="0" w:line="240" w:lineRule="auto"/>
      </w:pPr>
      <w:r w:rsidRPr="00BE72CB">
        <w:continuationSeparator/>
      </w:r>
    </w:p>
  </w:footnote>
  <w:footnote w:id="1">
    <w:p w14:paraId="2EE2C881" w14:textId="48352E92" w:rsidR="0056214F" w:rsidRPr="009133CD" w:rsidRDefault="0056214F">
      <w:pPr>
        <w:pStyle w:val="FootnoteText"/>
        <w:rPr>
          <w:lang w:val="es-ES_tradnl"/>
        </w:rPr>
      </w:pPr>
      <w:r>
        <w:rPr>
          <w:rStyle w:val="FootnoteReference"/>
        </w:rPr>
        <w:footnoteRef/>
      </w:r>
      <w:r w:rsidRPr="009133CD">
        <w:rPr>
          <w:lang w:val="es-ES_tradnl"/>
        </w:rPr>
        <w:t xml:space="preserve"> EBA/</w:t>
      </w:r>
      <w:r w:rsidR="00D01648" w:rsidRPr="009133CD">
        <w:rPr>
          <w:lang w:val="es-ES_tradnl"/>
        </w:rPr>
        <w:t>GL/2025/01</w:t>
      </w:r>
    </w:p>
  </w:footnote>
  <w:footnote w:id="2">
    <w:p w14:paraId="4422DCAD" w14:textId="26EB2E56" w:rsidR="007E377C" w:rsidRPr="009133CD" w:rsidRDefault="007E377C">
      <w:pPr>
        <w:pStyle w:val="FootnoteText"/>
        <w:rPr>
          <w:lang w:val="es-ES_tradnl"/>
        </w:rPr>
      </w:pPr>
      <w:r>
        <w:rPr>
          <w:rStyle w:val="FootnoteReference"/>
        </w:rPr>
        <w:footnoteRef/>
      </w:r>
      <w:r w:rsidRPr="009133CD">
        <w:rPr>
          <w:lang w:val="es-ES_tradnl"/>
        </w:rPr>
        <w:t xml:space="preserve"> </w:t>
      </w:r>
      <w:r w:rsidR="00D82DEF" w:rsidRPr="009133CD">
        <w:rPr>
          <w:lang w:val="es-ES_tradnl"/>
        </w:rPr>
        <w:t>https://tnfd.global/</w:t>
      </w:r>
    </w:p>
  </w:footnote>
  <w:footnote w:id="3">
    <w:p w14:paraId="44DC6E84" w14:textId="3370B4A4" w:rsidR="00DB2852" w:rsidRPr="009133CD" w:rsidRDefault="00DB2852">
      <w:pPr>
        <w:pStyle w:val="FootnoteText"/>
        <w:rPr>
          <w:lang w:val="es-ES_tradnl"/>
        </w:rPr>
      </w:pPr>
      <w:r>
        <w:rPr>
          <w:rStyle w:val="FootnoteReference"/>
        </w:rPr>
        <w:footnoteRef/>
      </w:r>
      <w:r w:rsidRPr="009133CD">
        <w:rPr>
          <w:lang w:val="es-ES_tradnl"/>
        </w:rPr>
        <w:t xml:space="preserve"> </w:t>
      </w:r>
      <w:r w:rsidR="0053787E" w:rsidRPr="009133CD">
        <w:rPr>
          <w:lang w:val="es-ES_tradnl"/>
        </w:rPr>
        <w:t>https://www.ngfs.net/en</w:t>
      </w:r>
    </w:p>
  </w:footnote>
  <w:footnote w:id="4">
    <w:p w14:paraId="016A3154" w14:textId="74A8399F" w:rsidR="00D82DEF" w:rsidRPr="009133CD" w:rsidRDefault="00D82DEF">
      <w:pPr>
        <w:pStyle w:val="FootnoteText"/>
        <w:rPr>
          <w:lang w:val="es-ES_tradnl"/>
        </w:rPr>
      </w:pPr>
      <w:r>
        <w:rPr>
          <w:rStyle w:val="FootnoteReference"/>
        </w:rPr>
        <w:footnoteRef/>
      </w:r>
      <w:r w:rsidRPr="009133CD">
        <w:rPr>
          <w:lang w:val="es-ES_tradnl"/>
        </w:rPr>
        <w:t xml:space="preserve"> </w:t>
      </w:r>
      <w:r w:rsidR="00741C3F" w:rsidRPr="009133CD">
        <w:rPr>
          <w:lang w:val="es-ES_tradnl"/>
        </w:rPr>
        <w:t>https://www.ipbes.net/</w:t>
      </w:r>
    </w:p>
  </w:footnote>
  <w:footnote w:id="5">
    <w:p w14:paraId="39F722BE" w14:textId="433E45C5" w:rsidR="00E772DB" w:rsidRPr="00166EBA" w:rsidRDefault="00E772DB">
      <w:pPr>
        <w:pStyle w:val="FootnoteText"/>
        <w:rPr>
          <w:lang w:val="en-GB"/>
        </w:rPr>
      </w:pPr>
      <w:r>
        <w:rPr>
          <w:rStyle w:val="FootnoteReference"/>
        </w:rPr>
        <w:footnoteRef/>
      </w:r>
      <w:r>
        <w:t xml:space="preserve"> </w:t>
      </w:r>
      <w:r w:rsidRPr="00E772DB">
        <w:t>https://encorenature.org/en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ECF4" w14:textId="7A683863" w:rsidR="004073C4" w:rsidRPr="00BE72CB" w:rsidRDefault="004073C4">
    <w:pPr>
      <w:pStyle w:val="Header"/>
    </w:pPr>
    <w:r w:rsidRPr="00BE72CB">
      <w:rPr>
        <w:noProof/>
      </w:rPr>
      <mc:AlternateContent>
        <mc:Choice Requires="wps">
          <w:drawing>
            <wp:anchor distT="0" distB="0" distL="0" distR="0" simplePos="0" relativeHeight="251658241" behindDoc="0" locked="0" layoutInCell="1" allowOverlap="1" wp14:anchorId="0B482C73" wp14:editId="381B662E">
              <wp:simplePos x="635" y="635"/>
              <wp:positionH relativeFrom="page">
                <wp:align>left</wp:align>
              </wp:positionH>
              <wp:positionV relativeFrom="page">
                <wp:align>top</wp:align>
              </wp:positionV>
              <wp:extent cx="1341120" cy="391160"/>
              <wp:effectExtent l="0" t="0" r="11430" b="8890"/>
              <wp:wrapNone/>
              <wp:docPr id="231308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383D85ED" w14:textId="2B47B30F" w:rsidR="004073C4" w:rsidRPr="00BE72CB" w:rsidRDefault="004073C4" w:rsidP="004073C4">
                          <w:pPr>
                            <w:spacing w:after="0"/>
                            <w:rPr>
                              <w:rFonts w:ascii="Aptos" w:eastAsia="Aptos" w:hAnsi="Aptos" w:cs="Aptos"/>
                              <w:color w:val="000000"/>
                              <w:sz w:val="24"/>
                              <w:szCs w:val="24"/>
                            </w:rPr>
                          </w:pPr>
                          <w:r w:rsidRPr="00BE72CB">
                            <w:rPr>
                              <w:rFonts w:ascii="Aptos" w:eastAsia="Aptos" w:hAnsi="Aptos" w:cs="Aptos"/>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482C73" id="_x0000_t202" coordsize="21600,21600" o:spt="202" path="m,l,21600r21600,l21600,xe">
              <v:stroke joinstyle="miter"/>
              <v:path gradientshapeok="t" o:connecttype="rect"/>
            </v:shapetype>
            <v:shape id="Text Box 2" o:spid="_x0000_s1026" type="#_x0000_t202" alt="EBA Regular Use" style="position:absolute;margin-left:0;margin-top:0;width:105.6pt;height:30.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383D85ED" w14:textId="2B47B30F" w:rsidR="004073C4" w:rsidRPr="00BE72CB" w:rsidRDefault="004073C4" w:rsidP="004073C4">
                    <w:pPr>
                      <w:spacing w:after="0"/>
                      <w:rPr>
                        <w:rFonts w:ascii="Aptos" w:eastAsia="Aptos" w:hAnsi="Aptos" w:cs="Aptos"/>
                        <w:color w:val="000000"/>
                        <w:sz w:val="24"/>
                        <w:szCs w:val="24"/>
                      </w:rPr>
                    </w:pPr>
                    <w:r w:rsidRPr="00BE72CB">
                      <w:rPr>
                        <w:rFonts w:ascii="Aptos" w:eastAsia="Aptos" w:hAnsi="Aptos" w:cs="Aptos"/>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CD10" w14:textId="3F1FA83E" w:rsidR="004073C4" w:rsidRPr="00BE72CB" w:rsidRDefault="004073C4">
    <w:pPr>
      <w:pStyle w:val="Header"/>
    </w:pPr>
    <w:r w:rsidRPr="00BE72CB">
      <w:rPr>
        <w:noProof/>
      </w:rPr>
      <mc:AlternateContent>
        <mc:Choice Requires="wps">
          <w:drawing>
            <wp:anchor distT="0" distB="0" distL="0" distR="0" simplePos="0" relativeHeight="251658242" behindDoc="0" locked="0" layoutInCell="1" allowOverlap="1" wp14:anchorId="3C862E03" wp14:editId="5CE47A03">
              <wp:simplePos x="635" y="635"/>
              <wp:positionH relativeFrom="page">
                <wp:align>left</wp:align>
              </wp:positionH>
              <wp:positionV relativeFrom="page">
                <wp:align>top</wp:align>
              </wp:positionV>
              <wp:extent cx="1341120" cy="391160"/>
              <wp:effectExtent l="0" t="0" r="11430" b="8890"/>
              <wp:wrapNone/>
              <wp:docPr id="745842627"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0CAAA5E2" w14:textId="09AA8AC0" w:rsidR="004073C4" w:rsidRPr="00BE72CB" w:rsidRDefault="004073C4" w:rsidP="004073C4">
                          <w:pPr>
                            <w:spacing w:after="0"/>
                            <w:rPr>
                              <w:rFonts w:ascii="Aptos" w:eastAsia="Aptos" w:hAnsi="Aptos" w:cs="Aptos"/>
                              <w:color w:val="000000"/>
                              <w:sz w:val="24"/>
                              <w:szCs w:val="24"/>
                            </w:rPr>
                          </w:pPr>
                          <w:r w:rsidRPr="00BE72CB">
                            <w:rPr>
                              <w:rFonts w:ascii="Aptos" w:eastAsia="Aptos" w:hAnsi="Aptos" w:cs="Aptos"/>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862E03" id="_x0000_t202" coordsize="21600,21600" o:spt="202" path="m,l,21600r21600,l21600,xe">
              <v:stroke joinstyle="miter"/>
              <v:path gradientshapeok="t" o:connecttype="rect"/>
            </v:shapetype>
            <v:shape id="Text Box 3" o:spid="_x0000_s1027" type="#_x0000_t202" alt="EBA Regular Use" style="position:absolute;margin-left:0;margin-top:0;width:105.6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0CAAA5E2" w14:textId="09AA8AC0" w:rsidR="004073C4" w:rsidRPr="00BE72CB" w:rsidRDefault="004073C4" w:rsidP="004073C4">
                    <w:pPr>
                      <w:spacing w:after="0"/>
                      <w:rPr>
                        <w:rFonts w:ascii="Aptos" w:eastAsia="Aptos" w:hAnsi="Aptos" w:cs="Aptos"/>
                        <w:color w:val="000000"/>
                        <w:sz w:val="24"/>
                        <w:szCs w:val="24"/>
                      </w:rPr>
                    </w:pPr>
                    <w:r w:rsidRPr="00BE72CB">
                      <w:rPr>
                        <w:rFonts w:ascii="Aptos" w:eastAsia="Aptos" w:hAnsi="Aptos" w:cs="Aptos"/>
                        <w:color w:val="000000"/>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7932" w14:textId="11EA9FF5" w:rsidR="004073C4" w:rsidRPr="00BE72CB" w:rsidRDefault="004073C4">
    <w:pPr>
      <w:pStyle w:val="Header"/>
    </w:pPr>
    <w:r w:rsidRPr="00BE72CB">
      <w:rPr>
        <w:noProof/>
      </w:rPr>
      <mc:AlternateContent>
        <mc:Choice Requires="wps">
          <w:drawing>
            <wp:anchor distT="0" distB="0" distL="0" distR="0" simplePos="0" relativeHeight="251658240" behindDoc="0" locked="0" layoutInCell="1" allowOverlap="1" wp14:anchorId="710745AE" wp14:editId="06A6B25C">
              <wp:simplePos x="635" y="635"/>
              <wp:positionH relativeFrom="page">
                <wp:align>left</wp:align>
              </wp:positionH>
              <wp:positionV relativeFrom="page">
                <wp:align>top</wp:align>
              </wp:positionV>
              <wp:extent cx="1341120" cy="391160"/>
              <wp:effectExtent l="0" t="0" r="11430" b="8890"/>
              <wp:wrapNone/>
              <wp:docPr id="202120826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1086485F" w14:textId="0A931332" w:rsidR="004073C4" w:rsidRPr="00BE72CB" w:rsidRDefault="004073C4" w:rsidP="004073C4">
                          <w:pPr>
                            <w:spacing w:after="0"/>
                            <w:rPr>
                              <w:rFonts w:ascii="Aptos" w:eastAsia="Aptos" w:hAnsi="Aptos" w:cs="Aptos"/>
                              <w:color w:val="000000"/>
                              <w:sz w:val="24"/>
                              <w:szCs w:val="24"/>
                            </w:rPr>
                          </w:pPr>
                          <w:r w:rsidRPr="00BE72CB">
                            <w:rPr>
                              <w:rFonts w:ascii="Aptos" w:eastAsia="Aptos" w:hAnsi="Aptos" w:cs="Aptos"/>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0745AE" id="_x0000_t202" coordsize="21600,21600" o:spt="202" path="m,l,21600r21600,l21600,xe">
              <v:stroke joinstyle="miter"/>
              <v:path gradientshapeok="t" o:connecttype="rect"/>
            </v:shapetype>
            <v:shape id="Text Box 1" o:spid="_x0000_s1028" type="#_x0000_t202" alt="EBA Regular Use" style="position:absolute;margin-left:0;margin-top:0;width:105.6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1086485F" w14:textId="0A931332" w:rsidR="004073C4" w:rsidRPr="00BE72CB" w:rsidRDefault="004073C4" w:rsidP="004073C4">
                    <w:pPr>
                      <w:spacing w:after="0"/>
                      <w:rPr>
                        <w:rFonts w:ascii="Aptos" w:eastAsia="Aptos" w:hAnsi="Aptos" w:cs="Aptos"/>
                        <w:color w:val="000000"/>
                        <w:sz w:val="24"/>
                        <w:szCs w:val="24"/>
                      </w:rPr>
                    </w:pPr>
                    <w:r w:rsidRPr="00BE72CB">
                      <w:rPr>
                        <w:rFonts w:ascii="Aptos" w:eastAsia="Aptos" w:hAnsi="Aptos" w:cs="Aptos"/>
                        <w:color w:val="000000"/>
                        <w:sz w:val="24"/>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9AC04E6"/>
    <w:lvl w:ilvl="0">
      <w:start w:val="1"/>
      <w:numFmt w:val="decimal"/>
      <w:pStyle w:val="ListNumber2"/>
      <w:lvlText w:val="%1."/>
      <w:lvlJc w:val="left"/>
      <w:pPr>
        <w:tabs>
          <w:tab w:val="num" w:pos="643"/>
        </w:tabs>
        <w:ind w:left="643" w:hanging="360"/>
      </w:pPr>
    </w:lvl>
  </w:abstractNum>
  <w:abstractNum w:abstractNumId="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277"/>
    <w:multiLevelType w:val="hybridMultilevel"/>
    <w:tmpl w:val="3892AC86"/>
    <w:lvl w:ilvl="0" w:tplc="46BE6EE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C1C"/>
    <w:multiLevelType w:val="hybridMultilevel"/>
    <w:tmpl w:val="E874556E"/>
    <w:lvl w:ilvl="0" w:tplc="035421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C14EB8"/>
    <w:multiLevelType w:val="hybridMultilevel"/>
    <w:tmpl w:val="5AF4B008"/>
    <w:lvl w:ilvl="0" w:tplc="57560318">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73ECE"/>
    <w:multiLevelType w:val="hybridMultilevel"/>
    <w:tmpl w:val="5504E0E0"/>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4517A"/>
    <w:multiLevelType w:val="hybridMultilevel"/>
    <w:tmpl w:val="A4C20F74"/>
    <w:lvl w:ilvl="0" w:tplc="3C2CF6C4">
      <w:start w:val="1"/>
      <w:numFmt w:val="bullet"/>
      <w:lvlText w:val=""/>
      <w:lvlJc w:val="left"/>
      <w:pPr>
        <w:ind w:left="1440" w:hanging="360"/>
      </w:pPr>
      <w:rPr>
        <w:rFonts w:ascii="Symbol" w:hAnsi="Symbol"/>
      </w:rPr>
    </w:lvl>
    <w:lvl w:ilvl="1" w:tplc="0E80AA28">
      <w:start w:val="1"/>
      <w:numFmt w:val="bullet"/>
      <w:lvlText w:val=""/>
      <w:lvlJc w:val="left"/>
      <w:pPr>
        <w:ind w:left="2160" w:hanging="360"/>
      </w:pPr>
      <w:rPr>
        <w:rFonts w:ascii="Symbol" w:hAnsi="Symbol"/>
      </w:rPr>
    </w:lvl>
    <w:lvl w:ilvl="2" w:tplc="220EF934">
      <w:start w:val="1"/>
      <w:numFmt w:val="bullet"/>
      <w:lvlText w:val=""/>
      <w:lvlJc w:val="left"/>
      <w:pPr>
        <w:ind w:left="1920" w:hanging="360"/>
      </w:pPr>
      <w:rPr>
        <w:rFonts w:ascii="Symbol" w:hAnsi="Symbol"/>
      </w:rPr>
    </w:lvl>
    <w:lvl w:ilvl="3" w:tplc="11508500">
      <w:start w:val="1"/>
      <w:numFmt w:val="bullet"/>
      <w:lvlText w:val=""/>
      <w:lvlJc w:val="left"/>
      <w:pPr>
        <w:ind w:left="1440" w:hanging="360"/>
      </w:pPr>
      <w:rPr>
        <w:rFonts w:ascii="Symbol" w:hAnsi="Symbol"/>
      </w:rPr>
    </w:lvl>
    <w:lvl w:ilvl="4" w:tplc="EB06F1F6">
      <w:start w:val="1"/>
      <w:numFmt w:val="bullet"/>
      <w:lvlText w:val=""/>
      <w:lvlJc w:val="left"/>
      <w:pPr>
        <w:ind w:left="1440" w:hanging="360"/>
      </w:pPr>
      <w:rPr>
        <w:rFonts w:ascii="Symbol" w:hAnsi="Symbol"/>
      </w:rPr>
    </w:lvl>
    <w:lvl w:ilvl="5" w:tplc="071C29B0">
      <w:start w:val="1"/>
      <w:numFmt w:val="bullet"/>
      <w:lvlText w:val=""/>
      <w:lvlJc w:val="left"/>
      <w:pPr>
        <w:ind w:left="1440" w:hanging="360"/>
      </w:pPr>
      <w:rPr>
        <w:rFonts w:ascii="Symbol" w:hAnsi="Symbol"/>
      </w:rPr>
    </w:lvl>
    <w:lvl w:ilvl="6" w:tplc="B58ADDF4">
      <w:start w:val="1"/>
      <w:numFmt w:val="bullet"/>
      <w:lvlText w:val=""/>
      <w:lvlJc w:val="left"/>
      <w:pPr>
        <w:ind w:left="1440" w:hanging="360"/>
      </w:pPr>
      <w:rPr>
        <w:rFonts w:ascii="Symbol" w:hAnsi="Symbol"/>
      </w:rPr>
    </w:lvl>
    <w:lvl w:ilvl="7" w:tplc="92D8D352">
      <w:start w:val="1"/>
      <w:numFmt w:val="bullet"/>
      <w:lvlText w:val=""/>
      <w:lvlJc w:val="left"/>
      <w:pPr>
        <w:ind w:left="1440" w:hanging="360"/>
      </w:pPr>
      <w:rPr>
        <w:rFonts w:ascii="Symbol" w:hAnsi="Symbol"/>
      </w:rPr>
    </w:lvl>
    <w:lvl w:ilvl="8" w:tplc="69ECED58">
      <w:start w:val="1"/>
      <w:numFmt w:val="bullet"/>
      <w:lvlText w:val=""/>
      <w:lvlJc w:val="left"/>
      <w:pPr>
        <w:ind w:left="1440" w:hanging="360"/>
      </w:pPr>
      <w:rPr>
        <w:rFonts w:ascii="Symbol" w:hAnsi="Symbol"/>
      </w:rPr>
    </w:lvl>
  </w:abstractNum>
  <w:abstractNum w:abstractNumId="7" w15:restartNumberingAfterBreak="0">
    <w:nsid w:val="12E87E35"/>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920D0D"/>
    <w:multiLevelType w:val="hybridMultilevel"/>
    <w:tmpl w:val="33D856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111CEE"/>
    <w:multiLevelType w:val="hybridMultilevel"/>
    <w:tmpl w:val="06680FF8"/>
    <w:lvl w:ilvl="0" w:tplc="268E8C0C">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41FEB"/>
    <w:multiLevelType w:val="hybridMultilevel"/>
    <w:tmpl w:val="546C2E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AE1191"/>
    <w:multiLevelType w:val="hybridMultilevel"/>
    <w:tmpl w:val="25E2C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A6035"/>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2B312445"/>
    <w:multiLevelType w:val="hybridMultilevel"/>
    <w:tmpl w:val="38F6BB26"/>
    <w:lvl w:ilvl="0" w:tplc="66705D24">
      <w:start w:val="1"/>
      <w:numFmt w:val="lowerLetter"/>
      <w:lvlText w:val="(%1)"/>
      <w:lvlJc w:val="left"/>
      <w:pPr>
        <w:ind w:left="1440" w:hanging="360"/>
      </w:pPr>
      <w:rPr>
        <w:rFonts w:cs="Times New Roman" w:hint="default"/>
      </w:rPr>
    </w:lvl>
    <w:lvl w:ilvl="1" w:tplc="BDF4E164" w:tentative="1">
      <w:start w:val="1"/>
      <w:numFmt w:val="lowerLetter"/>
      <w:lvlText w:val="%2."/>
      <w:lvlJc w:val="left"/>
      <w:pPr>
        <w:ind w:left="2160" w:hanging="360"/>
      </w:pPr>
    </w:lvl>
    <w:lvl w:ilvl="2" w:tplc="3D9CD6CE" w:tentative="1">
      <w:start w:val="1"/>
      <w:numFmt w:val="lowerRoman"/>
      <w:lvlText w:val="%3."/>
      <w:lvlJc w:val="right"/>
      <w:pPr>
        <w:ind w:left="2880" w:hanging="180"/>
      </w:pPr>
    </w:lvl>
    <w:lvl w:ilvl="3" w:tplc="2DDCA096" w:tentative="1">
      <w:start w:val="1"/>
      <w:numFmt w:val="decimal"/>
      <w:lvlText w:val="%4."/>
      <w:lvlJc w:val="left"/>
      <w:pPr>
        <w:ind w:left="3600" w:hanging="360"/>
      </w:pPr>
    </w:lvl>
    <w:lvl w:ilvl="4" w:tplc="45F425B0" w:tentative="1">
      <w:start w:val="1"/>
      <w:numFmt w:val="lowerLetter"/>
      <w:lvlText w:val="%5."/>
      <w:lvlJc w:val="left"/>
      <w:pPr>
        <w:ind w:left="4320" w:hanging="360"/>
      </w:pPr>
    </w:lvl>
    <w:lvl w:ilvl="5" w:tplc="5A1A063E" w:tentative="1">
      <w:start w:val="1"/>
      <w:numFmt w:val="lowerRoman"/>
      <w:lvlText w:val="%6."/>
      <w:lvlJc w:val="right"/>
      <w:pPr>
        <w:ind w:left="5040" w:hanging="180"/>
      </w:pPr>
    </w:lvl>
    <w:lvl w:ilvl="6" w:tplc="CFA0C8AC" w:tentative="1">
      <w:start w:val="1"/>
      <w:numFmt w:val="decimal"/>
      <w:lvlText w:val="%7."/>
      <w:lvlJc w:val="left"/>
      <w:pPr>
        <w:ind w:left="5760" w:hanging="360"/>
      </w:pPr>
    </w:lvl>
    <w:lvl w:ilvl="7" w:tplc="0C4614FA" w:tentative="1">
      <w:start w:val="1"/>
      <w:numFmt w:val="lowerLetter"/>
      <w:lvlText w:val="%8."/>
      <w:lvlJc w:val="left"/>
      <w:pPr>
        <w:ind w:left="6480" w:hanging="360"/>
      </w:pPr>
    </w:lvl>
    <w:lvl w:ilvl="8" w:tplc="43D0D3DA" w:tentative="1">
      <w:start w:val="1"/>
      <w:numFmt w:val="lowerRoman"/>
      <w:lvlText w:val="%9."/>
      <w:lvlJc w:val="right"/>
      <w:pPr>
        <w:ind w:left="7200" w:hanging="180"/>
      </w:pPr>
    </w:lvl>
  </w:abstractNum>
  <w:abstractNum w:abstractNumId="14" w15:restartNumberingAfterBreak="0">
    <w:nsid w:val="2BE10A57"/>
    <w:multiLevelType w:val="hybridMultilevel"/>
    <w:tmpl w:val="E996D42C"/>
    <w:lvl w:ilvl="0" w:tplc="08090017">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AF571F"/>
    <w:multiLevelType w:val="hybridMultilevel"/>
    <w:tmpl w:val="17407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0C2AE4"/>
    <w:multiLevelType w:val="hybridMultilevel"/>
    <w:tmpl w:val="33A25CD4"/>
    <w:lvl w:ilvl="0" w:tplc="7E588832">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9303E7"/>
    <w:multiLevelType w:val="hybridMultilevel"/>
    <w:tmpl w:val="A4E8D4CA"/>
    <w:lvl w:ilvl="0" w:tplc="FFFFFFFF">
      <w:start w:val="1"/>
      <w:numFmt w:val="lowerLetter"/>
      <w:lvlText w:val="%1)"/>
      <w:lvlJc w:val="left"/>
      <w:pPr>
        <w:ind w:left="720" w:hanging="360"/>
      </w:pPr>
      <w:rPr>
        <w:rFonts w:hint="default"/>
        <w:b w:val="0"/>
        <w:i w:val="0"/>
      </w:rPr>
    </w:lvl>
    <w:lvl w:ilvl="1" w:tplc="C8CAA230">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41C98"/>
    <w:multiLevelType w:val="hybridMultilevel"/>
    <w:tmpl w:val="3B64D044"/>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08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864B58"/>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8577F6"/>
    <w:multiLevelType w:val="hybridMultilevel"/>
    <w:tmpl w:val="D1F648AE"/>
    <w:lvl w:ilvl="0" w:tplc="27A8CDF0">
      <w:numFmt w:val="bullet"/>
      <w:lvlText w:val="-"/>
      <w:lvlJc w:val="left"/>
      <w:pPr>
        <w:ind w:left="1287" w:hanging="360"/>
      </w:pPr>
      <w:rPr>
        <w:rFonts w:ascii="Aptos" w:eastAsia="Times New Roman" w:hAnsi="Aptos"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8605E73"/>
    <w:multiLevelType w:val="multilevel"/>
    <w:tmpl w:val="4DD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0083F"/>
    <w:multiLevelType w:val="hybridMultilevel"/>
    <w:tmpl w:val="177A0E18"/>
    <w:lvl w:ilvl="0" w:tplc="233AC840">
      <w:start w:val="1"/>
      <w:numFmt w:val="decimal"/>
      <w:lvlText w:val="%1."/>
      <w:lvlJc w:val="left"/>
      <w:pPr>
        <w:ind w:left="1440" w:hanging="360"/>
      </w:pPr>
    </w:lvl>
    <w:lvl w:ilvl="1" w:tplc="C52E13DC">
      <w:start w:val="1"/>
      <w:numFmt w:val="decimal"/>
      <w:lvlText w:val="%2."/>
      <w:lvlJc w:val="left"/>
      <w:pPr>
        <w:ind w:left="1440" w:hanging="360"/>
      </w:pPr>
    </w:lvl>
    <w:lvl w:ilvl="2" w:tplc="35CAE838">
      <w:start w:val="1"/>
      <w:numFmt w:val="decimal"/>
      <w:lvlText w:val="%3."/>
      <w:lvlJc w:val="left"/>
      <w:pPr>
        <w:ind w:left="1440" w:hanging="360"/>
      </w:pPr>
    </w:lvl>
    <w:lvl w:ilvl="3" w:tplc="29C284CA">
      <w:start w:val="1"/>
      <w:numFmt w:val="decimal"/>
      <w:lvlText w:val="%4."/>
      <w:lvlJc w:val="left"/>
      <w:pPr>
        <w:ind w:left="1440" w:hanging="360"/>
      </w:pPr>
    </w:lvl>
    <w:lvl w:ilvl="4" w:tplc="A0A2FAA6">
      <w:start w:val="1"/>
      <w:numFmt w:val="decimal"/>
      <w:lvlText w:val="%5."/>
      <w:lvlJc w:val="left"/>
      <w:pPr>
        <w:ind w:left="1440" w:hanging="360"/>
      </w:pPr>
    </w:lvl>
    <w:lvl w:ilvl="5" w:tplc="79AA037A">
      <w:start w:val="1"/>
      <w:numFmt w:val="decimal"/>
      <w:lvlText w:val="%6."/>
      <w:lvlJc w:val="left"/>
      <w:pPr>
        <w:ind w:left="1440" w:hanging="360"/>
      </w:pPr>
    </w:lvl>
    <w:lvl w:ilvl="6" w:tplc="B64AABBE">
      <w:start w:val="1"/>
      <w:numFmt w:val="decimal"/>
      <w:lvlText w:val="%7."/>
      <w:lvlJc w:val="left"/>
      <w:pPr>
        <w:ind w:left="1440" w:hanging="360"/>
      </w:pPr>
    </w:lvl>
    <w:lvl w:ilvl="7" w:tplc="1C484C6E">
      <w:start w:val="1"/>
      <w:numFmt w:val="decimal"/>
      <w:lvlText w:val="%8."/>
      <w:lvlJc w:val="left"/>
      <w:pPr>
        <w:ind w:left="1440" w:hanging="360"/>
      </w:pPr>
    </w:lvl>
    <w:lvl w:ilvl="8" w:tplc="76DEB298">
      <w:start w:val="1"/>
      <w:numFmt w:val="decimal"/>
      <w:lvlText w:val="%9."/>
      <w:lvlJc w:val="left"/>
      <w:pPr>
        <w:ind w:left="1440" w:hanging="360"/>
      </w:pPr>
    </w:lvl>
  </w:abstractNum>
  <w:abstractNum w:abstractNumId="23" w15:restartNumberingAfterBreak="0">
    <w:nsid w:val="515D2E30"/>
    <w:multiLevelType w:val="hybridMultilevel"/>
    <w:tmpl w:val="427E36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873454"/>
    <w:multiLevelType w:val="multilevel"/>
    <w:tmpl w:val="944E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BDAFF"/>
    <w:multiLevelType w:val="hybridMultilevel"/>
    <w:tmpl w:val="FFFFFFFF"/>
    <w:lvl w:ilvl="0" w:tplc="FF284630">
      <w:start w:val="1"/>
      <w:numFmt w:val="lowerRoman"/>
      <w:lvlText w:val="%1."/>
      <w:lvlJc w:val="right"/>
      <w:pPr>
        <w:ind w:left="720" w:hanging="360"/>
      </w:pPr>
    </w:lvl>
    <w:lvl w:ilvl="1" w:tplc="2160C3CE">
      <w:start w:val="1"/>
      <w:numFmt w:val="lowerLetter"/>
      <w:lvlText w:val="%2."/>
      <w:lvlJc w:val="left"/>
      <w:pPr>
        <w:ind w:left="1440" w:hanging="360"/>
      </w:pPr>
    </w:lvl>
    <w:lvl w:ilvl="2" w:tplc="3FF86292">
      <w:start w:val="1"/>
      <w:numFmt w:val="lowerRoman"/>
      <w:lvlText w:val="%3."/>
      <w:lvlJc w:val="right"/>
      <w:pPr>
        <w:ind w:left="2160" w:hanging="180"/>
      </w:pPr>
    </w:lvl>
    <w:lvl w:ilvl="3" w:tplc="DF460B22">
      <w:start w:val="1"/>
      <w:numFmt w:val="decimal"/>
      <w:lvlText w:val="%4."/>
      <w:lvlJc w:val="left"/>
      <w:pPr>
        <w:ind w:left="2880" w:hanging="360"/>
      </w:pPr>
    </w:lvl>
    <w:lvl w:ilvl="4" w:tplc="96E42E24">
      <w:start w:val="1"/>
      <w:numFmt w:val="lowerLetter"/>
      <w:lvlText w:val="%5."/>
      <w:lvlJc w:val="left"/>
      <w:pPr>
        <w:ind w:left="3600" w:hanging="360"/>
      </w:pPr>
    </w:lvl>
    <w:lvl w:ilvl="5" w:tplc="759E8ED0">
      <w:start w:val="1"/>
      <w:numFmt w:val="lowerRoman"/>
      <w:lvlText w:val="%6."/>
      <w:lvlJc w:val="right"/>
      <w:pPr>
        <w:ind w:left="4320" w:hanging="180"/>
      </w:pPr>
    </w:lvl>
    <w:lvl w:ilvl="6" w:tplc="60AC0D4C">
      <w:start w:val="1"/>
      <w:numFmt w:val="decimal"/>
      <w:lvlText w:val="%7."/>
      <w:lvlJc w:val="left"/>
      <w:pPr>
        <w:ind w:left="5040" w:hanging="360"/>
      </w:pPr>
    </w:lvl>
    <w:lvl w:ilvl="7" w:tplc="98D25F96">
      <w:start w:val="1"/>
      <w:numFmt w:val="lowerLetter"/>
      <w:lvlText w:val="%8."/>
      <w:lvlJc w:val="left"/>
      <w:pPr>
        <w:ind w:left="5760" w:hanging="360"/>
      </w:pPr>
    </w:lvl>
    <w:lvl w:ilvl="8" w:tplc="847C2318">
      <w:start w:val="1"/>
      <w:numFmt w:val="lowerRoman"/>
      <w:lvlText w:val="%9."/>
      <w:lvlJc w:val="right"/>
      <w:pPr>
        <w:ind w:left="6480" w:hanging="180"/>
      </w:pPr>
    </w:lvl>
  </w:abstractNum>
  <w:abstractNum w:abstractNumId="26" w15:restartNumberingAfterBreak="0">
    <w:nsid w:val="547B3A05"/>
    <w:multiLevelType w:val="hybridMultilevel"/>
    <w:tmpl w:val="4890498C"/>
    <w:lvl w:ilvl="0" w:tplc="4B9E681E">
      <w:start w:val="1"/>
      <w:numFmt w:val="decimal"/>
      <w:lvlText w:val="%1."/>
      <w:lvlJc w:val="left"/>
      <w:pPr>
        <w:ind w:left="72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12C87"/>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D15004"/>
    <w:multiLevelType w:val="hybridMultilevel"/>
    <w:tmpl w:val="FFFFFFFF"/>
    <w:lvl w:ilvl="0" w:tplc="46245CC4">
      <w:start w:val="1"/>
      <w:numFmt w:val="lowerRoman"/>
      <w:lvlText w:val="%1."/>
      <w:lvlJc w:val="right"/>
      <w:pPr>
        <w:ind w:left="720" w:hanging="360"/>
      </w:pPr>
    </w:lvl>
    <w:lvl w:ilvl="1" w:tplc="25384F08">
      <w:start w:val="1"/>
      <w:numFmt w:val="lowerLetter"/>
      <w:lvlText w:val="%2."/>
      <w:lvlJc w:val="left"/>
      <w:pPr>
        <w:ind w:left="1440" w:hanging="360"/>
      </w:pPr>
    </w:lvl>
    <w:lvl w:ilvl="2" w:tplc="5AAE3DDC">
      <w:start w:val="1"/>
      <w:numFmt w:val="lowerRoman"/>
      <w:lvlText w:val="%3."/>
      <w:lvlJc w:val="right"/>
      <w:pPr>
        <w:ind w:left="2160" w:hanging="180"/>
      </w:pPr>
    </w:lvl>
    <w:lvl w:ilvl="3" w:tplc="A810DE58">
      <w:start w:val="1"/>
      <w:numFmt w:val="decimal"/>
      <w:lvlText w:val="%4."/>
      <w:lvlJc w:val="left"/>
      <w:pPr>
        <w:ind w:left="2880" w:hanging="360"/>
      </w:pPr>
    </w:lvl>
    <w:lvl w:ilvl="4" w:tplc="66228BDA">
      <w:start w:val="1"/>
      <w:numFmt w:val="lowerLetter"/>
      <w:lvlText w:val="%5."/>
      <w:lvlJc w:val="left"/>
      <w:pPr>
        <w:ind w:left="3600" w:hanging="360"/>
      </w:pPr>
    </w:lvl>
    <w:lvl w:ilvl="5" w:tplc="91F87734">
      <w:start w:val="1"/>
      <w:numFmt w:val="lowerRoman"/>
      <w:lvlText w:val="%6."/>
      <w:lvlJc w:val="right"/>
      <w:pPr>
        <w:ind w:left="4320" w:hanging="180"/>
      </w:pPr>
    </w:lvl>
    <w:lvl w:ilvl="6" w:tplc="606C9308">
      <w:start w:val="1"/>
      <w:numFmt w:val="decimal"/>
      <w:lvlText w:val="%7."/>
      <w:lvlJc w:val="left"/>
      <w:pPr>
        <w:ind w:left="5040" w:hanging="360"/>
      </w:pPr>
    </w:lvl>
    <w:lvl w:ilvl="7" w:tplc="3D3CB3C2">
      <w:start w:val="1"/>
      <w:numFmt w:val="lowerLetter"/>
      <w:lvlText w:val="%8."/>
      <w:lvlJc w:val="left"/>
      <w:pPr>
        <w:ind w:left="5760" w:hanging="360"/>
      </w:pPr>
    </w:lvl>
    <w:lvl w:ilvl="8" w:tplc="A74A3358">
      <w:start w:val="1"/>
      <w:numFmt w:val="lowerRoman"/>
      <w:lvlText w:val="%9."/>
      <w:lvlJc w:val="right"/>
      <w:pPr>
        <w:ind w:left="6480" w:hanging="180"/>
      </w:pPr>
    </w:lvl>
  </w:abstractNum>
  <w:abstractNum w:abstractNumId="29" w15:restartNumberingAfterBreak="0">
    <w:nsid w:val="630E505F"/>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31" w15:restartNumberingAfterBreak="0">
    <w:nsid w:val="6742106C"/>
    <w:multiLevelType w:val="hybridMultilevel"/>
    <w:tmpl w:val="72802DAC"/>
    <w:lvl w:ilvl="0" w:tplc="A0EE7AB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1C098"/>
    <w:multiLevelType w:val="hybridMultilevel"/>
    <w:tmpl w:val="FFFFFFFF"/>
    <w:lvl w:ilvl="0" w:tplc="F328CA44">
      <w:start w:val="1"/>
      <w:numFmt w:val="lowerRoman"/>
      <w:lvlText w:val="%1."/>
      <w:lvlJc w:val="right"/>
      <w:pPr>
        <w:ind w:left="720" w:hanging="360"/>
      </w:pPr>
    </w:lvl>
    <w:lvl w:ilvl="1" w:tplc="3FB0C946">
      <w:start w:val="1"/>
      <w:numFmt w:val="lowerLetter"/>
      <w:lvlText w:val="%2."/>
      <w:lvlJc w:val="left"/>
      <w:pPr>
        <w:ind w:left="1440" w:hanging="360"/>
      </w:pPr>
    </w:lvl>
    <w:lvl w:ilvl="2" w:tplc="0BF03700">
      <w:start w:val="1"/>
      <w:numFmt w:val="lowerRoman"/>
      <w:lvlText w:val="%3."/>
      <w:lvlJc w:val="right"/>
      <w:pPr>
        <w:ind w:left="2160" w:hanging="180"/>
      </w:pPr>
    </w:lvl>
    <w:lvl w:ilvl="3" w:tplc="8900681A">
      <w:start w:val="1"/>
      <w:numFmt w:val="decimal"/>
      <w:lvlText w:val="%4."/>
      <w:lvlJc w:val="left"/>
      <w:pPr>
        <w:ind w:left="2880" w:hanging="360"/>
      </w:pPr>
    </w:lvl>
    <w:lvl w:ilvl="4" w:tplc="427CD984">
      <w:start w:val="1"/>
      <w:numFmt w:val="lowerLetter"/>
      <w:lvlText w:val="%5."/>
      <w:lvlJc w:val="left"/>
      <w:pPr>
        <w:ind w:left="3600" w:hanging="360"/>
      </w:pPr>
    </w:lvl>
    <w:lvl w:ilvl="5" w:tplc="1500DD96">
      <w:start w:val="1"/>
      <w:numFmt w:val="lowerRoman"/>
      <w:lvlText w:val="%6."/>
      <w:lvlJc w:val="right"/>
      <w:pPr>
        <w:ind w:left="4320" w:hanging="180"/>
      </w:pPr>
    </w:lvl>
    <w:lvl w:ilvl="6" w:tplc="4D46CB8A">
      <w:start w:val="1"/>
      <w:numFmt w:val="decimal"/>
      <w:lvlText w:val="%7."/>
      <w:lvlJc w:val="left"/>
      <w:pPr>
        <w:ind w:left="5040" w:hanging="360"/>
      </w:pPr>
    </w:lvl>
    <w:lvl w:ilvl="7" w:tplc="2228A448">
      <w:start w:val="1"/>
      <w:numFmt w:val="lowerLetter"/>
      <w:lvlText w:val="%8."/>
      <w:lvlJc w:val="left"/>
      <w:pPr>
        <w:ind w:left="5760" w:hanging="360"/>
      </w:pPr>
    </w:lvl>
    <w:lvl w:ilvl="8" w:tplc="F2AEA6D2">
      <w:start w:val="1"/>
      <w:numFmt w:val="lowerRoman"/>
      <w:lvlText w:val="%9."/>
      <w:lvlJc w:val="right"/>
      <w:pPr>
        <w:ind w:left="6480" w:hanging="180"/>
      </w:pPr>
    </w:lvl>
  </w:abstractNum>
  <w:abstractNum w:abstractNumId="33" w15:restartNumberingAfterBreak="0">
    <w:nsid w:val="686E08CB"/>
    <w:multiLevelType w:val="hybridMultilevel"/>
    <w:tmpl w:val="5F36184C"/>
    <w:lvl w:ilvl="0" w:tplc="08090017">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4" w15:restartNumberingAfterBreak="0">
    <w:nsid w:val="6F6F3ABF"/>
    <w:multiLevelType w:val="hybridMultilevel"/>
    <w:tmpl w:val="FFFFFFFF"/>
    <w:lvl w:ilvl="0" w:tplc="A42EF39A">
      <w:start w:val="1"/>
      <w:numFmt w:val="lowerRoman"/>
      <w:lvlText w:val="%1."/>
      <w:lvlJc w:val="right"/>
      <w:pPr>
        <w:ind w:left="720" w:hanging="360"/>
      </w:pPr>
    </w:lvl>
    <w:lvl w:ilvl="1" w:tplc="F58C8572">
      <w:start w:val="1"/>
      <w:numFmt w:val="lowerLetter"/>
      <w:lvlText w:val="%2."/>
      <w:lvlJc w:val="left"/>
      <w:pPr>
        <w:ind w:left="1440" w:hanging="360"/>
      </w:pPr>
    </w:lvl>
    <w:lvl w:ilvl="2" w:tplc="D8745F2A">
      <w:start w:val="1"/>
      <w:numFmt w:val="lowerRoman"/>
      <w:lvlText w:val="%3."/>
      <w:lvlJc w:val="right"/>
      <w:pPr>
        <w:ind w:left="2160" w:hanging="180"/>
      </w:pPr>
    </w:lvl>
    <w:lvl w:ilvl="3" w:tplc="645A6C58">
      <w:start w:val="1"/>
      <w:numFmt w:val="decimal"/>
      <w:lvlText w:val="%4."/>
      <w:lvlJc w:val="left"/>
      <w:pPr>
        <w:ind w:left="2880" w:hanging="360"/>
      </w:pPr>
    </w:lvl>
    <w:lvl w:ilvl="4" w:tplc="F0A0ABAE">
      <w:start w:val="1"/>
      <w:numFmt w:val="lowerLetter"/>
      <w:lvlText w:val="%5."/>
      <w:lvlJc w:val="left"/>
      <w:pPr>
        <w:ind w:left="3600" w:hanging="360"/>
      </w:pPr>
    </w:lvl>
    <w:lvl w:ilvl="5" w:tplc="A45844D6">
      <w:start w:val="1"/>
      <w:numFmt w:val="lowerRoman"/>
      <w:lvlText w:val="%6."/>
      <w:lvlJc w:val="right"/>
      <w:pPr>
        <w:ind w:left="4320" w:hanging="180"/>
      </w:pPr>
    </w:lvl>
    <w:lvl w:ilvl="6" w:tplc="3F94688A">
      <w:start w:val="1"/>
      <w:numFmt w:val="decimal"/>
      <w:lvlText w:val="%7."/>
      <w:lvlJc w:val="left"/>
      <w:pPr>
        <w:ind w:left="5040" w:hanging="360"/>
      </w:pPr>
    </w:lvl>
    <w:lvl w:ilvl="7" w:tplc="E3EC6688">
      <w:start w:val="1"/>
      <w:numFmt w:val="lowerLetter"/>
      <w:lvlText w:val="%8."/>
      <w:lvlJc w:val="left"/>
      <w:pPr>
        <w:ind w:left="5760" w:hanging="360"/>
      </w:pPr>
    </w:lvl>
    <w:lvl w:ilvl="8" w:tplc="D7CAEAE2">
      <w:start w:val="1"/>
      <w:numFmt w:val="lowerRoman"/>
      <w:lvlText w:val="%9."/>
      <w:lvlJc w:val="right"/>
      <w:pPr>
        <w:ind w:left="6480" w:hanging="180"/>
      </w:pPr>
    </w:lvl>
  </w:abstractNum>
  <w:abstractNum w:abstractNumId="35" w15:restartNumberingAfterBreak="0">
    <w:nsid w:val="710B1063"/>
    <w:multiLevelType w:val="hybridMultilevel"/>
    <w:tmpl w:val="63369218"/>
    <w:lvl w:ilvl="0" w:tplc="27A8CDF0">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480371"/>
    <w:multiLevelType w:val="hybridMultilevel"/>
    <w:tmpl w:val="705264F2"/>
    <w:lvl w:ilvl="0" w:tplc="10AE3FFA">
      <w:start w:val="1"/>
      <w:numFmt w:val="decimal"/>
      <w:lvlText w:val="%1)"/>
      <w:lvlJc w:val="left"/>
      <w:pPr>
        <w:ind w:left="1020" w:hanging="360"/>
      </w:pPr>
    </w:lvl>
    <w:lvl w:ilvl="1" w:tplc="BC080528">
      <w:start w:val="1"/>
      <w:numFmt w:val="decimal"/>
      <w:lvlText w:val="%2)"/>
      <w:lvlJc w:val="left"/>
      <w:pPr>
        <w:ind w:left="1020" w:hanging="360"/>
      </w:pPr>
    </w:lvl>
    <w:lvl w:ilvl="2" w:tplc="1FBEFEBE">
      <w:start w:val="1"/>
      <w:numFmt w:val="decimal"/>
      <w:lvlText w:val="%3)"/>
      <w:lvlJc w:val="left"/>
      <w:pPr>
        <w:ind w:left="1020" w:hanging="360"/>
      </w:pPr>
    </w:lvl>
    <w:lvl w:ilvl="3" w:tplc="590EE52E">
      <w:start w:val="1"/>
      <w:numFmt w:val="decimal"/>
      <w:lvlText w:val="%4)"/>
      <w:lvlJc w:val="left"/>
      <w:pPr>
        <w:ind w:left="1020" w:hanging="360"/>
      </w:pPr>
    </w:lvl>
    <w:lvl w:ilvl="4" w:tplc="C4462894">
      <w:start w:val="1"/>
      <w:numFmt w:val="decimal"/>
      <w:lvlText w:val="%5)"/>
      <w:lvlJc w:val="left"/>
      <w:pPr>
        <w:ind w:left="1020" w:hanging="360"/>
      </w:pPr>
    </w:lvl>
    <w:lvl w:ilvl="5" w:tplc="445865AC">
      <w:start w:val="1"/>
      <w:numFmt w:val="decimal"/>
      <w:lvlText w:val="%6)"/>
      <w:lvlJc w:val="left"/>
      <w:pPr>
        <w:ind w:left="1020" w:hanging="360"/>
      </w:pPr>
    </w:lvl>
    <w:lvl w:ilvl="6" w:tplc="DEB0C63E">
      <w:start w:val="1"/>
      <w:numFmt w:val="decimal"/>
      <w:lvlText w:val="%7)"/>
      <w:lvlJc w:val="left"/>
      <w:pPr>
        <w:ind w:left="1020" w:hanging="360"/>
      </w:pPr>
    </w:lvl>
    <w:lvl w:ilvl="7" w:tplc="BB34659E">
      <w:start w:val="1"/>
      <w:numFmt w:val="decimal"/>
      <w:lvlText w:val="%8)"/>
      <w:lvlJc w:val="left"/>
      <w:pPr>
        <w:ind w:left="1020" w:hanging="360"/>
      </w:pPr>
    </w:lvl>
    <w:lvl w:ilvl="8" w:tplc="CEDA1E12">
      <w:start w:val="1"/>
      <w:numFmt w:val="decimal"/>
      <w:lvlText w:val="%9)"/>
      <w:lvlJc w:val="left"/>
      <w:pPr>
        <w:ind w:left="1020" w:hanging="360"/>
      </w:pPr>
    </w:lvl>
  </w:abstractNum>
  <w:abstractNum w:abstractNumId="37" w15:restartNumberingAfterBreak="0">
    <w:nsid w:val="77B76FF0"/>
    <w:multiLevelType w:val="hybridMultilevel"/>
    <w:tmpl w:val="33D856E4"/>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8676214"/>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5575E2"/>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D85B72"/>
    <w:multiLevelType w:val="hybridMultilevel"/>
    <w:tmpl w:val="4890498C"/>
    <w:lvl w:ilvl="0" w:tplc="FFFFFFFF">
      <w:start w:val="1"/>
      <w:numFmt w:val="decimal"/>
      <w:lvlText w:val="%1."/>
      <w:lvlJc w:val="left"/>
      <w:pPr>
        <w:ind w:left="720" w:hanging="360"/>
      </w:pPr>
      <w:rPr>
        <w:rFonts w:ascii="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5963117">
    <w:abstractNumId w:val="30"/>
  </w:num>
  <w:num w:numId="2" w16cid:durableId="1381593825">
    <w:abstractNumId w:val="12"/>
  </w:num>
  <w:num w:numId="3" w16cid:durableId="2114280021">
    <w:abstractNumId w:val="36"/>
  </w:num>
  <w:num w:numId="4" w16cid:durableId="1060522038">
    <w:abstractNumId w:val="26"/>
  </w:num>
  <w:num w:numId="5" w16cid:durableId="1781415581">
    <w:abstractNumId w:val="16"/>
  </w:num>
  <w:num w:numId="6" w16cid:durableId="1262908720">
    <w:abstractNumId w:val="14"/>
  </w:num>
  <w:num w:numId="7" w16cid:durableId="2122993970">
    <w:abstractNumId w:val="15"/>
  </w:num>
  <w:num w:numId="8" w16cid:durableId="2145999266">
    <w:abstractNumId w:val="9"/>
  </w:num>
  <w:num w:numId="9" w16cid:durableId="1625306967">
    <w:abstractNumId w:val="17"/>
  </w:num>
  <w:num w:numId="10" w16cid:durableId="216283156">
    <w:abstractNumId w:val="2"/>
  </w:num>
  <w:num w:numId="11" w16cid:durableId="1397969032">
    <w:abstractNumId w:val="11"/>
  </w:num>
  <w:num w:numId="12" w16cid:durableId="100804264">
    <w:abstractNumId w:val="4"/>
  </w:num>
  <w:num w:numId="13" w16cid:durableId="749959166">
    <w:abstractNumId w:val="19"/>
  </w:num>
  <w:num w:numId="14" w16cid:durableId="1362970113">
    <w:abstractNumId w:val="21"/>
  </w:num>
  <w:num w:numId="15" w16cid:durableId="1792237807">
    <w:abstractNumId w:val="35"/>
  </w:num>
  <w:num w:numId="16" w16cid:durableId="1540821670">
    <w:abstractNumId w:val="10"/>
  </w:num>
  <w:num w:numId="17" w16cid:durableId="1141996256">
    <w:abstractNumId w:val="20"/>
  </w:num>
  <w:num w:numId="18" w16cid:durableId="2070112686">
    <w:abstractNumId w:val="7"/>
  </w:num>
  <w:num w:numId="19" w16cid:durableId="1272008027">
    <w:abstractNumId w:val="31"/>
  </w:num>
  <w:num w:numId="20" w16cid:durableId="529536206">
    <w:abstractNumId w:val="3"/>
  </w:num>
  <w:num w:numId="21" w16cid:durableId="475414383">
    <w:abstractNumId w:val="29"/>
  </w:num>
  <w:num w:numId="22" w16cid:durableId="1924028787">
    <w:abstractNumId w:val="38"/>
  </w:num>
  <w:num w:numId="23" w16cid:durableId="68432989">
    <w:abstractNumId w:val="27"/>
  </w:num>
  <w:num w:numId="24" w16cid:durableId="1572690949">
    <w:abstractNumId w:val="37"/>
  </w:num>
  <w:num w:numId="25" w16cid:durableId="1535194401">
    <w:abstractNumId w:val="8"/>
  </w:num>
  <w:num w:numId="26" w16cid:durableId="2026595984">
    <w:abstractNumId w:val="22"/>
  </w:num>
  <w:num w:numId="27" w16cid:durableId="1361904033">
    <w:abstractNumId w:val="33"/>
  </w:num>
  <w:num w:numId="28" w16cid:durableId="1400715326">
    <w:abstractNumId w:val="25"/>
  </w:num>
  <w:num w:numId="29" w16cid:durableId="1779180032">
    <w:abstractNumId w:val="28"/>
  </w:num>
  <w:num w:numId="30" w16cid:durableId="8600814">
    <w:abstractNumId w:val="34"/>
  </w:num>
  <w:num w:numId="31" w16cid:durableId="952203854">
    <w:abstractNumId w:val="32"/>
  </w:num>
  <w:num w:numId="32" w16cid:durableId="2041977957">
    <w:abstractNumId w:val="6"/>
  </w:num>
  <w:num w:numId="33" w16cid:durableId="1923682898">
    <w:abstractNumId w:val="40"/>
  </w:num>
  <w:num w:numId="34" w16cid:durableId="656108294">
    <w:abstractNumId w:val="18"/>
  </w:num>
  <w:num w:numId="35" w16cid:durableId="2487822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3134891">
    <w:abstractNumId w:val="23"/>
  </w:num>
  <w:num w:numId="37" w16cid:durableId="313687164">
    <w:abstractNumId w:val="13"/>
  </w:num>
  <w:num w:numId="38" w16cid:durableId="372577965">
    <w:abstractNumId w:val="1"/>
  </w:num>
  <w:num w:numId="39" w16cid:durableId="863638416">
    <w:abstractNumId w:val="39"/>
  </w:num>
  <w:num w:numId="40" w16cid:durableId="54205859">
    <w:abstractNumId w:val="0"/>
  </w:num>
  <w:num w:numId="41" w16cid:durableId="221642885">
    <w:abstractNumId w:val="24"/>
  </w:num>
  <w:num w:numId="42" w16cid:durableId="1912232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15877"/>
    <w:rsid w:val="00000824"/>
    <w:rsid w:val="000008B6"/>
    <w:rsid w:val="00001BBE"/>
    <w:rsid w:val="00001E38"/>
    <w:rsid w:val="000020F8"/>
    <w:rsid w:val="000022BE"/>
    <w:rsid w:val="000027B2"/>
    <w:rsid w:val="000036F7"/>
    <w:rsid w:val="00003E1C"/>
    <w:rsid w:val="00003F62"/>
    <w:rsid w:val="00004295"/>
    <w:rsid w:val="00005311"/>
    <w:rsid w:val="000066B1"/>
    <w:rsid w:val="0000697C"/>
    <w:rsid w:val="00006DE3"/>
    <w:rsid w:val="00010A83"/>
    <w:rsid w:val="00010EC6"/>
    <w:rsid w:val="000112B7"/>
    <w:rsid w:val="0001191E"/>
    <w:rsid w:val="00011A3F"/>
    <w:rsid w:val="00011C79"/>
    <w:rsid w:val="00012D97"/>
    <w:rsid w:val="00012DA1"/>
    <w:rsid w:val="00013A97"/>
    <w:rsid w:val="000147B8"/>
    <w:rsid w:val="00015723"/>
    <w:rsid w:val="00015BCB"/>
    <w:rsid w:val="00016BEF"/>
    <w:rsid w:val="00016D8D"/>
    <w:rsid w:val="00020435"/>
    <w:rsid w:val="00020D50"/>
    <w:rsid w:val="000212B9"/>
    <w:rsid w:val="0002297A"/>
    <w:rsid w:val="000246A6"/>
    <w:rsid w:val="00024FA4"/>
    <w:rsid w:val="000253A7"/>
    <w:rsid w:val="000264E0"/>
    <w:rsid w:val="000275AC"/>
    <w:rsid w:val="000277FF"/>
    <w:rsid w:val="00027998"/>
    <w:rsid w:val="00030492"/>
    <w:rsid w:val="00030BE3"/>
    <w:rsid w:val="00031226"/>
    <w:rsid w:val="000317F5"/>
    <w:rsid w:val="0003299F"/>
    <w:rsid w:val="00035C9F"/>
    <w:rsid w:val="00035CCA"/>
    <w:rsid w:val="00036BF3"/>
    <w:rsid w:val="00037830"/>
    <w:rsid w:val="00037AF8"/>
    <w:rsid w:val="00042CCD"/>
    <w:rsid w:val="00043606"/>
    <w:rsid w:val="00044AEE"/>
    <w:rsid w:val="000453A3"/>
    <w:rsid w:val="0004558A"/>
    <w:rsid w:val="00047027"/>
    <w:rsid w:val="0004739B"/>
    <w:rsid w:val="0004769C"/>
    <w:rsid w:val="00047757"/>
    <w:rsid w:val="000503D9"/>
    <w:rsid w:val="00052703"/>
    <w:rsid w:val="00053043"/>
    <w:rsid w:val="00053CBD"/>
    <w:rsid w:val="0005427A"/>
    <w:rsid w:val="000547AC"/>
    <w:rsid w:val="00054C93"/>
    <w:rsid w:val="00055C90"/>
    <w:rsid w:val="00056C80"/>
    <w:rsid w:val="0005729F"/>
    <w:rsid w:val="00061186"/>
    <w:rsid w:val="00061A9F"/>
    <w:rsid w:val="00061C2E"/>
    <w:rsid w:val="00061C7C"/>
    <w:rsid w:val="00062312"/>
    <w:rsid w:val="00062396"/>
    <w:rsid w:val="00062FC9"/>
    <w:rsid w:val="000637ED"/>
    <w:rsid w:val="00063C0B"/>
    <w:rsid w:val="00064248"/>
    <w:rsid w:val="000646FF"/>
    <w:rsid w:val="00065D44"/>
    <w:rsid w:val="000664AD"/>
    <w:rsid w:val="00066F82"/>
    <w:rsid w:val="00067211"/>
    <w:rsid w:val="00071071"/>
    <w:rsid w:val="00071DA7"/>
    <w:rsid w:val="00072CE6"/>
    <w:rsid w:val="00073A5E"/>
    <w:rsid w:val="00074257"/>
    <w:rsid w:val="000757D6"/>
    <w:rsid w:val="000759CA"/>
    <w:rsid w:val="00076FB9"/>
    <w:rsid w:val="00077084"/>
    <w:rsid w:val="00077374"/>
    <w:rsid w:val="00077A58"/>
    <w:rsid w:val="00077AD0"/>
    <w:rsid w:val="00077FE2"/>
    <w:rsid w:val="000801BD"/>
    <w:rsid w:val="000805D0"/>
    <w:rsid w:val="00080A50"/>
    <w:rsid w:val="0008108D"/>
    <w:rsid w:val="000813F4"/>
    <w:rsid w:val="00082FB1"/>
    <w:rsid w:val="0008311C"/>
    <w:rsid w:val="0008370C"/>
    <w:rsid w:val="00083A87"/>
    <w:rsid w:val="00083AC5"/>
    <w:rsid w:val="000846CC"/>
    <w:rsid w:val="000847F9"/>
    <w:rsid w:val="00085D2E"/>
    <w:rsid w:val="00085EBB"/>
    <w:rsid w:val="00086951"/>
    <w:rsid w:val="00086C5E"/>
    <w:rsid w:val="00086D4B"/>
    <w:rsid w:val="00086F07"/>
    <w:rsid w:val="000875C8"/>
    <w:rsid w:val="00090DA0"/>
    <w:rsid w:val="00090F03"/>
    <w:rsid w:val="00091FBD"/>
    <w:rsid w:val="000920D0"/>
    <w:rsid w:val="00092ACD"/>
    <w:rsid w:val="00092C8D"/>
    <w:rsid w:val="0009382B"/>
    <w:rsid w:val="000946A5"/>
    <w:rsid w:val="000946D0"/>
    <w:rsid w:val="000957CF"/>
    <w:rsid w:val="00096EF6"/>
    <w:rsid w:val="00097069"/>
    <w:rsid w:val="000A1BAA"/>
    <w:rsid w:val="000A1D8D"/>
    <w:rsid w:val="000A23D3"/>
    <w:rsid w:val="000A28F6"/>
    <w:rsid w:val="000A3260"/>
    <w:rsid w:val="000A3F1E"/>
    <w:rsid w:val="000A4EFF"/>
    <w:rsid w:val="000A502E"/>
    <w:rsid w:val="000A515F"/>
    <w:rsid w:val="000A525E"/>
    <w:rsid w:val="000A7ABA"/>
    <w:rsid w:val="000B00A2"/>
    <w:rsid w:val="000B00B4"/>
    <w:rsid w:val="000B0A06"/>
    <w:rsid w:val="000B0A65"/>
    <w:rsid w:val="000B1E4C"/>
    <w:rsid w:val="000B2060"/>
    <w:rsid w:val="000B47E6"/>
    <w:rsid w:val="000B54C5"/>
    <w:rsid w:val="000B5BEA"/>
    <w:rsid w:val="000B6362"/>
    <w:rsid w:val="000B6B9E"/>
    <w:rsid w:val="000B70AC"/>
    <w:rsid w:val="000B7578"/>
    <w:rsid w:val="000C0143"/>
    <w:rsid w:val="000C099D"/>
    <w:rsid w:val="000C17A3"/>
    <w:rsid w:val="000C2362"/>
    <w:rsid w:val="000C3405"/>
    <w:rsid w:val="000C395D"/>
    <w:rsid w:val="000C4089"/>
    <w:rsid w:val="000C4BC8"/>
    <w:rsid w:val="000C5037"/>
    <w:rsid w:val="000C53D3"/>
    <w:rsid w:val="000C5D03"/>
    <w:rsid w:val="000C6072"/>
    <w:rsid w:val="000C676C"/>
    <w:rsid w:val="000C7666"/>
    <w:rsid w:val="000C7ACF"/>
    <w:rsid w:val="000C7D7B"/>
    <w:rsid w:val="000D0318"/>
    <w:rsid w:val="000D04F7"/>
    <w:rsid w:val="000D25F3"/>
    <w:rsid w:val="000D2AEF"/>
    <w:rsid w:val="000D346F"/>
    <w:rsid w:val="000D3C5C"/>
    <w:rsid w:val="000D3CFF"/>
    <w:rsid w:val="000D3D3E"/>
    <w:rsid w:val="000D4291"/>
    <w:rsid w:val="000D6943"/>
    <w:rsid w:val="000E09C2"/>
    <w:rsid w:val="000E0C73"/>
    <w:rsid w:val="000E106B"/>
    <w:rsid w:val="000E10EA"/>
    <w:rsid w:val="000E12B4"/>
    <w:rsid w:val="000E146F"/>
    <w:rsid w:val="000E1EEB"/>
    <w:rsid w:val="000E2513"/>
    <w:rsid w:val="000E2768"/>
    <w:rsid w:val="000E2895"/>
    <w:rsid w:val="000E33AA"/>
    <w:rsid w:val="000E3AA9"/>
    <w:rsid w:val="000E3B94"/>
    <w:rsid w:val="000E3D32"/>
    <w:rsid w:val="000E45A9"/>
    <w:rsid w:val="000E4ED2"/>
    <w:rsid w:val="000E56D0"/>
    <w:rsid w:val="000E58A8"/>
    <w:rsid w:val="000E64B8"/>
    <w:rsid w:val="000E6D01"/>
    <w:rsid w:val="000E77F1"/>
    <w:rsid w:val="000E7F75"/>
    <w:rsid w:val="000F074C"/>
    <w:rsid w:val="000F0A50"/>
    <w:rsid w:val="000F104F"/>
    <w:rsid w:val="000F106E"/>
    <w:rsid w:val="000F1A98"/>
    <w:rsid w:val="000F23DA"/>
    <w:rsid w:val="000F28A0"/>
    <w:rsid w:val="000F2A6D"/>
    <w:rsid w:val="000F2B1D"/>
    <w:rsid w:val="000F385D"/>
    <w:rsid w:val="000F3FDB"/>
    <w:rsid w:val="000F44F3"/>
    <w:rsid w:val="000F4A41"/>
    <w:rsid w:val="000F4A87"/>
    <w:rsid w:val="000F5EDB"/>
    <w:rsid w:val="000F7ACE"/>
    <w:rsid w:val="00101277"/>
    <w:rsid w:val="0010280F"/>
    <w:rsid w:val="001033BF"/>
    <w:rsid w:val="001051CC"/>
    <w:rsid w:val="00105857"/>
    <w:rsid w:val="00105F3C"/>
    <w:rsid w:val="00111835"/>
    <w:rsid w:val="00111B6A"/>
    <w:rsid w:val="00111BBA"/>
    <w:rsid w:val="00114C33"/>
    <w:rsid w:val="0011547B"/>
    <w:rsid w:val="001156E7"/>
    <w:rsid w:val="00115843"/>
    <w:rsid w:val="00115EAB"/>
    <w:rsid w:val="001172B0"/>
    <w:rsid w:val="00117A18"/>
    <w:rsid w:val="00120679"/>
    <w:rsid w:val="00120746"/>
    <w:rsid w:val="0012145D"/>
    <w:rsid w:val="001215CD"/>
    <w:rsid w:val="00122558"/>
    <w:rsid w:val="0012605B"/>
    <w:rsid w:val="00130DEE"/>
    <w:rsid w:val="001315D4"/>
    <w:rsid w:val="0013295D"/>
    <w:rsid w:val="0013387A"/>
    <w:rsid w:val="00134305"/>
    <w:rsid w:val="00137228"/>
    <w:rsid w:val="00137FCB"/>
    <w:rsid w:val="00140CFB"/>
    <w:rsid w:val="00140D10"/>
    <w:rsid w:val="001413DD"/>
    <w:rsid w:val="0014286F"/>
    <w:rsid w:val="001428D0"/>
    <w:rsid w:val="00142A3A"/>
    <w:rsid w:val="00142B45"/>
    <w:rsid w:val="0014388D"/>
    <w:rsid w:val="00143B1C"/>
    <w:rsid w:val="00144FBA"/>
    <w:rsid w:val="00145026"/>
    <w:rsid w:val="001455CD"/>
    <w:rsid w:val="001456A6"/>
    <w:rsid w:val="0014655F"/>
    <w:rsid w:val="001466F9"/>
    <w:rsid w:val="00146B4C"/>
    <w:rsid w:val="00146CD1"/>
    <w:rsid w:val="00147654"/>
    <w:rsid w:val="00150C9B"/>
    <w:rsid w:val="0015116E"/>
    <w:rsid w:val="00152390"/>
    <w:rsid w:val="00152A6B"/>
    <w:rsid w:val="00152CFF"/>
    <w:rsid w:val="00153B19"/>
    <w:rsid w:val="00154B7A"/>
    <w:rsid w:val="00154BB2"/>
    <w:rsid w:val="001615D6"/>
    <w:rsid w:val="0016267E"/>
    <w:rsid w:val="00162CD5"/>
    <w:rsid w:val="00162F95"/>
    <w:rsid w:val="001634A9"/>
    <w:rsid w:val="00163A5D"/>
    <w:rsid w:val="00163ADD"/>
    <w:rsid w:val="00164C8A"/>
    <w:rsid w:val="00164D4A"/>
    <w:rsid w:val="00165739"/>
    <w:rsid w:val="001669A6"/>
    <w:rsid w:val="00166EBA"/>
    <w:rsid w:val="001677B5"/>
    <w:rsid w:val="00170B7A"/>
    <w:rsid w:val="00172F36"/>
    <w:rsid w:val="001752EF"/>
    <w:rsid w:val="00177654"/>
    <w:rsid w:val="0017798A"/>
    <w:rsid w:val="00180284"/>
    <w:rsid w:val="00180BE8"/>
    <w:rsid w:val="00180C71"/>
    <w:rsid w:val="00181BF5"/>
    <w:rsid w:val="00182286"/>
    <w:rsid w:val="0018235A"/>
    <w:rsid w:val="0018382D"/>
    <w:rsid w:val="00183BD0"/>
    <w:rsid w:val="00183BD3"/>
    <w:rsid w:val="00184A4A"/>
    <w:rsid w:val="00185B48"/>
    <w:rsid w:val="00186FA2"/>
    <w:rsid w:val="001876C9"/>
    <w:rsid w:val="001902B1"/>
    <w:rsid w:val="00190853"/>
    <w:rsid w:val="00194024"/>
    <w:rsid w:val="00195B4F"/>
    <w:rsid w:val="00197EDE"/>
    <w:rsid w:val="001A1BE6"/>
    <w:rsid w:val="001A27B1"/>
    <w:rsid w:val="001A2EC7"/>
    <w:rsid w:val="001A3506"/>
    <w:rsid w:val="001A3AF1"/>
    <w:rsid w:val="001A4128"/>
    <w:rsid w:val="001A5275"/>
    <w:rsid w:val="001A5CA4"/>
    <w:rsid w:val="001A6372"/>
    <w:rsid w:val="001A6A3D"/>
    <w:rsid w:val="001B1159"/>
    <w:rsid w:val="001B2F1D"/>
    <w:rsid w:val="001B3276"/>
    <w:rsid w:val="001B529C"/>
    <w:rsid w:val="001B56D3"/>
    <w:rsid w:val="001B5F6F"/>
    <w:rsid w:val="001B71D0"/>
    <w:rsid w:val="001B7391"/>
    <w:rsid w:val="001C02FA"/>
    <w:rsid w:val="001C0326"/>
    <w:rsid w:val="001C0520"/>
    <w:rsid w:val="001C0F46"/>
    <w:rsid w:val="001C1977"/>
    <w:rsid w:val="001C19AB"/>
    <w:rsid w:val="001C20BD"/>
    <w:rsid w:val="001C32A4"/>
    <w:rsid w:val="001C3ED5"/>
    <w:rsid w:val="001C481B"/>
    <w:rsid w:val="001C4897"/>
    <w:rsid w:val="001C4A99"/>
    <w:rsid w:val="001C5B43"/>
    <w:rsid w:val="001C5F39"/>
    <w:rsid w:val="001C6C89"/>
    <w:rsid w:val="001C6E60"/>
    <w:rsid w:val="001C7CEC"/>
    <w:rsid w:val="001C7E89"/>
    <w:rsid w:val="001D10E1"/>
    <w:rsid w:val="001D119B"/>
    <w:rsid w:val="001D1888"/>
    <w:rsid w:val="001D1FB1"/>
    <w:rsid w:val="001D2938"/>
    <w:rsid w:val="001D2D61"/>
    <w:rsid w:val="001D44CA"/>
    <w:rsid w:val="001D456B"/>
    <w:rsid w:val="001D501C"/>
    <w:rsid w:val="001D5B77"/>
    <w:rsid w:val="001D5E90"/>
    <w:rsid w:val="001D6BB5"/>
    <w:rsid w:val="001D70B5"/>
    <w:rsid w:val="001D7651"/>
    <w:rsid w:val="001D7B6A"/>
    <w:rsid w:val="001D7D18"/>
    <w:rsid w:val="001D7E48"/>
    <w:rsid w:val="001E01B3"/>
    <w:rsid w:val="001E0406"/>
    <w:rsid w:val="001E07CA"/>
    <w:rsid w:val="001E13B4"/>
    <w:rsid w:val="001E2165"/>
    <w:rsid w:val="001E2884"/>
    <w:rsid w:val="001E3491"/>
    <w:rsid w:val="001E357B"/>
    <w:rsid w:val="001E3762"/>
    <w:rsid w:val="001E44E5"/>
    <w:rsid w:val="001E4D3C"/>
    <w:rsid w:val="001E68C9"/>
    <w:rsid w:val="001E6D58"/>
    <w:rsid w:val="001E7D1A"/>
    <w:rsid w:val="001F003E"/>
    <w:rsid w:val="001F1002"/>
    <w:rsid w:val="001F174A"/>
    <w:rsid w:val="001F2970"/>
    <w:rsid w:val="001F4C83"/>
    <w:rsid w:val="001F4D6C"/>
    <w:rsid w:val="001F51E3"/>
    <w:rsid w:val="001F5428"/>
    <w:rsid w:val="001F5527"/>
    <w:rsid w:val="001F57EF"/>
    <w:rsid w:val="001F5D4D"/>
    <w:rsid w:val="001F6AF0"/>
    <w:rsid w:val="001F6E69"/>
    <w:rsid w:val="00200781"/>
    <w:rsid w:val="00200C64"/>
    <w:rsid w:val="002016FF"/>
    <w:rsid w:val="00201A1C"/>
    <w:rsid w:val="00201E3E"/>
    <w:rsid w:val="00202049"/>
    <w:rsid w:val="0020386E"/>
    <w:rsid w:val="0020449F"/>
    <w:rsid w:val="0020481B"/>
    <w:rsid w:val="00205CB9"/>
    <w:rsid w:val="00206654"/>
    <w:rsid w:val="00207E17"/>
    <w:rsid w:val="00207E5D"/>
    <w:rsid w:val="00211913"/>
    <w:rsid w:val="00211A29"/>
    <w:rsid w:val="00211BC9"/>
    <w:rsid w:val="002123E7"/>
    <w:rsid w:val="00215818"/>
    <w:rsid w:val="00216FDD"/>
    <w:rsid w:val="002176CC"/>
    <w:rsid w:val="00217E28"/>
    <w:rsid w:val="00217FED"/>
    <w:rsid w:val="00220710"/>
    <w:rsid w:val="00221686"/>
    <w:rsid w:val="00221F9D"/>
    <w:rsid w:val="002221F7"/>
    <w:rsid w:val="0022264F"/>
    <w:rsid w:val="00223B56"/>
    <w:rsid w:val="00223BAD"/>
    <w:rsid w:val="00223C8C"/>
    <w:rsid w:val="00223F17"/>
    <w:rsid w:val="00224C36"/>
    <w:rsid w:val="002251C3"/>
    <w:rsid w:val="0022527A"/>
    <w:rsid w:val="00225765"/>
    <w:rsid w:val="00227340"/>
    <w:rsid w:val="00227A0B"/>
    <w:rsid w:val="00227EA7"/>
    <w:rsid w:val="00230910"/>
    <w:rsid w:val="002314E0"/>
    <w:rsid w:val="00231F3C"/>
    <w:rsid w:val="00233348"/>
    <w:rsid w:val="002333CA"/>
    <w:rsid w:val="0023372A"/>
    <w:rsid w:val="002346C5"/>
    <w:rsid w:val="00236989"/>
    <w:rsid w:val="00236C0A"/>
    <w:rsid w:val="002400CF"/>
    <w:rsid w:val="00240D90"/>
    <w:rsid w:val="002418DF"/>
    <w:rsid w:val="00242BBB"/>
    <w:rsid w:val="00242E24"/>
    <w:rsid w:val="00243458"/>
    <w:rsid w:val="002439E7"/>
    <w:rsid w:val="00243E4D"/>
    <w:rsid w:val="00244ABE"/>
    <w:rsid w:val="00245B27"/>
    <w:rsid w:val="00245FAC"/>
    <w:rsid w:val="0024636C"/>
    <w:rsid w:val="0024697E"/>
    <w:rsid w:val="002475E7"/>
    <w:rsid w:val="0024790C"/>
    <w:rsid w:val="00247BF6"/>
    <w:rsid w:val="002514B4"/>
    <w:rsid w:val="002515C1"/>
    <w:rsid w:val="0025174C"/>
    <w:rsid w:val="00251D6B"/>
    <w:rsid w:val="00252B95"/>
    <w:rsid w:val="002530C0"/>
    <w:rsid w:val="00253482"/>
    <w:rsid w:val="002557A4"/>
    <w:rsid w:val="0025585A"/>
    <w:rsid w:val="002571B0"/>
    <w:rsid w:val="00257BF3"/>
    <w:rsid w:val="00257F11"/>
    <w:rsid w:val="002611F2"/>
    <w:rsid w:val="00261836"/>
    <w:rsid w:val="00262572"/>
    <w:rsid w:val="0026329C"/>
    <w:rsid w:val="00264499"/>
    <w:rsid w:val="00264BE6"/>
    <w:rsid w:val="0026544F"/>
    <w:rsid w:val="002663DE"/>
    <w:rsid w:val="00270D13"/>
    <w:rsid w:val="0027174A"/>
    <w:rsid w:val="002723D9"/>
    <w:rsid w:val="00272531"/>
    <w:rsid w:val="00272DD6"/>
    <w:rsid w:val="00275805"/>
    <w:rsid w:val="0027612F"/>
    <w:rsid w:val="002765F3"/>
    <w:rsid w:val="00276E9F"/>
    <w:rsid w:val="00276F96"/>
    <w:rsid w:val="00280C82"/>
    <w:rsid w:val="0028170E"/>
    <w:rsid w:val="00281F69"/>
    <w:rsid w:val="00281FAC"/>
    <w:rsid w:val="00282025"/>
    <w:rsid w:val="00282215"/>
    <w:rsid w:val="00282234"/>
    <w:rsid w:val="00282399"/>
    <w:rsid w:val="00284840"/>
    <w:rsid w:val="00284BE7"/>
    <w:rsid w:val="00284CB0"/>
    <w:rsid w:val="00285190"/>
    <w:rsid w:val="00285749"/>
    <w:rsid w:val="00285788"/>
    <w:rsid w:val="00286173"/>
    <w:rsid w:val="002861C4"/>
    <w:rsid w:val="00286E46"/>
    <w:rsid w:val="00287485"/>
    <w:rsid w:val="00290401"/>
    <w:rsid w:val="0029086C"/>
    <w:rsid w:val="0029086E"/>
    <w:rsid w:val="0029099D"/>
    <w:rsid w:val="00291486"/>
    <w:rsid w:val="00291671"/>
    <w:rsid w:val="00292B73"/>
    <w:rsid w:val="00293A08"/>
    <w:rsid w:val="0029459E"/>
    <w:rsid w:val="00294FA9"/>
    <w:rsid w:val="00295202"/>
    <w:rsid w:val="00295480"/>
    <w:rsid w:val="00295CC2"/>
    <w:rsid w:val="0029762B"/>
    <w:rsid w:val="00297F3F"/>
    <w:rsid w:val="002A1A04"/>
    <w:rsid w:val="002A1DE3"/>
    <w:rsid w:val="002A266A"/>
    <w:rsid w:val="002A272C"/>
    <w:rsid w:val="002A2B9D"/>
    <w:rsid w:val="002A3116"/>
    <w:rsid w:val="002A32C4"/>
    <w:rsid w:val="002A3389"/>
    <w:rsid w:val="002A5807"/>
    <w:rsid w:val="002A5934"/>
    <w:rsid w:val="002A70BE"/>
    <w:rsid w:val="002A7248"/>
    <w:rsid w:val="002A7DAE"/>
    <w:rsid w:val="002B2A7E"/>
    <w:rsid w:val="002B2B20"/>
    <w:rsid w:val="002B3966"/>
    <w:rsid w:val="002B5A9F"/>
    <w:rsid w:val="002B5DFE"/>
    <w:rsid w:val="002B6201"/>
    <w:rsid w:val="002B68C6"/>
    <w:rsid w:val="002C0458"/>
    <w:rsid w:val="002C1618"/>
    <w:rsid w:val="002C172C"/>
    <w:rsid w:val="002C1D3A"/>
    <w:rsid w:val="002C1FEE"/>
    <w:rsid w:val="002C22A2"/>
    <w:rsid w:val="002C2603"/>
    <w:rsid w:val="002C2EBB"/>
    <w:rsid w:val="002C330F"/>
    <w:rsid w:val="002C3EFB"/>
    <w:rsid w:val="002C415E"/>
    <w:rsid w:val="002C41CC"/>
    <w:rsid w:val="002C49D3"/>
    <w:rsid w:val="002C5BAC"/>
    <w:rsid w:val="002C5D53"/>
    <w:rsid w:val="002C6043"/>
    <w:rsid w:val="002C6B0D"/>
    <w:rsid w:val="002C77BF"/>
    <w:rsid w:val="002C7910"/>
    <w:rsid w:val="002D0E65"/>
    <w:rsid w:val="002D14EC"/>
    <w:rsid w:val="002D14F5"/>
    <w:rsid w:val="002D2276"/>
    <w:rsid w:val="002D2614"/>
    <w:rsid w:val="002D3282"/>
    <w:rsid w:val="002D354D"/>
    <w:rsid w:val="002D4831"/>
    <w:rsid w:val="002E0944"/>
    <w:rsid w:val="002E1823"/>
    <w:rsid w:val="002E2934"/>
    <w:rsid w:val="002E5D79"/>
    <w:rsid w:val="002F0128"/>
    <w:rsid w:val="002F1B1F"/>
    <w:rsid w:val="002F1FCE"/>
    <w:rsid w:val="002F2DBB"/>
    <w:rsid w:val="002F2F35"/>
    <w:rsid w:val="002F394E"/>
    <w:rsid w:val="002F3CA8"/>
    <w:rsid w:val="002F5EEF"/>
    <w:rsid w:val="002F628A"/>
    <w:rsid w:val="00300A3D"/>
    <w:rsid w:val="00300A61"/>
    <w:rsid w:val="0030139B"/>
    <w:rsid w:val="00301942"/>
    <w:rsid w:val="0030249A"/>
    <w:rsid w:val="0030384C"/>
    <w:rsid w:val="00303854"/>
    <w:rsid w:val="003038C5"/>
    <w:rsid w:val="00303EA4"/>
    <w:rsid w:val="00304613"/>
    <w:rsid w:val="003048C6"/>
    <w:rsid w:val="00304AFD"/>
    <w:rsid w:val="00305847"/>
    <w:rsid w:val="00306934"/>
    <w:rsid w:val="00306B38"/>
    <w:rsid w:val="00307B68"/>
    <w:rsid w:val="003112CD"/>
    <w:rsid w:val="00311F3F"/>
    <w:rsid w:val="00315652"/>
    <w:rsid w:val="003163E8"/>
    <w:rsid w:val="00317D9C"/>
    <w:rsid w:val="00320174"/>
    <w:rsid w:val="00320C42"/>
    <w:rsid w:val="00321AB9"/>
    <w:rsid w:val="00322827"/>
    <w:rsid w:val="00322AE2"/>
    <w:rsid w:val="00323EED"/>
    <w:rsid w:val="00324706"/>
    <w:rsid w:val="00325AAA"/>
    <w:rsid w:val="00325D55"/>
    <w:rsid w:val="00325DC8"/>
    <w:rsid w:val="00325F8D"/>
    <w:rsid w:val="003268B7"/>
    <w:rsid w:val="003274C4"/>
    <w:rsid w:val="00330E20"/>
    <w:rsid w:val="00330E30"/>
    <w:rsid w:val="00331709"/>
    <w:rsid w:val="00332C08"/>
    <w:rsid w:val="003350B1"/>
    <w:rsid w:val="003354A2"/>
    <w:rsid w:val="00335A77"/>
    <w:rsid w:val="00337A01"/>
    <w:rsid w:val="00337E7A"/>
    <w:rsid w:val="00337ED1"/>
    <w:rsid w:val="00337FE5"/>
    <w:rsid w:val="00342015"/>
    <w:rsid w:val="0034203F"/>
    <w:rsid w:val="00342B2F"/>
    <w:rsid w:val="003468CA"/>
    <w:rsid w:val="00346B3C"/>
    <w:rsid w:val="0034782B"/>
    <w:rsid w:val="003500C5"/>
    <w:rsid w:val="00350105"/>
    <w:rsid w:val="0035049A"/>
    <w:rsid w:val="00350536"/>
    <w:rsid w:val="003518BE"/>
    <w:rsid w:val="00351E45"/>
    <w:rsid w:val="00353B8B"/>
    <w:rsid w:val="00354867"/>
    <w:rsid w:val="00360318"/>
    <w:rsid w:val="003609E8"/>
    <w:rsid w:val="00361DA0"/>
    <w:rsid w:val="003667EB"/>
    <w:rsid w:val="003669AA"/>
    <w:rsid w:val="00366E73"/>
    <w:rsid w:val="003674BA"/>
    <w:rsid w:val="003679BC"/>
    <w:rsid w:val="00367FC8"/>
    <w:rsid w:val="00370D85"/>
    <w:rsid w:val="0037154C"/>
    <w:rsid w:val="00371674"/>
    <w:rsid w:val="00373275"/>
    <w:rsid w:val="0037390A"/>
    <w:rsid w:val="00373BA5"/>
    <w:rsid w:val="00374368"/>
    <w:rsid w:val="00375FD7"/>
    <w:rsid w:val="003761CC"/>
    <w:rsid w:val="00377462"/>
    <w:rsid w:val="00377B7E"/>
    <w:rsid w:val="00377F04"/>
    <w:rsid w:val="00381851"/>
    <w:rsid w:val="00381CD8"/>
    <w:rsid w:val="00381CE9"/>
    <w:rsid w:val="00382418"/>
    <w:rsid w:val="00382A8D"/>
    <w:rsid w:val="00382D43"/>
    <w:rsid w:val="00382DD4"/>
    <w:rsid w:val="003838BF"/>
    <w:rsid w:val="00383900"/>
    <w:rsid w:val="00384FB5"/>
    <w:rsid w:val="00385DCE"/>
    <w:rsid w:val="00387F6C"/>
    <w:rsid w:val="00393033"/>
    <w:rsid w:val="00393083"/>
    <w:rsid w:val="003935AF"/>
    <w:rsid w:val="00393D1F"/>
    <w:rsid w:val="003956EB"/>
    <w:rsid w:val="00396387"/>
    <w:rsid w:val="00396A88"/>
    <w:rsid w:val="00396D9F"/>
    <w:rsid w:val="00397B7F"/>
    <w:rsid w:val="00397F68"/>
    <w:rsid w:val="003A1242"/>
    <w:rsid w:val="003A1A60"/>
    <w:rsid w:val="003A2FB3"/>
    <w:rsid w:val="003A312A"/>
    <w:rsid w:val="003A4FD6"/>
    <w:rsid w:val="003A6AB5"/>
    <w:rsid w:val="003A78D2"/>
    <w:rsid w:val="003A7BC8"/>
    <w:rsid w:val="003A7D42"/>
    <w:rsid w:val="003B0A8B"/>
    <w:rsid w:val="003B0F64"/>
    <w:rsid w:val="003B16F9"/>
    <w:rsid w:val="003B1BA9"/>
    <w:rsid w:val="003B2607"/>
    <w:rsid w:val="003B2B5C"/>
    <w:rsid w:val="003B2C18"/>
    <w:rsid w:val="003B314E"/>
    <w:rsid w:val="003B55D2"/>
    <w:rsid w:val="003B5BD8"/>
    <w:rsid w:val="003B68DB"/>
    <w:rsid w:val="003B6DF0"/>
    <w:rsid w:val="003C0649"/>
    <w:rsid w:val="003C09F9"/>
    <w:rsid w:val="003C25AA"/>
    <w:rsid w:val="003C2FF0"/>
    <w:rsid w:val="003C3244"/>
    <w:rsid w:val="003C38A3"/>
    <w:rsid w:val="003C3E85"/>
    <w:rsid w:val="003C4EA8"/>
    <w:rsid w:val="003C6B56"/>
    <w:rsid w:val="003C72B7"/>
    <w:rsid w:val="003C79A8"/>
    <w:rsid w:val="003D0D71"/>
    <w:rsid w:val="003D12BE"/>
    <w:rsid w:val="003D216C"/>
    <w:rsid w:val="003D2570"/>
    <w:rsid w:val="003D2F69"/>
    <w:rsid w:val="003D3811"/>
    <w:rsid w:val="003D3B81"/>
    <w:rsid w:val="003D403F"/>
    <w:rsid w:val="003D610D"/>
    <w:rsid w:val="003D687F"/>
    <w:rsid w:val="003D6B11"/>
    <w:rsid w:val="003D76B0"/>
    <w:rsid w:val="003D7EEB"/>
    <w:rsid w:val="003E1744"/>
    <w:rsid w:val="003E2DE2"/>
    <w:rsid w:val="003E3189"/>
    <w:rsid w:val="003E35A3"/>
    <w:rsid w:val="003E4357"/>
    <w:rsid w:val="003E4A2B"/>
    <w:rsid w:val="003E5F28"/>
    <w:rsid w:val="003E6012"/>
    <w:rsid w:val="003E6533"/>
    <w:rsid w:val="003E65E5"/>
    <w:rsid w:val="003E7E84"/>
    <w:rsid w:val="003F0961"/>
    <w:rsid w:val="003F0BC5"/>
    <w:rsid w:val="003F233B"/>
    <w:rsid w:val="003F2413"/>
    <w:rsid w:val="003F27A1"/>
    <w:rsid w:val="003F447B"/>
    <w:rsid w:val="003F567F"/>
    <w:rsid w:val="003F637E"/>
    <w:rsid w:val="003F66D2"/>
    <w:rsid w:val="003F71D2"/>
    <w:rsid w:val="003F7D4A"/>
    <w:rsid w:val="00400100"/>
    <w:rsid w:val="00400407"/>
    <w:rsid w:val="00400710"/>
    <w:rsid w:val="00400CC0"/>
    <w:rsid w:val="0040166A"/>
    <w:rsid w:val="00401C92"/>
    <w:rsid w:val="004020EA"/>
    <w:rsid w:val="004021FA"/>
    <w:rsid w:val="00402EC3"/>
    <w:rsid w:val="00403536"/>
    <w:rsid w:val="00403C07"/>
    <w:rsid w:val="00403C9B"/>
    <w:rsid w:val="00403D17"/>
    <w:rsid w:val="00403E9E"/>
    <w:rsid w:val="00403FEC"/>
    <w:rsid w:val="00406833"/>
    <w:rsid w:val="004068D1"/>
    <w:rsid w:val="004073C4"/>
    <w:rsid w:val="004079E4"/>
    <w:rsid w:val="004109F8"/>
    <w:rsid w:val="00412D82"/>
    <w:rsid w:val="00412E7C"/>
    <w:rsid w:val="00412EB3"/>
    <w:rsid w:val="00412FF2"/>
    <w:rsid w:val="0041319C"/>
    <w:rsid w:val="004138B7"/>
    <w:rsid w:val="00414AAE"/>
    <w:rsid w:val="00414E8B"/>
    <w:rsid w:val="00414F67"/>
    <w:rsid w:val="00415531"/>
    <w:rsid w:val="00415877"/>
    <w:rsid w:val="00415E41"/>
    <w:rsid w:val="00416128"/>
    <w:rsid w:val="00417BB1"/>
    <w:rsid w:val="00421B9A"/>
    <w:rsid w:val="0042384C"/>
    <w:rsid w:val="00423915"/>
    <w:rsid w:val="00424646"/>
    <w:rsid w:val="00425989"/>
    <w:rsid w:val="00425A24"/>
    <w:rsid w:val="004278D4"/>
    <w:rsid w:val="00427EFC"/>
    <w:rsid w:val="00430204"/>
    <w:rsid w:val="0043085E"/>
    <w:rsid w:val="00430FD2"/>
    <w:rsid w:val="00431CB3"/>
    <w:rsid w:val="00431F70"/>
    <w:rsid w:val="0043260F"/>
    <w:rsid w:val="004338C6"/>
    <w:rsid w:val="00433D0B"/>
    <w:rsid w:val="00434BCA"/>
    <w:rsid w:val="00435766"/>
    <w:rsid w:val="004359F6"/>
    <w:rsid w:val="00435B78"/>
    <w:rsid w:val="00436306"/>
    <w:rsid w:val="00436BBA"/>
    <w:rsid w:val="004424F2"/>
    <w:rsid w:val="00444C98"/>
    <w:rsid w:val="00444E18"/>
    <w:rsid w:val="00445443"/>
    <w:rsid w:val="004464F9"/>
    <w:rsid w:val="0044673C"/>
    <w:rsid w:val="00446779"/>
    <w:rsid w:val="00446DC4"/>
    <w:rsid w:val="00447791"/>
    <w:rsid w:val="0045016D"/>
    <w:rsid w:val="004502B7"/>
    <w:rsid w:val="00450531"/>
    <w:rsid w:val="0045063C"/>
    <w:rsid w:val="00450842"/>
    <w:rsid w:val="0045170D"/>
    <w:rsid w:val="00451CDE"/>
    <w:rsid w:val="00451FDC"/>
    <w:rsid w:val="004522A0"/>
    <w:rsid w:val="00452748"/>
    <w:rsid w:val="00452878"/>
    <w:rsid w:val="004534C6"/>
    <w:rsid w:val="0045409A"/>
    <w:rsid w:val="00454974"/>
    <w:rsid w:val="00454B30"/>
    <w:rsid w:val="00455AD2"/>
    <w:rsid w:val="004569BE"/>
    <w:rsid w:val="00457856"/>
    <w:rsid w:val="00457F15"/>
    <w:rsid w:val="00460BF5"/>
    <w:rsid w:val="00461198"/>
    <w:rsid w:val="0046238F"/>
    <w:rsid w:val="00462786"/>
    <w:rsid w:val="004631A8"/>
    <w:rsid w:val="00463C67"/>
    <w:rsid w:val="0046487F"/>
    <w:rsid w:val="004649A0"/>
    <w:rsid w:val="00464A63"/>
    <w:rsid w:val="00465FA3"/>
    <w:rsid w:val="0046685A"/>
    <w:rsid w:val="00466B55"/>
    <w:rsid w:val="004673A4"/>
    <w:rsid w:val="00470409"/>
    <w:rsid w:val="0047074F"/>
    <w:rsid w:val="00471510"/>
    <w:rsid w:val="00471B6D"/>
    <w:rsid w:val="0047215B"/>
    <w:rsid w:val="004749DC"/>
    <w:rsid w:val="00475104"/>
    <w:rsid w:val="004767ED"/>
    <w:rsid w:val="00476A5A"/>
    <w:rsid w:val="00476E46"/>
    <w:rsid w:val="00476EE8"/>
    <w:rsid w:val="00477CDC"/>
    <w:rsid w:val="00477F16"/>
    <w:rsid w:val="00482EEC"/>
    <w:rsid w:val="004837ED"/>
    <w:rsid w:val="00484A12"/>
    <w:rsid w:val="00485490"/>
    <w:rsid w:val="00485A3B"/>
    <w:rsid w:val="00485E6E"/>
    <w:rsid w:val="00486CDC"/>
    <w:rsid w:val="00490E28"/>
    <w:rsid w:val="00491B38"/>
    <w:rsid w:val="00491DA1"/>
    <w:rsid w:val="00492C25"/>
    <w:rsid w:val="00492EE8"/>
    <w:rsid w:val="0049451D"/>
    <w:rsid w:val="004952D4"/>
    <w:rsid w:val="004957F9"/>
    <w:rsid w:val="0049597B"/>
    <w:rsid w:val="004974B3"/>
    <w:rsid w:val="004A0075"/>
    <w:rsid w:val="004A048A"/>
    <w:rsid w:val="004A0871"/>
    <w:rsid w:val="004A11AB"/>
    <w:rsid w:val="004A1FB2"/>
    <w:rsid w:val="004A2736"/>
    <w:rsid w:val="004A4E88"/>
    <w:rsid w:val="004A5E3D"/>
    <w:rsid w:val="004A60A8"/>
    <w:rsid w:val="004A6220"/>
    <w:rsid w:val="004A64DC"/>
    <w:rsid w:val="004A6595"/>
    <w:rsid w:val="004A6B09"/>
    <w:rsid w:val="004B0128"/>
    <w:rsid w:val="004B0817"/>
    <w:rsid w:val="004B27AD"/>
    <w:rsid w:val="004B3254"/>
    <w:rsid w:val="004B41A5"/>
    <w:rsid w:val="004B45E4"/>
    <w:rsid w:val="004B4D90"/>
    <w:rsid w:val="004B586C"/>
    <w:rsid w:val="004B5BCE"/>
    <w:rsid w:val="004B605B"/>
    <w:rsid w:val="004B6137"/>
    <w:rsid w:val="004B625C"/>
    <w:rsid w:val="004B6B05"/>
    <w:rsid w:val="004B6DEC"/>
    <w:rsid w:val="004B7043"/>
    <w:rsid w:val="004B7634"/>
    <w:rsid w:val="004C0257"/>
    <w:rsid w:val="004C118E"/>
    <w:rsid w:val="004C1231"/>
    <w:rsid w:val="004C26FA"/>
    <w:rsid w:val="004C2B34"/>
    <w:rsid w:val="004C375A"/>
    <w:rsid w:val="004C492A"/>
    <w:rsid w:val="004C5303"/>
    <w:rsid w:val="004C580F"/>
    <w:rsid w:val="004C5FE6"/>
    <w:rsid w:val="004C65A1"/>
    <w:rsid w:val="004C7089"/>
    <w:rsid w:val="004C7703"/>
    <w:rsid w:val="004C7EC4"/>
    <w:rsid w:val="004D0A22"/>
    <w:rsid w:val="004D0B25"/>
    <w:rsid w:val="004D0C8D"/>
    <w:rsid w:val="004D1281"/>
    <w:rsid w:val="004D237D"/>
    <w:rsid w:val="004D2DC9"/>
    <w:rsid w:val="004D3F87"/>
    <w:rsid w:val="004D53F6"/>
    <w:rsid w:val="004D553A"/>
    <w:rsid w:val="004D5691"/>
    <w:rsid w:val="004D5B45"/>
    <w:rsid w:val="004D5DA7"/>
    <w:rsid w:val="004D7030"/>
    <w:rsid w:val="004D7D74"/>
    <w:rsid w:val="004E155E"/>
    <w:rsid w:val="004E30F7"/>
    <w:rsid w:val="004E384C"/>
    <w:rsid w:val="004E52EE"/>
    <w:rsid w:val="004E570F"/>
    <w:rsid w:val="004E6273"/>
    <w:rsid w:val="004E646E"/>
    <w:rsid w:val="004E67E6"/>
    <w:rsid w:val="004E6BF9"/>
    <w:rsid w:val="004E70E7"/>
    <w:rsid w:val="004F1187"/>
    <w:rsid w:val="004F291A"/>
    <w:rsid w:val="004F2974"/>
    <w:rsid w:val="004F35EE"/>
    <w:rsid w:val="004F4AEF"/>
    <w:rsid w:val="004F5B47"/>
    <w:rsid w:val="004F60CD"/>
    <w:rsid w:val="004F69AD"/>
    <w:rsid w:val="005006ED"/>
    <w:rsid w:val="00502F05"/>
    <w:rsid w:val="005033E9"/>
    <w:rsid w:val="005046B9"/>
    <w:rsid w:val="005055CE"/>
    <w:rsid w:val="00505853"/>
    <w:rsid w:val="005058E6"/>
    <w:rsid w:val="00507009"/>
    <w:rsid w:val="005075A8"/>
    <w:rsid w:val="005115D8"/>
    <w:rsid w:val="0051196E"/>
    <w:rsid w:val="00511CAD"/>
    <w:rsid w:val="00512155"/>
    <w:rsid w:val="00512481"/>
    <w:rsid w:val="005124B5"/>
    <w:rsid w:val="005139F3"/>
    <w:rsid w:val="00515844"/>
    <w:rsid w:val="00515F3C"/>
    <w:rsid w:val="00517478"/>
    <w:rsid w:val="005201DC"/>
    <w:rsid w:val="00520340"/>
    <w:rsid w:val="00520D3B"/>
    <w:rsid w:val="00521FE4"/>
    <w:rsid w:val="00521FEB"/>
    <w:rsid w:val="005230EE"/>
    <w:rsid w:val="00523736"/>
    <w:rsid w:val="00523982"/>
    <w:rsid w:val="005243B7"/>
    <w:rsid w:val="00524F63"/>
    <w:rsid w:val="0052524D"/>
    <w:rsid w:val="00526207"/>
    <w:rsid w:val="00527D36"/>
    <w:rsid w:val="00531218"/>
    <w:rsid w:val="005327C0"/>
    <w:rsid w:val="00532BB1"/>
    <w:rsid w:val="00532C8F"/>
    <w:rsid w:val="00532DAD"/>
    <w:rsid w:val="00532EB6"/>
    <w:rsid w:val="00533969"/>
    <w:rsid w:val="005339FA"/>
    <w:rsid w:val="00534ABD"/>
    <w:rsid w:val="005372AB"/>
    <w:rsid w:val="00537655"/>
    <w:rsid w:val="0053787E"/>
    <w:rsid w:val="00537A4B"/>
    <w:rsid w:val="0054018F"/>
    <w:rsid w:val="005403B9"/>
    <w:rsid w:val="00541329"/>
    <w:rsid w:val="00541B85"/>
    <w:rsid w:val="00543969"/>
    <w:rsid w:val="00544433"/>
    <w:rsid w:val="00544C67"/>
    <w:rsid w:val="00544E19"/>
    <w:rsid w:val="005457BC"/>
    <w:rsid w:val="00546402"/>
    <w:rsid w:val="00547D95"/>
    <w:rsid w:val="0055065C"/>
    <w:rsid w:val="005506A6"/>
    <w:rsid w:val="005520FF"/>
    <w:rsid w:val="00555445"/>
    <w:rsid w:val="00555792"/>
    <w:rsid w:val="00556C24"/>
    <w:rsid w:val="005575CF"/>
    <w:rsid w:val="00560338"/>
    <w:rsid w:val="0056095E"/>
    <w:rsid w:val="00560A15"/>
    <w:rsid w:val="00560CD8"/>
    <w:rsid w:val="00560D55"/>
    <w:rsid w:val="0056214F"/>
    <w:rsid w:val="00563444"/>
    <w:rsid w:val="005641EE"/>
    <w:rsid w:val="0056423E"/>
    <w:rsid w:val="0056490F"/>
    <w:rsid w:val="0056526A"/>
    <w:rsid w:val="0056559F"/>
    <w:rsid w:val="00565DE7"/>
    <w:rsid w:val="00567835"/>
    <w:rsid w:val="00567959"/>
    <w:rsid w:val="00567A37"/>
    <w:rsid w:val="005704E7"/>
    <w:rsid w:val="00570724"/>
    <w:rsid w:val="00572320"/>
    <w:rsid w:val="0057304B"/>
    <w:rsid w:val="005743F2"/>
    <w:rsid w:val="005746A4"/>
    <w:rsid w:val="00575113"/>
    <w:rsid w:val="0057581E"/>
    <w:rsid w:val="005776B6"/>
    <w:rsid w:val="00577BC8"/>
    <w:rsid w:val="005815C3"/>
    <w:rsid w:val="005815CA"/>
    <w:rsid w:val="00581F9B"/>
    <w:rsid w:val="00582413"/>
    <w:rsid w:val="00583126"/>
    <w:rsid w:val="00583DBA"/>
    <w:rsid w:val="00583F88"/>
    <w:rsid w:val="00584325"/>
    <w:rsid w:val="00585E2F"/>
    <w:rsid w:val="005862C7"/>
    <w:rsid w:val="00587647"/>
    <w:rsid w:val="00592162"/>
    <w:rsid w:val="005925F1"/>
    <w:rsid w:val="00593300"/>
    <w:rsid w:val="00593A26"/>
    <w:rsid w:val="00593E35"/>
    <w:rsid w:val="00593F46"/>
    <w:rsid w:val="00594587"/>
    <w:rsid w:val="0059588F"/>
    <w:rsid w:val="00595BEE"/>
    <w:rsid w:val="00595C59"/>
    <w:rsid w:val="00597F0E"/>
    <w:rsid w:val="005A030B"/>
    <w:rsid w:val="005A0451"/>
    <w:rsid w:val="005A1D84"/>
    <w:rsid w:val="005A3993"/>
    <w:rsid w:val="005A3CFF"/>
    <w:rsid w:val="005A4BBC"/>
    <w:rsid w:val="005A4CE2"/>
    <w:rsid w:val="005A531B"/>
    <w:rsid w:val="005A5827"/>
    <w:rsid w:val="005A5D89"/>
    <w:rsid w:val="005A5EEF"/>
    <w:rsid w:val="005A6823"/>
    <w:rsid w:val="005A70AC"/>
    <w:rsid w:val="005A7502"/>
    <w:rsid w:val="005A7C97"/>
    <w:rsid w:val="005B0A76"/>
    <w:rsid w:val="005B14CF"/>
    <w:rsid w:val="005B1863"/>
    <w:rsid w:val="005B1A0C"/>
    <w:rsid w:val="005B1B86"/>
    <w:rsid w:val="005B1E92"/>
    <w:rsid w:val="005B2206"/>
    <w:rsid w:val="005B240B"/>
    <w:rsid w:val="005B2652"/>
    <w:rsid w:val="005B26EB"/>
    <w:rsid w:val="005B2E11"/>
    <w:rsid w:val="005B2F8C"/>
    <w:rsid w:val="005B30A7"/>
    <w:rsid w:val="005B35DF"/>
    <w:rsid w:val="005B3D59"/>
    <w:rsid w:val="005B4359"/>
    <w:rsid w:val="005B55B0"/>
    <w:rsid w:val="005B585E"/>
    <w:rsid w:val="005B6906"/>
    <w:rsid w:val="005C1957"/>
    <w:rsid w:val="005C1A97"/>
    <w:rsid w:val="005C1EB6"/>
    <w:rsid w:val="005C2075"/>
    <w:rsid w:val="005C40E3"/>
    <w:rsid w:val="005C431F"/>
    <w:rsid w:val="005C4BE1"/>
    <w:rsid w:val="005C5647"/>
    <w:rsid w:val="005C7E87"/>
    <w:rsid w:val="005D039A"/>
    <w:rsid w:val="005D054D"/>
    <w:rsid w:val="005D061D"/>
    <w:rsid w:val="005D1949"/>
    <w:rsid w:val="005D4112"/>
    <w:rsid w:val="005D5E00"/>
    <w:rsid w:val="005D6C31"/>
    <w:rsid w:val="005D6D21"/>
    <w:rsid w:val="005D6F2A"/>
    <w:rsid w:val="005D6FC9"/>
    <w:rsid w:val="005E02AC"/>
    <w:rsid w:val="005E0DAC"/>
    <w:rsid w:val="005E2372"/>
    <w:rsid w:val="005E2AA4"/>
    <w:rsid w:val="005E34DD"/>
    <w:rsid w:val="005E47D1"/>
    <w:rsid w:val="005E48C1"/>
    <w:rsid w:val="005E516E"/>
    <w:rsid w:val="005E56AD"/>
    <w:rsid w:val="005E624E"/>
    <w:rsid w:val="005E6D6C"/>
    <w:rsid w:val="005E6F3E"/>
    <w:rsid w:val="005E7177"/>
    <w:rsid w:val="005E7729"/>
    <w:rsid w:val="005F00FE"/>
    <w:rsid w:val="005F0386"/>
    <w:rsid w:val="005F08BE"/>
    <w:rsid w:val="005F13EB"/>
    <w:rsid w:val="005F2DDE"/>
    <w:rsid w:val="005F394A"/>
    <w:rsid w:val="005F45DF"/>
    <w:rsid w:val="005F652C"/>
    <w:rsid w:val="005F73D0"/>
    <w:rsid w:val="005F7C8D"/>
    <w:rsid w:val="005F7FB0"/>
    <w:rsid w:val="006009AC"/>
    <w:rsid w:val="00601FF7"/>
    <w:rsid w:val="00602D93"/>
    <w:rsid w:val="00604335"/>
    <w:rsid w:val="00605C66"/>
    <w:rsid w:val="00606158"/>
    <w:rsid w:val="006078DB"/>
    <w:rsid w:val="00607BA1"/>
    <w:rsid w:val="00610295"/>
    <w:rsid w:val="006104C8"/>
    <w:rsid w:val="00612778"/>
    <w:rsid w:val="0061344F"/>
    <w:rsid w:val="00614BDD"/>
    <w:rsid w:val="00614D43"/>
    <w:rsid w:val="0061500D"/>
    <w:rsid w:val="006158D2"/>
    <w:rsid w:val="00617384"/>
    <w:rsid w:val="00617566"/>
    <w:rsid w:val="00621685"/>
    <w:rsid w:val="00621EFD"/>
    <w:rsid w:val="0062209D"/>
    <w:rsid w:val="006242BF"/>
    <w:rsid w:val="006248FA"/>
    <w:rsid w:val="00630B6C"/>
    <w:rsid w:val="00631174"/>
    <w:rsid w:val="00631AD3"/>
    <w:rsid w:val="00631E5A"/>
    <w:rsid w:val="00632233"/>
    <w:rsid w:val="00632760"/>
    <w:rsid w:val="006327B7"/>
    <w:rsid w:val="00633A65"/>
    <w:rsid w:val="0063421E"/>
    <w:rsid w:val="00634230"/>
    <w:rsid w:val="00634414"/>
    <w:rsid w:val="006348CB"/>
    <w:rsid w:val="00635C8D"/>
    <w:rsid w:val="0063742F"/>
    <w:rsid w:val="0063759A"/>
    <w:rsid w:val="006376FA"/>
    <w:rsid w:val="0063793B"/>
    <w:rsid w:val="006411D6"/>
    <w:rsid w:val="00641F81"/>
    <w:rsid w:val="00642272"/>
    <w:rsid w:val="00643E2E"/>
    <w:rsid w:val="00644276"/>
    <w:rsid w:val="006449C3"/>
    <w:rsid w:val="00646313"/>
    <w:rsid w:val="00646405"/>
    <w:rsid w:val="006469D9"/>
    <w:rsid w:val="00646B9F"/>
    <w:rsid w:val="00646DAC"/>
    <w:rsid w:val="006473BF"/>
    <w:rsid w:val="00647551"/>
    <w:rsid w:val="00647FA0"/>
    <w:rsid w:val="00650AD3"/>
    <w:rsid w:val="006510B8"/>
    <w:rsid w:val="00651762"/>
    <w:rsid w:val="00651BB4"/>
    <w:rsid w:val="0065244A"/>
    <w:rsid w:val="00652633"/>
    <w:rsid w:val="00652C0E"/>
    <w:rsid w:val="00654947"/>
    <w:rsid w:val="00654E32"/>
    <w:rsid w:val="00654E34"/>
    <w:rsid w:val="00655BC3"/>
    <w:rsid w:val="00655BCD"/>
    <w:rsid w:val="00655FC8"/>
    <w:rsid w:val="006601E8"/>
    <w:rsid w:val="0066096B"/>
    <w:rsid w:val="00661ABD"/>
    <w:rsid w:val="006629AD"/>
    <w:rsid w:val="00664381"/>
    <w:rsid w:val="0066561C"/>
    <w:rsid w:val="00665D9D"/>
    <w:rsid w:val="00665DF0"/>
    <w:rsid w:val="006665A0"/>
    <w:rsid w:val="006666D9"/>
    <w:rsid w:val="006672BD"/>
    <w:rsid w:val="00667E38"/>
    <w:rsid w:val="00670190"/>
    <w:rsid w:val="0067188F"/>
    <w:rsid w:val="00671A9E"/>
    <w:rsid w:val="00671CBE"/>
    <w:rsid w:val="00674E61"/>
    <w:rsid w:val="00675081"/>
    <w:rsid w:val="00675A80"/>
    <w:rsid w:val="00676BBE"/>
    <w:rsid w:val="006807D0"/>
    <w:rsid w:val="006807E4"/>
    <w:rsid w:val="006809FB"/>
    <w:rsid w:val="006814B9"/>
    <w:rsid w:val="00681599"/>
    <w:rsid w:val="006815C6"/>
    <w:rsid w:val="00681ACB"/>
    <w:rsid w:val="00681FBE"/>
    <w:rsid w:val="00682289"/>
    <w:rsid w:val="0068294F"/>
    <w:rsid w:val="00682D83"/>
    <w:rsid w:val="00683BB0"/>
    <w:rsid w:val="0068483C"/>
    <w:rsid w:val="006848AE"/>
    <w:rsid w:val="006848B1"/>
    <w:rsid w:val="00684ABE"/>
    <w:rsid w:val="00685126"/>
    <w:rsid w:val="00687BF6"/>
    <w:rsid w:val="006901C1"/>
    <w:rsid w:val="00690342"/>
    <w:rsid w:val="0069368A"/>
    <w:rsid w:val="00694BEE"/>
    <w:rsid w:val="00695968"/>
    <w:rsid w:val="00695AB2"/>
    <w:rsid w:val="00695B89"/>
    <w:rsid w:val="006965AC"/>
    <w:rsid w:val="00696BFF"/>
    <w:rsid w:val="006A0548"/>
    <w:rsid w:val="006A158E"/>
    <w:rsid w:val="006A1B85"/>
    <w:rsid w:val="006A23B5"/>
    <w:rsid w:val="006A38BE"/>
    <w:rsid w:val="006A4272"/>
    <w:rsid w:val="006A5366"/>
    <w:rsid w:val="006A5970"/>
    <w:rsid w:val="006A5B8D"/>
    <w:rsid w:val="006A68F1"/>
    <w:rsid w:val="006A7970"/>
    <w:rsid w:val="006A7CF6"/>
    <w:rsid w:val="006B0716"/>
    <w:rsid w:val="006B0740"/>
    <w:rsid w:val="006B1178"/>
    <w:rsid w:val="006B1337"/>
    <w:rsid w:val="006B217F"/>
    <w:rsid w:val="006B25DD"/>
    <w:rsid w:val="006B2C29"/>
    <w:rsid w:val="006B3C5B"/>
    <w:rsid w:val="006B3F37"/>
    <w:rsid w:val="006B48AB"/>
    <w:rsid w:val="006B5D5F"/>
    <w:rsid w:val="006B6450"/>
    <w:rsid w:val="006B67C7"/>
    <w:rsid w:val="006B6B5D"/>
    <w:rsid w:val="006B7702"/>
    <w:rsid w:val="006C0311"/>
    <w:rsid w:val="006C1558"/>
    <w:rsid w:val="006C22C2"/>
    <w:rsid w:val="006C25A3"/>
    <w:rsid w:val="006C2E58"/>
    <w:rsid w:val="006C3D7F"/>
    <w:rsid w:val="006C5217"/>
    <w:rsid w:val="006C5351"/>
    <w:rsid w:val="006C53D8"/>
    <w:rsid w:val="006C68A3"/>
    <w:rsid w:val="006C74B8"/>
    <w:rsid w:val="006C75BF"/>
    <w:rsid w:val="006C7F93"/>
    <w:rsid w:val="006C7FEE"/>
    <w:rsid w:val="006D037A"/>
    <w:rsid w:val="006D0885"/>
    <w:rsid w:val="006D164F"/>
    <w:rsid w:val="006D2291"/>
    <w:rsid w:val="006D2CF5"/>
    <w:rsid w:val="006D398F"/>
    <w:rsid w:val="006D3B87"/>
    <w:rsid w:val="006D3DD5"/>
    <w:rsid w:val="006D442A"/>
    <w:rsid w:val="006D44D6"/>
    <w:rsid w:val="006D4DAC"/>
    <w:rsid w:val="006D4E11"/>
    <w:rsid w:val="006D4E6D"/>
    <w:rsid w:val="006D506E"/>
    <w:rsid w:val="006D545C"/>
    <w:rsid w:val="006D6735"/>
    <w:rsid w:val="006D6CE7"/>
    <w:rsid w:val="006D6D95"/>
    <w:rsid w:val="006D74AF"/>
    <w:rsid w:val="006D7A7A"/>
    <w:rsid w:val="006D7D5B"/>
    <w:rsid w:val="006E06C9"/>
    <w:rsid w:val="006E07DC"/>
    <w:rsid w:val="006E1C79"/>
    <w:rsid w:val="006E3E89"/>
    <w:rsid w:val="006E3F12"/>
    <w:rsid w:val="006E4A78"/>
    <w:rsid w:val="006E50DA"/>
    <w:rsid w:val="006E5281"/>
    <w:rsid w:val="006E5AF4"/>
    <w:rsid w:val="006E6C9B"/>
    <w:rsid w:val="006F0662"/>
    <w:rsid w:val="006F1567"/>
    <w:rsid w:val="006F16C6"/>
    <w:rsid w:val="006F3877"/>
    <w:rsid w:val="006F415B"/>
    <w:rsid w:val="006F4215"/>
    <w:rsid w:val="006F4962"/>
    <w:rsid w:val="006F4A8D"/>
    <w:rsid w:val="006F67FB"/>
    <w:rsid w:val="007003C0"/>
    <w:rsid w:val="0070150A"/>
    <w:rsid w:val="0070202D"/>
    <w:rsid w:val="007020A5"/>
    <w:rsid w:val="007027E4"/>
    <w:rsid w:val="0070305D"/>
    <w:rsid w:val="007033C3"/>
    <w:rsid w:val="007056FA"/>
    <w:rsid w:val="0070572B"/>
    <w:rsid w:val="00705D1A"/>
    <w:rsid w:val="007060BF"/>
    <w:rsid w:val="00707391"/>
    <w:rsid w:val="00707E7C"/>
    <w:rsid w:val="00707F5C"/>
    <w:rsid w:val="00710310"/>
    <w:rsid w:val="00710755"/>
    <w:rsid w:val="00710B81"/>
    <w:rsid w:val="00711AD2"/>
    <w:rsid w:val="007123DA"/>
    <w:rsid w:val="00712FB1"/>
    <w:rsid w:val="00713EA5"/>
    <w:rsid w:val="0071455E"/>
    <w:rsid w:val="00714A39"/>
    <w:rsid w:val="0071517A"/>
    <w:rsid w:val="007155CC"/>
    <w:rsid w:val="00715A0B"/>
    <w:rsid w:val="00715CB6"/>
    <w:rsid w:val="00716ADF"/>
    <w:rsid w:val="00716DFC"/>
    <w:rsid w:val="0071704B"/>
    <w:rsid w:val="00717D83"/>
    <w:rsid w:val="007202DE"/>
    <w:rsid w:val="00720403"/>
    <w:rsid w:val="00720750"/>
    <w:rsid w:val="0072280D"/>
    <w:rsid w:val="0072463A"/>
    <w:rsid w:val="00724C3C"/>
    <w:rsid w:val="00725F56"/>
    <w:rsid w:val="007260EA"/>
    <w:rsid w:val="0072791F"/>
    <w:rsid w:val="00727976"/>
    <w:rsid w:val="00727AC5"/>
    <w:rsid w:val="00731C65"/>
    <w:rsid w:val="00732B01"/>
    <w:rsid w:val="007356B2"/>
    <w:rsid w:val="00735A71"/>
    <w:rsid w:val="00735F22"/>
    <w:rsid w:val="0073611F"/>
    <w:rsid w:val="00736442"/>
    <w:rsid w:val="00736C34"/>
    <w:rsid w:val="007405DE"/>
    <w:rsid w:val="00740D4B"/>
    <w:rsid w:val="0074145A"/>
    <w:rsid w:val="00741964"/>
    <w:rsid w:val="00741C3F"/>
    <w:rsid w:val="007452D1"/>
    <w:rsid w:val="00745A38"/>
    <w:rsid w:val="00745C47"/>
    <w:rsid w:val="00745E7D"/>
    <w:rsid w:val="007468D4"/>
    <w:rsid w:val="007501A0"/>
    <w:rsid w:val="00751094"/>
    <w:rsid w:val="007523CB"/>
    <w:rsid w:val="00752573"/>
    <w:rsid w:val="00752AEE"/>
    <w:rsid w:val="007536BA"/>
    <w:rsid w:val="007538F6"/>
    <w:rsid w:val="0075584D"/>
    <w:rsid w:val="00755899"/>
    <w:rsid w:val="00755FB0"/>
    <w:rsid w:val="00756C3E"/>
    <w:rsid w:val="007571BC"/>
    <w:rsid w:val="00760684"/>
    <w:rsid w:val="0076075A"/>
    <w:rsid w:val="007607EE"/>
    <w:rsid w:val="00760F1C"/>
    <w:rsid w:val="00761182"/>
    <w:rsid w:val="00761390"/>
    <w:rsid w:val="0076144D"/>
    <w:rsid w:val="007620DC"/>
    <w:rsid w:val="0076213D"/>
    <w:rsid w:val="00762678"/>
    <w:rsid w:val="0076281E"/>
    <w:rsid w:val="00764153"/>
    <w:rsid w:val="0076656B"/>
    <w:rsid w:val="00766611"/>
    <w:rsid w:val="007667BE"/>
    <w:rsid w:val="00766A1A"/>
    <w:rsid w:val="00767184"/>
    <w:rsid w:val="007676BC"/>
    <w:rsid w:val="007676FA"/>
    <w:rsid w:val="0076780C"/>
    <w:rsid w:val="00774E8E"/>
    <w:rsid w:val="007758E5"/>
    <w:rsid w:val="00775E18"/>
    <w:rsid w:val="00777197"/>
    <w:rsid w:val="007808F2"/>
    <w:rsid w:val="00781FE3"/>
    <w:rsid w:val="00783228"/>
    <w:rsid w:val="00783609"/>
    <w:rsid w:val="00783961"/>
    <w:rsid w:val="00783E77"/>
    <w:rsid w:val="00784065"/>
    <w:rsid w:val="007840EF"/>
    <w:rsid w:val="00784F99"/>
    <w:rsid w:val="007861FD"/>
    <w:rsid w:val="00786B2C"/>
    <w:rsid w:val="00786BD8"/>
    <w:rsid w:val="00786DF3"/>
    <w:rsid w:val="00790FB5"/>
    <w:rsid w:val="0079104B"/>
    <w:rsid w:val="007915E5"/>
    <w:rsid w:val="007922E1"/>
    <w:rsid w:val="00792CA6"/>
    <w:rsid w:val="00793330"/>
    <w:rsid w:val="00793CCA"/>
    <w:rsid w:val="007959AB"/>
    <w:rsid w:val="007960DF"/>
    <w:rsid w:val="00797341"/>
    <w:rsid w:val="00797D78"/>
    <w:rsid w:val="007A0380"/>
    <w:rsid w:val="007A38E8"/>
    <w:rsid w:val="007A4C99"/>
    <w:rsid w:val="007A6494"/>
    <w:rsid w:val="007A66CE"/>
    <w:rsid w:val="007A6F9A"/>
    <w:rsid w:val="007A7780"/>
    <w:rsid w:val="007B1270"/>
    <w:rsid w:val="007B1AF0"/>
    <w:rsid w:val="007B1BF6"/>
    <w:rsid w:val="007B1C6A"/>
    <w:rsid w:val="007B2D87"/>
    <w:rsid w:val="007B3022"/>
    <w:rsid w:val="007B50AE"/>
    <w:rsid w:val="007B5592"/>
    <w:rsid w:val="007B5B69"/>
    <w:rsid w:val="007B79DA"/>
    <w:rsid w:val="007C00A6"/>
    <w:rsid w:val="007C0DEF"/>
    <w:rsid w:val="007C15D1"/>
    <w:rsid w:val="007C1D8E"/>
    <w:rsid w:val="007C2377"/>
    <w:rsid w:val="007C2817"/>
    <w:rsid w:val="007C2918"/>
    <w:rsid w:val="007C29CD"/>
    <w:rsid w:val="007C3397"/>
    <w:rsid w:val="007C60B5"/>
    <w:rsid w:val="007C6308"/>
    <w:rsid w:val="007C661D"/>
    <w:rsid w:val="007C6B88"/>
    <w:rsid w:val="007C6D0F"/>
    <w:rsid w:val="007C73F3"/>
    <w:rsid w:val="007C7CDB"/>
    <w:rsid w:val="007D0505"/>
    <w:rsid w:val="007D06B7"/>
    <w:rsid w:val="007D12FD"/>
    <w:rsid w:val="007D1B6D"/>
    <w:rsid w:val="007D1CC7"/>
    <w:rsid w:val="007D1D46"/>
    <w:rsid w:val="007D2246"/>
    <w:rsid w:val="007D23BD"/>
    <w:rsid w:val="007D2897"/>
    <w:rsid w:val="007D2ECB"/>
    <w:rsid w:val="007D2F60"/>
    <w:rsid w:val="007D2FB6"/>
    <w:rsid w:val="007D3CBD"/>
    <w:rsid w:val="007D3F85"/>
    <w:rsid w:val="007D536B"/>
    <w:rsid w:val="007D5B33"/>
    <w:rsid w:val="007D5E8D"/>
    <w:rsid w:val="007D6540"/>
    <w:rsid w:val="007D6D2B"/>
    <w:rsid w:val="007D7830"/>
    <w:rsid w:val="007E0DF8"/>
    <w:rsid w:val="007E0EE2"/>
    <w:rsid w:val="007E1738"/>
    <w:rsid w:val="007E2B0A"/>
    <w:rsid w:val="007E377C"/>
    <w:rsid w:val="007E382D"/>
    <w:rsid w:val="007E4536"/>
    <w:rsid w:val="007E490A"/>
    <w:rsid w:val="007E4F92"/>
    <w:rsid w:val="007E5F7C"/>
    <w:rsid w:val="007E666F"/>
    <w:rsid w:val="007E67B0"/>
    <w:rsid w:val="007E77D0"/>
    <w:rsid w:val="007E7EC7"/>
    <w:rsid w:val="007F1E08"/>
    <w:rsid w:val="007F30F7"/>
    <w:rsid w:val="007F362F"/>
    <w:rsid w:val="007F4227"/>
    <w:rsid w:val="007F43B1"/>
    <w:rsid w:val="007F49BC"/>
    <w:rsid w:val="007F4AF4"/>
    <w:rsid w:val="007F556E"/>
    <w:rsid w:val="007F5BBB"/>
    <w:rsid w:val="007F63B1"/>
    <w:rsid w:val="007F785C"/>
    <w:rsid w:val="007F7A21"/>
    <w:rsid w:val="007F7C01"/>
    <w:rsid w:val="00800379"/>
    <w:rsid w:val="0080060C"/>
    <w:rsid w:val="00801A1B"/>
    <w:rsid w:val="00802CDB"/>
    <w:rsid w:val="00802F4F"/>
    <w:rsid w:val="008031BF"/>
    <w:rsid w:val="008036A7"/>
    <w:rsid w:val="00804963"/>
    <w:rsid w:val="00804A9F"/>
    <w:rsid w:val="0080598E"/>
    <w:rsid w:val="008061F4"/>
    <w:rsid w:val="00806272"/>
    <w:rsid w:val="00807C44"/>
    <w:rsid w:val="008108BF"/>
    <w:rsid w:val="00810DFA"/>
    <w:rsid w:val="00810EB8"/>
    <w:rsid w:val="008117F7"/>
    <w:rsid w:val="00811E76"/>
    <w:rsid w:val="00812026"/>
    <w:rsid w:val="008121A0"/>
    <w:rsid w:val="008123D5"/>
    <w:rsid w:val="0081317B"/>
    <w:rsid w:val="0081566D"/>
    <w:rsid w:val="00815A08"/>
    <w:rsid w:val="00816162"/>
    <w:rsid w:val="008179B6"/>
    <w:rsid w:val="00820223"/>
    <w:rsid w:val="008206D2"/>
    <w:rsid w:val="00822718"/>
    <w:rsid w:val="00822A93"/>
    <w:rsid w:val="0082331D"/>
    <w:rsid w:val="008233B9"/>
    <w:rsid w:val="008238D1"/>
    <w:rsid w:val="00823CA6"/>
    <w:rsid w:val="00823D4A"/>
    <w:rsid w:val="00825570"/>
    <w:rsid w:val="008256EA"/>
    <w:rsid w:val="008260BB"/>
    <w:rsid w:val="00827542"/>
    <w:rsid w:val="008277EC"/>
    <w:rsid w:val="00827B62"/>
    <w:rsid w:val="00830E7B"/>
    <w:rsid w:val="008323BE"/>
    <w:rsid w:val="00832C5A"/>
    <w:rsid w:val="0083325F"/>
    <w:rsid w:val="008338EC"/>
    <w:rsid w:val="00833AF3"/>
    <w:rsid w:val="008352C7"/>
    <w:rsid w:val="00836201"/>
    <w:rsid w:val="00836952"/>
    <w:rsid w:val="00840169"/>
    <w:rsid w:val="00840A13"/>
    <w:rsid w:val="00841128"/>
    <w:rsid w:val="0084177B"/>
    <w:rsid w:val="00841D17"/>
    <w:rsid w:val="008436E1"/>
    <w:rsid w:val="00843FA0"/>
    <w:rsid w:val="00844584"/>
    <w:rsid w:val="008448C0"/>
    <w:rsid w:val="00844906"/>
    <w:rsid w:val="00845079"/>
    <w:rsid w:val="00845941"/>
    <w:rsid w:val="00845F3E"/>
    <w:rsid w:val="008478F5"/>
    <w:rsid w:val="00847AE7"/>
    <w:rsid w:val="00847AEE"/>
    <w:rsid w:val="00847C57"/>
    <w:rsid w:val="00847FB2"/>
    <w:rsid w:val="00850848"/>
    <w:rsid w:val="008524CE"/>
    <w:rsid w:val="00853465"/>
    <w:rsid w:val="008538D3"/>
    <w:rsid w:val="008544DB"/>
    <w:rsid w:val="008547D0"/>
    <w:rsid w:val="00856AF5"/>
    <w:rsid w:val="00862412"/>
    <w:rsid w:val="0086423C"/>
    <w:rsid w:val="008649D3"/>
    <w:rsid w:val="00865031"/>
    <w:rsid w:val="00867959"/>
    <w:rsid w:val="008700CB"/>
    <w:rsid w:val="00870F56"/>
    <w:rsid w:val="0087173A"/>
    <w:rsid w:val="008717A8"/>
    <w:rsid w:val="0087242D"/>
    <w:rsid w:val="00872BB8"/>
    <w:rsid w:val="00873971"/>
    <w:rsid w:val="00873A85"/>
    <w:rsid w:val="00873F46"/>
    <w:rsid w:val="00873F83"/>
    <w:rsid w:val="00875583"/>
    <w:rsid w:val="00875A2E"/>
    <w:rsid w:val="00875C68"/>
    <w:rsid w:val="008760D7"/>
    <w:rsid w:val="00877361"/>
    <w:rsid w:val="00880043"/>
    <w:rsid w:val="008803BB"/>
    <w:rsid w:val="0088153E"/>
    <w:rsid w:val="00882B15"/>
    <w:rsid w:val="008844CD"/>
    <w:rsid w:val="00885F9B"/>
    <w:rsid w:val="00886303"/>
    <w:rsid w:val="0088707B"/>
    <w:rsid w:val="008871EE"/>
    <w:rsid w:val="0088A07B"/>
    <w:rsid w:val="00890988"/>
    <w:rsid w:val="00890A11"/>
    <w:rsid w:val="0089103D"/>
    <w:rsid w:val="00891299"/>
    <w:rsid w:val="00891973"/>
    <w:rsid w:val="008926B1"/>
    <w:rsid w:val="008930F9"/>
    <w:rsid w:val="00894BA5"/>
    <w:rsid w:val="00894D30"/>
    <w:rsid w:val="008951ED"/>
    <w:rsid w:val="00895595"/>
    <w:rsid w:val="00896451"/>
    <w:rsid w:val="00896BA3"/>
    <w:rsid w:val="00896C2C"/>
    <w:rsid w:val="00896DEE"/>
    <w:rsid w:val="00897703"/>
    <w:rsid w:val="008A0C8F"/>
    <w:rsid w:val="008A158B"/>
    <w:rsid w:val="008A17FB"/>
    <w:rsid w:val="008A1A1E"/>
    <w:rsid w:val="008A1B2F"/>
    <w:rsid w:val="008A21B1"/>
    <w:rsid w:val="008A2367"/>
    <w:rsid w:val="008A2F11"/>
    <w:rsid w:val="008A30B3"/>
    <w:rsid w:val="008A371D"/>
    <w:rsid w:val="008A4419"/>
    <w:rsid w:val="008A63BF"/>
    <w:rsid w:val="008A6B92"/>
    <w:rsid w:val="008A6D8F"/>
    <w:rsid w:val="008A6F87"/>
    <w:rsid w:val="008A79D3"/>
    <w:rsid w:val="008A7EF8"/>
    <w:rsid w:val="008B03B9"/>
    <w:rsid w:val="008B0818"/>
    <w:rsid w:val="008B126A"/>
    <w:rsid w:val="008B16E9"/>
    <w:rsid w:val="008B16F5"/>
    <w:rsid w:val="008B2605"/>
    <w:rsid w:val="008B4449"/>
    <w:rsid w:val="008B4E04"/>
    <w:rsid w:val="008B5B52"/>
    <w:rsid w:val="008B5B92"/>
    <w:rsid w:val="008B5D89"/>
    <w:rsid w:val="008B6033"/>
    <w:rsid w:val="008B6188"/>
    <w:rsid w:val="008B6B3D"/>
    <w:rsid w:val="008B7047"/>
    <w:rsid w:val="008C0157"/>
    <w:rsid w:val="008C24C4"/>
    <w:rsid w:val="008C29E8"/>
    <w:rsid w:val="008C3CB1"/>
    <w:rsid w:val="008C3F4F"/>
    <w:rsid w:val="008C42FD"/>
    <w:rsid w:val="008C4B9D"/>
    <w:rsid w:val="008C5292"/>
    <w:rsid w:val="008C57E6"/>
    <w:rsid w:val="008C62F8"/>
    <w:rsid w:val="008C63A2"/>
    <w:rsid w:val="008C6C11"/>
    <w:rsid w:val="008C74ED"/>
    <w:rsid w:val="008C7B90"/>
    <w:rsid w:val="008D05AF"/>
    <w:rsid w:val="008D0F24"/>
    <w:rsid w:val="008D117C"/>
    <w:rsid w:val="008D30F6"/>
    <w:rsid w:val="008D39CE"/>
    <w:rsid w:val="008D3ADE"/>
    <w:rsid w:val="008D4E77"/>
    <w:rsid w:val="008D5210"/>
    <w:rsid w:val="008D5D27"/>
    <w:rsid w:val="008D6F78"/>
    <w:rsid w:val="008D7221"/>
    <w:rsid w:val="008D7743"/>
    <w:rsid w:val="008D7F27"/>
    <w:rsid w:val="008E0BA8"/>
    <w:rsid w:val="008E1C4B"/>
    <w:rsid w:val="008E383B"/>
    <w:rsid w:val="008E438D"/>
    <w:rsid w:val="008E4776"/>
    <w:rsid w:val="008E4B98"/>
    <w:rsid w:val="008E5448"/>
    <w:rsid w:val="008E65DC"/>
    <w:rsid w:val="008E7371"/>
    <w:rsid w:val="008F0338"/>
    <w:rsid w:val="008F221D"/>
    <w:rsid w:val="008F258C"/>
    <w:rsid w:val="008F331F"/>
    <w:rsid w:val="008F3BB8"/>
    <w:rsid w:val="008F4530"/>
    <w:rsid w:val="008F46DE"/>
    <w:rsid w:val="008F490B"/>
    <w:rsid w:val="008F491B"/>
    <w:rsid w:val="008F4991"/>
    <w:rsid w:val="008F4A17"/>
    <w:rsid w:val="008F5A21"/>
    <w:rsid w:val="008F630D"/>
    <w:rsid w:val="008F7969"/>
    <w:rsid w:val="008F79CA"/>
    <w:rsid w:val="00900B61"/>
    <w:rsid w:val="00900DA5"/>
    <w:rsid w:val="0090117E"/>
    <w:rsid w:val="00901CCA"/>
    <w:rsid w:val="00903CBB"/>
    <w:rsid w:val="00906D86"/>
    <w:rsid w:val="00906F4C"/>
    <w:rsid w:val="00907FB4"/>
    <w:rsid w:val="009103C0"/>
    <w:rsid w:val="0091045A"/>
    <w:rsid w:val="00911350"/>
    <w:rsid w:val="00911BC3"/>
    <w:rsid w:val="00912084"/>
    <w:rsid w:val="009133CD"/>
    <w:rsid w:val="00914532"/>
    <w:rsid w:val="0091493D"/>
    <w:rsid w:val="00914D62"/>
    <w:rsid w:val="0091761A"/>
    <w:rsid w:val="00917BD2"/>
    <w:rsid w:val="0092130C"/>
    <w:rsid w:val="00921333"/>
    <w:rsid w:val="0092219B"/>
    <w:rsid w:val="00923214"/>
    <w:rsid w:val="00923756"/>
    <w:rsid w:val="00924F0F"/>
    <w:rsid w:val="00926058"/>
    <w:rsid w:val="009268FE"/>
    <w:rsid w:val="00926E9B"/>
    <w:rsid w:val="00930009"/>
    <w:rsid w:val="00931376"/>
    <w:rsid w:val="00931D4B"/>
    <w:rsid w:val="00932B3E"/>
    <w:rsid w:val="009333A1"/>
    <w:rsid w:val="009335FB"/>
    <w:rsid w:val="009346AD"/>
    <w:rsid w:val="0093539A"/>
    <w:rsid w:val="00935A7D"/>
    <w:rsid w:val="00937D66"/>
    <w:rsid w:val="00940A96"/>
    <w:rsid w:val="00940F8B"/>
    <w:rsid w:val="00941829"/>
    <w:rsid w:val="00941ECC"/>
    <w:rsid w:val="009420B0"/>
    <w:rsid w:val="00942C06"/>
    <w:rsid w:val="00944864"/>
    <w:rsid w:val="0094522D"/>
    <w:rsid w:val="009457F5"/>
    <w:rsid w:val="009461D9"/>
    <w:rsid w:val="00947137"/>
    <w:rsid w:val="009474A8"/>
    <w:rsid w:val="009507AF"/>
    <w:rsid w:val="00950F39"/>
    <w:rsid w:val="00951B8E"/>
    <w:rsid w:val="00951CDE"/>
    <w:rsid w:val="00952139"/>
    <w:rsid w:val="00952571"/>
    <w:rsid w:val="00952765"/>
    <w:rsid w:val="00952DBA"/>
    <w:rsid w:val="00953925"/>
    <w:rsid w:val="00953E42"/>
    <w:rsid w:val="009543E8"/>
    <w:rsid w:val="00956384"/>
    <w:rsid w:val="00956458"/>
    <w:rsid w:val="00956520"/>
    <w:rsid w:val="00956892"/>
    <w:rsid w:val="009573E1"/>
    <w:rsid w:val="009579DF"/>
    <w:rsid w:val="009604FD"/>
    <w:rsid w:val="00961A2B"/>
    <w:rsid w:val="0096249D"/>
    <w:rsid w:val="00962D58"/>
    <w:rsid w:val="00963C39"/>
    <w:rsid w:val="00964F73"/>
    <w:rsid w:val="00965378"/>
    <w:rsid w:val="00965421"/>
    <w:rsid w:val="00965ACF"/>
    <w:rsid w:val="00965AF1"/>
    <w:rsid w:val="00965B9B"/>
    <w:rsid w:val="00965E1C"/>
    <w:rsid w:val="00966BC7"/>
    <w:rsid w:val="00967701"/>
    <w:rsid w:val="00967C4F"/>
    <w:rsid w:val="0097002B"/>
    <w:rsid w:val="0097013D"/>
    <w:rsid w:val="00970686"/>
    <w:rsid w:val="00970877"/>
    <w:rsid w:val="00972AAF"/>
    <w:rsid w:val="00973A50"/>
    <w:rsid w:val="00973CDF"/>
    <w:rsid w:val="00973E2B"/>
    <w:rsid w:val="00975940"/>
    <w:rsid w:val="009766F5"/>
    <w:rsid w:val="009770AA"/>
    <w:rsid w:val="009773EB"/>
    <w:rsid w:val="00980438"/>
    <w:rsid w:val="0098065F"/>
    <w:rsid w:val="009806E9"/>
    <w:rsid w:val="00981B8C"/>
    <w:rsid w:val="00981EDC"/>
    <w:rsid w:val="00983A21"/>
    <w:rsid w:val="009846D4"/>
    <w:rsid w:val="00986026"/>
    <w:rsid w:val="009863D0"/>
    <w:rsid w:val="009910EC"/>
    <w:rsid w:val="00991202"/>
    <w:rsid w:val="009917BF"/>
    <w:rsid w:val="009940CF"/>
    <w:rsid w:val="0099422F"/>
    <w:rsid w:val="00994397"/>
    <w:rsid w:val="00994413"/>
    <w:rsid w:val="00997630"/>
    <w:rsid w:val="009A0119"/>
    <w:rsid w:val="009A0B50"/>
    <w:rsid w:val="009A1CA9"/>
    <w:rsid w:val="009A2580"/>
    <w:rsid w:val="009A2B8A"/>
    <w:rsid w:val="009A2DEA"/>
    <w:rsid w:val="009A442A"/>
    <w:rsid w:val="009A4A71"/>
    <w:rsid w:val="009A4EB3"/>
    <w:rsid w:val="009A67F3"/>
    <w:rsid w:val="009A7AD8"/>
    <w:rsid w:val="009A7E18"/>
    <w:rsid w:val="009B053E"/>
    <w:rsid w:val="009B07AE"/>
    <w:rsid w:val="009B0C40"/>
    <w:rsid w:val="009B33AA"/>
    <w:rsid w:val="009B3B9D"/>
    <w:rsid w:val="009B3CBB"/>
    <w:rsid w:val="009B5347"/>
    <w:rsid w:val="009B53C0"/>
    <w:rsid w:val="009B5ACB"/>
    <w:rsid w:val="009B60AE"/>
    <w:rsid w:val="009B7159"/>
    <w:rsid w:val="009B74F8"/>
    <w:rsid w:val="009B767B"/>
    <w:rsid w:val="009B79B8"/>
    <w:rsid w:val="009C0361"/>
    <w:rsid w:val="009C0FD2"/>
    <w:rsid w:val="009C1136"/>
    <w:rsid w:val="009C121E"/>
    <w:rsid w:val="009C1F95"/>
    <w:rsid w:val="009C28C5"/>
    <w:rsid w:val="009C3414"/>
    <w:rsid w:val="009C35B0"/>
    <w:rsid w:val="009C35F8"/>
    <w:rsid w:val="009C3F1A"/>
    <w:rsid w:val="009C422E"/>
    <w:rsid w:val="009C4C1F"/>
    <w:rsid w:val="009C5681"/>
    <w:rsid w:val="009C667C"/>
    <w:rsid w:val="009D14C2"/>
    <w:rsid w:val="009D16F3"/>
    <w:rsid w:val="009D2577"/>
    <w:rsid w:val="009D2F08"/>
    <w:rsid w:val="009D42F7"/>
    <w:rsid w:val="009D440E"/>
    <w:rsid w:val="009D44B8"/>
    <w:rsid w:val="009D4C79"/>
    <w:rsid w:val="009D5332"/>
    <w:rsid w:val="009D5734"/>
    <w:rsid w:val="009D7D17"/>
    <w:rsid w:val="009E021F"/>
    <w:rsid w:val="009E09F1"/>
    <w:rsid w:val="009E2152"/>
    <w:rsid w:val="009E2876"/>
    <w:rsid w:val="009E2B45"/>
    <w:rsid w:val="009E476E"/>
    <w:rsid w:val="009E58A9"/>
    <w:rsid w:val="009E5CBC"/>
    <w:rsid w:val="009E5DDD"/>
    <w:rsid w:val="009E6F3C"/>
    <w:rsid w:val="009E7668"/>
    <w:rsid w:val="009E781B"/>
    <w:rsid w:val="009F07C6"/>
    <w:rsid w:val="009F0C2F"/>
    <w:rsid w:val="009F4084"/>
    <w:rsid w:val="009F582D"/>
    <w:rsid w:val="009F630B"/>
    <w:rsid w:val="009F7653"/>
    <w:rsid w:val="009F7D52"/>
    <w:rsid w:val="00A0103E"/>
    <w:rsid w:val="00A011B6"/>
    <w:rsid w:val="00A01968"/>
    <w:rsid w:val="00A03005"/>
    <w:rsid w:val="00A03097"/>
    <w:rsid w:val="00A03331"/>
    <w:rsid w:val="00A03DD9"/>
    <w:rsid w:val="00A05D44"/>
    <w:rsid w:val="00A07CFE"/>
    <w:rsid w:val="00A10F39"/>
    <w:rsid w:val="00A115FB"/>
    <w:rsid w:val="00A11FE9"/>
    <w:rsid w:val="00A14E41"/>
    <w:rsid w:val="00A14EE5"/>
    <w:rsid w:val="00A17541"/>
    <w:rsid w:val="00A20019"/>
    <w:rsid w:val="00A20A7F"/>
    <w:rsid w:val="00A210C6"/>
    <w:rsid w:val="00A214E9"/>
    <w:rsid w:val="00A21A7A"/>
    <w:rsid w:val="00A22732"/>
    <w:rsid w:val="00A22D80"/>
    <w:rsid w:val="00A23503"/>
    <w:rsid w:val="00A240FB"/>
    <w:rsid w:val="00A259A8"/>
    <w:rsid w:val="00A25BD1"/>
    <w:rsid w:val="00A27FB2"/>
    <w:rsid w:val="00A302C2"/>
    <w:rsid w:val="00A3064D"/>
    <w:rsid w:val="00A308D0"/>
    <w:rsid w:val="00A30BDF"/>
    <w:rsid w:val="00A312B6"/>
    <w:rsid w:val="00A31717"/>
    <w:rsid w:val="00A317F6"/>
    <w:rsid w:val="00A320F9"/>
    <w:rsid w:val="00A34273"/>
    <w:rsid w:val="00A343C4"/>
    <w:rsid w:val="00A35048"/>
    <w:rsid w:val="00A35341"/>
    <w:rsid w:val="00A3568D"/>
    <w:rsid w:val="00A35C2A"/>
    <w:rsid w:val="00A36810"/>
    <w:rsid w:val="00A403F6"/>
    <w:rsid w:val="00A41EA9"/>
    <w:rsid w:val="00A422C5"/>
    <w:rsid w:val="00A422FE"/>
    <w:rsid w:val="00A426DD"/>
    <w:rsid w:val="00A431DB"/>
    <w:rsid w:val="00A4715E"/>
    <w:rsid w:val="00A477F7"/>
    <w:rsid w:val="00A47F6C"/>
    <w:rsid w:val="00A50159"/>
    <w:rsid w:val="00A50C68"/>
    <w:rsid w:val="00A50E66"/>
    <w:rsid w:val="00A545A7"/>
    <w:rsid w:val="00A546D4"/>
    <w:rsid w:val="00A55027"/>
    <w:rsid w:val="00A556C2"/>
    <w:rsid w:val="00A557A0"/>
    <w:rsid w:val="00A558EE"/>
    <w:rsid w:val="00A56991"/>
    <w:rsid w:val="00A56A40"/>
    <w:rsid w:val="00A570B3"/>
    <w:rsid w:val="00A57482"/>
    <w:rsid w:val="00A57CFA"/>
    <w:rsid w:val="00A60936"/>
    <w:rsid w:val="00A6095E"/>
    <w:rsid w:val="00A62962"/>
    <w:rsid w:val="00A62B60"/>
    <w:rsid w:val="00A63093"/>
    <w:rsid w:val="00A64487"/>
    <w:rsid w:val="00A64C33"/>
    <w:rsid w:val="00A64DC6"/>
    <w:rsid w:val="00A66916"/>
    <w:rsid w:val="00A674D2"/>
    <w:rsid w:val="00A67A23"/>
    <w:rsid w:val="00A71F1B"/>
    <w:rsid w:val="00A73B96"/>
    <w:rsid w:val="00A73C8E"/>
    <w:rsid w:val="00A741A8"/>
    <w:rsid w:val="00A75582"/>
    <w:rsid w:val="00A77A41"/>
    <w:rsid w:val="00A77A86"/>
    <w:rsid w:val="00A77D39"/>
    <w:rsid w:val="00A80246"/>
    <w:rsid w:val="00A808CE"/>
    <w:rsid w:val="00A81B3F"/>
    <w:rsid w:val="00A81BA7"/>
    <w:rsid w:val="00A81DCD"/>
    <w:rsid w:val="00A83967"/>
    <w:rsid w:val="00A83A6F"/>
    <w:rsid w:val="00A84AA1"/>
    <w:rsid w:val="00A859CE"/>
    <w:rsid w:val="00A8705C"/>
    <w:rsid w:val="00A872CE"/>
    <w:rsid w:val="00A87F13"/>
    <w:rsid w:val="00A91C33"/>
    <w:rsid w:val="00A92FC7"/>
    <w:rsid w:val="00A93DB3"/>
    <w:rsid w:val="00A94F75"/>
    <w:rsid w:val="00A96A00"/>
    <w:rsid w:val="00A971E5"/>
    <w:rsid w:val="00A97ACE"/>
    <w:rsid w:val="00A97D85"/>
    <w:rsid w:val="00AA0A0D"/>
    <w:rsid w:val="00AA0EFE"/>
    <w:rsid w:val="00AA226A"/>
    <w:rsid w:val="00AA283F"/>
    <w:rsid w:val="00AA2A8C"/>
    <w:rsid w:val="00AA2F33"/>
    <w:rsid w:val="00AA356E"/>
    <w:rsid w:val="00AA5516"/>
    <w:rsid w:val="00AA56C5"/>
    <w:rsid w:val="00AA5A41"/>
    <w:rsid w:val="00AA5D4F"/>
    <w:rsid w:val="00AA5F7F"/>
    <w:rsid w:val="00AA7D9A"/>
    <w:rsid w:val="00AB03B4"/>
    <w:rsid w:val="00AB0416"/>
    <w:rsid w:val="00AB1085"/>
    <w:rsid w:val="00AB2854"/>
    <w:rsid w:val="00AB2D48"/>
    <w:rsid w:val="00AB42F1"/>
    <w:rsid w:val="00AB4371"/>
    <w:rsid w:val="00AB4857"/>
    <w:rsid w:val="00AB66FC"/>
    <w:rsid w:val="00AB789D"/>
    <w:rsid w:val="00AC06E1"/>
    <w:rsid w:val="00AC0FB4"/>
    <w:rsid w:val="00AC1550"/>
    <w:rsid w:val="00AC22F7"/>
    <w:rsid w:val="00AC2CDF"/>
    <w:rsid w:val="00AC2F6D"/>
    <w:rsid w:val="00AC506B"/>
    <w:rsid w:val="00AC529E"/>
    <w:rsid w:val="00AC6A38"/>
    <w:rsid w:val="00AC7012"/>
    <w:rsid w:val="00AC777F"/>
    <w:rsid w:val="00AD0883"/>
    <w:rsid w:val="00AD0E1A"/>
    <w:rsid w:val="00AD10D1"/>
    <w:rsid w:val="00AD10E1"/>
    <w:rsid w:val="00AD4978"/>
    <w:rsid w:val="00AD4C65"/>
    <w:rsid w:val="00AD519E"/>
    <w:rsid w:val="00AD5448"/>
    <w:rsid w:val="00AD5923"/>
    <w:rsid w:val="00AD68E0"/>
    <w:rsid w:val="00AD7C20"/>
    <w:rsid w:val="00AE001B"/>
    <w:rsid w:val="00AE0C21"/>
    <w:rsid w:val="00AE1449"/>
    <w:rsid w:val="00AE1841"/>
    <w:rsid w:val="00AE18C4"/>
    <w:rsid w:val="00AE1A22"/>
    <w:rsid w:val="00AE20AD"/>
    <w:rsid w:val="00AE28D8"/>
    <w:rsid w:val="00AE29AA"/>
    <w:rsid w:val="00AE2C32"/>
    <w:rsid w:val="00AE2D94"/>
    <w:rsid w:val="00AE2E49"/>
    <w:rsid w:val="00AE3700"/>
    <w:rsid w:val="00AE38EF"/>
    <w:rsid w:val="00AE3FA2"/>
    <w:rsid w:val="00AE539F"/>
    <w:rsid w:val="00AE5474"/>
    <w:rsid w:val="00AE56AF"/>
    <w:rsid w:val="00AE5F2F"/>
    <w:rsid w:val="00AE6146"/>
    <w:rsid w:val="00AE6678"/>
    <w:rsid w:val="00AE6A58"/>
    <w:rsid w:val="00AE6A61"/>
    <w:rsid w:val="00AE750C"/>
    <w:rsid w:val="00AF0011"/>
    <w:rsid w:val="00AF0204"/>
    <w:rsid w:val="00AF11B1"/>
    <w:rsid w:val="00AF249F"/>
    <w:rsid w:val="00AF33EE"/>
    <w:rsid w:val="00AF3A1A"/>
    <w:rsid w:val="00AF3C9C"/>
    <w:rsid w:val="00AF3FDF"/>
    <w:rsid w:val="00AF4F89"/>
    <w:rsid w:val="00AF51D2"/>
    <w:rsid w:val="00AF54AE"/>
    <w:rsid w:val="00AF5B9C"/>
    <w:rsid w:val="00AF6A6D"/>
    <w:rsid w:val="00AF70D4"/>
    <w:rsid w:val="00B01082"/>
    <w:rsid w:val="00B017E2"/>
    <w:rsid w:val="00B0191B"/>
    <w:rsid w:val="00B01DB1"/>
    <w:rsid w:val="00B03545"/>
    <w:rsid w:val="00B037B1"/>
    <w:rsid w:val="00B03AC0"/>
    <w:rsid w:val="00B03E8B"/>
    <w:rsid w:val="00B04649"/>
    <w:rsid w:val="00B04C3C"/>
    <w:rsid w:val="00B069BB"/>
    <w:rsid w:val="00B07B19"/>
    <w:rsid w:val="00B100A3"/>
    <w:rsid w:val="00B1097C"/>
    <w:rsid w:val="00B11788"/>
    <w:rsid w:val="00B11A0B"/>
    <w:rsid w:val="00B1289B"/>
    <w:rsid w:val="00B139D1"/>
    <w:rsid w:val="00B148CE"/>
    <w:rsid w:val="00B15147"/>
    <w:rsid w:val="00B1718C"/>
    <w:rsid w:val="00B17273"/>
    <w:rsid w:val="00B173CE"/>
    <w:rsid w:val="00B174F0"/>
    <w:rsid w:val="00B204CF"/>
    <w:rsid w:val="00B205B7"/>
    <w:rsid w:val="00B20B35"/>
    <w:rsid w:val="00B21035"/>
    <w:rsid w:val="00B22042"/>
    <w:rsid w:val="00B2296C"/>
    <w:rsid w:val="00B229B5"/>
    <w:rsid w:val="00B23086"/>
    <w:rsid w:val="00B23DCB"/>
    <w:rsid w:val="00B23FBF"/>
    <w:rsid w:val="00B240B3"/>
    <w:rsid w:val="00B24818"/>
    <w:rsid w:val="00B25662"/>
    <w:rsid w:val="00B25CA4"/>
    <w:rsid w:val="00B260F5"/>
    <w:rsid w:val="00B26E63"/>
    <w:rsid w:val="00B27820"/>
    <w:rsid w:val="00B316C0"/>
    <w:rsid w:val="00B31AC3"/>
    <w:rsid w:val="00B31DE6"/>
    <w:rsid w:val="00B31E95"/>
    <w:rsid w:val="00B3229F"/>
    <w:rsid w:val="00B33DE5"/>
    <w:rsid w:val="00B3422C"/>
    <w:rsid w:val="00B3478B"/>
    <w:rsid w:val="00B355BC"/>
    <w:rsid w:val="00B35A00"/>
    <w:rsid w:val="00B365FE"/>
    <w:rsid w:val="00B37AE6"/>
    <w:rsid w:val="00B37D2B"/>
    <w:rsid w:val="00B403A7"/>
    <w:rsid w:val="00B40B1D"/>
    <w:rsid w:val="00B40BD7"/>
    <w:rsid w:val="00B40D7D"/>
    <w:rsid w:val="00B418DA"/>
    <w:rsid w:val="00B41AC7"/>
    <w:rsid w:val="00B41BB1"/>
    <w:rsid w:val="00B41DF3"/>
    <w:rsid w:val="00B42297"/>
    <w:rsid w:val="00B43250"/>
    <w:rsid w:val="00B44C64"/>
    <w:rsid w:val="00B45C9E"/>
    <w:rsid w:val="00B46542"/>
    <w:rsid w:val="00B467B8"/>
    <w:rsid w:val="00B468AF"/>
    <w:rsid w:val="00B477CE"/>
    <w:rsid w:val="00B504B1"/>
    <w:rsid w:val="00B50FB7"/>
    <w:rsid w:val="00B5280D"/>
    <w:rsid w:val="00B52F8B"/>
    <w:rsid w:val="00B545B2"/>
    <w:rsid w:val="00B549A5"/>
    <w:rsid w:val="00B55630"/>
    <w:rsid w:val="00B55EB8"/>
    <w:rsid w:val="00B5678B"/>
    <w:rsid w:val="00B56802"/>
    <w:rsid w:val="00B56AB3"/>
    <w:rsid w:val="00B5745F"/>
    <w:rsid w:val="00B5753C"/>
    <w:rsid w:val="00B57B4C"/>
    <w:rsid w:val="00B57D2C"/>
    <w:rsid w:val="00B60B15"/>
    <w:rsid w:val="00B6173A"/>
    <w:rsid w:val="00B618F3"/>
    <w:rsid w:val="00B62EF0"/>
    <w:rsid w:val="00B6313B"/>
    <w:rsid w:val="00B6436D"/>
    <w:rsid w:val="00B649C3"/>
    <w:rsid w:val="00B64BFE"/>
    <w:rsid w:val="00B64E04"/>
    <w:rsid w:val="00B65DE1"/>
    <w:rsid w:val="00B66652"/>
    <w:rsid w:val="00B666FB"/>
    <w:rsid w:val="00B66ED7"/>
    <w:rsid w:val="00B677DF"/>
    <w:rsid w:val="00B70B2C"/>
    <w:rsid w:val="00B71021"/>
    <w:rsid w:val="00B71A9D"/>
    <w:rsid w:val="00B71F7D"/>
    <w:rsid w:val="00B72CDE"/>
    <w:rsid w:val="00B73812"/>
    <w:rsid w:val="00B73ADB"/>
    <w:rsid w:val="00B74578"/>
    <w:rsid w:val="00B74B44"/>
    <w:rsid w:val="00B758B3"/>
    <w:rsid w:val="00B8023C"/>
    <w:rsid w:val="00B80FD4"/>
    <w:rsid w:val="00B80FF0"/>
    <w:rsid w:val="00B82207"/>
    <w:rsid w:val="00B82247"/>
    <w:rsid w:val="00B82D6F"/>
    <w:rsid w:val="00B83475"/>
    <w:rsid w:val="00B836DC"/>
    <w:rsid w:val="00B8494A"/>
    <w:rsid w:val="00B85103"/>
    <w:rsid w:val="00B85648"/>
    <w:rsid w:val="00B85AE2"/>
    <w:rsid w:val="00B85FC3"/>
    <w:rsid w:val="00B860FD"/>
    <w:rsid w:val="00B905E7"/>
    <w:rsid w:val="00B91A53"/>
    <w:rsid w:val="00B91B53"/>
    <w:rsid w:val="00B91E8E"/>
    <w:rsid w:val="00B92434"/>
    <w:rsid w:val="00B9396D"/>
    <w:rsid w:val="00B93998"/>
    <w:rsid w:val="00B95B8D"/>
    <w:rsid w:val="00B95C21"/>
    <w:rsid w:val="00B96B1C"/>
    <w:rsid w:val="00B97234"/>
    <w:rsid w:val="00B97788"/>
    <w:rsid w:val="00BA005F"/>
    <w:rsid w:val="00BA0B7B"/>
    <w:rsid w:val="00BA133E"/>
    <w:rsid w:val="00BA41B5"/>
    <w:rsid w:val="00BA55FF"/>
    <w:rsid w:val="00BA57FB"/>
    <w:rsid w:val="00BA5D4E"/>
    <w:rsid w:val="00BA5E7D"/>
    <w:rsid w:val="00BA78A6"/>
    <w:rsid w:val="00BA7BD6"/>
    <w:rsid w:val="00BA7FFB"/>
    <w:rsid w:val="00BB1EAA"/>
    <w:rsid w:val="00BB2078"/>
    <w:rsid w:val="00BB24D9"/>
    <w:rsid w:val="00BB255D"/>
    <w:rsid w:val="00BB2BAC"/>
    <w:rsid w:val="00BB33DA"/>
    <w:rsid w:val="00BB362A"/>
    <w:rsid w:val="00BB5333"/>
    <w:rsid w:val="00BB58C1"/>
    <w:rsid w:val="00BC06E3"/>
    <w:rsid w:val="00BC0E59"/>
    <w:rsid w:val="00BC12CF"/>
    <w:rsid w:val="00BC13A4"/>
    <w:rsid w:val="00BC1460"/>
    <w:rsid w:val="00BC1A48"/>
    <w:rsid w:val="00BC2625"/>
    <w:rsid w:val="00BC2CE8"/>
    <w:rsid w:val="00BC4A0A"/>
    <w:rsid w:val="00BC4A48"/>
    <w:rsid w:val="00BC4A79"/>
    <w:rsid w:val="00BC52B7"/>
    <w:rsid w:val="00BC5603"/>
    <w:rsid w:val="00BC6B8A"/>
    <w:rsid w:val="00BD05F2"/>
    <w:rsid w:val="00BD15B2"/>
    <w:rsid w:val="00BD238C"/>
    <w:rsid w:val="00BD25B7"/>
    <w:rsid w:val="00BD2B69"/>
    <w:rsid w:val="00BD30A0"/>
    <w:rsid w:val="00BD3C81"/>
    <w:rsid w:val="00BD3D0B"/>
    <w:rsid w:val="00BD3F23"/>
    <w:rsid w:val="00BD45BB"/>
    <w:rsid w:val="00BD5F1B"/>
    <w:rsid w:val="00BD5F91"/>
    <w:rsid w:val="00BD6236"/>
    <w:rsid w:val="00BE1547"/>
    <w:rsid w:val="00BE173D"/>
    <w:rsid w:val="00BE1C36"/>
    <w:rsid w:val="00BE381A"/>
    <w:rsid w:val="00BE3AB9"/>
    <w:rsid w:val="00BE3AE4"/>
    <w:rsid w:val="00BE4201"/>
    <w:rsid w:val="00BE49D0"/>
    <w:rsid w:val="00BE4BB6"/>
    <w:rsid w:val="00BE4E7F"/>
    <w:rsid w:val="00BE5B79"/>
    <w:rsid w:val="00BE6F14"/>
    <w:rsid w:val="00BE72CB"/>
    <w:rsid w:val="00BE73AC"/>
    <w:rsid w:val="00BE7BB2"/>
    <w:rsid w:val="00BF0375"/>
    <w:rsid w:val="00BF1603"/>
    <w:rsid w:val="00BF3287"/>
    <w:rsid w:val="00BF3D7A"/>
    <w:rsid w:val="00BF45AC"/>
    <w:rsid w:val="00BF541E"/>
    <w:rsid w:val="00BF7649"/>
    <w:rsid w:val="00C00030"/>
    <w:rsid w:val="00C00380"/>
    <w:rsid w:val="00C0048B"/>
    <w:rsid w:val="00C00694"/>
    <w:rsid w:val="00C00BC5"/>
    <w:rsid w:val="00C01A90"/>
    <w:rsid w:val="00C01DC9"/>
    <w:rsid w:val="00C03266"/>
    <w:rsid w:val="00C046F2"/>
    <w:rsid w:val="00C048E8"/>
    <w:rsid w:val="00C0633B"/>
    <w:rsid w:val="00C06475"/>
    <w:rsid w:val="00C0648E"/>
    <w:rsid w:val="00C064B8"/>
    <w:rsid w:val="00C068C3"/>
    <w:rsid w:val="00C06C70"/>
    <w:rsid w:val="00C06CE8"/>
    <w:rsid w:val="00C1078E"/>
    <w:rsid w:val="00C111CC"/>
    <w:rsid w:val="00C113AE"/>
    <w:rsid w:val="00C1191C"/>
    <w:rsid w:val="00C121B8"/>
    <w:rsid w:val="00C12307"/>
    <w:rsid w:val="00C124E0"/>
    <w:rsid w:val="00C1386E"/>
    <w:rsid w:val="00C13919"/>
    <w:rsid w:val="00C13C20"/>
    <w:rsid w:val="00C14A9E"/>
    <w:rsid w:val="00C158CB"/>
    <w:rsid w:val="00C16A0E"/>
    <w:rsid w:val="00C1799C"/>
    <w:rsid w:val="00C17DC7"/>
    <w:rsid w:val="00C20D23"/>
    <w:rsid w:val="00C21372"/>
    <w:rsid w:val="00C22DAD"/>
    <w:rsid w:val="00C230A0"/>
    <w:rsid w:val="00C23F0D"/>
    <w:rsid w:val="00C24773"/>
    <w:rsid w:val="00C248D0"/>
    <w:rsid w:val="00C2491F"/>
    <w:rsid w:val="00C24BDE"/>
    <w:rsid w:val="00C24E93"/>
    <w:rsid w:val="00C25F52"/>
    <w:rsid w:val="00C26411"/>
    <w:rsid w:val="00C3138F"/>
    <w:rsid w:val="00C31FC7"/>
    <w:rsid w:val="00C3219F"/>
    <w:rsid w:val="00C327FB"/>
    <w:rsid w:val="00C328BF"/>
    <w:rsid w:val="00C3306B"/>
    <w:rsid w:val="00C3391E"/>
    <w:rsid w:val="00C33FAC"/>
    <w:rsid w:val="00C34D50"/>
    <w:rsid w:val="00C35BBD"/>
    <w:rsid w:val="00C35E2E"/>
    <w:rsid w:val="00C3773D"/>
    <w:rsid w:val="00C42BA5"/>
    <w:rsid w:val="00C43A35"/>
    <w:rsid w:val="00C43ED6"/>
    <w:rsid w:val="00C45A51"/>
    <w:rsid w:val="00C45BF1"/>
    <w:rsid w:val="00C46405"/>
    <w:rsid w:val="00C4645F"/>
    <w:rsid w:val="00C4653A"/>
    <w:rsid w:val="00C46583"/>
    <w:rsid w:val="00C46CDB"/>
    <w:rsid w:val="00C46E6A"/>
    <w:rsid w:val="00C529B5"/>
    <w:rsid w:val="00C52BE0"/>
    <w:rsid w:val="00C532A8"/>
    <w:rsid w:val="00C546D7"/>
    <w:rsid w:val="00C55C97"/>
    <w:rsid w:val="00C56AFC"/>
    <w:rsid w:val="00C56C8B"/>
    <w:rsid w:val="00C57463"/>
    <w:rsid w:val="00C57D9F"/>
    <w:rsid w:val="00C60435"/>
    <w:rsid w:val="00C6047E"/>
    <w:rsid w:val="00C60729"/>
    <w:rsid w:val="00C62650"/>
    <w:rsid w:val="00C63294"/>
    <w:rsid w:val="00C63638"/>
    <w:rsid w:val="00C63792"/>
    <w:rsid w:val="00C63B5F"/>
    <w:rsid w:val="00C6475D"/>
    <w:rsid w:val="00C64DE0"/>
    <w:rsid w:val="00C655C3"/>
    <w:rsid w:val="00C65694"/>
    <w:rsid w:val="00C664C1"/>
    <w:rsid w:val="00C66759"/>
    <w:rsid w:val="00C66875"/>
    <w:rsid w:val="00C668D4"/>
    <w:rsid w:val="00C70549"/>
    <w:rsid w:val="00C71167"/>
    <w:rsid w:val="00C72014"/>
    <w:rsid w:val="00C720B5"/>
    <w:rsid w:val="00C72ED6"/>
    <w:rsid w:val="00C738E6"/>
    <w:rsid w:val="00C74073"/>
    <w:rsid w:val="00C74ADF"/>
    <w:rsid w:val="00C74B83"/>
    <w:rsid w:val="00C75919"/>
    <w:rsid w:val="00C765B3"/>
    <w:rsid w:val="00C768B2"/>
    <w:rsid w:val="00C76985"/>
    <w:rsid w:val="00C77114"/>
    <w:rsid w:val="00C773B3"/>
    <w:rsid w:val="00C77C45"/>
    <w:rsid w:val="00C80783"/>
    <w:rsid w:val="00C80B56"/>
    <w:rsid w:val="00C810F5"/>
    <w:rsid w:val="00C817C3"/>
    <w:rsid w:val="00C8193D"/>
    <w:rsid w:val="00C81AA1"/>
    <w:rsid w:val="00C823E1"/>
    <w:rsid w:val="00C8315C"/>
    <w:rsid w:val="00C837E7"/>
    <w:rsid w:val="00C84519"/>
    <w:rsid w:val="00C845B9"/>
    <w:rsid w:val="00C8460B"/>
    <w:rsid w:val="00C84762"/>
    <w:rsid w:val="00C852CD"/>
    <w:rsid w:val="00C853EE"/>
    <w:rsid w:val="00C85B34"/>
    <w:rsid w:val="00C8776D"/>
    <w:rsid w:val="00C91D04"/>
    <w:rsid w:val="00C92095"/>
    <w:rsid w:val="00C92D59"/>
    <w:rsid w:val="00C92F6B"/>
    <w:rsid w:val="00C9311D"/>
    <w:rsid w:val="00C940E7"/>
    <w:rsid w:val="00C94A16"/>
    <w:rsid w:val="00C94A28"/>
    <w:rsid w:val="00C94C99"/>
    <w:rsid w:val="00C95820"/>
    <w:rsid w:val="00CA0BD2"/>
    <w:rsid w:val="00CA23AF"/>
    <w:rsid w:val="00CA2ED9"/>
    <w:rsid w:val="00CA30AC"/>
    <w:rsid w:val="00CA50AE"/>
    <w:rsid w:val="00CA59BD"/>
    <w:rsid w:val="00CA63FD"/>
    <w:rsid w:val="00CA6555"/>
    <w:rsid w:val="00CA7C5A"/>
    <w:rsid w:val="00CB0031"/>
    <w:rsid w:val="00CB055F"/>
    <w:rsid w:val="00CB09A6"/>
    <w:rsid w:val="00CB0AFC"/>
    <w:rsid w:val="00CB105D"/>
    <w:rsid w:val="00CB1251"/>
    <w:rsid w:val="00CB1C40"/>
    <w:rsid w:val="00CB3B62"/>
    <w:rsid w:val="00CB40A1"/>
    <w:rsid w:val="00CB4743"/>
    <w:rsid w:val="00CB4C24"/>
    <w:rsid w:val="00CB61D8"/>
    <w:rsid w:val="00CB6548"/>
    <w:rsid w:val="00CB7E75"/>
    <w:rsid w:val="00CB7F6C"/>
    <w:rsid w:val="00CC0118"/>
    <w:rsid w:val="00CC0479"/>
    <w:rsid w:val="00CC094D"/>
    <w:rsid w:val="00CC0BA0"/>
    <w:rsid w:val="00CC1214"/>
    <w:rsid w:val="00CC1D30"/>
    <w:rsid w:val="00CC34BA"/>
    <w:rsid w:val="00CC3587"/>
    <w:rsid w:val="00CC3D30"/>
    <w:rsid w:val="00CC3F43"/>
    <w:rsid w:val="00CC3FBF"/>
    <w:rsid w:val="00CC7B21"/>
    <w:rsid w:val="00CD04CA"/>
    <w:rsid w:val="00CD0905"/>
    <w:rsid w:val="00CD0DAC"/>
    <w:rsid w:val="00CD167E"/>
    <w:rsid w:val="00CD1B09"/>
    <w:rsid w:val="00CD3D5A"/>
    <w:rsid w:val="00CD43C9"/>
    <w:rsid w:val="00CD4ABB"/>
    <w:rsid w:val="00CD4B1E"/>
    <w:rsid w:val="00CD4BA1"/>
    <w:rsid w:val="00CD50A9"/>
    <w:rsid w:val="00CD50AA"/>
    <w:rsid w:val="00CD65C3"/>
    <w:rsid w:val="00CD7F57"/>
    <w:rsid w:val="00CE0C43"/>
    <w:rsid w:val="00CE1303"/>
    <w:rsid w:val="00CE1C9D"/>
    <w:rsid w:val="00CE1D11"/>
    <w:rsid w:val="00CE2373"/>
    <w:rsid w:val="00CE30A6"/>
    <w:rsid w:val="00CE3FB9"/>
    <w:rsid w:val="00CE412F"/>
    <w:rsid w:val="00CE5318"/>
    <w:rsid w:val="00CE548C"/>
    <w:rsid w:val="00CE56B4"/>
    <w:rsid w:val="00CE6D37"/>
    <w:rsid w:val="00CF01B4"/>
    <w:rsid w:val="00CF0450"/>
    <w:rsid w:val="00CF148A"/>
    <w:rsid w:val="00CF222E"/>
    <w:rsid w:val="00CF3483"/>
    <w:rsid w:val="00CF39EB"/>
    <w:rsid w:val="00CF453F"/>
    <w:rsid w:val="00CF4A00"/>
    <w:rsid w:val="00CF5678"/>
    <w:rsid w:val="00CF5E8D"/>
    <w:rsid w:val="00CF66C4"/>
    <w:rsid w:val="00CF6C78"/>
    <w:rsid w:val="00CF6FE6"/>
    <w:rsid w:val="00D01648"/>
    <w:rsid w:val="00D01C0B"/>
    <w:rsid w:val="00D02C35"/>
    <w:rsid w:val="00D03767"/>
    <w:rsid w:val="00D03796"/>
    <w:rsid w:val="00D03CB5"/>
    <w:rsid w:val="00D04780"/>
    <w:rsid w:val="00D053C5"/>
    <w:rsid w:val="00D05828"/>
    <w:rsid w:val="00D06E45"/>
    <w:rsid w:val="00D105DC"/>
    <w:rsid w:val="00D1112A"/>
    <w:rsid w:val="00D1201C"/>
    <w:rsid w:val="00D12459"/>
    <w:rsid w:val="00D128FD"/>
    <w:rsid w:val="00D137A7"/>
    <w:rsid w:val="00D14561"/>
    <w:rsid w:val="00D14930"/>
    <w:rsid w:val="00D152E4"/>
    <w:rsid w:val="00D15A42"/>
    <w:rsid w:val="00D16200"/>
    <w:rsid w:val="00D16617"/>
    <w:rsid w:val="00D166BC"/>
    <w:rsid w:val="00D16B6E"/>
    <w:rsid w:val="00D16CA6"/>
    <w:rsid w:val="00D178C1"/>
    <w:rsid w:val="00D204A8"/>
    <w:rsid w:val="00D20BA6"/>
    <w:rsid w:val="00D2157E"/>
    <w:rsid w:val="00D222FA"/>
    <w:rsid w:val="00D22C78"/>
    <w:rsid w:val="00D22CFE"/>
    <w:rsid w:val="00D22DD3"/>
    <w:rsid w:val="00D23483"/>
    <w:rsid w:val="00D23F37"/>
    <w:rsid w:val="00D24A7F"/>
    <w:rsid w:val="00D25700"/>
    <w:rsid w:val="00D25E80"/>
    <w:rsid w:val="00D25EAC"/>
    <w:rsid w:val="00D275E8"/>
    <w:rsid w:val="00D27622"/>
    <w:rsid w:val="00D3011E"/>
    <w:rsid w:val="00D3017E"/>
    <w:rsid w:val="00D3063F"/>
    <w:rsid w:val="00D31C9C"/>
    <w:rsid w:val="00D332EB"/>
    <w:rsid w:val="00D33B87"/>
    <w:rsid w:val="00D33B88"/>
    <w:rsid w:val="00D34EB6"/>
    <w:rsid w:val="00D35192"/>
    <w:rsid w:val="00D358AB"/>
    <w:rsid w:val="00D364F0"/>
    <w:rsid w:val="00D36891"/>
    <w:rsid w:val="00D40318"/>
    <w:rsid w:val="00D40322"/>
    <w:rsid w:val="00D40A02"/>
    <w:rsid w:val="00D4262D"/>
    <w:rsid w:val="00D430E8"/>
    <w:rsid w:val="00D43AFF"/>
    <w:rsid w:val="00D4448B"/>
    <w:rsid w:val="00D44FBF"/>
    <w:rsid w:val="00D4632D"/>
    <w:rsid w:val="00D46F6A"/>
    <w:rsid w:val="00D478E7"/>
    <w:rsid w:val="00D47F21"/>
    <w:rsid w:val="00D5009C"/>
    <w:rsid w:val="00D50833"/>
    <w:rsid w:val="00D50AE9"/>
    <w:rsid w:val="00D50B46"/>
    <w:rsid w:val="00D50D96"/>
    <w:rsid w:val="00D51150"/>
    <w:rsid w:val="00D5147E"/>
    <w:rsid w:val="00D51ABA"/>
    <w:rsid w:val="00D51DF2"/>
    <w:rsid w:val="00D53DDC"/>
    <w:rsid w:val="00D54A7A"/>
    <w:rsid w:val="00D54C9B"/>
    <w:rsid w:val="00D55A2D"/>
    <w:rsid w:val="00D570A1"/>
    <w:rsid w:val="00D57860"/>
    <w:rsid w:val="00D57A30"/>
    <w:rsid w:val="00D62E1F"/>
    <w:rsid w:val="00D63A3E"/>
    <w:rsid w:val="00D644EE"/>
    <w:rsid w:val="00D648D1"/>
    <w:rsid w:val="00D67AE3"/>
    <w:rsid w:val="00D67DE9"/>
    <w:rsid w:val="00D71F9B"/>
    <w:rsid w:val="00D72953"/>
    <w:rsid w:val="00D74509"/>
    <w:rsid w:val="00D7582E"/>
    <w:rsid w:val="00D76E74"/>
    <w:rsid w:val="00D774D7"/>
    <w:rsid w:val="00D77ABA"/>
    <w:rsid w:val="00D807D7"/>
    <w:rsid w:val="00D82DEF"/>
    <w:rsid w:val="00D83870"/>
    <w:rsid w:val="00D83FC9"/>
    <w:rsid w:val="00D84067"/>
    <w:rsid w:val="00D842E9"/>
    <w:rsid w:val="00D850E3"/>
    <w:rsid w:val="00D85165"/>
    <w:rsid w:val="00D857B3"/>
    <w:rsid w:val="00D86173"/>
    <w:rsid w:val="00D87710"/>
    <w:rsid w:val="00D87917"/>
    <w:rsid w:val="00D90235"/>
    <w:rsid w:val="00D90E33"/>
    <w:rsid w:val="00D91ABE"/>
    <w:rsid w:val="00D92480"/>
    <w:rsid w:val="00D92FE1"/>
    <w:rsid w:val="00D93231"/>
    <w:rsid w:val="00D94628"/>
    <w:rsid w:val="00D94B32"/>
    <w:rsid w:val="00D959C5"/>
    <w:rsid w:val="00D97BA2"/>
    <w:rsid w:val="00DA0403"/>
    <w:rsid w:val="00DA3BB1"/>
    <w:rsid w:val="00DA40BE"/>
    <w:rsid w:val="00DA422B"/>
    <w:rsid w:val="00DA4AEF"/>
    <w:rsid w:val="00DA4C3D"/>
    <w:rsid w:val="00DA4CAA"/>
    <w:rsid w:val="00DA5AAA"/>
    <w:rsid w:val="00DA6B3E"/>
    <w:rsid w:val="00DB05C3"/>
    <w:rsid w:val="00DB183C"/>
    <w:rsid w:val="00DB18FA"/>
    <w:rsid w:val="00DB1B58"/>
    <w:rsid w:val="00DB1E80"/>
    <w:rsid w:val="00DB1FD6"/>
    <w:rsid w:val="00DB26CD"/>
    <w:rsid w:val="00DB2852"/>
    <w:rsid w:val="00DB3079"/>
    <w:rsid w:val="00DB377D"/>
    <w:rsid w:val="00DB49B1"/>
    <w:rsid w:val="00DB4A42"/>
    <w:rsid w:val="00DB4DF0"/>
    <w:rsid w:val="00DB4E80"/>
    <w:rsid w:val="00DB5A18"/>
    <w:rsid w:val="00DB5D9E"/>
    <w:rsid w:val="00DB6159"/>
    <w:rsid w:val="00DB63EB"/>
    <w:rsid w:val="00DB6DBC"/>
    <w:rsid w:val="00DB7D12"/>
    <w:rsid w:val="00DB7D6D"/>
    <w:rsid w:val="00DB7DFB"/>
    <w:rsid w:val="00DC07C9"/>
    <w:rsid w:val="00DC09C8"/>
    <w:rsid w:val="00DC0AA8"/>
    <w:rsid w:val="00DC2ED1"/>
    <w:rsid w:val="00DC36A5"/>
    <w:rsid w:val="00DC5EA5"/>
    <w:rsid w:val="00DC6AF0"/>
    <w:rsid w:val="00DC77F3"/>
    <w:rsid w:val="00DC7868"/>
    <w:rsid w:val="00DC7D12"/>
    <w:rsid w:val="00DD0308"/>
    <w:rsid w:val="00DD20CF"/>
    <w:rsid w:val="00DD3642"/>
    <w:rsid w:val="00DD3C68"/>
    <w:rsid w:val="00DD3F86"/>
    <w:rsid w:val="00DD49E7"/>
    <w:rsid w:val="00DD4A0E"/>
    <w:rsid w:val="00DD5666"/>
    <w:rsid w:val="00DD5AEB"/>
    <w:rsid w:val="00DD5B0A"/>
    <w:rsid w:val="00DD6E10"/>
    <w:rsid w:val="00DD792C"/>
    <w:rsid w:val="00DE2D55"/>
    <w:rsid w:val="00DE2DD9"/>
    <w:rsid w:val="00DE35E9"/>
    <w:rsid w:val="00DE3803"/>
    <w:rsid w:val="00DE4B3E"/>
    <w:rsid w:val="00DE4CA1"/>
    <w:rsid w:val="00DE5781"/>
    <w:rsid w:val="00DE5CCE"/>
    <w:rsid w:val="00DE5D00"/>
    <w:rsid w:val="00DE7B72"/>
    <w:rsid w:val="00DE7EE9"/>
    <w:rsid w:val="00DF0AE6"/>
    <w:rsid w:val="00DF198E"/>
    <w:rsid w:val="00DF1D3A"/>
    <w:rsid w:val="00DF1F4F"/>
    <w:rsid w:val="00DF2963"/>
    <w:rsid w:val="00DF2DF5"/>
    <w:rsid w:val="00DF2FCD"/>
    <w:rsid w:val="00DF5618"/>
    <w:rsid w:val="00DF7797"/>
    <w:rsid w:val="00DF7DB3"/>
    <w:rsid w:val="00E0026A"/>
    <w:rsid w:val="00E00313"/>
    <w:rsid w:val="00E01670"/>
    <w:rsid w:val="00E02125"/>
    <w:rsid w:val="00E028F0"/>
    <w:rsid w:val="00E02D2D"/>
    <w:rsid w:val="00E034A4"/>
    <w:rsid w:val="00E0460B"/>
    <w:rsid w:val="00E04FC5"/>
    <w:rsid w:val="00E058AF"/>
    <w:rsid w:val="00E05F47"/>
    <w:rsid w:val="00E05F75"/>
    <w:rsid w:val="00E07AF1"/>
    <w:rsid w:val="00E07E8A"/>
    <w:rsid w:val="00E11417"/>
    <w:rsid w:val="00E115C5"/>
    <w:rsid w:val="00E11BED"/>
    <w:rsid w:val="00E13B34"/>
    <w:rsid w:val="00E13CFD"/>
    <w:rsid w:val="00E13DCA"/>
    <w:rsid w:val="00E13EBE"/>
    <w:rsid w:val="00E1612F"/>
    <w:rsid w:val="00E16195"/>
    <w:rsid w:val="00E16231"/>
    <w:rsid w:val="00E16F0B"/>
    <w:rsid w:val="00E1746D"/>
    <w:rsid w:val="00E177CA"/>
    <w:rsid w:val="00E17976"/>
    <w:rsid w:val="00E23A7B"/>
    <w:rsid w:val="00E23BCB"/>
    <w:rsid w:val="00E2505D"/>
    <w:rsid w:val="00E2511A"/>
    <w:rsid w:val="00E25474"/>
    <w:rsid w:val="00E25720"/>
    <w:rsid w:val="00E26216"/>
    <w:rsid w:val="00E26367"/>
    <w:rsid w:val="00E278EC"/>
    <w:rsid w:val="00E27CB4"/>
    <w:rsid w:val="00E30041"/>
    <w:rsid w:val="00E30D66"/>
    <w:rsid w:val="00E31637"/>
    <w:rsid w:val="00E32673"/>
    <w:rsid w:val="00E326A9"/>
    <w:rsid w:val="00E33CC2"/>
    <w:rsid w:val="00E35C79"/>
    <w:rsid w:val="00E379C8"/>
    <w:rsid w:val="00E4099D"/>
    <w:rsid w:val="00E409F8"/>
    <w:rsid w:val="00E415C5"/>
    <w:rsid w:val="00E41973"/>
    <w:rsid w:val="00E41CC2"/>
    <w:rsid w:val="00E425AC"/>
    <w:rsid w:val="00E43335"/>
    <w:rsid w:val="00E464C7"/>
    <w:rsid w:val="00E469A9"/>
    <w:rsid w:val="00E50240"/>
    <w:rsid w:val="00E503DD"/>
    <w:rsid w:val="00E5075B"/>
    <w:rsid w:val="00E5178F"/>
    <w:rsid w:val="00E51BEF"/>
    <w:rsid w:val="00E52D7F"/>
    <w:rsid w:val="00E533B8"/>
    <w:rsid w:val="00E53456"/>
    <w:rsid w:val="00E53889"/>
    <w:rsid w:val="00E53A8F"/>
    <w:rsid w:val="00E53CC3"/>
    <w:rsid w:val="00E53F71"/>
    <w:rsid w:val="00E54293"/>
    <w:rsid w:val="00E54693"/>
    <w:rsid w:val="00E54C29"/>
    <w:rsid w:val="00E56CEE"/>
    <w:rsid w:val="00E60ABE"/>
    <w:rsid w:val="00E61314"/>
    <w:rsid w:val="00E61A0E"/>
    <w:rsid w:val="00E62DDB"/>
    <w:rsid w:val="00E63CA4"/>
    <w:rsid w:val="00E64E2F"/>
    <w:rsid w:val="00E65F66"/>
    <w:rsid w:val="00E668AF"/>
    <w:rsid w:val="00E66E1E"/>
    <w:rsid w:val="00E673E7"/>
    <w:rsid w:val="00E67B83"/>
    <w:rsid w:val="00E67D74"/>
    <w:rsid w:val="00E67F85"/>
    <w:rsid w:val="00E70C9A"/>
    <w:rsid w:val="00E7276A"/>
    <w:rsid w:val="00E72ADF"/>
    <w:rsid w:val="00E74AD2"/>
    <w:rsid w:val="00E74B01"/>
    <w:rsid w:val="00E74C35"/>
    <w:rsid w:val="00E74E09"/>
    <w:rsid w:val="00E772DB"/>
    <w:rsid w:val="00E7732E"/>
    <w:rsid w:val="00E77E59"/>
    <w:rsid w:val="00E80C49"/>
    <w:rsid w:val="00E815CC"/>
    <w:rsid w:val="00E828BB"/>
    <w:rsid w:val="00E846BA"/>
    <w:rsid w:val="00E847E8"/>
    <w:rsid w:val="00E84EDE"/>
    <w:rsid w:val="00E851BD"/>
    <w:rsid w:val="00E864FE"/>
    <w:rsid w:val="00E877B1"/>
    <w:rsid w:val="00E87D07"/>
    <w:rsid w:val="00E908C4"/>
    <w:rsid w:val="00E90C45"/>
    <w:rsid w:val="00E92758"/>
    <w:rsid w:val="00E92BDF"/>
    <w:rsid w:val="00E93555"/>
    <w:rsid w:val="00E9373E"/>
    <w:rsid w:val="00E93893"/>
    <w:rsid w:val="00E93ABF"/>
    <w:rsid w:val="00E94364"/>
    <w:rsid w:val="00E94847"/>
    <w:rsid w:val="00E954E4"/>
    <w:rsid w:val="00E957D8"/>
    <w:rsid w:val="00E966D1"/>
    <w:rsid w:val="00EA09DC"/>
    <w:rsid w:val="00EA12A1"/>
    <w:rsid w:val="00EA1736"/>
    <w:rsid w:val="00EA1771"/>
    <w:rsid w:val="00EA25A6"/>
    <w:rsid w:val="00EA30CF"/>
    <w:rsid w:val="00EA36FF"/>
    <w:rsid w:val="00EA3863"/>
    <w:rsid w:val="00EA41C6"/>
    <w:rsid w:val="00EA4823"/>
    <w:rsid w:val="00EA4A28"/>
    <w:rsid w:val="00EA5F99"/>
    <w:rsid w:val="00EA798D"/>
    <w:rsid w:val="00EA7C59"/>
    <w:rsid w:val="00EA7F96"/>
    <w:rsid w:val="00EB063E"/>
    <w:rsid w:val="00EB1C93"/>
    <w:rsid w:val="00EB2197"/>
    <w:rsid w:val="00EB2223"/>
    <w:rsid w:val="00EB25A4"/>
    <w:rsid w:val="00EB32C9"/>
    <w:rsid w:val="00EB45CE"/>
    <w:rsid w:val="00EB6298"/>
    <w:rsid w:val="00EB6650"/>
    <w:rsid w:val="00EB67B1"/>
    <w:rsid w:val="00EB6840"/>
    <w:rsid w:val="00EB6A15"/>
    <w:rsid w:val="00EB6DA5"/>
    <w:rsid w:val="00EB77E5"/>
    <w:rsid w:val="00EC0810"/>
    <w:rsid w:val="00EC0DBD"/>
    <w:rsid w:val="00EC2C59"/>
    <w:rsid w:val="00EC3968"/>
    <w:rsid w:val="00EC4986"/>
    <w:rsid w:val="00EC4D15"/>
    <w:rsid w:val="00EC671B"/>
    <w:rsid w:val="00EC6F16"/>
    <w:rsid w:val="00EC71B6"/>
    <w:rsid w:val="00EC7352"/>
    <w:rsid w:val="00ED0106"/>
    <w:rsid w:val="00ED0585"/>
    <w:rsid w:val="00ED09AA"/>
    <w:rsid w:val="00ED0D77"/>
    <w:rsid w:val="00ED151A"/>
    <w:rsid w:val="00ED158C"/>
    <w:rsid w:val="00ED1F2F"/>
    <w:rsid w:val="00ED3050"/>
    <w:rsid w:val="00ED308E"/>
    <w:rsid w:val="00ED34ED"/>
    <w:rsid w:val="00ED3BEF"/>
    <w:rsid w:val="00ED3F3E"/>
    <w:rsid w:val="00ED6458"/>
    <w:rsid w:val="00ED6CA3"/>
    <w:rsid w:val="00ED758E"/>
    <w:rsid w:val="00ED76B7"/>
    <w:rsid w:val="00ED7A8F"/>
    <w:rsid w:val="00EE0C69"/>
    <w:rsid w:val="00EE17C7"/>
    <w:rsid w:val="00EE28BA"/>
    <w:rsid w:val="00EE2D36"/>
    <w:rsid w:val="00EE3690"/>
    <w:rsid w:val="00EE39AD"/>
    <w:rsid w:val="00EE3C2B"/>
    <w:rsid w:val="00EE4890"/>
    <w:rsid w:val="00EE48A7"/>
    <w:rsid w:val="00EE6E6F"/>
    <w:rsid w:val="00EE6FEF"/>
    <w:rsid w:val="00EE7344"/>
    <w:rsid w:val="00EF0369"/>
    <w:rsid w:val="00EF0378"/>
    <w:rsid w:val="00EF0B94"/>
    <w:rsid w:val="00EF0C1D"/>
    <w:rsid w:val="00EF19F2"/>
    <w:rsid w:val="00EF1EA3"/>
    <w:rsid w:val="00EF23D7"/>
    <w:rsid w:val="00EF2710"/>
    <w:rsid w:val="00EF2CA5"/>
    <w:rsid w:val="00EF33A1"/>
    <w:rsid w:val="00EF3F9C"/>
    <w:rsid w:val="00EF436E"/>
    <w:rsid w:val="00EF4682"/>
    <w:rsid w:val="00EF5810"/>
    <w:rsid w:val="00EF623F"/>
    <w:rsid w:val="00EF7016"/>
    <w:rsid w:val="00F00968"/>
    <w:rsid w:val="00F00DEE"/>
    <w:rsid w:val="00F016B1"/>
    <w:rsid w:val="00F0299E"/>
    <w:rsid w:val="00F03195"/>
    <w:rsid w:val="00F04F7C"/>
    <w:rsid w:val="00F04FAC"/>
    <w:rsid w:val="00F052CB"/>
    <w:rsid w:val="00F057CF"/>
    <w:rsid w:val="00F063A4"/>
    <w:rsid w:val="00F06E69"/>
    <w:rsid w:val="00F070DC"/>
    <w:rsid w:val="00F10E44"/>
    <w:rsid w:val="00F119FE"/>
    <w:rsid w:val="00F11D47"/>
    <w:rsid w:val="00F12572"/>
    <w:rsid w:val="00F13740"/>
    <w:rsid w:val="00F1386C"/>
    <w:rsid w:val="00F14D31"/>
    <w:rsid w:val="00F14E8E"/>
    <w:rsid w:val="00F14EF3"/>
    <w:rsid w:val="00F14FC7"/>
    <w:rsid w:val="00F154E4"/>
    <w:rsid w:val="00F16057"/>
    <w:rsid w:val="00F16681"/>
    <w:rsid w:val="00F16751"/>
    <w:rsid w:val="00F16EC2"/>
    <w:rsid w:val="00F1790C"/>
    <w:rsid w:val="00F1796B"/>
    <w:rsid w:val="00F17D09"/>
    <w:rsid w:val="00F20606"/>
    <w:rsid w:val="00F20C3C"/>
    <w:rsid w:val="00F21468"/>
    <w:rsid w:val="00F22019"/>
    <w:rsid w:val="00F22370"/>
    <w:rsid w:val="00F22411"/>
    <w:rsid w:val="00F22462"/>
    <w:rsid w:val="00F23064"/>
    <w:rsid w:val="00F23109"/>
    <w:rsid w:val="00F231D2"/>
    <w:rsid w:val="00F2405F"/>
    <w:rsid w:val="00F261A8"/>
    <w:rsid w:val="00F26BCA"/>
    <w:rsid w:val="00F306F9"/>
    <w:rsid w:val="00F30D5D"/>
    <w:rsid w:val="00F31261"/>
    <w:rsid w:val="00F312FD"/>
    <w:rsid w:val="00F31B87"/>
    <w:rsid w:val="00F34D9A"/>
    <w:rsid w:val="00F35641"/>
    <w:rsid w:val="00F35894"/>
    <w:rsid w:val="00F35A92"/>
    <w:rsid w:val="00F371E1"/>
    <w:rsid w:val="00F37B5B"/>
    <w:rsid w:val="00F37FD2"/>
    <w:rsid w:val="00F413A2"/>
    <w:rsid w:val="00F422F8"/>
    <w:rsid w:val="00F430DD"/>
    <w:rsid w:val="00F43DA5"/>
    <w:rsid w:val="00F441FE"/>
    <w:rsid w:val="00F44F20"/>
    <w:rsid w:val="00F4526D"/>
    <w:rsid w:val="00F4537E"/>
    <w:rsid w:val="00F454E6"/>
    <w:rsid w:val="00F459F7"/>
    <w:rsid w:val="00F466F9"/>
    <w:rsid w:val="00F467A5"/>
    <w:rsid w:val="00F47015"/>
    <w:rsid w:val="00F474F5"/>
    <w:rsid w:val="00F4750B"/>
    <w:rsid w:val="00F503F1"/>
    <w:rsid w:val="00F50F33"/>
    <w:rsid w:val="00F51260"/>
    <w:rsid w:val="00F51EE8"/>
    <w:rsid w:val="00F52D5E"/>
    <w:rsid w:val="00F52EF3"/>
    <w:rsid w:val="00F52FCD"/>
    <w:rsid w:val="00F542E5"/>
    <w:rsid w:val="00F54DE7"/>
    <w:rsid w:val="00F54E33"/>
    <w:rsid w:val="00F54EA0"/>
    <w:rsid w:val="00F56E20"/>
    <w:rsid w:val="00F578CD"/>
    <w:rsid w:val="00F602BC"/>
    <w:rsid w:val="00F60591"/>
    <w:rsid w:val="00F61579"/>
    <w:rsid w:val="00F63738"/>
    <w:rsid w:val="00F638B8"/>
    <w:rsid w:val="00F639C6"/>
    <w:rsid w:val="00F64795"/>
    <w:rsid w:val="00F649DD"/>
    <w:rsid w:val="00F64D4C"/>
    <w:rsid w:val="00F65158"/>
    <w:rsid w:val="00F660A1"/>
    <w:rsid w:val="00F66DA4"/>
    <w:rsid w:val="00F66EF3"/>
    <w:rsid w:val="00F6757D"/>
    <w:rsid w:val="00F6789A"/>
    <w:rsid w:val="00F67E27"/>
    <w:rsid w:val="00F7135B"/>
    <w:rsid w:val="00F713ED"/>
    <w:rsid w:val="00F7154D"/>
    <w:rsid w:val="00F72092"/>
    <w:rsid w:val="00F720DD"/>
    <w:rsid w:val="00F73916"/>
    <w:rsid w:val="00F74C23"/>
    <w:rsid w:val="00F74C63"/>
    <w:rsid w:val="00F76FBB"/>
    <w:rsid w:val="00F80AF3"/>
    <w:rsid w:val="00F80DFB"/>
    <w:rsid w:val="00F8122A"/>
    <w:rsid w:val="00F81839"/>
    <w:rsid w:val="00F81933"/>
    <w:rsid w:val="00F820B3"/>
    <w:rsid w:val="00F82266"/>
    <w:rsid w:val="00F82639"/>
    <w:rsid w:val="00F83546"/>
    <w:rsid w:val="00F84244"/>
    <w:rsid w:val="00F85301"/>
    <w:rsid w:val="00F8535C"/>
    <w:rsid w:val="00F8599F"/>
    <w:rsid w:val="00F87356"/>
    <w:rsid w:val="00F877E2"/>
    <w:rsid w:val="00F90028"/>
    <w:rsid w:val="00F91219"/>
    <w:rsid w:val="00F91727"/>
    <w:rsid w:val="00F92BFB"/>
    <w:rsid w:val="00F93BF5"/>
    <w:rsid w:val="00F94B72"/>
    <w:rsid w:val="00F94EB8"/>
    <w:rsid w:val="00F95D3D"/>
    <w:rsid w:val="00F9653C"/>
    <w:rsid w:val="00F96B4C"/>
    <w:rsid w:val="00F96F5F"/>
    <w:rsid w:val="00F97965"/>
    <w:rsid w:val="00F97AA9"/>
    <w:rsid w:val="00FA0009"/>
    <w:rsid w:val="00FA0458"/>
    <w:rsid w:val="00FA0920"/>
    <w:rsid w:val="00FA144A"/>
    <w:rsid w:val="00FA184A"/>
    <w:rsid w:val="00FA1C04"/>
    <w:rsid w:val="00FA1F08"/>
    <w:rsid w:val="00FA2140"/>
    <w:rsid w:val="00FA23F3"/>
    <w:rsid w:val="00FA24B9"/>
    <w:rsid w:val="00FA2701"/>
    <w:rsid w:val="00FA27F3"/>
    <w:rsid w:val="00FA2F53"/>
    <w:rsid w:val="00FA30CC"/>
    <w:rsid w:val="00FA49B4"/>
    <w:rsid w:val="00FA65D1"/>
    <w:rsid w:val="00FA66A0"/>
    <w:rsid w:val="00FA6741"/>
    <w:rsid w:val="00FA74FA"/>
    <w:rsid w:val="00FA7FE1"/>
    <w:rsid w:val="00FB10CA"/>
    <w:rsid w:val="00FB2F9C"/>
    <w:rsid w:val="00FB3CDC"/>
    <w:rsid w:val="00FB3D56"/>
    <w:rsid w:val="00FB4D57"/>
    <w:rsid w:val="00FB50CB"/>
    <w:rsid w:val="00FB59E8"/>
    <w:rsid w:val="00FB5F23"/>
    <w:rsid w:val="00FB60BB"/>
    <w:rsid w:val="00FB6493"/>
    <w:rsid w:val="00FB6B9D"/>
    <w:rsid w:val="00FC1251"/>
    <w:rsid w:val="00FC12DE"/>
    <w:rsid w:val="00FC15D0"/>
    <w:rsid w:val="00FC1BA5"/>
    <w:rsid w:val="00FC3B9E"/>
    <w:rsid w:val="00FC40E5"/>
    <w:rsid w:val="00FC56C3"/>
    <w:rsid w:val="00FC5B39"/>
    <w:rsid w:val="00FC5CBB"/>
    <w:rsid w:val="00FC610F"/>
    <w:rsid w:val="00FC6167"/>
    <w:rsid w:val="00FC7C9D"/>
    <w:rsid w:val="00FD02EF"/>
    <w:rsid w:val="00FD0F2F"/>
    <w:rsid w:val="00FD2A7C"/>
    <w:rsid w:val="00FD2C46"/>
    <w:rsid w:val="00FD3654"/>
    <w:rsid w:val="00FD43AA"/>
    <w:rsid w:val="00FD4546"/>
    <w:rsid w:val="00FD4971"/>
    <w:rsid w:val="00FD582F"/>
    <w:rsid w:val="00FD7452"/>
    <w:rsid w:val="00FE03D9"/>
    <w:rsid w:val="00FE0800"/>
    <w:rsid w:val="00FE1228"/>
    <w:rsid w:val="00FE15D7"/>
    <w:rsid w:val="00FE17A3"/>
    <w:rsid w:val="00FE1848"/>
    <w:rsid w:val="00FE2D2C"/>
    <w:rsid w:val="00FE3678"/>
    <w:rsid w:val="00FE3CF7"/>
    <w:rsid w:val="00FE4903"/>
    <w:rsid w:val="00FE6B73"/>
    <w:rsid w:val="00FE7E3C"/>
    <w:rsid w:val="00FF0631"/>
    <w:rsid w:val="00FF0D12"/>
    <w:rsid w:val="00FF0E24"/>
    <w:rsid w:val="00FF253D"/>
    <w:rsid w:val="00FF2CFD"/>
    <w:rsid w:val="00FF3BF1"/>
    <w:rsid w:val="00FF4518"/>
    <w:rsid w:val="00FF45F3"/>
    <w:rsid w:val="00FF53FF"/>
    <w:rsid w:val="00FF56E7"/>
    <w:rsid w:val="00FF5CE9"/>
    <w:rsid w:val="00FF6871"/>
    <w:rsid w:val="00FF6953"/>
    <w:rsid w:val="00FF719D"/>
    <w:rsid w:val="00FF7BDA"/>
    <w:rsid w:val="01001C1A"/>
    <w:rsid w:val="01529717"/>
    <w:rsid w:val="018CF71F"/>
    <w:rsid w:val="02270155"/>
    <w:rsid w:val="0262B72B"/>
    <w:rsid w:val="02A37834"/>
    <w:rsid w:val="0337C4FB"/>
    <w:rsid w:val="0395A86E"/>
    <w:rsid w:val="04007572"/>
    <w:rsid w:val="0433E620"/>
    <w:rsid w:val="04A03B8E"/>
    <w:rsid w:val="04C5FAB1"/>
    <w:rsid w:val="057B4A0D"/>
    <w:rsid w:val="0594EE75"/>
    <w:rsid w:val="05FC2A0C"/>
    <w:rsid w:val="062421A8"/>
    <w:rsid w:val="0650FDD0"/>
    <w:rsid w:val="0693C4D5"/>
    <w:rsid w:val="076C2CBE"/>
    <w:rsid w:val="07716978"/>
    <w:rsid w:val="07E4DCD0"/>
    <w:rsid w:val="087A25B9"/>
    <w:rsid w:val="091DA360"/>
    <w:rsid w:val="094220F7"/>
    <w:rsid w:val="094C942C"/>
    <w:rsid w:val="0A0F35D4"/>
    <w:rsid w:val="0ADD0875"/>
    <w:rsid w:val="0AF229B4"/>
    <w:rsid w:val="0B2425C3"/>
    <w:rsid w:val="0B5AD757"/>
    <w:rsid w:val="0B913291"/>
    <w:rsid w:val="0BE7F6FB"/>
    <w:rsid w:val="0C0AA4B6"/>
    <w:rsid w:val="0DA5674C"/>
    <w:rsid w:val="0DADE2BE"/>
    <w:rsid w:val="0DD75CF5"/>
    <w:rsid w:val="0E598504"/>
    <w:rsid w:val="0ECDE875"/>
    <w:rsid w:val="0F8FB3BE"/>
    <w:rsid w:val="0FCF87A3"/>
    <w:rsid w:val="1044A876"/>
    <w:rsid w:val="10A0AB0D"/>
    <w:rsid w:val="1167D04C"/>
    <w:rsid w:val="11A91CD0"/>
    <w:rsid w:val="11C08D7C"/>
    <w:rsid w:val="1243A8F9"/>
    <w:rsid w:val="134ED101"/>
    <w:rsid w:val="13B31E54"/>
    <w:rsid w:val="145634FD"/>
    <w:rsid w:val="14ED93E5"/>
    <w:rsid w:val="1538B6C3"/>
    <w:rsid w:val="159B6568"/>
    <w:rsid w:val="16260207"/>
    <w:rsid w:val="16CB3772"/>
    <w:rsid w:val="172C7651"/>
    <w:rsid w:val="17687AF5"/>
    <w:rsid w:val="17F07BE8"/>
    <w:rsid w:val="181AACA3"/>
    <w:rsid w:val="1850200D"/>
    <w:rsid w:val="191A77BD"/>
    <w:rsid w:val="19226094"/>
    <w:rsid w:val="193FB2E9"/>
    <w:rsid w:val="195B73F5"/>
    <w:rsid w:val="19666890"/>
    <w:rsid w:val="19E6F773"/>
    <w:rsid w:val="1A9169E4"/>
    <w:rsid w:val="1AB08BEB"/>
    <w:rsid w:val="1B4C9C2A"/>
    <w:rsid w:val="1B8B8472"/>
    <w:rsid w:val="1D244FCB"/>
    <w:rsid w:val="1D5C93CF"/>
    <w:rsid w:val="1D7178D7"/>
    <w:rsid w:val="1DCF3DA7"/>
    <w:rsid w:val="1E8AE8EB"/>
    <w:rsid w:val="1E8F9661"/>
    <w:rsid w:val="1E959C67"/>
    <w:rsid w:val="1EC541FB"/>
    <w:rsid w:val="1F7D5E1F"/>
    <w:rsid w:val="20237BD1"/>
    <w:rsid w:val="204D82A5"/>
    <w:rsid w:val="20930501"/>
    <w:rsid w:val="20A1B1AA"/>
    <w:rsid w:val="20CB2416"/>
    <w:rsid w:val="2143F036"/>
    <w:rsid w:val="218BD0E1"/>
    <w:rsid w:val="224C39A7"/>
    <w:rsid w:val="22EB083A"/>
    <w:rsid w:val="22FD4DC6"/>
    <w:rsid w:val="235AF1B0"/>
    <w:rsid w:val="2366D123"/>
    <w:rsid w:val="242C97AF"/>
    <w:rsid w:val="244930CE"/>
    <w:rsid w:val="2488E1D9"/>
    <w:rsid w:val="266244AC"/>
    <w:rsid w:val="269B8EF3"/>
    <w:rsid w:val="26E9C950"/>
    <w:rsid w:val="280ABB05"/>
    <w:rsid w:val="28366DB5"/>
    <w:rsid w:val="285D4968"/>
    <w:rsid w:val="28A577C9"/>
    <w:rsid w:val="28C497A7"/>
    <w:rsid w:val="28CFBEF6"/>
    <w:rsid w:val="28F267BD"/>
    <w:rsid w:val="29904874"/>
    <w:rsid w:val="29C2CF8F"/>
    <w:rsid w:val="29C42E85"/>
    <w:rsid w:val="29C5E1FB"/>
    <w:rsid w:val="29C847F7"/>
    <w:rsid w:val="2A6BCC4E"/>
    <w:rsid w:val="2A901340"/>
    <w:rsid w:val="2B443780"/>
    <w:rsid w:val="2B4B5362"/>
    <w:rsid w:val="2B9325FC"/>
    <w:rsid w:val="2BA5DF6F"/>
    <w:rsid w:val="2BAC99DE"/>
    <w:rsid w:val="2BD76DEB"/>
    <w:rsid w:val="2BE10679"/>
    <w:rsid w:val="2C13D94C"/>
    <w:rsid w:val="2C4EC15E"/>
    <w:rsid w:val="2CDB698C"/>
    <w:rsid w:val="2CE7F830"/>
    <w:rsid w:val="2D2F4715"/>
    <w:rsid w:val="2D504770"/>
    <w:rsid w:val="2DFEFE7D"/>
    <w:rsid w:val="2E434E42"/>
    <w:rsid w:val="2EA50C42"/>
    <w:rsid w:val="2EF40157"/>
    <w:rsid w:val="2FAF08FF"/>
    <w:rsid w:val="2FD0B010"/>
    <w:rsid w:val="30F87885"/>
    <w:rsid w:val="313FAB69"/>
    <w:rsid w:val="31A3737B"/>
    <w:rsid w:val="31FFBDBF"/>
    <w:rsid w:val="325BCD53"/>
    <w:rsid w:val="32664C4B"/>
    <w:rsid w:val="32A5D5EA"/>
    <w:rsid w:val="32BAD559"/>
    <w:rsid w:val="32D24AD4"/>
    <w:rsid w:val="330AB89E"/>
    <w:rsid w:val="330DCF24"/>
    <w:rsid w:val="33523CDD"/>
    <w:rsid w:val="336D8E81"/>
    <w:rsid w:val="3391474E"/>
    <w:rsid w:val="33DDD6E3"/>
    <w:rsid w:val="34204653"/>
    <w:rsid w:val="34772867"/>
    <w:rsid w:val="3484CDBE"/>
    <w:rsid w:val="351FADA6"/>
    <w:rsid w:val="3550DB3D"/>
    <w:rsid w:val="366C969A"/>
    <w:rsid w:val="3720B587"/>
    <w:rsid w:val="37440D4A"/>
    <w:rsid w:val="37484EC4"/>
    <w:rsid w:val="3758D3F9"/>
    <w:rsid w:val="37E5BC81"/>
    <w:rsid w:val="38092C4D"/>
    <w:rsid w:val="385BDDCB"/>
    <w:rsid w:val="3862F3DF"/>
    <w:rsid w:val="386CF61D"/>
    <w:rsid w:val="38B56BD4"/>
    <w:rsid w:val="38B952D8"/>
    <w:rsid w:val="38CBAF21"/>
    <w:rsid w:val="390E1F0B"/>
    <w:rsid w:val="393FF987"/>
    <w:rsid w:val="399C5A50"/>
    <w:rsid w:val="39B2530A"/>
    <w:rsid w:val="39E68BF8"/>
    <w:rsid w:val="3A6F144B"/>
    <w:rsid w:val="3A8A05F4"/>
    <w:rsid w:val="3ABAC4CD"/>
    <w:rsid w:val="3B0AE822"/>
    <w:rsid w:val="3B5CD0EB"/>
    <w:rsid w:val="3BE9D57E"/>
    <w:rsid w:val="3C23EEA1"/>
    <w:rsid w:val="3C5D7D5F"/>
    <w:rsid w:val="3D027161"/>
    <w:rsid w:val="3E28BD00"/>
    <w:rsid w:val="3E932A54"/>
    <w:rsid w:val="3ECE8903"/>
    <w:rsid w:val="3ED5352C"/>
    <w:rsid w:val="3ED5C525"/>
    <w:rsid w:val="3EF84EC2"/>
    <w:rsid w:val="3EFBBFC9"/>
    <w:rsid w:val="3F79D35A"/>
    <w:rsid w:val="3FA96077"/>
    <w:rsid w:val="3FEE4CBE"/>
    <w:rsid w:val="408BAAA6"/>
    <w:rsid w:val="41047B24"/>
    <w:rsid w:val="41B38E64"/>
    <w:rsid w:val="42B38024"/>
    <w:rsid w:val="42CED5F1"/>
    <w:rsid w:val="42E38DF7"/>
    <w:rsid w:val="42FDFB95"/>
    <w:rsid w:val="434613B9"/>
    <w:rsid w:val="438C3947"/>
    <w:rsid w:val="4403A0D8"/>
    <w:rsid w:val="4412184F"/>
    <w:rsid w:val="4457F93E"/>
    <w:rsid w:val="449480D2"/>
    <w:rsid w:val="4509859E"/>
    <w:rsid w:val="45517FA1"/>
    <w:rsid w:val="455DCCC5"/>
    <w:rsid w:val="45B010C7"/>
    <w:rsid w:val="45B6F5C9"/>
    <w:rsid w:val="46154710"/>
    <w:rsid w:val="46221091"/>
    <w:rsid w:val="4639362C"/>
    <w:rsid w:val="468E64AD"/>
    <w:rsid w:val="47C00354"/>
    <w:rsid w:val="47CBA3BD"/>
    <w:rsid w:val="47EC5AF8"/>
    <w:rsid w:val="47FD2E90"/>
    <w:rsid w:val="4854E3E9"/>
    <w:rsid w:val="48A21E80"/>
    <w:rsid w:val="48D2155B"/>
    <w:rsid w:val="48F8DD9C"/>
    <w:rsid w:val="49088A5E"/>
    <w:rsid w:val="49AC6453"/>
    <w:rsid w:val="4A10AD26"/>
    <w:rsid w:val="4AAE9C32"/>
    <w:rsid w:val="4B739A02"/>
    <w:rsid w:val="4CD59F52"/>
    <w:rsid w:val="4D1CE8BA"/>
    <w:rsid w:val="4D292FD5"/>
    <w:rsid w:val="4E0DACBA"/>
    <w:rsid w:val="4E1EB08E"/>
    <w:rsid w:val="4F9267A5"/>
    <w:rsid w:val="4FD17B13"/>
    <w:rsid w:val="50866253"/>
    <w:rsid w:val="509B2813"/>
    <w:rsid w:val="5191B7F9"/>
    <w:rsid w:val="5199C12B"/>
    <w:rsid w:val="5274A7BC"/>
    <w:rsid w:val="535F9E12"/>
    <w:rsid w:val="53646B8A"/>
    <w:rsid w:val="541A6A2B"/>
    <w:rsid w:val="54385E5C"/>
    <w:rsid w:val="543F7D50"/>
    <w:rsid w:val="5448098F"/>
    <w:rsid w:val="555B3851"/>
    <w:rsid w:val="570F2298"/>
    <w:rsid w:val="5810F59D"/>
    <w:rsid w:val="5831F4F9"/>
    <w:rsid w:val="586FC5CA"/>
    <w:rsid w:val="58712BDA"/>
    <w:rsid w:val="588A03E8"/>
    <w:rsid w:val="58A09FBB"/>
    <w:rsid w:val="597FD105"/>
    <w:rsid w:val="59FF240B"/>
    <w:rsid w:val="5A20CD35"/>
    <w:rsid w:val="5A3113EF"/>
    <w:rsid w:val="5A6FC464"/>
    <w:rsid w:val="5AE08868"/>
    <w:rsid w:val="5B01663A"/>
    <w:rsid w:val="5BF54BCE"/>
    <w:rsid w:val="5CBE1A4D"/>
    <w:rsid w:val="5DE2247F"/>
    <w:rsid w:val="5EB752BC"/>
    <w:rsid w:val="5F014B33"/>
    <w:rsid w:val="5F5B7A86"/>
    <w:rsid w:val="5F71BB35"/>
    <w:rsid w:val="60096980"/>
    <w:rsid w:val="60148EDE"/>
    <w:rsid w:val="60913E77"/>
    <w:rsid w:val="614ACA36"/>
    <w:rsid w:val="614FDAD2"/>
    <w:rsid w:val="61CC1B95"/>
    <w:rsid w:val="62417E40"/>
    <w:rsid w:val="62790288"/>
    <w:rsid w:val="6326F028"/>
    <w:rsid w:val="6398B352"/>
    <w:rsid w:val="63AB128D"/>
    <w:rsid w:val="63CE03D6"/>
    <w:rsid w:val="648C1FAC"/>
    <w:rsid w:val="652963B7"/>
    <w:rsid w:val="65AE8926"/>
    <w:rsid w:val="65B47D3E"/>
    <w:rsid w:val="67161E63"/>
    <w:rsid w:val="673ECCD9"/>
    <w:rsid w:val="679A372C"/>
    <w:rsid w:val="67A71D13"/>
    <w:rsid w:val="69219818"/>
    <w:rsid w:val="69B010BD"/>
    <w:rsid w:val="6A086A5B"/>
    <w:rsid w:val="6A34972D"/>
    <w:rsid w:val="6AC4CF6A"/>
    <w:rsid w:val="6B211905"/>
    <w:rsid w:val="6B517ECB"/>
    <w:rsid w:val="6B5368C0"/>
    <w:rsid w:val="6B8E19F2"/>
    <w:rsid w:val="6C283228"/>
    <w:rsid w:val="6D1EDCC2"/>
    <w:rsid w:val="6E982FF7"/>
    <w:rsid w:val="6EC2FDC8"/>
    <w:rsid w:val="6F17D223"/>
    <w:rsid w:val="6FB0BF32"/>
    <w:rsid w:val="6FF583F7"/>
    <w:rsid w:val="6FFDA33E"/>
    <w:rsid w:val="70E2B1F6"/>
    <w:rsid w:val="70EAE723"/>
    <w:rsid w:val="7290DF30"/>
    <w:rsid w:val="729BCDAD"/>
    <w:rsid w:val="72A6F959"/>
    <w:rsid w:val="72CAD0C2"/>
    <w:rsid w:val="745D717C"/>
    <w:rsid w:val="747C73BB"/>
    <w:rsid w:val="74F38620"/>
    <w:rsid w:val="752D896C"/>
    <w:rsid w:val="755019C7"/>
    <w:rsid w:val="757D6A52"/>
    <w:rsid w:val="75C661B0"/>
    <w:rsid w:val="75EFE9F4"/>
    <w:rsid w:val="762351F9"/>
    <w:rsid w:val="766CA35B"/>
    <w:rsid w:val="76E0B21B"/>
    <w:rsid w:val="76E13FCC"/>
    <w:rsid w:val="77B6A2F7"/>
    <w:rsid w:val="780BBFD7"/>
    <w:rsid w:val="782CD487"/>
    <w:rsid w:val="7889FB5E"/>
    <w:rsid w:val="78B5A177"/>
    <w:rsid w:val="7922E524"/>
    <w:rsid w:val="79AD24E8"/>
    <w:rsid w:val="79BD65D2"/>
    <w:rsid w:val="7A1B948A"/>
    <w:rsid w:val="7AB858B6"/>
    <w:rsid w:val="7B6D00A3"/>
    <w:rsid w:val="7B8FB2E1"/>
    <w:rsid w:val="7B9CA25F"/>
    <w:rsid w:val="7BD2E77E"/>
    <w:rsid w:val="7BF49BA3"/>
    <w:rsid w:val="7C0240D5"/>
    <w:rsid w:val="7C4A42DA"/>
    <w:rsid w:val="7C4EC581"/>
    <w:rsid w:val="7C92AA2F"/>
    <w:rsid w:val="7F4ECA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BE89"/>
  <w15:chartTrackingRefBased/>
  <w15:docId w15:val="{A973714D-DADD-4E25-BD4F-F25DC99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15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877"/>
    <w:rPr>
      <w:rFonts w:eastAsiaTheme="majorEastAsia" w:cstheme="majorBidi"/>
      <w:color w:val="272727" w:themeColor="text1" w:themeTint="D8"/>
    </w:rPr>
  </w:style>
  <w:style w:type="paragraph" w:styleId="Title">
    <w:name w:val="Title"/>
    <w:basedOn w:val="Normal"/>
    <w:next w:val="Normal"/>
    <w:link w:val="TitleChar"/>
    <w:uiPriority w:val="10"/>
    <w:qFormat/>
    <w:rsid w:val="00415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877"/>
    <w:pPr>
      <w:spacing w:before="160"/>
      <w:jc w:val="center"/>
    </w:pPr>
    <w:rPr>
      <w:i/>
      <w:iCs/>
      <w:color w:val="404040" w:themeColor="text1" w:themeTint="BF"/>
    </w:rPr>
  </w:style>
  <w:style w:type="character" w:customStyle="1" w:styleId="QuoteChar">
    <w:name w:val="Quote Char"/>
    <w:basedOn w:val="DefaultParagraphFont"/>
    <w:link w:val="Quote"/>
    <w:uiPriority w:val="29"/>
    <w:rsid w:val="00415877"/>
    <w:rPr>
      <w:i/>
      <w:iCs/>
      <w:color w:val="404040" w:themeColor="text1" w:themeTint="BF"/>
    </w:rPr>
  </w:style>
  <w:style w:type="paragraph" w:styleId="ListParagraph">
    <w:name w:val="List Paragraph"/>
    <w:basedOn w:val="Normal"/>
    <w:uiPriority w:val="34"/>
    <w:qFormat/>
    <w:rsid w:val="00415877"/>
    <w:pPr>
      <w:ind w:left="720"/>
      <w:contextualSpacing/>
    </w:pPr>
  </w:style>
  <w:style w:type="character" w:styleId="IntenseEmphasis">
    <w:name w:val="Intense Emphasis"/>
    <w:basedOn w:val="DefaultParagraphFont"/>
    <w:uiPriority w:val="21"/>
    <w:qFormat/>
    <w:rsid w:val="00415877"/>
    <w:rPr>
      <w:i/>
      <w:iCs/>
      <w:color w:val="0F4761" w:themeColor="accent1" w:themeShade="BF"/>
    </w:rPr>
  </w:style>
  <w:style w:type="paragraph" w:styleId="IntenseQuote">
    <w:name w:val="Intense Quote"/>
    <w:basedOn w:val="Normal"/>
    <w:next w:val="Normal"/>
    <w:link w:val="IntenseQuoteChar"/>
    <w:uiPriority w:val="30"/>
    <w:qFormat/>
    <w:rsid w:val="00415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877"/>
    <w:rPr>
      <w:i/>
      <w:iCs/>
      <w:color w:val="0F4761" w:themeColor="accent1" w:themeShade="BF"/>
    </w:rPr>
  </w:style>
  <w:style w:type="character" w:styleId="IntenseReference">
    <w:name w:val="Intense Reference"/>
    <w:basedOn w:val="DefaultParagraphFont"/>
    <w:uiPriority w:val="32"/>
    <w:qFormat/>
    <w:rsid w:val="00415877"/>
    <w:rPr>
      <w:b/>
      <w:bCs/>
      <w:smallCaps/>
      <w:color w:val="0F4761" w:themeColor="accent1" w:themeShade="BF"/>
      <w:spacing w:val="5"/>
    </w:rPr>
  </w:style>
  <w:style w:type="paragraph" w:customStyle="1" w:styleId="Annexetitre">
    <w:name w:val="Annexe titre"/>
    <w:basedOn w:val="Normal"/>
    <w:next w:val="Normal"/>
    <w:link w:val="AnnexetitreChar"/>
    <w:rsid w:val="004073C4"/>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character" w:customStyle="1" w:styleId="AnnexetitreChar">
    <w:name w:val="Annexe titre Char"/>
    <w:basedOn w:val="DefaultParagraphFont"/>
    <w:link w:val="Annexetitre"/>
    <w:rsid w:val="004073C4"/>
    <w:rPr>
      <w:rFonts w:ascii="Times New Roman" w:eastAsia="Times New Roman" w:hAnsi="Times New Roman" w:cs="Times New Roman"/>
      <w:b/>
      <w:kern w:val="0"/>
      <w:sz w:val="24"/>
      <w:szCs w:val="24"/>
      <w:u w:val="single"/>
      <w:lang w:val="en-GB"/>
      <w14:ligatures w14:val="none"/>
    </w:rPr>
  </w:style>
  <w:style w:type="paragraph" w:styleId="Header">
    <w:name w:val="header"/>
    <w:basedOn w:val="Normal"/>
    <w:link w:val="HeaderChar"/>
    <w:uiPriority w:val="99"/>
    <w:unhideWhenUsed/>
    <w:rsid w:val="00407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3C4"/>
  </w:style>
  <w:style w:type="paragraph" w:styleId="Footer">
    <w:name w:val="footer"/>
    <w:basedOn w:val="Normal"/>
    <w:link w:val="FooterChar"/>
    <w:uiPriority w:val="99"/>
    <w:unhideWhenUsed/>
    <w:rsid w:val="00B96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B1C"/>
  </w:style>
  <w:style w:type="character" w:styleId="Hyperlink">
    <w:name w:val="Hyperlink"/>
    <w:uiPriority w:val="99"/>
    <w:rsid w:val="00FF53FF"/>
    <w:rPr>
      <w:color w:val="0000FF"/>
      <w:u w:val="single"/>
    </w:rPr>
  </w:style>
  <w:style w:type="character" w:styleId="CommentReference">
    <w:name w:val="annotation reference"/>
    <w:uiPriority w:val="99"/>
    <w:rsid w:val="00FF53FF"/>
    <w:rPr>
      <w:rFonts w:cs="Times New Roman"/>
      <w:sz w:val="16"/>
      <w:szCs w:val="16"/>
    </w:rPr>
  </w:style>
  <w:style w:type="paragraph" w:styleId="CommentText">
    <w:name w:val="annotation text"/>
    <w:basedOn w:val="Normal"/>
    <w:link w:val="CommentTextChar"/>
    <w:uiPriority w:val="99"/>
    <w:rsid w:val="00FF53FF"/>
    <w:pPr>
      <w:spacing w:before="120" w:after="120" w:line="240" w:lineRule="auto"/>
      <w:jc w:val="both"/>
    </w:pPr>
    <w:rPr>
      <w:rFonts w:ascii="Verdana" w:eastAsia="Times New Roman" w:hAnsi="Verdana" w:cs="Times New Roman"/>
      <w:kern w:val="0"/>
      <w:sz w:val="20"/>
      <w:szCs w:val="20"/>
      <w14:ligatures w14:val="none"/>
    </w:rPr>
  </w:style>
  <w:style w:type="character" w:customStyle="1" w:styleId="CommentTextChar">
    <w:name w:val="Comment Text Char"/>
    <w:basedOn w:val="DefaultParagraphFont"/>
    <w:link w:val="CommentText"/>
    <w:uiPriority w:val="99"/>
    <w:rsid w:val="00FF53FF"/>
    <w:rPr>
      <w:rFonts w:ascii="Verdana" w:eastAsia="Times New Roman" w:hAnsi="Verdana" w:cs="Times New Roman"/>
      <w:kern w:val="0"/>
      <w:sz w:val="20"/>
      <w:szCs w:val="20"/>
      <w:lang w:val="en-GB"/>
      <w14:ligatures w14:val="none"/>
    </w:rPr>
  </w:style>
  <w:style w:type="paragraph" w:customStyle="1" w:styleId="Instructionsberschrift2">
    <w:name w:val="Instructions Überschrift 2"/>
    <w:basedOn w:val="Heading2"/>
    <w:rsid w:val="00FF53FF"/>
    <w:pPr>
      <w:keepLines w:val="0"/>
      <w:numPr>
        <w:numId w:val="1"/>
      </w:numPr>
      <w:spacing w:before="240" w:after="240" w:line="240" w:lineRule="auto"/>
      <w:jc w:val="both"/>
    </w:pPr>
    <w:rPr>
      <w:rFonts w:ascii="Verdana" w:eastAsia="Times New Roman" w:hAnsi="Verdana" w:cs="Arial"/>
      <w:color w:val="auto"/>
      <w:kern w:val="0"/>
      <w:sz w:val="20"/>
      <w:szCs w:val="24"/>
      <w:u w:val="single"/>
      <w14:ligatures w14:val="none"/>
    </w:rPr>
  </w:style>
  <w:style w:type="paragraph" w:customStyle="1" w:styleId="InstructionsText">
    <w:name w:val="Instructions Text"/>
    <w:basedOn w:val="Normal"/>
    <w:link w:val="InstructionsTextChar"/>
    <w:autoRedefine/>
    <w:rsid w:val="00523736"/>
    <w:pPr>
      <w:tabs>
        <w:tab w:val="left" w:pos="477"/>
      </w:tabs>
      <w:spacing w:before="240" w:after="240" w:line="240" w:lineRule="auto"/>
      <w:ind w:left="360" w:hanging="360"/>
      <w:jc w:val="both"/>
    </w:pPr>
    <w:rPr>
      <w:rFonts w:ascii="Times New Roman" w:eastAsia="Arial" w:hAnsi="Times New Roman" w:cs="Times New Roman"/>
      <w:kern w:val="0"/>
      <w:sz w:val="24"/>
      <w:szCs w:val="24"/>
      <w:lang w:eastAsia="de-DE"/>
      <w14:ligatures w14:val="none"/>
    </w:rPr>
  </w:style>
  <w:style w:type="character" w:customStyle="1" w:styleId="InstructionsTabelleberschrift">
    <w:name w:val="Instructions Tabelle Überschrift"/>
    <w:qFormat/>
    <w:rsid w:val="00FF53FF"/>
    <w:rPr>
      <w:rFonts w:ascii="Verdana" w:hAnsi="Verdana" w:cs="Times New Roman"/>
      <w:b/>
      <w:bCs/>
      <w:sz w:val="20"/>
      <w:u w:val="single"/>
    </w:rPr>
  </w:style>
  <w:style w:type="character" w:customStyle="1" w:styleId="InstructionsTabelleText">
    <w:name w:val="Instructions Tabelle Text"/>
    <w:rsid w:val="00FF53FF"/>
    <w:rPr>
      <w:rFonts w:ascii="Verdana" w:hAnsi="Verdana" w:cs="Times New Roman"/>
      <w:sz w:val="20"/>
    </w:rPr>
  </w:style>
  <w:style w:type="character" w:customStyle="1" w:styleId="FormatvorlageInstructionsTabelleText">
    <w:name w:val="Formatvorlage Instructions Tabelle Text"/>
    <w:uiPriority w:val="99"/>
    <w:qFormat/>
    <w:rsid w:val="00FF53FF"/>
    <w:rPr>
      <w:rFonts w:ascii="Verdana" w:hAnsi="Verdana" w:cs="Times New Roman"/>
      <w:bCs/>
      <w:sz w:val="20"/>
      <w:u w:val="none"/>
    </w:rPr>
  </w:style>
  <w:style w:type="character" w:customStyle="1" w:styleId="InstructionsTextChar">
    <w:name w:val="Instructions Text Char"/>
    <w:link w:val="InstructionsText"/>
    <w:locked/>
    <w:rsid w:val="00523736"/>
    <w:rPr>
      <w:rFonts w:ascii="Times New Roman" w:eastAsia="Arial" w:hAnsi="Times New Roman" w:cs="Times New Roman"/>
      <w:kern w:val="0"/>
      <w:sz w:val="24"/>
      <w:szCs w:val="24"/>
      <w:lang w:val="en-GB" w:eastAsia="de-DE"/>
      <w14:ligatures w14:val="none"/>
    </w:rPr>
  </w:style>
  <w:style w:type="paragraph" w:styleId="TOCHeading">
    <w:name w:val="TOC Heading"/>
    <w:basedOn w:val="Heading1"/>
    <w:next w:val="Normal"/>
    <w:uiPriority w:val="39"/>
    <w:unhideWhenUsed/>
    <w:qFormat/>
    <w:rsid w:val="005A7C97"/>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5A7C97"/>
    <w:pPr>
      <w:spacing w:after="100"/>
      <w:ind w:left="220"/>
    </w:pPr>
  </w:style>
  <w:style w:type="paragraph" w:customStyle="1" w:styleId="subtitlenumbered">
    <w:name w:val="subtitle numbered"/>
    <w:basedOn w:val="Subtitle"/>
    <w:link w:val="subtitlenumberedChar"/>
    <w:uiPriority w:val="99"/>
    <w:qFormat/>
    <w:rsid w:val="00532C8F"/>
    <w:pPr>
      <w:numPr>
        <w:ilvl w:val="0"/>
      </w:numPr>
      <w:spacing w:before="120" w:after="120" w:line="240" w:lineRule="auto"/>
      <w:outlineLvl w:val="1"/>
    </w:pPr>
    <w:rPr>
      <w:rFonts w:ascii="Times New Roman" w:eastAsia="Times New Roman" w:hAnsi="Times New Roman" w:cs="Times New Roman"/>
      <w:caps/>
      <w:color w:val="auto"/>
      <w:spacing w:val="0"/>
      <w:kern w:val="0"/>
      <w:sz w:val="24"/>
      <w:szCs w:val="24"/>
      <w:lang w:val="en-US" w:eastAsia="en-GB"/>
      <w14:ligatures w14:val="none"/>
    </w:rPr>
  </w:style>
  <w:style w:type="character" w:customStyle="1" w:styleId="subtitlenumberedChar">
    <w:name w:val="subtitle numbered Char"/>
    <w:link w:val="subtitlenumbered"/>
    <w:uiPriority w:val="99"/>
    <w:rsid w:val="00532C8F"/>
    <w:rPr>
      <w:rFonts w:ascii="Times New Roman" w:eastAsia="Times New Roman" w:hAnsi="Times New Roman" w:cs="Times New Roman"/>
      <w:caps/>
      <w:kern w:val="0"/>
      <w:sz w:val="24"/>
      <w:szCs w:val="24"/>
      <w:lang w:val="en-US" w:eastAsia="en-GB"/>
      <w14:ligatures w14:val="none"/>
    </w:rPr>
  </w:style>
  <w:style w:type="paragraph" w:styleId="CommentSubject">
    <w:name w:val="annotation subject"/>
    <w:basedOn w:val="CommentText"/>
    <w:next w:val="CommentText"/>
    <w:link w:val="CommentSubjectChar"/>
    <w:uiPriority w:val="99"/>
    <w:semiHidden/>
    <w:unhideWhenUsed/>
    <w:rsid w:val="00BE72CB"/>
    <w:pPr>
      <w:spacing w:before="0" w:after="16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E72CB"/>
    <w:rPr>
      <w:rFonts w:ascii="Verdana" w:eastAsia="Times New Roman" w:hAnsi="Verdana" w:cs="Times New Roman"/>
      <w:b/>
      <w:bCs/>
      <w:kern w:val="0"/>
      <w:sz w:val="20"/>
      <w:szCs w:val="20"/>
      <w:lang w:val="en-GB"/>
      <w14:ligatures w14:val="none"/>
    </w:rPr>
  </w:style>
  <w:style w:type="paragraph" w:styleId="Revision">
    <w:name w:val="Revision"/>
    <w:hidden/>
    <w:uiPriority w:val="99"/>
    <w:semiHidden/>
    <w:rsid w:val="00036BF3"/>
    <w:pPr>
      <w:spacing w:after="0" w:line="240" w:lineRule="auto"/>
    </w:pPr>
    <w:rPr>
      <w:lang w:val="en-GB"/>
    </w:rPr>
  </w:style>
  <w:style w:type="character" w:styleId="Mention">
    <w:name w:val="Mention"/>
    <w:basedOn w:val="DefaultParagraphFont"/>
    <w:uiPriority w:val="99"/>
    <w:unhideWhenUsed/>
    <w:rsid w:val="00EE17C7"/>
    <w:rPr>
      <w:color w:val="2B579A"/>
      <w:shd w:val="clear" w:color="auto" w:fill="E1DFDD"/>
    </w:rPr>
  </w:style>
  <w:style w:type="character" w:styleId="Strong">
    <w:name w:val="Strong"/>
    <w:basedOn w:val="DefaultParagraphFont"/>
    <w:uiPriority w:val="22"/>
    <w:qFormat/>
    <w:rsid w:val="003D216C"/>
    <w:rPr>
      <w:b/>
      <w:bCs/>
    </w:rPr>
  </w:style>
  <w:style w:type="paragraph" w:styleId="FootnoteText">
    <w:name w:val="footnote text"/>
    <w:aliases w:val="EBA_Footnote Text,Footnote Text Char Char,Footnote,Fußnote,FSR footnote,lábléc Car Car Car,Fodnotetekst Tegn Tegn Tegn Tegn Tegn Tegn Tegn Char Char,Fodnotetekst Tegn Tegn Tegn Tegn Tegn Tegn Tegn Char Char Char Char,fn,lábléc,ft,text,f"/>
    <w:basedOn w:val="Normal"/>
    <w:link w:val="FootnoteTextChar"/>
    <w:autoRedefine/>
    <w:uiPriority w:val="99"/>
    <w:qFormat/>
    <w:rsid w:val="00CB09A6"/>
    <w:pPr>
      <w:spacing w:before="80" w:after="0" w:line="200" w:lineRule="exact"/>
      <w:ind w:left="567" w:hanging="567"/>
      <w:jc w:val="both"/>
    </w:pPr>
    <w:rPr>
      <w:rFonts w:eastAsiaTheme="minorEastAsia"/>
      <w:kern w:val="0"/>
      <w:sz w:val="18"/>
      <w:szCs w:val="18"/>
      <w:lang w:val="en-US"/>
      <w14:ligatures w14:val="none"/>
    </w:rPr>
  </w:style>
  <w:style w:type="character" w:customStyle="1" w:styleId="FootnoteTextChar">
    <w:name w:val="Footnote Text Char"/>
    <w:aliases w:val="EBA_Footnote Text Char,Footnote Text Char Char Char,Footnote Char,Fußnote Char,FSR footnote Char,lábléc Car Car Car Char,Fodnotetekst Tegn Tegn Tegn Tegn Tegn Tegn Tegn Char Char Char,fn Char,lábléc Char,ft Char,text Char,f Char"/>
    <w:basedOn w:val="DefaultParagraphFont"/>
    <w:link w:val="FootnoteText"/>
    <w:uiPriority w:val="99"/>
    <w:rsid w:val="00CB09A6"/>
    <w:rPr>
      <w:rFonts w:eastAsiaTheme="minorEastAsia"/>
      <w:kern w:val="0"/>
      <w:sz w:val="18"/>
      <w:szCs w:val="18"/>
      <w:lang w:val="en-US"/>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Címsor 5 Char1,Ref"/>
    <w:basedOn w:val="DefaultParagraphFont"/>
    <w:qFormat/>
    <w:rsid w:val="00CB09A6"/>
    <w:rPr>
      <w:rFonts w:asciiTheme="minorHAnsi" w:hAnsiTheme="minorHAnsi"/>
      <w:sz w:val="22"/>
      <w:szCs w:val="18"/>
      <w:vertAlign w:val="superscript"/>
    </w:rPr>
  </w:style>
  <w:style w:type="paragraph" w:customStyle="1" w:styleId="Fait">
    <w:name w:val="Fait à"/>
    <w:basedOn w:val="Normal"/>
    <w:next w:val="Normal"/>
    <w:rsid w:val="00CB09A6"/>
    <w:pPr>
      <w:keepNext/>
      <w:spacing w:before="120" w:after="0" w:line="240" w:lineRule="auto"/>
      <w:jc w:val="both"/>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27AC5"/>
    <w:rPr>
      <w:color w:val="605E5C"/>
      <w:shd w:val="clear" w:color="auto" w:fill="E1DFDD"/>
    </w:rPr>
  </w:style>
  <w:style w:type="paragraph" w:customStyle="1" w:styleId="Institutionquisigne">
    <w:name w:val="Institution qui signe"/>
    <w:basedOn w:val="Normal"/>
    <w:uiPriority w:val="1"/>
    <w:rsid w:val="004502B7"/>
    <w:pPr>
      <w:keepNext/>
      <w:tabs>
        <w:tab w:val="left" w:pos="4252"/>
      </w:tabs>
      <w:spacing w:before="720"/>
      <w:jc w:val="both"/>
    </w:pPr>
    <w:rPr>
      <w:rFonts w:eastAsiaTheme="minorEastAsia"/>
      <w:i/>
      <w:iCs/>
      <w:sz w:val="24"/>
      <w:szCs w:val="24"/>
    </w:rPr>
  </w:style>
  <w:style w:type="paragraph" w:customStyle="1" w:styleId="Text1">
    <w:name w:val="Text 1"/>
    <w:basedOn w:val="Normal"/>
    <w:rsid w:val="0020449F"/>
    <w:pPr>
      <w:spacing w:before="120" w:after="120" w:line="240" w:lineRule="auto"/>
      <w:ind w:left="850"/>
      <w:jc w:val="both"/>
    </w:pPr>
    <w:rPr>
      <w:rFonts w:ascii="Times New Roman" w:eastAsia="Times New Roman" w:hAnsi="Times New Roman" w:cs="Times New Roman"/>
      <w:kern w:val="0"/>
      <w:sz w:val="24"/>
      <w:szCs w:val="24"/>
      <w:lang w:eastAsia="de-DE"/>
      <w14:ligatures w14:val="none"/>
    </w:rPr>
  </w:style>
  <w:style w:type="paragraph" w:customStyle="1" w:styleId="Tableheader">
    <w:name w:val="Table header"/>
    <w:next w:val="Normal"/>
    <w:qFormat/>
    <w:rsid w:val="00393083"/>
    <w:pPr>
      <w:spacing w:after="80" w:line="240" w:lineRule="auto"/>
    </w:pPr>
    <w:rPr>
      <w:rFonts w:ascii="Calibri" w:eastAsia="Times New Roman" w:hAnsi="Calibri" w:cs="Times New Roman"/>
      <w:b/>
      <w:color w:val="000000"/>
      <w:kern w:val="0"/>
      <w:lang w:val="en-US"/>
      <w14:ligatures w14:val="none"/>
    </w:rPr>
  </w:style>
  <w:style w:type="paragraph" w:customStyle="1" w:styleId="bullet1">
    <w:name w:val="bullet 1"/>
    <w:basedOn w:val="Normal"/>
    <w:next w:val="Normal"/>
    <w:qFormat/>
    <w:rsid w:val="00393083"/>
    <w:pPr>
      <w:numPr>
        <w:numId w:val="38"/>
      </w:numPr>
      <w:tabs>
        <w:tab w:val="clear" w:pos="340"/>
      </w:tabs>
      <w:spacing w:before="240" w:after="120" w:line="276" w:lineRule="auto"/>
      <w:jc w:val="both"/>
    </w:pPr>
    <w:rPr>
      <w:rFonts w:eastAsiaTheme="minorEastAsia"/>
      <w:kern w:val="0"/>
      <w:lang w:val="en-US"/>
      <w14:ligatures w14:val="none"/>
    </w:rPr>
  </w:style>
  <w:style w:type="paragraph" w:styleId="ListNumber2">
    <w:name w:val="List Number 2"/>
    <w:basedOn w:val="BodyText"/>
    <w:uiPriority w:val="99"/>
    <w:unhideWhenUsed/>
    <w:qFormat/>
    <w:rsid w:val="00D774D7"/>
    <w:pPr>
      <w:numPr>
        <w:numId w:val="40"/>
      </w:numPr>
      <w:tabs>
        <w:tab w:val="clear" w:pos="643"/>
      </w:tabs>
      <w:spacing w:before="240" w:line="276" w:lineRule="auto"/>
      <w:ind w:left="0" w:firstLine="0"/>
    </w:pPr>
    <w:rPr>
      <w:kern w:val="0"/>
      <w:szCs w:val="24"/>
    </w:rPr>
  </w:style>
  <w:style w:type="paragraph" w:styleId="BodyText">
    <w:name w:val="Body Text"/>
    <w:basedOn w:val="Normal"/>
    <w:link w:val="BodyTextChar"/>
    <w:uiPriority w:val="99"/>
    <w:semiHidden/>
    <w:unhideWhenUsed/>
    <w:rsid w:val="00D774D7"/>
    <w:pPr>
      <w:spacing w:after="120"/>
    </w:pPr>
  </w:style>
  <w:style w:type="character" w:customStyle="1" w:styleId="BodyTextChar">
    <w:name w:val="Body Text Char"/>
    <w:basedOn w:val="DefaultParagraphFont"/>
    <w:link w:val="BodyText"/>
    <w:uiPriority w:val="99"/>
    <w:semiHidden/>
    <w:rsid w:val="00D774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75073-BCFC-4007-9EFD-A4D213B29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53CDC-8B41-49BE-ACE5-4DD050C29F00}">
  <ds:schemaRefs>
    <ds:schemaRef ds:uri="http://schemas.openxmlformats.org/officeDocument/2006/bibliography"/>
  </ds:schemaRefs>
</ds:datastoreItem>
</file>

<file path=customXml/itemProps3.xml><?xml version="1.0" encoding="utf-8"?>
<ds:datastoreItem xmlns:ds="http://schemas.openxmlformats.org/officeDocument/2006/customXml" ds:itemID="{19E7BAC4-9FF4-4C62-8E33-8308DE404D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bb3d43-5980-4e8f-9daf-903cdecf5247"/>
    <ds:schemaRef ds:uri="http://www.w3.org/XML/1998/namespace"/>
    <ds:schemaRef ds:uri="http://purl.org/dc/dcmitype/"/>
  </ds:schemaRefs>
</ds:datastoreItem>
</file>

<file path=customXml/itemProps4.xml><?xml version="1.0" encoding="utf-8"?>
<ds:datastoreItem xmlns:ds="http://schemas.openxmlformats.org/officeDocument/2006/customXml" ds:itemID="{CE5B37BD-9050-4914-B966-4F610E00FC3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1135</TotalTime>
  <Pages>17</Pages>
  <Words>6669</Words>
  <Characters>38014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44594</CharactersWithSpaces>
  <SharedDoc>false</SharedDoc>
  <HLinks>
    <vt:vector size="66" baseType="variant">
      <vt:variant>
        <vt:i4>1245238</vt:i4>
      </vt:variant>
      <vt:variant>
        <vt:i4>62</vt:i4>
      </vt:variant>
      <vt:variant>
        <vt:i4>0</vt:i4>
      </vt:variant>
      <vt:variant>
        <vt:i4>5</vt:i4>
      </vt:variant>
      <vt:variant>
        <vt:lpwstr/>
      </vt:variant>
      <vt:variant>
        <vt:lpwstr>_Toc225353462</vt:lpwstr>
      </vt:variant>
      <vt:variant>
        <vt:i4>1245238</vt:i4>
      </vt:variant>
      <vt:variant>
        <vt:i4>56</vt:i4>
      </vt:variant>
      <vt:variant>
        <vt:i4>0</vt:i4>
      </vt:variant>
      <vt:variant>
        <vt:i4>5</vt:i4>
      </vt:variant>
      <vt:variant>
        <vt:lpwstr/>
      </vt:variant>
      <vt:variant>
        <vt:lpwstr>_Toc225353461</vt:lpwstr>
      </vt:variant>
      <vt:variant>
        <vt:i4>1245238</vt:i4>
      </vt:variant>
      <vt:variant>
        <vt:i4>50</vt:i4>
      </vt:variant>
      <vt:variant>
        <vt:i4>0</vt:i4>
      </vt:variant>
      <vt:variant>
        <vt:i4>5</vt:i4>
      </vt:variant>
      <vt:variant>
        <vt:lpwstr/>
      </vt:variant>
      <vt:variant>
        <vt:lpwstr>_Toc225353460</vt:lpwstr>
      </vt:variant>
      <vt:variant>
        <vt:i4>1048630</vt:i4>
      </vt:variant>
      <vt:variant>
        <vt:i4>44</vt:i4>
      </vt:variant>
      <vt:variant>
        <vt:i4>0</vt:i4>
      </vt:variant>
      <vt:variant>
        <vt:i4>5</vt:i4>
      </vt:variant>
      <vt:variant>
        <vt:lpwstr/>
      </vt:variant>
      <vt:variant>
        <vt:lpwstr>_Toc225353459</vt:lpwstr>
      </vt:variant>
      <vt:variant>
        <vt:i4>1048630</vt:i4>
      </vt:variant>
      <vt:variant>
        <vt:i4>38</vt:i4>
      </vt:variant>
      <vt:variant>
        <vt:i4>0</vt:i4>
      </vt:variant>
      <vt:variant>
        <vt:i4>5</vt:i4>
      </vt:variant>
      <vt:variant>
        <vt:lpwstr/>
      </vt:variant>
      <vt:variant>
        <vt:lpwstr>_Toc225353458</vt:lpwstr>
      </vt:variant>
      <vt:variant>
        <vt:i4>1048630</vt:i4>
      </vt:variant>
      <vt:variant>
        <vt:i4>32</vt:i4>
      </vt:variant>
      <vt:variant>
        <vt:i4>0</vt:i4>
      </vt:variant>
      <vt:variant>
        <vt:i4>5</vt:i4>
      </vt:variant>
      <vt:variant>
        <vt:lpwstr/>
      </vt:variant>
      <vt:variant>
        <vt:lpwstr>_Toc225353457</vt:lpwstr>
      </vt:variant>
      <vt:variant>
        <vt:i4>1048630</vt:i4>
      </vt:variant>
      <vt:variant>
        <vt:i4>26</vt:i4>
      </vt:variant>
      <vt:variant>
        <vt:i4>0</vt:i4>
      </vt:variant>
      <vt:variant>
        <vt:i4>5</vt:i4>
      </vt:variant>
      <vt:variant>
        <vt:lpwstr/>
      </vt:variant>
      <vt:variant>
        <vt:lpwstr>_Toc225353456</vt:lpwstr>
      </vt:variant>
      <vt:variant>
        <vt:i4>1048630</vt:i4>
      </vt:variant>
      <vt:variant>
        <vt:i4>20</vt:i4>
      </vt:variant>
      <vt:variant>
        <vt:i4>0</vt:i4>
      </vt:variant>
      <vt:variant>
        <vt:i4>5</vt:i4>
      </vt:variant>
      <vt:variant>
        <vt:lpwstr/>
      </vt:variant>
      <vt:variant>
        <vt:lpwstr>_Toc225353455</vt:lpwstr>
      </vt:variant>
      <vt:variant>
        <vt:i4>1048630</vt:i4>
      </vt:variant>
      <vt:variant>
        <vt:i4>14</vt:i4>
      </vt:variant>
      <vt:variant>
        <vt:i4>0</vt:i4>
      </vt:variant>
      <vt:variant>
        <vt:i4>5</vt:i4>
      </vt:variant>
      <vt:variant>
        <vt:lpwstr/>
      </vt:variant>
      <vt:variant>
        <vt:lpwstr>_Toc225353454</vt:lpwstr>
      </vt:variant>
      <vt:variant>
        <vt:i4>1048630</vt:i4>
      </vt:variant>
      <vt:variant>
        <vt:i4>8</vt:i4>
      </vt:variant>
      <vt:variant>
        <vt:i4>0</vt:i4>
      </vt:variant>
      <vt:variant>
        <vt:i4>5</vt:i4>
      </vt:variant>
      <vt:variant>
        <vt:lpwstr/>
      </vt:variant>
      <vt:variant>
        <vt:lpwstr>_Toc225353453</vt:lpwstr>
      </vt:variant>
      <vt:variant>
        <vt:i4>1048630</vt:i4>
      </vt:variant>
      <vt:variant>
        <vt:i4>2</vt:i4>
      </vt:variant>
      <vt:variant>
        <vt:i4>0</vt:i4>
      </vt:variant>
      <vt:variant>
        <vt:i4>5</vt:i4>
      </vt:variant>
      <vt:variant>
        <vt:lpwstr/>
      </vt:variant>
      <vt:variant>
        <vt:lpwstr>_Toc225353452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Diana Gaibor</cp:lastModifiedBy>
  <cp:revision>559</cp:revision>
  <dcterms:created xsi:type="dcterms:W3CDTF">2026-02-25T02:25:00Z</dcterms:created>
  <dcterms:modified xsi:type="dcterms:W3CDTF">2026-04-08T18:41:00Z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EBA Regular Use</vt:lpwstr>
  </property>
  <property fmtid="{D5CDD505-2E9C-101B-9397-08002B2CF9AE}" pid="3" name="ContentTypeId">
    <vt:lpwstr>0x0101003ACA5DD4C831574089FB0AE5E8C4C690</vt:lpwstr>
  </property>
  <property fmtid="{D5CDD505-2E9C-101B-9397-08002B2CF9AE}" pid="4" name="ClassificationContentMarkingHeaderFontProps">
    <vt:lpwstr>#000000,12,Aptos</vt:lpwstr>
  </property>
  <property fmtid="{D5CDD505-2E9C-101B-9397-08002B2CF9AE}" pid="5" name="docLang">
    <vt:lpwstr>en</vt:lpwstr>
  </property>
  <property fmtid="{D5CDD505-2E9C-101B-9397-08002B2CF9AE}" pid="6" name="ClassificationContentMarkingHeaderShapeIds">
    <vt:lpwstr>787930c9,dc97d53,2c74a7c3</vt:lpwstr>
  </property>
  <property fmtid="{D5CDD505-2E9C-101B-9397-08002B2CF9AE}" pid="7" name="_dlc_DocIdItemGuid">
    <vt:lpwstr>bdb08e23-8bc2-4f11-96bd-3dcd5728f0a3</vt:lpwstr>
  </property>
  <property fmtid="{D5CDD505-2E9C-101B-9397-08002B2CF9AE}" pid="8" name="ERMSSecurityClassification">
    <vt:lpwstr>2;#EBA Regular Use|1beb7b00-08f6-4d2a-ade7-bc527fe9cdf9</vt:lpwstr>
  </property>
  <property fmtid="{D5CDD505-2E9C-101B-9397-08002B2CF9AE}" pid="9" name="ERMSBusinessArea">
    <vt:lpwstr/>
  </property>
  <property fmtid="{D5CDD505-2E9C-101B-9397-08002B2CF9AE}" pid="10" name="ERMSEBA Subject">
    <vt:lpwstr>1;#Governing Bodies|24d00d65-121d-40f5-ae3c-b2f6cb1454f0</vt:lpwstr>
  </property>
  <property fmtid="{D5CDD505-2E9C-101B-9397-08002B2CF9AE}" pid="11" name="ERMSDocumentType">
    <vt:lpwstr/>
  </property>
  <property fmtid="{D5CDD505-2E9C-101B-9397-08002B2CF9AE}" pid="12" name="ERMSTaxonomy">
    <vt:lpwstr>3;#0110-05 Board of Supervisors|eedf81b3-ede6-49ba-86e2-974eacc79383</vt:lpwstr>
  </property>
  <property fmtid="{D5CDD505-2E9C-101B-9397-08002B2CF9AE}" pid="13" name="ERMSEBA_x0020_Subject">
    <vt:lpwstr>1;#Governing Bodies|24d00d65-121d-40f5-ae3c-b2f6cb1454f0</vt:lpwstr>
  </property>
</Properties>
</file>