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1BF8" w14:textId="289BB4E8" w:rsidR="004E763F" w:rsidRPr="00396FA7" w:rsidRDefault="00EC3460" w:rsidP="00396FA7">
      <w:pPr>
        <w:pStyle w:val="Pagedecouverture"/>
      </w:pPr>
      <w:r>
        <w:pict w14:anchorId="0BA78E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CEBA04D-5C04-452C-9DA0-FE9E7A95A4EF" style="width:455.45pt;height:345.75pt">
            <v:imagedata r:id="rId11" o:title=""/>
          </v:shape>
        </w:pict>
      </w:r>
    </w:p>
    <w:p w14:paraId="1986B6EA" w14:textId="77777777" w:rsidR="00CE1382" w:rsidRPr="00396FA7" w:rsidRDefault="00CE1382" w:rsidP="003838B9">
      <w:pPr>
        <w:sectPr w:rsidR="00CE1382" w:rsidRPr="00396FA7" w:rsidSect="00396FA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5ADCEA6B" w14:textId="3BA3BFDD" w:rsidR="00C16484" w:rsidRPr="00396FA7" w:rsidRDefault="00396FA7" w:rsidP="00DC7DD6">
      <w:pPr>
        <w:pStyle w:val="Typedudocument"/>
      </w:pPr>
      <w:r>
        <w:lastRenderedPageBreak/>
        <w:t>REGULAMENTO DE EXECUÇÃO (UE) …/... DA COMISSÃO</w:t>
      </w:r>
    </w:p>
    <w:p w14:paraId="6819E66E" w14:textId="27850EE7" w:rsidR="00C16484" w:rsidRPr="00396FA7" w:rsidRDefault="00396FA7" w:rsidP="00DC7DD6">
      <w:pPr>
        <w:pStyle w:val="Datedadoption"/>
      </w:pPr>
      <w:r>
        <w:t>de XXX</w:t>
      </w:r>
    </w:p>
    <w:p w14:paraId="44AA08D1" w14:textId="18622C8F" w:rsidR="00C16484" w:rsidRPr="00396FA7" w:rsidRDefault="00DC7DD6" w:rsidP="00DC7DD6">
      <w:pPr>
        <w:pStyle w:val="Titreobjet"/>
      </w:pPr>
      <w:r w:rsidRPr="00396FA7">
        <w:t>que altera as normas técnicas de execução estabelecidas no Regulamento de Execução (UE) 2021/622 no respeitante à frequência da comunicação de informações e às informações a comunicar</w:t>
      </w:r>
    </w:p>
    <w:p w14:paraId="4A210142" w14:textId="7AAC13C2" w:rsidR="00C16484" w:rsidRPr="00396FA7" w:rsidRDefault="00DC7DD6" w:rsidP="00DC7DD6">
      <w:pPr>
        <w:pStyle w:val="IntrtEEE"/>
      </w:pPr>
      <w:r w:rsidRPr="00396FA7">
        <w:t>(Texto relevante para efeitos do EEE)</w:t>
      </w:r>
    </w:p>
    <w:p w14:paraId="6F3A17D1" w14:textId="77777777" w:rsidR="00C16484" w:rsidRPr="00396FA7" w:rsidRDefault="00C16484">
      <w:pPr>
        <w:pStyle w:val="Institutionquiagit"/>
      </w:pPr>
      <w:r w:rsidRPr="00396FA7">
        <w:t>A COMISSÃO EUROPEIA,</w:t>
      </w:r>
    </w:p>
    <w:p w14:paraId="22B09AC6" w14:textId="77777777" w:rsidR="00C16484" w:rsidRPr="00396FA7" w:rsidRDefault="00C16484">
      <w:r w:rsidRPr="00396FA7">
        <w:t>Tendo em conta o Tratado sobre o Funcionamento da União Europeia,</w:t>
      </w:r>
    </w:p>
    <w:p w14:paraId="6C2E5C7E" w14:textId="77777777" w:rsidR="00C16484" w:rsidRPr="00396FA7" w:rsidRDefault="00C16484">
      <w:r w:rsidRPr="00396FA7">
        <w:t>Tendo em conta a Diretiva 2014/59/UE do Parlamento Europeu e do Conselho, de 15 de maio de 2014, que estabelece um enquadramento para a recuperação e a resolução de instituições de crédito e de empresas de investimento e que altera a Diretiva 82/891/CEE do Conselho, e as Diretivas 2001/24/CE, 2002/47/CE, 2004/25/CE, 2005/56/CE, 2007/36/CE, 2011/35/UE, 2012/30/UE e 2013/36/UE e os Regulamentos (UE) n.º 1093/2010 e (UE) n.º 648/2012 do Parlamento Europeu e do Conselho</w:t>
      </w:r>
      <w:r w:rsidRPr="00396FA7">
        <w:rPr>
          <w:rStyle w:val="FootnoteReference"/>
        </w:rPr>
        <w:footnoteReference w:id="2"/>
      </w:r>
      <w:r w:rsidRPr="00396FA7">
        <w:t>, nomeadamente o artigo 45.º-J, n.º 2, terceiro parágrafo,</w:t>
      </w:r>
    </w:p>
    <w:p w14:paraId="499F4150" w14:textId="77777777" w:rsidR="00C16484" w:rsidRPr="00396FA7" w:rsidRDefault="00C16484">
      <w:r w:rsidRPr="00396FA7">
        <w:t>Considerando o seguinte:</w:t>
      </w:r>
    </w:p>
    <w:p w14:paraId="7D99777F" w14:textId="77777777" w:rsidR="003428AE" w:rsidRPr="00396FA7" w:rsidRDefault="003428AE" w:rsidP="004B4C38">
      <w:pPr>
        <w:pStyle w:val="Considrant"/>
        <w:numPr>
          <w:ilvl w:val="0"/>
          <w:numId w:val="2"/>
        </w:numPr>
        <w:rPr>
          <w:iCs/>
          <w:noProof/>
        </w:rPr>
      </w:pPr>
      <w:r w:rsidRPr="00396FA7">
        <w:t>A Diretiva (UE) 2024/1174 do Parlamento Europeu e do Conselho</w:t>
      </w:r>
      <w:r w:rsidRPr="00396FA7">
        <w:rPr>
          <w:rStyle w:val="FootnoteReference"/>
          <w:iCs/>
          <w:noProof/>
        </w:rPr>
        <w:footnoteReference w:id="3"/>
      </w:r>
      <w:r w:rsidRPr="00396FA7">
        <w:t xml:space="preserve"> alterou determinados aspetos do requisito mínimo de fundos próprios e passivos elegíveis («MREL») estabelecido na Diretiva 2014/59/UE. Nos termos dessas alterações, as autoridades de resolução não deverão determinar o MREL para as entidades de liquidação, exceto se a fixação de um MREL superior a um montante suficiente para absorver as perdas for necessária para proteger a estabilidade financeira ou fazer face ao risco de contágio ao sistema financeiro, nomeadamente no que respeita à capacidade de financiamento dos sistemas de garantia de depósitos. Além disso, a Diretiva (UE) 2024/1174 aumentou o número de situações que permitem às autoridades de resolução determinar o MREL em base consolidada. O Regulamento de Execução (UE) 2021/622 da Comissão</w:t>
      </w:r>
      <w:r w:rsidRPr="00396FA7">
        <w:rPr>
          <w:rStyle w:val="FootnoteReference"/>
          <w:iCs/>
          <w:noProof/>
        </w:rPr>
        <w:footnoteReference w:id="4"/>
      </w:r>
      <w:r w:rsidRPr="00396FA7">
        <w:t xml:space="preserve"> deve ser alterado a fim de refletir essas alterações ao quadro MREL nas informações a transmitir à Autoridade Bancária Europeia (EBA).</w:t>
      </w:r>
    </w:p>
    <w:p w14:paraId="038A3063" w14:textId="77777777" w:rsidR="00C16484" w:rsidRPr="00396FA7" w:rsidRDefault="00A05FAB" w:rsidP="008B6AF9">
      <w:pPr>
        <w:pStyle w:val="Considrant"/>
        <w:numPr>
          <w:ilvl w:val="0"/>
          <w:numId w:val="2"/>
        </w:numPr>
        <w:rPr>
          <w:iCs/>
          <w:noProof/>
        </w:rPr>
      </w:pPr>
      <w:r w:rsidRPr="00396FA7">
        <w:t>O Regulamento de Execução (UE) 2021/622 exige atualmente que as autoridades de resolução transmitam anualmente à EBA informações relacionadas com a fixação do MREL. Posteriormente, a EBA cruza essas informações com as informações relativas à composição dos fundos próprios e passivos elegíveis obtidas nos termos do Regulamento de Execução (UE) 2021/763 da Comissão</w:t>
      </w:r>
      <w:r w:rsidRPr="00396FA7">
        <w:rPr>
          <w:rStyle w:val="FootnoteReference"/>
          <w:noProof/>
        </w:rPr>
        <w:footnoteReference w:id="5"/>
      </w:r>
      <w:r w:rsidRPr="00396FA7">
        <w:t>, a fim de elaborar o seu relatório sobre o MREL em conformidade com o artigo 45.º-L da Diretiva 2014/59/UE, que tem atualmente uma periodicidade semestral. A atual comunicação anual de informações sobre a fixação do MREL significa que as decisões MREL adotadas pelas autoridades de resolução após a data de referência relevante não são transmitidas nem avaliadas pela EBA, e não são refletidas nos seus relatórios, até ao ano seguinte, criando assim desalinhamentos com as informações mais atualizadas sobre a composição dos fundos próprios e passivos elegíveis.</w:t>
      </w:r>
    </w:p>
    <w:p w14:paraId="676EF325" w14:textId="77777777" w:rsidR="00C16484" w:rsidRPr="00396FA7" w:rsidRDefault="00C16484" w:rsidP="004B4C38">
      <w:pPr>
        <w:pStyle w:val="Considrant"/>
        <w:numPr>
          <w:ilvl w:val="0"/>
          <w:numId w:val="2"/>
        </w:numPr>
        <w:rPr>
          <w:iCs/>
          <w:noProof/>
        </w:rPr>
      </w:pPr>
      <w:r w:rsidRPr="00396FA7">
        <w:t xml:space="preserve">A fim de melhorar a capacidade da EBA para acompanhar e avaliar o MREL fixado pelas autoridades de resolução e o cumprimento dos requisitos MREL por parte das instituições, as autoridades de resolução devem ser obrigadas a comunicar mais frequentemente à EBA informações sobre as decisões relativas ao MREL. As autoridades de resolução devem comunicar essas informações duas vezes por ano, de maneira a assegurar o alinhamento com os relatórios sobre o MREL elaborados pela EBA, </w:t>
      </w:r>
    </w:p>
    <w:p w14:paraId="2672C096" w14:textId="77777777" w:rsidR="00C16484" w:rsidRPr="00396FA7" w:rsidRDefault="00C16484" w:rsidP="004B4C38">
      <w:pPr>
        <w:pStyle w:val="Considrant"/>
        <w:numPr>
          <w:ilvl w:val="0"/>
          <w:numId w:val="2"/>
        </w:numPr>
        <w:rPr>
          <w:noProof/>
        </w:rPr>
      </w:pPr>
      <w:r w:rsidRPr="00396FA7">
        <w:t>A fim de facilitar a avaliação pela EBA da forma como as autoridades de resolução exerceram poderes discricionários na fixação do MREL, em especial no que respeita à opção disponível nos termos do artigo 45.º-B, n.º 4, primeiro parágrafo, da Diretiva 2014/59/UE, o modelo M 20.00 — Comunicação de decisões relativas ao MREL [anexo I do Regulamento (UE) 2021/622] e as instruções correspondentes devem ser ajustados de modo a exigir a inclusão de informações sobre o exercício dessa opção.</w:t>
      </w:r>
    </w:p>
    <w:p w14:paraId="1B5314C9" w14:textId="77777777" w:rsidR="00C16484" w:rsidRPr="00396FA7" w:rsidRDefault="00C16484" w:rsidP="004B4C38">
      <w:pPr>
        <w:pStyle w:val="Considrant"/>
        <w:numPr>
          <w:ilvl w:val="0"/>
          <w:numId w:val="2"/>
        </w:numPr>
        <w:rPr>
          <w:noProof/>
        </w:rPr>
      </w:pPr>
      <w:r w:rsidRPr="00396FA7">
        <w:t>A EBA solicitou o parecer do Grupo das Partes Interessadas do Setor Bancário criado em conformidade com o artigo 37.º do Regulamento (UE) n.º 1093/2010 do Parlamento Europeu e do Conselho</w:t>
      </w:r>
      <w:r w:rsidRPr="00396FA7">
        <w:rPr>
          <w:rStyle w:val="FootnoteReference"/>
          <w:noProof/>
        </w:rPr>
        <w:footnoteReference w:id="6"/>
      </w:r>
      <w:r w:rsidRPr="00396FA7">
        <w:t xml:space="preserve">, </w:t>
      </w:r>
    </w:p>
    <w:p w14:paraId="5D5111C6" w14:textId="77777777" w:rsidR="00C16484" w:rsidRPr="00396FA7" w:rsidRDefault="00373FC4" w:rsidP="004B4C38">
      <w:pPr>
        <w:pStyle w:val="Considrant"/>
        <w:numPr>
          <w:ilvl w:val="0"/>
          <w:numId w:val="2"/>
        </w:numPr>
        <w:rPr>
          <w:noProof/>
        </w:rPr>
      </w:pPr>
      <w:r w:rsidRPr="00396FA7">
        <w:t xml:space="preserve">As alterações do Regulamento (UE) 2021/622 destinam-se às autoridades de resolução e não implicam alterações significativas em termos substantivos. Por conseguinte, em conformidade com o artigo 15.º, n.º 1, segundo parágrafo, do Regulamento (UE) n.º 1093/2010, a EBA não realizou consultas públicas abertas nem analisou os potenciais custos e benefícios associados, considerando que tal seria desproporcionado em relação ao âmbito e impacto dos projetos de normas técnicas de execução em causa. </w:t>
      </w:r>
    </w:p>
    <w:p w14:paraId="0A23BFF6" w14:textId="77777777" w:rsidR="00C16484" w:rsidRPr="00396FA7" w:rsidRDefault="00C16484" w:rsidP="004B4C38">
      <w:pPr>
        <w:pStyle w:val="Considrant"/>
        <w:numPr>
          <w:ilvl w:val="0"/>
          <w:numId w:val="2"/>
        </w:numPr>
        <w:rPr>
          <w:noProof/>
        </w:rPr>
      </w:pPr>
      <w:r w:rsidRPr="00396FA7">
        <w:t>O Regulamento de Execução (UE) 2021/622 deve, por conseguinte, ser alterado em conformidade.</w:t>
      </w:r>
    </w:p>
    <w:p w14:paraId="1887EA7B" w14:textId="77777777" w:rsidR="00C16484" w:rsidRPr="00396FA7" w:rsidRDefault="00C16484" w:rsidP="004B4C38">
      <w:pPr>
        <w:pStyle w:val="Considrant"/>
        <w:numPr>
          <w:ilvl w:val="0"/>
          <w:numId w:val="2"/>
        </w:numPr>
        <w:rPr>
          <w:noProof/>
        </w:rPr>
      </w:pPr>
      <w:r w:rsidRPr="00396FA7">
        <w:t>O presente regulamento tem por base o projeto de normas técnicas de execução apresentado pela EBA à Comissão,</w:t>
      </w:r>
    </w:p>
    <w:p w14:paraId="313B274F" w14:textId="77777777" w:rsidR="00C16484" w:rsidRPr="00396FA7" w:rsidRDefault="00C16484">
      <w:pPr>
        <w:pStyle w:val="Formuledadoption"/>
      </w:pPr>
      <w:r w:rsidRPr="00396FA7">
        <w:t>ADOTOU O PRESENTE REGULAMENTO:</w:t>
      </w:r>
    </w:p>
    <w:p w14:paraId="455FC522" w14:textId="77777777" w:rsidR="00C16484" w:rsidRPr="00396FA7" w:rsidRDefault="00C16484">
      <w:pPr>
        <w:pStyle w:val="Titrearticle"/>
      </w:pPr>
      <w:r w:rsidRPr="00396FA7">
        <w:t>Artigo 1.º</w:t>
      </w:r>
    </w:p>
    <w:p w14:paraId="061A957A" w14:textId="77777777" w:rsidR="00C16484" w:rsidRPr="00396FA7" w:rsidRDefault="00C16484" w:rsidP="00C16484">
      <w:pPr>
        <w:rPr>
          <w:noProof/>
        </w:rPr>
      </w:pPr>
      <w:r w:rsidRPr="00396FA7">
        <w:t>O Regulamento de Execução (UE) 2021/622 é alterado do seguinte modo:</w:t>
      </w:r>
    </w:p>
    <w:p w14:paraId="44E520EB" w14:textId="77777777" w:rsidR="00C16484" w:rsidRPr="00396FA7" w:rsidRDefault="00C16484" w:rsidP="00783A3B">
      <w:pPr>
        <w:pStyle w:val="Point0number"/>
        <w:numPr>
          <w:ilvl w:val="0"/>
          <w:numId w:val="6"/>
        </w:numPr>
        <w:rPr>
          <w:noProof/>
        </w:rPr>
      </w:pPr>
      <w:r w:rsidRPr="00396FA7">
        <w:t>O artigo 2.º é alterado do seguinte modo:</w:t>
      </w:r>
    </w:p>
    <w:p w14:paraId="252CA8AC" w14:textId="77777777" w:rsidR="00C16484" w:rsidRPr="00396FA7" w:rsidRDefault="00C16484" w:rsidP="00783A3B">
      <w:pPr>
        <w:pStyle w:val="Point1letter"/>
        <w:rPr>
          <w:noProof/>
        </w:rPr>
      </w:pPr>
      <w:r w:rsidRPr="00396FA7">
        <w:t>O título passa a ter a seguinte redação:</w:t>
      </w:r>
    </w:p>
    <w:p w14:paraId="3D4F8508" w14:textId="77777777" w:rsidR="00C16484" w:rsidRPr="00396FA7" w:rsidRDefault="00C16484" w:rsidP="00783A3B">
      <w:pPr>
        <w:jc w:val="center"/>
        <w:rPr>
          <w:noProof/>
        </w:rPr>
      </w:pPr>
      <w:r w:rsidRPr="00396FA7">
        <w:t>«</w:t>
      </w:r>
      <w:r w:rsidRPr="00396FA7">
        <w:rPr>
          <w:b/>
          <w:bCs/>
        </w:rPr>
        <w:t>Requisito simplificado de reporte para as instituições que beneficiam de uma dispensa</w:t>
      </w:r>
      <w:r w:rsidRPr="00396FA7">
        <w:t>»;</w:t>
      </w:r>
    </w:p>
    <w:p w14:paraId="2EAF66BD" w14:textId="77777777" w:rsidR="00C16484" w:rsidRPr="00396FA7" w:rsidRDefault="00C16484" w:rsidP="00783A3B">
      <w:pPr>
        <w:pStyle w:val="Point1letter"/>
        <w:rPr>
          <w:noProof/>
        </w:rPr>
      </w:pPr>
      <w:r w:rsidRPr="00396FA7">
        <w:t>É suprimido o n.º 2;</w:t>
      </w:r>
    </w:p>
    <w:p w14:paraId="1A052A8B" w14:textId="77777777" w:rsidR="00C16484" w:rsidRPr="00396FA7" w:rsidRDefault="00C16484" w:rsidP="00783A3B">
      <w:pPr>
        <w:pStyle w:val="Point0number"/>
        <w:rPr>
          <w:noProof/>
        </w:rPr>
      </w:pPr>
      <w:r w:rsidRPr="00396FA7">
        <w:t>No artigo 3.º, o proémio passa a ter a seguinte redação:</w:t>
      </w:r>
    </w:p>
    <w:p w14:paraId="533DCDB8" w14:textId="77777777" w:rsidR="00C16484" w:rsidRPr="00396FA7" w:rsidRDefault="00C16484" w:rsidP="00783A3B">
      <w:pPr>
        <w:rPr>
          <w:noProof/>
        </w:rPr>
      </w:pPr>
      <w:r w:rsidRPr="00396FA7">
        <w:t>«Para os grupos sujeitos ao MREL em base consolidada nos termos do artigo 45.º-E, do artigo 45.º-F, n.º 1, terceiro e quarto parágrafos, e do artigo 45.º-F, n.º 4, alínea b), da Diretiva 2014/59/UE, as informações a que se referem os artigos 1.º e 2.º devem ser apresentadas pelas seguintes autoridades e da seguinte forma:»;</w:t>
      </w:r>
    </w:p>
    <w:p w14:paraId="0509E0AB" w14:textId="77777777" w:rsidR="00C16484" w:rsidRPr="00396FA7" w:rsidRDefault="00C16484" w:rsidP="00783A3B">
      <w:pPr>
        <w:pStyle w:val="Point0number"/>
        <w:rPr>
          <w:noProof/>
        </w:rPr>
      </w:pPr>
      <w:r w:rsidRPr="00396FA7">
        <w:t>O artigo 4.º passa a ter a seguinte redação:</w:t>
      </w:r>
    </w:p>
    <w:p w14:paraId="66FCA4E9" w14:textId="77777777" w:rsidR="00C16484" w:rsidRPr="00396FA7" w:rsidRDefault="00D47F83" w:rsidP="00783A3B">
      <w:pPr>
        <w:pStyle w:val="Titrearticle"/>
        <w:rPr>
          <w:i w:val="0"/>
          <w:iCs/>
          <w:noProof/>
        </w:rPr>
      </w:pPr>
      <w:r w:rsidRPr="00396FA7">
        <w:t xml:space="preserve">«Artigo 4.º </w:t>
      </w:r>
      <w:r w:rsidRPr="00396FA7">
        <w:br/>
      </w:r>
      <w:r w:rsidRPr="00396FA7">
        <w:rPr>
          <w:b/>
          <w:i w:val="0"/>
        </w:rPr>
        <w:t>Periodicidade de transmissão de informações e datas para a respetiva apresentação</w:t>
      </w:r>
    </w:p>
    <w:p w14:paraId="054F5F9B" w14:textId="77777777" w:rsidR="00C16484" w:rsidRPr="00396FA7" w:rsidRDefault="00C16484" w:rsidP="00783A3B">
      <w:pPr>
        <w:rPr>
          <w:noProof/>
        </w:rPr>
      </w:pPr>
      <w:r w:rsidRPr="00396FA7">
        <w:t>As autoridades de resolução transmitem as informações referidas nos artigos 1.º e 2.º do seguinte modo:</w:t>
      </w:r>
    </w:p>
    <w:p w14:paraId="5113726F" w14:textId="77777777" w:rsidR="00C16484" w:rsidRPr="00396FA7" w:rsidRDefault="00C16484" w:rsidP="00783A3B">
      <w:pPr>
        <w:pStyle w:val="Point1letter"/>
        <w:rPr>
          <w:noProof/>
        </w:rPr>
      </w:pPr>
      <w:r w:rsidRPr="00396FA7">
        <w:t>Para o MREL aplicável a partir de 30 de junho, até 16 de setembro desse ano;</w:t>
      </w:r>
    </w:p>
    <w:p w14:paraId="7219DDD8" w14:textId="77777777" w:rsidR="00C16484" w:rsidRPr="00396FA7" w:rsidRDefault="00C16484" w:rsidP="00783A3B">
      <w:pPr>
        <w:pStyle w:val="Point1letter"/>
        <w:rPr>
          <w:noProof/>
        </w:rPr>
      </w:pPr>
      <w:r w:rsidRPr="00396FA7">
        <w:t>Para o MREL aplicável a partir de 31 de dezembro, até 18 de março do ano seguinte.»;</w:t>
      </w:r>
    </w:p>
    <w:p w14:paraId="65609948" w14:textId="77777777" w:rsidR="00C16484" w:rsidRPr="00396FA7" w:rsidRDefault="00C16484" w:rsidP="00783A3B">
      <w:pPr>
        <w:pStyle w:val="Point0number"/>
        <w:rPr>
          <w:noProof/>
        </w:rPr>
      </w:pPr>
      <w:r w:rsidRPr="00396FA7">
        <w:t>O anexo I é substituído pelo texto que consta do anexo I do presente regulamento;</w:t>
      </w:r>
    </w:p>
    <w:p w14:paraId="45E55C10" w14:textId="77777777" w:rsidR="00C16484" w:rsidRPr="00396FA7" w:rsidRDefault="00C16484" w:rsidP="00783A3B">
      <w:pPr>
        <w:pStyle w:val="Point0number"/>
        <w:rPr>
          <w:noProof/>
        </w:rPr>
      </w:pPr>
      <w:r w:rsidRPr="00396FA7">
        <w:t>O anexo II é substituído pelo texto que consta do anexo II do presente regulamento.</w:t>
      </w:r>
    </w:p>
    <w:p w14:paraId="0B09A3CA" w14:textId="77777777" w:rsidR="00C16484" w:rsidRPr="00396FA7" w:rsidRDefault="00C16484">
      <w:pPr>
        <w:pStyle w:val="Titrearticle"/>
      </w:pPr>
      <w:r w:rsidRPr="00396FA7">
        <w:t>Artigo 2.º</w:t>
      </w:r>
    </w:p>
    <w:p w14:paraId="0BDD24EC" w14:textId="77777777" w:rsidR="00C16484" w:rsidRPr="00396FA7" w:rsidRDefault="00C16484" w:rsidP="00830365">
      <w:r w:rsidRPr="00396FA7">
        <w:t xml:space="preserve">O presente regulamento entra em vigor no vigésimo dia seguinte ao da sua publicação no </w:t>
      </w:r>
      <w:r w:rsidRPr="00396FA7">
        <w:rPr>
          <w:i/>
          <w:iCs/>
        </w:rPr>
        <w:t>Jornal Oficial da União Europeia</w:t>
      </w:r>
      <w:r w:rsidRPr="00396FA7">
        <w:t>.</w:t>
      </w:r>
    </w:p>
    <w:p w14:paraId="3DDE2F7A" w14:textId="77777777" w:rsidR="00C16484" w:rsidRPr="00396FA7" w:rsidRDefault="00C16484">
      <w:pPr>
        <w:pStyle w:val="Applicationdirecte"/>
      </w:pPr>
      <w:r w:rsidRPr="00396FA7">
        <w:t>O presente regulamento é obrigatório em todos os seus elementos e diretamente aplicável em todos os Estados-Membros.</w:t>
      </w:r>
    </w:p>
    <w:p w14:paraId="0FD02893" w14:textId="67A61EA4" w:rsidR="00C16484" w:rsidRPr="00396FA7" w:rsidRDefault="00396FA7" w:rsidP="00396FA7">
      <w:pPr>
        <w:pStyle w:val="Fait"/>
      </w:pPr>
      <w:r w:rsidRPr="00396FA7">
        <w:t>Feito em Bruxelas, em</w:t>
      </w:r>
    </w:p>
    <w:p w14:paraId="3FB14D4B" w14:textId="77777777" w:rsidR="00C16484" w:rsidRPr="00396FA7" w:rsidRDefault="00C16484" w:rsidP="00C16484">
      <w:pPr>
        <w:pStyle w:val="Institutionquisigne"/>
      </w:pPr>
      <w:r w:rsidRPr="00396FA7">
        <w:tab/>
        <w:t>Pela Comissão</w:t>
      </w:r>
    </w:p>
    <w:p w14:paraId="0FEF1170" w14:textId="0CD182DE" w:rsidR="00C16484" w:rsidRPr="00396FA7" w:rsidRDefault="00C16484" w:rsidP="00C16484">
      <w:pPr>
        <w:pStyle w:val="Personnequisigne"/>
      </w:pPr>
      <w:r w:rsidRPr="00396FA7">
        <w:tab/>
        <w:t xml:space="preserve">A Presidente </w:t>
      </w:r>
      <w:r w:rsidRPr="00396FA7">
        <w:br/>
      </w:r>
      <w:r w:rsidRPr="00396FA7">
        <w:tab/>
        <w:t xml:space="preserve">Ursula von der Leyen </w:t>
      </w:r>
      <w:r w:rsidRPr="00396FA7">
        <w:br/>
      </w:r>
      <w:r w:rsidRPr="00396FA7">
        <w:tab/>
      </w:r>
    </w:p>
    <w:sectPr w:rsidR="00C16484" w:rsidRPr="00396FA7" w:rsidSect="00396FA7">
      <w:headerReference w:type="even" r:id="rId18"/>
      <w:footerReference w:type="even" r:id="rId19"/>
      <w:footerReference w:type="default" r:id="rId20"/>
      <w:headerReference w:type="first" r:id="rId21"/>
      <w:footerReference w:type="first" r:id="rId22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4D8F0" w14:textId="77777777" w:rsidR="00F07F26" w:rsidRDefault="00F07F26" w:rsidP="00C16484">
      <w:pPr>
        <w:spacing w:before="0" w:after="0"/>
      </w:pPr>
      <w:r>
        <w:separator/>
      </w:r>
    </w:p>
  </w:endnote>
  <w:endnote w:type="continuationSeparator" w:id="0">
    <w:p w14:paraId="61DF8EAB" w14:textId="77777777" w:rsidR="00F07F26" w:rsidRDefault="00F07F26" w:rsidP="00C16484">
      <w:pPr>
        <w:spacing w:before="0" w:after="0"/>
      </w:pPr>
      <w:r>
        <w:continuationSeparator/>
      </w:r>
    </w:p>
  </w:endnote>
  <w:endnote w:type="continuationNotice" w:id="1">
    <w:p w14:paraId="04F6DC9C" w14:textId="77777777" w:rsidR="00F07F26" w:rsidRDefault="00F07F2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BD553" w14:textId="6788A725" w:rsidR="00396FA7" w:rsidRPr="00396FA7" w:rsidRDefault="00396FA7" w:rsidP="00396FA7">
    <w:pPr>
      <w:pStyle w:val="Footer"/>
      <w:rPr>
        <w:rFonts w:ascii="Arial" w:hAnsi="Arial" w:cs="Arial"/>
        <w:b/>
        <w:sz w:val="48"/>
      </w:rPr>
    </w:pPr>
    <w:r w:rsidRPr="00396FA7">
      <w:rPr>
        <w:rFonts w:ascii="Arial" w:hAnsi="Arial" w:cs="Arial"/>
        <w:b/>
        <w:sz w:val="48"/>
      </w:rPr>
      <w:t>PT</w:t>
    </w:r>
    <w:r w:rsidRPr="00396FA7">
      <w:rPr>
        <w:rFonts w:ascii="Arial" w:hAnsi="Arial" w:cs="Arial"/>
        <w:b/>
        <w:sz w:val="48"/>
      </w:rPr>
      <w:tab/>
    </w:r>
    <w:r w:rsidRPr="00396FA7">
      <w:rPr>
        <w:rFonts w:ascii="Arial" w:hAnsi="Arial" w:cs="Arial"/>
        <w:b/>
        <w:sz w:val="48"/>
      </w:rPr>
      <w:tab/>
    </w:r>
    <w:r w:rsidRPr="00396FA7">
      <w:tab/>
    </w:r>
    <w:r w:rsidRPr="00396FA7">
      <w:rPr>
        <w:rFonts w:ascii="Arial" w:hAnsi="Arial" w:cs="Arial"/>
        <w:b/>
        <w:sz w:val="48"/>
      </w:rPr>
      <w:t>PT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F0CB9" w14:textId="3E7C745D" w:rsidR="00396FA7" w:rsidRPr="00396FA7" w:rsidRDefault="00396FA7" w:rsidP="00396FA7">
    <w:pPr>
      <w:pStyle w:val="Footer"/>
      <w:rPr>
        <w:rFonts w:ascii="Arial" w:hAnsi="Arial" w:cs="Arial"/>
        <w:b/>
        <w:sz w:val="48"/>
      </w:rPr>
    </w:pPr>
    <w:r w:rsidRPr="00396FA7">
      <w:rPr>
        <w:rFonts w:ascii="Arial" w:hAnsi="Arial" w:cs="Arial"/>
        <w:b/>
        <w:sz w:val="48"/>
      </w:rPr>
      <w:t>PT</w:t>
    </w:r>
    <w:r w:rsidRPr="00396FA7">
      <w:rPr>
        <w:rFonts w:ascii="Arial" w:hAnsi="Arial" w:cs="Arial"/>
        <w:b/>
        <w:sz w:val="48"/>
      </w:rPr>
      <w:tab/>
    </w:r>
    <w:r w:rsidRPr="00396FA7">
      <w:rPr>
        <w:rFonts w:ascii="Arial" w:hAnsi="Arial" w:cs="Arial"/>
        <w:b/>
        <w:sz w:val="48"/>
      </w:rPr>
      <w:tab/>
    </w:r>
    <w:r w:rsidRPr="00396FA7">
      <w:tab/>
    </w:r>
    <w:r w:rsidRPr="00396FA7">
      <w:rPr>
        <w:rFonts w:ascii="Arial" w:hAnsi="Arial" w:cs="Arial"/>
        <w:b/>
        <w:sz w:val="48"/>
      </w:rPr>
      <w:t>PT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B367" w14:textId="77777777" w:rsidR="00396FA7" w:rsidRPr="00396FA7" w:rsidRDefault="00396FA7" w:rsidP="00396FA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2728" w14:textId="77777777" w:rsidR="000C320E" w:rsidRPr="00DC5E29" w:rsidRDefault="000C320E" w:rsidP="00DC5E29">
    <w:pPr>
      <w:pStyle w:val="Footer"/>
      <w:rPr>
        <w:rFonts w:ascii="Arial" w:hAnsi="Arial" w:cs="Arial"/>
        <w:b/>
        <w:sz w:val="4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D380" w14:textId="2E90C93C" w:rsidR="00396FA7" w:rsidRPr="00396FA7" w:rsidRDefault="00396FA7" w:rsidP="00396FA7">
    <w:pPr>
      <w:pStyle w:val="Footer"/>
      <w:rPr>
        <w:rFonts w:ascii="Arial" w:hAnsi="Arial" w:cs="Arial"/>
        <w:b/>
        <w:sz w:val="48"/>
      </w:rPr>
    </w:pPr>
    <w:r w:rsidRPr="00396FA7">
      <w:rPr>
        <w:rFonts w:ascii="Arial" w:hAnsi="Arial" w:cs="Arial"/>
        <w:b/>
        <w:sz w:val="48"/>
      </w:rPr>
      <w:t>PT</w:t>
    </w:r>
    <w:r w:rsidRPr="00396FA7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396FA7">
      <w:tab/>
    </w:r>
    <w:r w:rsidRPr="00396FA7">
      <w:rPr>
        <w:rFonts w:ascii="Arial" w:hAnsi="Arial" w:cs="Arial"/>
        <w:b/>
        <w:sz w:val="48"/>
      </w:rPr>
      <w:t>PT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2C19" w14:textId="77777777" w:rsidR="000C320E" w:rsidRDefault="000C320E" w:rsidP="00396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04942" w14:textId="77777777" w:rsidR="00F07F26" w:rsidRDefault="00F07F26" w:rsidP="00C16484">
      <w:pPr>
        <w:spacing w:before="0" w:after="0"/>
      </w:pPr>
      <w:r>
        <w:separator/>
      </w:r>
    </w:p>
  </w:footnote>
  <w:footnote w:type="continuationSeparator" w:id="0">
    <w:p w14:paraId="298144EA" w14:textId="77777777" w:rsidR="00F07F26" w:rsidRDefault="00F07F26" w:rsidP="00C16484">
      <w:pPr>
        <w:spacing w:before="0" w:after="0"/>
      </w:pPr>
      <w:r>
        <w:continuationSeparator/>
      </w:r>
    </w:p>
  </w:footnote>
  <w:footnote w:type="continuationNotice" w:id="1">
    <w:p w14:paraId="57F8940A" w14:textId="77777777" w:rsidR="00F07F26" w:rsidRDefault="00F07F26">
      <w:pPr>
        <w:spacing w:before="0" w:after="0"/>
      </w:pPr>
    </w:p>
  </w:footnote>
  <w:footnote w:id="2">
    <w:p w14:paraId="33763137" w14:textId="77777777" w:rsidR="00C16484" w:rsidRPr="00DC7DD6" w:rsidRDefault="00C16484" w:rsidP="00C16484">
      <w:pPr>
        <w:pStyle w:val="FootnoteText"/>
      </w:pPr>
      <w:r>
        <w:rPr>
          <w:rStyle w:val="FootnoteReference"/>
        </w:rPr>
        <w:footnoteRef/>
      </w:r>
      <w:r w:rsidRPr="00DC7DD6">
        <w:tab/>
        <w:t>JO L 173 de 12.6.2014, p. 190, ELI: </w:t>
      </w:r>
      <w:hyperlink r:id="rId1" w:tooltip="Permite aceder ao documento através do seu identificador ELI." w:history="1">
        <w:r w:rsidRPr="00DC7DD6">
          <w:rPr>
            <w:rStyle w:val="Hyperlink"/>
            <w:rFonts w:ascii="Times New Roman" w:hAnsi="Times New Roman"/>
          </w:rPr>
          <w:t>http://data.europa.eu/eli/dir/2014/59/oj</w:t>
        </w:r>
      </w:hyperlink>
      <w:r w:rsidRPr="00DC7DD6">
        <w:t xml:space="preserve">. </w:t>
      </w:r>
    </w:p>
  </w:footnote>
  <w:footnote w:id="3">
    <w:p w14:paraId="584AEAAA" w14:textId="78F88551" w:rsidR="003428AE" w:rsidRPr="00DC7DD6" w:rsidRDefault="003428AE">
      <w:pPr>
        <w:pStyle w:val="FootnoteText"/>
      </w:pPr>
      <w:r>
        <w:rPr>
          <w:rStyle w:val="FootnoteReference"/>
        </w:rPr>
        <w:footnoteRef/>
      </w:r>
      <w:r w:rsidRPr="00DC7DD6">
        <w:tab/>
        <w:t xml:space="preserve">Diretiva (UE) 2024/1174 do Parlamento Europeu e do Conselho, de 11 de abril de 2024, que altera a Diretiva 2014/59/UE e o Regulamento (UE) n.º 806/2014 no que diz respeito a determinados aspetos do requisito mínimo de fundos próprios e passivos elegíveis (JO L, 2024/1174, 22.4.2024, ELI: </w:t>
      </w:r>
      <w:hyperlink r:id="rId2" w:history="1">
        <w:r w:rsidRPr="00DC7DD6">
          <w:rPr>
            <w:rStyle w:val="Hyperlink"/>
            <w:rFonts w:ascii="Times New Roman" w:hAnsi="Times New Roman"/>
          </w:rPr>
          <w:t>http://data.europa.eu/eli/dir/2024/1174/oj</w:t>
        </w:r>
      </w:hyperlink>
      <w:r w:rsidRPr="00DC7DD6">
        <w:t xml:space="preserve">). </w:t>
      </w:r>
    </w:p>
  </w:footnote>
  <w:footnote w:id="4">
    <w:p w14:paraId="4D1953DF" w14:textId="607C22C8" w:rsidR="001F4496" w:rsidRPr="00DC7DD6" w:rsidRDefault="001F4496">
      <w:pPr>
        <w:pStyle w:val="FootnoteText"/>
      </w:pPr>
      <w:r>
        <w:rPr>
          <w:rStyle w:val="FootnoteReference"/>
        </w:rPr>
        <w:footnoteRef/>
      </w:r>
      <w:r w:rsidRPr="00DC7DD6">
        <w:tab/>
        <w:t xml:space="preserve">Regulamento de Execução (UE) 2021/622 da Comissão, de 15 de abril de 2021, que estabelece normas técnicas de execução para a aplicação da Diretiva 2014/59/UE do Parlamento Europeu e do Conselho no que respeita aos modelos uniformes de reporte, às instruções e à metodologia para a comunicação de informações relativas ao requisito mínimo de fundos próprios e passivos elegíveis (JO L 131 de 16.4.2021, p. 123, ELI: </w:t>
      </w:r>
      <w:hyperlink r:id="rId3" w:history="1">
        <w:r w:rsidRPr="00DC7DD6">
          <w:rPr>
            <w:rStyle w:val="Hyperlink"/>
            <w:rFonts w:ascii="Times New Roman" w:hAnsi="Times New Roman"/>
          </w:rPr>
          <w:t>http://data.europa.eu/eli/reg_impl/2021/622/oj</w:t>
        </w:r>
      </w:hyperlink>
      <w:r w:rsidRPr="00DC7DD6">
        <w:t>).</w:t>
      </w:r>
    </w:p>
  </w:footnote>
  <w:footnote w:id="5">
    <w:p w14:paraId="5FB3833A" w14:textId="77777777" w:rsidR="000B5B60" w:rsidRPr="00DC7DD6" w:rsidRDefault="000B5B60">
      <w:pPr>
        <w:pStyle w:val="FootnoteText"/>
      </w:pPr>
      <w:r>
        <w:rPr>
          <w:rStyle w:val="FootnoteReference"/>
        </w:rPr>
        <w:footnoteRef/>
      </w:r>
      <w:r w:rsidRPr="00DC7DD6">
        <w:tab/>
        <w:t xml:space="preserve">Regulamento de Execução (UE) 2021/763 da Comissão, de 23 de abril de 2021, que estabelece normas técnicas de execução para a aplicação do Regulamento (UE) n.º 575/2013 do Parlamento Europeu e do Conselho e da Diretiva 2014/59/UE do Parlamento Europeu e do Conselho no que diz respeito à comunicação de informações para fins de supervisão e à divulgação pública do requisito mínimo de fundos próprios e passivos elegíveis (JO L 168 de 12.5.2021, ELI: </w:t>
      </w:r>
      <w:hyperlink r:id="rId4" w:history="1">
        <w:r w:rsidRPr="00DC7DD6">
          <w:rPr>
            <w:rStyle w:val="Hyperlink"/>
            <w:rFonts w:ascii="Times New Roman" w:hAnsi="Times New Roman"/>
          </w:rPr>
          <w:t>http://data.europa.eu/eli/reg_impl/2021/763/oj</w:t>
        </w:r>
      </w:hyperlink>
      <w:r w:rsidRPr="00DC7DD6">
        <w:t>).</w:t>
      </w:r>
    </w:p>
  </w:footnote>
  <w:footnote w:id="6">
    <w:p w14:paraId="04BE3385" w14:textId="77777777" w:rsidR="00401F3A" w:rsidRPr="00DC7DD6" w:rsidRDefault="00401F3A" w:rsidP="00F35BD7">
      <w:pPr>
        <w:pStyle w:val="FootnoteText"/>
      </w:pPr>
      <w:r>
        <w:rPr>
          <w:rStyle w:val="FootnoteReference"/>
        </w:rPr>
        <w:footnoteRef/>
      </w:r>
      <w:r w:rsidRPr="00DC7DD6">
        <w:tab/>
        <w:t>Regulamento (UE) n.º 1093/2010 do Parlamento Europeu e do Conselho, de 24 de novembro de 2010, que cria uma Autoridade Europeia de Supervisão (Autoridade Bancária Europeia), altera a Decisão n.º 716/2009/CE e revoga a Decisão 2009/78/CE da Comissão (JO L 331 de 15.12.2010, p. 12, ELI: </w:t>
      </w:r>
      <w:hyperlink r:id="rId5" w:tooltip="Permite aceder ao documento através do seu identificador ELI." w:history="1">
        <w:r w:rsidRPr="00DC7DD6">
          <w:rPr>
            <w:rStyle w:val="Hyperlink"/>
            <w:rFonts w:ascii="Times New Roman" w:hAnsi="Times New Roman"/>
          </w:rPr>
          <w:t>http://data.europa.eu/eli/reg/2010/1093/oj</w:t>
        </w:r>
      </w:hyperlink>
      <w:r w:rsidRPr="00DC7DD6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28F8" w14:textId="77777777" w:rsidR="00396FA7" w:rsidRPr="00396FA7" w:rsidRDefault="00396FA7" w:rsidP="00396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FB4A" w14:textId="77777777" w:rsidR="00396FA7" w:rsidRPr="00396FA7" w:rsidRDefault="00396FA7" w:rsidP="00396F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A903" w14:textId="77777777" w:rsidR="00396FA7" w:rsidRPr="00396FA7" w:rsidRDefault="00396FA7" w:rsidP="00396FA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C1D2" w14:textId="77777777" w:rsidR="000C320E" w:rsidRDefault="000C320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10A3" w14:textId="77777777" w:rsidR="000C320E" w:rsidRDefault="000C32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91B8BE2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E5683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ECAC290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7B7A92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1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2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3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4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8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25511920">
    <w:abstractNumId w:val="3"/>
  </w:num>
  <w:num w:numId="2" w16cid:durableId="784347441">
    <w:abstractNumId w:val="18"/>
    <w:lvlOverride w:ilvl="0">
      <w:startOverride w:val="1"/>
    </w:lvlOverride>
  </w:num>
  <w:num w:numId="3" w16cid:durableId="2119445392">
    <w:abstractNumId w:val="2"/>
  </w:num>
  <w:num w:numId="4" w16cid:durableId="1881360427">
    <w:abstractNumId w:val="1"/>
  </w:num>
  <w:num w:numId="5" w16cid:durableId="309334442">
    <w:abstractNumId w:val="0"/>
  </w:num>
  <w:num w:numId="6" w16cid:durableId="861095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9693441">
    <w:abstractNumId w:val="15"/>
  </w:num>
  <w:num w:numId="8" w16cid:durableId="1693998065">
    <w:abstractNumId w:val="8"/>
  </w:num>
  <w:num w:numId="9" w16cid:durableId="788817884">
    <w:abstractNumId w:val="17"/>
  </w:num>
  <w:num w:numId="10" w16cid:durableId="1535464848">
    <w:abstractNumId w:val="7"/>
  </w:num>
  <w:num w:numId="11" w16cid:durableId="639657071">
    <w:abstractNumId w:val="9"/>
  </w:num>
  <w:num w:numId="12" w16cid:durableId="361050661">
    <w:abstractNumId w:val="10"/>
  </w:num>
  <w:num w:numId="13" w16cid:durableId="472790552">
    <w:abstractNumId w:val="5"/>
  </w:num>
  <w:num w:numId="14" w16cid:durableId="384646725">
    <w:abstractNumId w:val="16"/>
  </w:num>
  <w:num w:numId="15" w16cid:durableId="2031682509">
    <w:abstractNumId w:val="4"/>
  </w:num>
  <w:num w:numId="16" w16cid:durableId="150604668">
    <w:abstractNumId w:val="11"/>
  </w:num>
  <w:num w:numId="17" w16cid:durableId="472332852">
    <w:abstractNumId w:val="13"/>
  </w:num>
  <w:num w:numId="18" w16cid:durableId="1298296966">
    <w:abstractNumId w:val="14"/>
  </w:num>
  <w:num w:numId="19" w16cid:durableId="1306230484">
    <w:abstractNumId w:val="6"/>
  </w:num>
  <w:num w:numId="20" w16cid:durableId="24066917">
    <w:abstractNumId w:val="12"/>
  </w:num>
  <w:num w:numId="21" w16cid:durableId="485436588">
    <w:abstractNumId w:val="18"/>
  </w:num>
  <w:num w:numId="22" w16cid:durableId="2089693441">
    <w:abstractNumId w:val="15"/>
  </w:num>
  <w:num w:numId="23" w16cid:durableId="1693998065">
    <w:abstractNumId w:val="8"/>
  </w:num>
  <w:num w:numId="24" w16cid:durableId="788817884">
    <w:abstractNumId w:val="17"/>
  </w:num>
  <w:num w:numId="25" w16cid:durableId="1535464848">
    <w:abstractNumId w:val="7"/>
  </w:num>
  <w:num w:numId="26" w16cid:durableId="639657071">
    <w:abstractNumId w:val="9"/>
  </w:num>
  <w:num w:numId="27" w16cid:durableId="361050661">
    <w:abstractNumId w:val="10"/>
  </w:num>
  <w:num w:numId="28" w16cid:durableId="472790552">
    <w:abstractNumId w:val="5"/>
  </w:num>
  <w:num w:numId="29" w16cid:durableId="384646725">
    <w:abstractNumId w:val="16"/>
  </w:num>
  <w:num w:numId="30" w16cid:durableId="2031682509">
    <w:abstractNumId w:val="4"/>
  </w:num>
  <w:num w:numId="31" w16cid:durableId="150604668">
    <w:abstractNumId w:val="11"/>
  </w:num>
  <w:num w:numId="32" w16cid:durableId="472332852">
    <w:abstractNumId w:val="13"/>
  </w:num>
  <w:num w:numId="33" w16cid:durableId="1298296966">
    <w:abstractNumId w:val="14"/>
  </w:num>
  <w:num w:numId="34" w16cid:durableId="1306230484">
    <w:abstractNumId w:val="6"/>
  </w:num>
  <w:num w:numId="35" w16cid:durableId="24066917">
    <w:abstractNumId w:val="12"/>
  </w:num>
  <w:num w:numId="36" w16cid:durableId="485436588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QCDateTime" w:val="2026-02-02 10:02:26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ECEBA04D-5C04-452C-9DA0-FE9E7A95A4EF"/>
    <w:docVar w:name="LW_COVERPAGE_TYPE" w:val="1"/>
    <w:docVar w:name="LW_CreatedUtc" w:val="2025-09-04T16:00:38.0896335Z"/>
    <w:docVar w:name="LW_CROSSREFERENCE" w:val="&lt;UNUSED&gt;"/>
    <w:docVar w:name="LW_DATE.ADOPT.CP" w:val="de XXX"/>
    <w:docVar w:name="LW_DATE.ADOPT.CP_DATEFORMAT" w:val="de %DATE%"/>
    <w:docVar w:name="LW_DATE.ADOPT.CP_ISODATE" w:val="&lt;EMPTY&gt;"/>
    <w:docVar w:name="LW_DocType" w:val="COM"/>
    <w:docVar w:name="LW_EMISSION" w:val="&lt;EMPTY&gt;"/>
    <w:docVar w:name="LW_EMISSION_ISODATE" w:val="&lt;EMPTY&gt;"/>
    <w:docVar w:name="LW_EMISSION_LOCATION" w:val="BRX"/>
    <w:docVar w:name="LW_EMISSION_PREFIX" w:val="Bruxelas,"/>
    <w:docVar w:name="LW_EMISSION_SUFFIX" w:val=" "/>
    <w:docVar w:name="LW_ID_DOCMODEL" w:val="SJ-004"/>
    <w:docVar w:name="LW_ID_DOCSIGNATURE" w:val="SJ-004"/>
    <w:docVar w:name="LW_ID_DOCSTRUCTURE" w:val="COM/AA"/>
    <w:docVar w:name="LW_ID_DOCTYPE" w:val="SJ-004"/>
    <w:docVar w:name="LW_INTERETEEE.CP" w:val="(Texto relevante para efeitos do EEE)"/>
    <w:docVar w:name="LW_LANGUE" w:val="PT"/>
    <w:docVar w:name="LW_LANGUESFAISANTFOI.CP" w:val="&lt;UNUSED&gt;"/>
    <w:docVar w:name="LW_LEVEL_OF_SENSITIVITY" w:val="Standard treatment"/>
    <w:docVar w:name="LW_NOM.INST" w:val="COMISSÃO EUROPEIA"/>
    <w:docVar w:name="LW_NOM.INST_JOINTDOC" w:val="&lt;EMPTY&gt;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26) XXX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que altera as normas técnicas de execução estabelecidas no Regulamento de Execução (UE) 2021/622 no respeitante à frequência da comunicação de informações e às informações a comunicar"/>
    <w:docVar w:name="LW_TYPE.DOC.CP" w:val="REGULAMENTO DE EXECUÇÃO (UE) \u8230?/... DA COMISSÃO"/>
  </w:docVars>
  <w:rsids>
    <w:rsidRoot w:val="00C16484"/>
    <w:rsid w:val="00000BE0"/>
    <w:rsid w:val="00016399"/>
    <w:rsid w:val="000417C4"/>
    <w:rsid w:val="00045B9F"/>
    <w:rsid w:val="000625FB"/>
    <w:rsid w:val="00075947"/>
    <w:rsid w:val="000A663E"/>
    <w:rsid w:val="000B5B60"/>
    <w:rsid w:val="000B7A7D"/>
    <w:rsid w:val="000C320E"/>
    <w:rsid w:val="000D3BC2"/>
    <w:rsid w:val="000E5499"/>
    <w:rsid w:val="00115188"/>
    <w:rsid w:val="001151E7"/>
    <w:rsid w:val="00125199"/>
    <w:rsid w:val="0013305B"/>
    <w:rsid w:val="00143ED4"/>
    <w:rsid w:val="00152894"/>
    <w:rsid w:val="0017762B"/>
    <w:rsid w:val="0018141D"/>
    <w:rsid w:val="001A25E7"/>
    <w:rsid w:val="001A6BDC"/>
    <w:rsid w:val="001E3098"/>
    <w:rsid w:val="001E39BF"/>
    <w:rsid w:val="001F2AC0"/>
    <w:rsid w:val="001F4496"/>
    <w:rsid w:val="00214607"/>
    <w:rsid w:val="002259CF"/>
    <w:rsid w:val="002266B1"/>
    <w:rsid w:val="00235A60"/>
    <w:rsid w:val="00244085"/>
    <w:rsid w:val="00244C17"/>
    <w:rsid w:val="00244DFD"/>
    <w:rsid w:val="00246E59"/>
    <w:rsid w:val="00264589"/>
    <w:rsid w:val="0029415E"/>
    <w:rsid w:val="002A43D8"/>
    <w:rsid w:val="002A753D"/>
    <w:rsid w:val="002B37B6"/>
    <w:rsid w:val="002D6B17"/>
    <w:rsid w:val="002F1710"/>
    <w:rsid w:val="0030490D"/>
    <w:rsid w:val="00313AC1"/>
    <w:rsid w:val="00325B37"/>
    <w:rsid w:val="00331377"/>
    <w:rsid w:val="003428AE"/>
    <w:rsid w:val="00353536"/>
    <w:rsid w:val="00364262"/>
    <w:rsid w:val="00373FC4"/>
    <w:rsid w:val="0038290C"/>
    <w:rsid w:val="003838B9"/>
    <w:rsid w:val="00396ACD"/>
    <w:rsid w:val="00396FA7"/>
    <w:rsid w:val="003B10ED"/>
    <w:rsid w:val="003E05B8"/>
    <w:rsid w:val="003E3FC7"/>
    <w:rsid w:val="003E7D8F"/>
    <w:rsid w:val="003F2A70"/>
    <w:rsid w:val="00401F3A"/>
    <w:rsid w:val="00406CBA"/>
    <w:rsid w:val="004138D9"/>
    <w:rsid w:val="004211F5"/>
    <w:rsid w:val="0042702A"/>
    <w:rsid w:val="00437AA5"/>
    <w:rsid w:val="004518ED"/>
    <w:rsid w:val="0045246F"/>
    <w:rsid w:val="00485F6A"/>
    <w:rsid w:val="004918DE"/>
    <w:rsid w:val="00492396"/>
    <w:rsid w:val="004B4C38"/>
    <w:rsid w:val="004D4715"/>
    <w:rsid w:val="004D7D54"/>
    <w:rsid w:val="004E19F9"/>
    <w:rsid w:val="004E763F"/>
    <w:rsid w:val="004F04FA"/>
    <w:rsid w:val="004F588A"/>
    <w:rsid w:val="004F6513"/>
    <w:rsid w:val="00506B49"/>
    <w:rsid w:val="00507FF2"/>
    <w:rsid w:val="00517205"/>
    <w:rsid w:val="0052508D"/>
    <w:rsid w:val="00534D3A"/>
    <w:rsid w:val="0054013D"/>
    <w:rsid w:val="00542487"/>
    <w:rsid w:val="00557EAF"/>
    <w:rsid w:val="00582810"/>
    <w:rsid w:val="0058683E"/>
    <w:rsid w:val="005929F6"/>
    <w:rsid w:val="00593EEC"/>
    <w:rsid w:val="00595540"/>
    <w:rsid w:val="005A5382"/>
    <w:rsid w:val="005A55F3"/>
    <w:rsid w:val="005B5FA6"/>
    <w:rsid w:val="005C1F43"/>
    <w:rsid w:val="005D1478"/>
    <w:rsid w:val="005D2C73"/>
    <w:rsid w:val="005D6AA6"/>
    <w:rsid w:val="005E2634"/>
    <w:rsid w:val="005E4BA6"/>
    <w:rsid w:val="005F2B9A"/>
    <w:rsid w:val="00603E01"/>
    <w:rsid w:val="0061453F"/>
    <w:rsid w:val="00642760"/>
    <w:rsid w:val="00643DEF"/>
    <w:rsid w:val="006654AB"/>
    <w:rsid w:val="00667F1D"/>
    <w:rsid w:val="006700C7"/>
    <w:rsid w:val="00685D33"/>
    <w:rsid w:val="00690326"/>
    <w:rsid w:val="006D3FD5"/>
    <w:rsid w:val="006D6949"/>
    <w:rsid w:val="006F20E7"/>
    <w:rsid w:val="006F7EFE"/>
    <w:rsid w:val="007142D9"/>
    <w:rsid w:val="00752552"/>
    <w:rsid w:val="007638EF"/>
    <w:rsid w:val="00763F6E"/>
    <w:rsid w:val="00781585"/>
    <w:rsid w:val="00783A3B"/>
    <w:rsid w:val="007878CB"/>
    <w:rsid w:val="00787E7C"/>
    <w:rsid w:val="0079599D"/>
    <w:rsid w:val="007A7287"/>
    <w:rsid w:val="007D0861"/>
    <w:rsid w:val="007D3D95"/>
    <w:rsid w:val="007E010B"/>
    <w:rsid w:val="007F5C7C"/>
    <w:rsid w:val="00801EB4"/>
    <w:rsid w:val="00802FC2"/>
    <w:rsid w:val="00817121"/>
    <w:rsid w:val="00830365"/>
    <w:rsid w:val="00833B73"/>
    <w:rsid w:val="00843817"/>
    <w:rsid w:val="008460B7"/>
    <w:rsid w:val="00847915"/>
    <w:rsid w:val="008601F7"/>
    <w:rsid w:val="00861270"/>
    <w:rsid w:val="00874305"/>
    <w:rsid w:val="00880A77"/>
    <w:rsid w:val="00897749"/>
    <w:rsid w:val="008A3F6C"/>
    <w:rsid w:val="008B07C8"/>
    <w:rsid w:val="008B3C68"/>
    <w:rsid w:val="008B6AF9"/>
    <w:rsid w:val="008D3EC5"/>
    <w:rsid w:val="008D4062"/>
    <w:rsid w:val="008E2694"/>
    <w:rsid w:val="008E2E76"/>
    <w:rsid w:val="008F234A"/>
    <w:rsid w:val="00902ADE"/>
    <w:rsid w:val="00910118"/>
    <w:rsid w:val="00917A1D"/>
    <w:rsid w:val="00940731"/>
    <w:rsid w:val="009430FB"/>
    <w:rsid w:val="00943538"/>
    <w:rsid w:val="009526D5"/>
    <w:rsid w:val="0095347B"/>
    <w:rsid w:val="00962953"/>
    <w:rsid w:val="00964D55"/>
    <w:rsid w:val="00980CC9"/>
    <w:rsid w:val="009957C5"/>
    <w:rsid w:val="009A4095"/>
    <w:rsid w:val="009B0295"/>
    <w:rsid w:val="009C1E02"/>
    <w:rsid w:val="009D2368"/>
    <w:rsid w:val="009D5F8B"/>
    <w:rsid w:val="009F3A7A"/>
    <w:rsid w:val="00A03DA8"/>
    <w:rsid w:val="00A05FAB"/>
    <w:rsid w:val="00A24E3D"/>
    <w:rsid w:val="00A37D2E"/>
    <w:rsid w:val="00A4162C"/>
    <w:rsid w:val="00A41677"/>
    <w:rsid w:val="00A54A8C"/>
    <w:rsid w:val="00A564DC"/>
    <w:rsid w:val="00A565C7"/>
    <w:rsid w:val="00A719DF"/>
    <w:rsid w:val="00A7647B"/>
    <w:rsid w:val="00AA038B"/>
    <w:rsid w:val="00AB034D"/>
    <w:rsid w:val="00AC6B16"/>
    <w:rsid w:val="00AD5257"/>
    <w:rsid w:val="00AE4482"/>
    <w:rsid w:val="00B01072"/>
    <w:rsid w:val="00B04E49"/>
    <w:rsid w:val="00B136EC"/>
    <w:rsid w:val="00B14B01"/>
    <w:rsid w:val="00B43EBD"/>
    <w:rsid w:val="00B65FB3"/>
    <w:rsid w:val="00B66E09"/>
    <w:rsid w:val="00B95D78"/>
    <w:rsid w:val="00B97308"/>
    <w:rsid w:val="00BB3BEC"/>
    <w:rsid w:val="00BD02BB"/>
    <w:rsid w:val="00BD3885"/>
    <w:rsid w:val="00BD66E4"/>
    <w:rsid w:val="00C059B6"/>
    <w:rsid w:val="00C10CA6"/>
    <w:rsid w:val="00C11798"/>
    <w:rsid w:val="00C16484"/>
    <w:rsid w:val="00C21AB2"/>
    <w:rsid w:val="00C27976"/>
    <w:rsid w:val="00C3731F"/>
    <w:rsid w:val="00C62388"/>
    <w:rsid w:val="00C63550"/>
    <w:rsid w:val="00C637B0"/>
    <w:rsid w:val="00C64CCC"/>
    <w:rsid w:val="00C87FB3"/>
    <w:rsid w:val="00C9384A"/>
    <w:rsid w:val="00C9629C"/>
    <w:rsid w:val="00C96395"/>
    <w:rsid w:val="00C96A56"/>
    <w:rsid w:val="00CA156D"/>
    <w:rsid w:val="00CA57DA"/>
    <w:rsid w:val="00CA7FE1"/>
    <w:rsid w:val="00CC58EB"/>
    <w:rsid w:val="00CE1382"/>
    <w:rsid w:val="00D02FAD"/>
    <w:rsid w:val="00D0530E"/>
    <w:rsid w:val="00D05DED"/>
    <w:rsid w:val="00D206AC"/>
    <w:rsid w:val="00D47F83"/>
    <w:rsid w:val="00D5454C"/>
    <w:rsid w:val="00D55CE9"/>
    <w:rsid w:val="00D564F7"/>
    <w:rsid w:val="00D72038"/>
    <w:rsid w:val="00D763BC"/>
    <w:rsid w:val="00D872A1"/>
    <w:rsid w:val="00D93F2F"/>
    <w:rsid w:val="00D966E8"/>
    <w:rsid w:val="00DB4B20"/>
    <w:rsid w:val="00DC3AD5"/>
    <w:rsid w:val="00DC5E29"/>
    <w:rsid w:val="00DC7DD6"/>
    <w:rsid w:val="00DD4285"/>
    <w:rsid w:val="00DF1FB9"/>
    <w:rsid w:val="00DF36A6"/>
    <w:rsid w:val="00E07235"/>
    <w:rsid w:val="00E23B80"/>
    <w:rsid w:val="00E25A5F"/>
    <w:rsid w:val="00E32BAC"/>
    <w:rsid w:val="00E33C9F"/>
    <w:rsid w:val="00E36D1F"/>
    <w:rsid w:val="00E42E7E"/>
    <w:rsid w:val="00E43152"/>
    <w:rsid w:val="00E50E5B"/>
    <w:rsid w:val="00E667BA"/>
    <w:rsid w:val="00E7044F"/>
    <w:rsid w:val="00E82B0B"/>
    <w:rsid w:val="00E873DD"/>
    <w:rsid w:val="00E932C3"/>
    <w:rsid w:val="00E979AB"/>
    <w:rsid w:val="00EB3279"/>
    <w:rsid w:val="00EC332E"/>
    <w:rsid w:val="00EC3460"/>
    <w:rsid w:val="00EC39BC"/>
    <w:rsid w:val="00EE0749"/>
    <w:rsid w:val="00EE140B"/>
    <w:rsid w:val="00EE441C"/>
    <w:rsid w:val="00EE54B9"/>
    <w:rsid w:val="00F07F26"/>
    <w:rsid w:val="00F35BD7"/>
    <w:rsid w:val="00F36982"/>
    <w:rsid w:val="00F41DDB"/>
    <w:rsid w:val="00F629AC"/>
    <w:rsid w:val="00F9249D"/>
    <w:rsid w:val="00F95ED9"/>
    <w:rsid w:val="00FA0BAF"/>
    <w:rsid w:val="00FA382E"/>
    <w:rsid w:val="00FA715C"/>
    <w:rsid w:val="00FB22DB"/>
    <w:rsid w:val="00FC2396"/>
    <w:rsid w:val="00FC5252"/>
    <w:rsid w:val="00FD060F"/>
    <w:rsid w:val="00FD1723"/>
    <w:rsid w:val="00FD5032"/>
    <w:rsid w:val="00FE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8EC4F20"/>
  <w15:docId w15:val="{EDD646E4-8E0C-487A-842A-DA74770F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pt-P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9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29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29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29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C16484"/>
    <w:pPr>
      <w:numPr>
        <w:numId w:val="1"/>
      </w:numPr>
      <w:tabs>
        <w:tab w:val="clear" w:pos="360"/>
      </w:tabs>
      <w:ind w:left="0" w:firstLine="0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rsid w:val="00C16484"/>
    <w:rPr>
      <w:rFonts w:asciiTheme="majorHAnsi" w:hAnsiTheme="majorHAnsi"/>
      <w:color w:val="F79646" w:themeColor="accent6"/>
      <w:u w:val="single"/>
    </w:rPr>
  </w:style>
  <w:style w:type="numbering" w:customStyle="1" w:styleId="LFO29">
    <w:name w:val="LFO29"/>
    <w:basedOn w:val="NoList"/>
    <w:rsid w:val="00C16484"/>
  </w:style>
  <w:style w:type="paragraph" w:styleId="ListBullet2">
    <w:name w:val="List Bullet 2"/>
    <w:basedOn w:val="Normal"/>
    <w:uiPriority w:val="99"/>
    <w:semiHidden/>
    <w:unhideWhenUsed/>
    <w:rsid w:val="00F9249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9249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9249D"/>
    <w:pPr>
      <w:numPr>
        <w:numId w:val="5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3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  <w:lang w:val="pt-PT"/>
    </w:rPr>
  </w:style>
  <w:style w:type="paragraph" w:styleId="Revision">
    <w:name w:val="Revision"/>
    <w:hidden/>
    <w:uiPriority w:val="99"/>
    <w:semiHidden/>
    <w:rsid w:val="005929F6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FE1"/>
    <w:rPr>
      <w:rFonts w:ascii="Times New Roman" w:hAnsi="Times New Roman" w:cs="Times New Roman"/>
      <w:b/>
      <w:bCs/>
      <w:sz w:val="20"/>
      <w:szCs w:val="20"/>
      <w:lang w:val="pt-PT"/>
    </w:rPr>
  </w:style>
  <w:style w:type="paragraph" w:styleId="NormalWeb">
    <w:name w:val="Normal (Web)"/>
    <w:basedOn w:val="Normal"/>
    <w:uiPriority w:val="99"/>
    <w:semiHidden/>
    <w:unhideWhenUsed/>
    <w:rsid w:val="00373FC4"/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3F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22"/>
      </w:numPr>
    </w:pPr>
  </w:style>
  <w:style w:type="paragraph" w:customStyle="1" w:styleId="Tiret1">
    <w:name w:val="Tiret 1"/>
    <w:basedOn w:val="Point1"/>
    <w:pPr>
      <w:numPr>
        <w:numId w:val="23"/>
      </w:numPr>
    </w:pPr>
  </w:style>
  <w:style w:type="paragraph" w:customStyle="1" w:styleId="Tiret2">
    <w:name w:val="Tiret 2"/>
    <w:basedOn w:val="Point2"/>
    <w:pPr>
      <w:numPr>
        <w:numId w:val="24"/>
      </w:numPr>
    </w:pPr>
  </w:style>
  <w:style w:type="paragraph" w:customStyle="1" w:styleId="Tiret3">
    <w:name w:val="Tiret 3"/>
    <w:basedOn w:val="Point3"/>
    <w:pPr>
      <w:numPr>
        <w:numId w:val="25"/>
      </w:numPr>
    </w:pPr>
  </w:style>
  <w:style w:type="paragraph" w:customStyle="1" w:styleId="Tiret4">
    <w:name w:val="Tiret 4"/>
    <w:basedOn w:val="Point4"/>
    <w:pPr>
      <w:numPr>
        <w:numId w:val="26"/>
      </w:numPr>
    </w:pPr>
  </w:style>
  <w:style w:type="paragraph" w:customStyle="1" w:styleId="Tiret5">
    <w:name w:val="Tiret 5"/>
    <w:basedOn w:val="Point5"/>
    <w:pPr>
      <w:numPr>
        <w:numId w:val="2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8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28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28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2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0"/>
      </w:numPr>
    </w:pPr>
  </w:style>
  <w:style w:type="paragraph" w:customStyle="1" w:styleId="Point1number">
    <w:name w:val="Point 1 (number)"/>
    <w:basedOn w:val="Normal"/>
    <w:pPr>
      <w:numPr>
        <w:ilvl w:val="2"/>
        <w:numId w:val="30"/>
      </w:numPr>
    </w:pPr>
  </w:style>
  <w:style w:type="paragraph" w:customStyle="1" w:styleId="Point2number">
    <w:name w:val="Point 2 (number)"/>
    <w:basedOn w:val="Normal"/>
    <w:pPr>
      <w:numPr>
        <w:ilvl w:val="4"/>
        <w:numId w:val="30"/>
      </w:numPr>
    </w:pPr>
  </w:style>
  <w:style w:type="paragraph" w:customStyle="1" w:styleId="Point3number">
    <w:name w:val="Point 3 (number)"/>
    <w:basedOn w:val="Normal"/>
    <w:pPr>
      <w:numPr>
        <w:ilvl w:val="6"/>
        <w:numId w:val="30"/>
      </w:numPr>
    </w:pPr>
  </w:style>
  <w:style w:type="paragraph" w:customStyle="1" w:styleId="Point0letter">
    <w:name w:val="Point 0 (letter)"/>
    <w:basedOn w:val="Normal"/>
    <w:pPr>
      <w:numPr>
        <w:ilvl w:val="1"/>
        <w:numId w:val="30"/>
      </w:numPr>
    </w:pPr>
  </w:style>
  <w:style w:type="paragraph" w:customStyle="1" w:styleId="Point1letter">
    <w:name w:val="Point 1 (letter)"/>
    <w:basedOn w:val="Normal"/>
    <w:pPr>
      <w:numPr>
        <w:ilvl w:val="3"/>
        <w:numId w:val="30"/>
      </w:numPr>
    </w:pPr>
  </w:style>
  <w:style w:type="paragraph" w:customStyle="1" w:styleId="Point2letter">
    <w:name w:val="Point 2 (letter)"/>
    <w:basedOn w:val="Normal"/>
    <w:pPr>
      <w:numPr>
        <w:ilvl w:val="5"/>
        <w:numId w:val="30"/>
      </w:numPr>
    </w:pPr>
  </w:style>
  <w:style w:type="paragraph" w:customStyle="1" w:styleId="Point3letter">
    <w:name w:val="Point 3 (letter)"/>
    <w:basedOn w:val="Normal"/>
    <w:pPr>
      <w:numPr>
        <w:ilvl w:val="7"/>
        <w:numId w:val="30"/>
      </w:numPr>
    </w:pPr>
  </w:style>
  <w:style w:type="paragraph" w:customStyle="1" w:styleId="Point4letter">
    <w:name w:val="Point 4 (letter)"/>
    <w:basedOn w:val="Normal"/>
    <w:pPr>
      <w:numPr>
        <w:ilvl w:val="8"/>
        <w:numId w:val="30"/>
      </w:numPr>
    </w:pPr>
  </w:style>
  <w:style w:type="paragraph" w:customStyle="1" w:styleId="Bullet0">
    <w:name w:val="Bullet 0"/>
    <w:basedOn w:val="Normal"/>
    <w:pPr>
      <w:numPr>
        <w:numId w:val="31"/>
      </w:numPr>
    </w:pPr>
  </w:style>
  <w:style w:type="paragraph" w:customStyle="1" w:styleId="Bullet1">
    <w:name w:val="Bullet 1"/>
    <w:basedOn w:val="Normal"/>
    <w:pPr>
      <w:numPr>
        <w:numId w:val="32"/>
      </w:numPr>
    </w:pPr>
  </w:style>
  <w:style w:type="paragraph" w:customStyle="1" w:styleId="Bullet2">
    <w:name w:val="Bullet 2"/>
    <w:basedOn w:val="Normal"/>
    <w:pPr>
      <w:numPr>
        <w:numId w:val="33"/>
      </w:numPr>
    </w:pPr>
  </w:style>
  <w:style w:type="paragraph" w:customStyle="1" w:styleId="Bullet3">
    <w:name w:val="Bullet 3"/>
    <w:basedOn w:val="Normal"/>
    <w:pPr>
      <w:numPr>
        <w:numId w:val="34"/>
      </w:numPr>
    </w:pPr>
  </w:style>
  <w:style w:type="paragraph" w:customStyle="1" w:styleId="Bullet4">
    <w:name w:val="Bullet 4"/>
    <w:basedOn w:val="Normal"/>
    <w:pPr>
      <w:numPr>
        <w:numId w:val="35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E664ED"/>
    <w:pPr>
      <w:spacing w:before="360" w:after="24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E664ED"/>
    <w:pPr>
      <w:spacing w:after="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Normal"/>
    <w:rsid w:val="00E664ED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Rfrencecroise"/>
    <w:rsid w:val="00E664ED"/>
    <w:pPr>
      <w:spacing w:before="360" w:after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data.europa.eu/eli/reg_impl/2021/622/oj" TargetMode="External"/><Relationship Id="rId2" Type="http://schemas.openxmlformats.org/officeDocument/2006/relationships/hyperlink" Target="http://data.europa.eu/eli/dir/2024/1174/oj" TargetMode="External"/><Relationship Id="rId1" Type="http://schemas.openxmlformats.org/officeDocument/2006/relationships/hyperlink" Target="http://data.europa.eu/eli/dir/2014/59/oj" TargetMode="External"/><Relationship Id="rId5" Type="http://schemas.openxmlformats.org/officeDocument/2006/relationships/hyperlink" Target="http://data.europa.eu/eli/reg/2010/1093/oj" TargetMode="External"/><Relationship Id="rId4" Type="http://schemas.openxmlformats.org/officeDocument/2006/relationships/hyperlink" Target="http://data.europa.eu/eli/reg_impl/2021/763/o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BAD999D84E12C74482EA5120F5227F6F00217DECAAC21D6B43958DFE68658C192E" ma:contentTypeVersion="27" ma:contentTypeDescription="Create a new document in this library." ma:contentTypeScope="" ma:versionID="b8f93157aac40d6a7319473491243df0">
  <xsd:schema xmlns:xsd="http://www.w3.org/2001/XMLSchema" xmlns:xs="http://www.w3.org/2001/XMLSchema" xmlns:p="http://schemas.microsoft.com/office/2006/metadata/properties" xmlns:ns2="http://schemas.microsoft.com/sharepoint/v3/fields" xmlns:ns3="144c03d0-0f03-451f-9d46-5279004462a4" xmlns:ns4="f7bb8512-91eb-4bfd-be42-d6f021407e9a" targetNamespace="http://schemas.microsoft.com/office/2006/metadata/properties" ma:root="true" ma:fieldsID="c8488e7b63ff9a6a107f3024ce322df4" ns2:_="" ns3:_="" ns4:_="">
    <xsd:import namespace="http://schemas.microsoft.com/sharepoint/v3/fields"/>
    <xsd:import namespace="144c03d0-0f03-451f-9d46-5279004462a4"/>
    <xsd:import namespace="f7bb8512-91eb-4bfd-be42-d6f021407e9a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SharedWithUsers" minOccurs="0"/>
                <xsd:element ref="ns3:SharedWithDetails" minOccurs="0"/>
                <xsd:element ref="ns3:EC_Collab_Status" minOccurs="0"/>
                <xsd:element ref="ns4:MediaServiceSearchPropertie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 ma:readOnly="false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c03d0-0f03-451f-9d46-5279004462a4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 ma:readOnly="false">
      <xsd:simpleType>
        <xsd:restriction base="dms:Text"/>
      </xsd:simpleType>
    </xsd:element>
    <xsd:element name="EC_Collab_DocumentLanguage" ma:index="14" ma:displayName="Language" ma:default="EN" ma:format="Dropdown" ma:internalName="EC_Collab_DocumentLanguage" ma:readOnly="fals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EC_Collab_Status" ma:index="17" nillable="true" ma:displayName="EC Status" ma:default="Not Started" ma:format="Dropdown" ma:internalName="EC_Collab_Status" ma:readOnly="false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  <xsd:element name="TaxCatchAll" ma:index="21" nillable="true" ma:displayName="Taxonomy Catch All Column" ma:hidden="true" ma:list="{51513471-611d-4aba-ae12-e8d0e877eea6}" ma:internalName="TaxCatchAll" ma:showField="CatchAllData" ma:web="144c03d0-0f03-451f-9d46-527900446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b8512-91eb-4bfd-be42-d6f021407e9a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Reference xmlns="144c03d0-0f03-451f-9d46-5279004462a4" xsi:nil="true"/>
    <EC_Collab_Status xmlns="144c03d0-0f03-451f-9d46-5279004462a4">Not Started</EC_Collab_Status>
    <_Status xmlns="http://schemas.microsoft.com/sharepoint/v3/fields">Not Started</_Status>
    <EC_Collab_DocumentLanguage xmlns="144c03d0-0f03-451f-9d46-5279004462a4">EN</EC_Collab_DocumentLanguage>
    <lcf76f155ced4ddcb4097134ff3c332f xmlns="f7bb8512-91eb-4bfd-be42-d6f021407e9a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144c03d0-0f03-451f-9d46-5279004462a4" xsi:nil="true"/>
  </documentManagement>
</p:properties>
</file>

<file path=customXml/itemProps1.xml><?xml version="1.0" encoding="utf-8"?>
<ds:datastoreItem xmlns:ds="http://schemas.openxmlformats.org/officeDocument/2006/customXml" ds:itemID="{3789B0AD-1837-436D-8ABC-63303F7E4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144c03d0-0f03-451f-9d46-5279004462a4"/>
    <ds:schemaRef ds:uri="f7bb8512-91eb-4bfd-be42-d6f02140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B74AB9-05CF-4E22-8B2B-667D523C41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AF581-33E3-408E-95CD-709B93E998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FBD7AB-07EA-4D67-A4B9-4D33FF7955F7}">
  <ds:schemaRefs>
    <ds:schemaRef ds:uri="http://schemas.microsoft.com/office/2006/metadata/properties"/>
    <ds:schemaRef ds:uri="http://schemas.microsoft.com/office/infopath/2007/PartnerControls"/>
    <ds:schemaRef ds:uri="144c03d0-0f03-451f-9d46-5279004462a4"/>
    <ds:schemaRef ds:uri="http://schemas.microsoft.com/sharepoint/v3/fields"/>
    <ds:schemaRef ds:uri="f7bb8512-91eb-4bfd-be42-d6f021407e9a"/>
  </ds:schemaRefs>
</ds:datastoreItem>
</file>

<file path=docMetadata/LabelInfo.xml><?xml version="1.0" encoding="utf-8"?>
<clbl:labelList xmlns:clbl="http://schemas.microsoft.com/office/2020/mipLabelMetadata">
  <clbl:label id="{5c7eb9de-735b-4a68-8fe4-c9c62709b012}" enabled="1" method="Standard" siteId="{3bacb4ff-f1a2-4c92-b96c-e99fec826b68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49</TotalTime>
  <Pages>2</Pages>
  <Words>999</Words>
  <Characters>5308</Characters>
  <Application>Microsoft Office Word</Application>
  <DocSecurity>0</DocSecurity>
  <Lines>102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Links>
    <vt:vector size="12" baseType="variant"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http://data.europa.eu/eli/reg/2010/1093/oj</vt:lpwstr>
      </vt:variant>
      <vt:variant>
        <vt:lpwstr/>
      </vt:variant>
      <vt:variant>
        <vt:i4>5570645</vt:i4>
      </vt:variant>
      <vt:variant>
        <vt:i4>0</vt:i4>
      </vt:variant>
      <vt:variant>
        <vt:i4>0</vt:i4>
      </vt:variant>
      <vt:variant>
        <vt:i4>5</vt:i4>
      </vt:variant>
      <vt:variant>
        <vt:lpwstr>http://data.europa.eu/eli/dir/2014/59/oj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DQC</dc:creator>
  <cp:keywords/>
  <dc:description/>
  <cp:lastModifiedBy>RAVARA Adriana (DGT)</cp:lastModifiedBy>
  <cp:revision>28</cp:revision>
  <dcterms:created xsi:type="dcterms:W3CDTF">2025-12-05T16:19:00Z</dcterms:created>
  <dcterms:modified xsi:type="dcterms:W3CDTF">2026-02-02T09:02:00Z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Version">
    <vt:lpwstr>8.0.19.5</vt:lpwstr>
  </property>
  <property fmtid="{D5CDD505-2E9C-101B-9397-08002B2CF9AE}" pid="4" name="Last edited using">
    <vt:lpwstr>LW 9.2, Build 20250828</vt:lpwstr>
  </property>
  <property fmtid="{D5CDD505-2E9C-101B-9397-08002B2CF9AE}" pid="5" name="Created using">
    <vt:lpwstr>LW 9.1, Build 20240808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SJ-004</vt:lpwstr>
  </property>
  <property fmtid="{D5CDD505-2E9C-101B-9397-08002B2CF9AE}" pid="10" name="GrammarlyDocumentId">
    <vt:lpwstr>45e7adda-2841-4732-9409-07daf4dd17e0</vt:lpwstr>
  </property>
  <property fmtid="{D5CDD505-2E9C-101B-9397-08002B2CF9AE}" pid="11" name="ClassificationContentMarkingHeaderShapeIds">
    <vt:lpwstr>5bd6ffca,36e22233,44991716</vt:lpwstr>
  </property>
  <property fmtid="{D5CDD505-2E9C-101B-9397-08002B2CF9AE}" pid="12" name="ClassificationContentMarkingHeaderFontProps">
    <vt:lpwstr>#000000,12,Aptos</vt:lpwstr>
  </property>
  <property fmtid="{D5CDD505-2E9C-101B-9397-08002B2CF9AE}" pid="13" name="ClassificationContentMarkingHeaderText">
    <vt:lpwstr>EBA Regular Use</vt:lpwstr>
  </property>
  <property fmtid="{D5CDD505-2E9C-101B-9397-08002B2CF9AE}" pid="14" name="MSIP_Label_6bd9ddd1-4d20-43f6-abfa-fc3c07406f94_Enabled">
    <vt:lpwstr>true</vt:lpwstr>
  </property>
  <property fmtid="{D5CDD505-2E9C-101B-9397-08002B2CF9AE}" pid="15" name="MSIP_Label_6bd9ddd1-4d20-43f6-abfa-fc3c07406f94_SetDate">
    <vt:lpwstr>2025-09-22T07:42:43Z</vt:lpwstr>
  </property>
  <property fmtid="{D5CDD505-2E9C-101B-9397-08002B2CF9AE}" pid="16" name="MSIP_Label_6bd9ddd1-4d20-43f6-abfa-fc3c07406f94_Method">
    <vt:lpwstr>Standard</vt:lpwstr>
  </property>
  <property fmtid="{D5CDD505-2E9C-101B-9397-08002B2CF9AE}" pid="17" name="MSIP_Label_6bd9ddd1-4d20-43f6-abfa-fc3c07406f94_Name">
    <vt:lpwstr>Commission Use</vt:lpwstr>
  </property>
  <property fmtid="{D5CDD505-2E9C-101B-9397-08002B2CF9AE}" pid="18" name="MSIP_Label_6bd9ddd1-4d20-43f6-abfa-fc3c07406f94_SiteId">
    <vt:lpwstr>b24c8b06-522c-46fe-9080-70926f8dddb1</vt:lpwstr>
  </property>
  <property fmtid="{D5CDD505-2E9C-101B-9397-08002B2CF9AE}" pid="19" name="MSIP_Label_6bd9ddd1-4d20-43f6-abfa-fc3c07406f94_ActionId">
    <vt:lpwstr>0c5e0d5a-b50c-4aad-8ac2-d3eb4c37e92e</vt:lpwstr>
  </property>
  <property fmtid="{D5CDD505-2E9C-101B-9397-08002B2CF9AE}" pid="20" name="MSIP_Label_6bd9ddd1-4d20-43f6-abfa-fc3c07406f94_ContentBits">
    <vt:lpwstr>0</vt:lpwstr>
  </property>
  <property fmtid="{D5CDD505-2E9C-101B-9397-08002B2CF9AE}" pid="21" name="MSIP_Label_6bd9ddd1-4d20-43f6-abfa-fc3c07406f94_Tag">
    <vt:lpwstr>10, 3, 0, 1</vt:lpwstr>
  </property>
  <property fmtid="{D5CDD505-2E9C-101B-9397-08002B2CF9AE}" pid="22" name="ContentTypeId">
    <vt:lpwstr>0x010100BAD999D84E12C74482EA5120F5227F6F00217DECAAC21D6B43958DFE68658C192E</vt:lpwstr>
  </property>
  <property fmtid="{D5CDD505-2E9C-101B-9397-08002B2CF9AE}" pid="23" name="MediaServiceImageTags">
    <vt:lpwstr/>
  </property>
  <property fmtid="{D5CDD505-2E9C-101B-9397-08002B2CF9AE}" pid="24" name="DQCStatus">
    <vt:lpwstr>Green (DQC version 03)</vt:lpwstr>
  </property>
</Properties>
</file>