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11DF1EAE" w:rsidR="004E763F" w:rsidRPr="00404A00" w:rsidRDefault="000313F6" w:rsidP="00404A00">
      <w:pPr>
        <w:pStyle w:val="Pagedecouverture"/>
      </w:pPr>
      <w:r>
        <w:pict w14:anchorId="64AB3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86C9E73-E1D9-41AA-9436-CCABC3CBA41F" style="width:455.25pt;height:330.75pt">
            <v:imagedata r:id="rId11" o:title=""/>
          </v:shape>
        </w:pict>
      </w:r>
    </w:p>
    <w:p w14:paraId="1986B6EA" w14:textId="77777777" w:rsidR="00CE1382" w:rsidRPr="00404A00" w:rsidRDefault="00CE1382" w:rsidP="003838B9">
      <w:pPr>
        <w:sectPr w:rsidR="00CE1382" w:rsidRPr="00404A00" w:rsidSect="00404A00">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05A2BDBE" w:rsidR="00C16484" w:rsidRPr="00404A00" w:rsidRDefault="00404A00" w:rsidP="00404A00">
      <w:pPr>
        <w:pStyle w:val="Typedudocument"/>
      </w:pPr>
      <w:r w:rsidRPr="00404A00">
        <w:lastRenderedPageBreak/>
        <w:t>UITVOERINGSVERORDENING (EU) …/... VAN DE COMMISSIE</w:t>
      </w:r>
    </w:p>
    <w:p w14:paraId="6819E66E" w14:textId="3D53C475" w:rsidR="00C16484" w:rsidRPr="00404A00" w:rsidRDefault="00404A00" w:rsidP="00404A00">
      <w:pPr>
        <w:pStyle w:val="Datedadoption"/>
      </w:pPr>
      <w:r w:rsidRPr="00404A00">
        <w:t xml:space="preserve">van </w:t>
      </w:r>
      <w:r w:rsidRPr="00404A00">
        <w:rPr>
          <w:rStyle w:val="Marker2"/>
        </w:rPr>
        <w:t>XXX</w:t>
      </w:r>
    </w:p>
    <w:p w14:paraId="44AA08D1" w14:textId="30C9CF6B" w:rsidR="00C16484" w:rsidRPr="00404A00" w:rsidRDefault="00404A00" w:rsidP="00404A00">
      <w:pPr>
        <w:pStyle w:val="Titreobjet"/>
      </w:pPr>
      <w:r w:rsidRPr="00404A00">
        <w:t>tot wijziging van de in Uitvoeringsverordening (EU) 2021/622 vastgestelde technische uitvoeringsnormen wat betreft de rapportagefrequentie en de te rapporteren informatie</w:t>
      </w:r>
    </w:p>
    <w:p w14:paraId="4A210142" w14:textId="7C02B294" w:rsidR="00C16484" w:rsidRPr="00404A00" w:rsidRDefault="00404A00" w:rsidP="00404A00">
      <w:pPr>
        <w:pStyle w:val="IntrtEEE"/>
      </w:pPr>
      <w:r w:rsidRPr="00404A00">
        <w:t>(Voor de EER relevante tekst)</w:t>
      </w:r>
    </w:p>
    <w:p w14:paraId="6F3A17D1" w14:textId="77777777" w:rsidR="00C16484" w:rsidRPr="00404A00" w:rsidRDefault="00C16484">
      <w:pPr>
        <w:pStyle w:val="Institutionquiagit"/>
      </w:pPr>
      <w:r w:rsidRPr="00404A00">
        <w:t>DE EUROPESE COMMISSIE,</w:t>
      </w:r>
    </w:p>
    <w:p w14:paraId="22B09AC6" w14:textId="77777777" w:rsidR="00C16484" w:rsidRPr="00404A00" w:rsidRDefault="00C16484">
      <w:r w:rsidRPr="00404A00">
        <w:t>Gezien het Verdrag betreffende de werking van de Europese Unie,</w:t>
      </w:r>
    </w:p>
    <w:p w14:paraId="6C2E5C7E" w14:textId="77777777" w:rsidR="00C16484" w:rsidRPr="00404A00" w:rsidRDefault="00C16484">
      <w:r w:rsidRPr="00404A00">
        <w:t>Gezien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w:t>
      </w:r>
      <w:r w:rsidRPr="00404A00">
        <w:rPr>
          <w:rStyle w:val="FootnoteReference"/>
        </w:rPr>
        <w:footnoteReference w:id="2"/>
      </w:r>
      <w:r w:rsidRPr="00404A00">
        <w:t>, en met name artikel 45 undecies, lid 2, derde alinea,</w:t>
      </w:r>
    </w:p>
    <w:p w14:paraId="499F4150" w14:textId="77777777" w:rsidR="00C16484" w:rsidRPr="00404A00" w:rsidRDefault="00C16484">
      <w:r w:rsidRPr="00404A00">
        <w:t>Overwegende hetgeen volgt:</w:t>
      </w:r>
    </w:p>
    <w:p w14:paraId="7D99777F" w14:textId="77777777" w:rsidR="003428AE" w:rsidRPr="00404A00" w:rsidRDefault="003428AE" w:rsidP="004B4C38">
      <w:pPr>
        <w:pStyle w:val="Considrant"/>
        <w:numPr>
          <w:ilvl w:val="0"/>
          <w:numId w:val="2"/>
        </w:numPr>
        <w:rPr>
          <w:iCs/>
          <w:noProof/>
        </w:rPr>
      </w:pPr>
      <w:r w:rsidRPr="00404A00">
        <w:t>Richtlijn (EU) 2024/1174 van het Europees Parlement en de Raad</w:t>
      </w:r>
      <w:r w:rsidRPr="00404A00">
        <w:rPr>
          <w:rStyle w:val="FootnoteReference"/>
          <w:iCs/>
          <w:noProof/>
        </w:rPr>
        <w:footnoteReference w:id="3"/>
      </w:r>
      <w:r w:rsidRPr="00404A00">
        <w:t xml:space="preserve"> wijzigde een aantal aspecten van het in Richtlijn 2014/59/EU bepaalde minimumvereiste voor eigen vermogen en in aanmerking komende passiva (“MREL”). Door die wijzigingen hoeven afwikkelingsautoriteiten het MREL voor te liquideren entiteiten alleen nog te bepalen wanneer het vaststellen van een MREL dat hoger is dan het bedrag dat toereikend is om verliezen te absorberen, noodzakelijk is om de financiële stabiliteit te waarborgen of het risico op besmetting van het financiële stelsel tegen te gaan, onder meer met betrekking tot de financieringscapaciteit van depositogarantiestelsels. Voorts heeft Richtlijn (EU) 2024/1174 het aantal situaties uitgebreid waarin afwikkelingsautoriteiten het MREL op geconsolideerde basis mogen bepalen. Uitvoeringsverordening (EU) 2021/622 van de Commissie</w:t>
      </w:r>
      <w:r w:rsidRPr="00404A00">
        <w:rPr>
          <w:rStyle w:val="FootnoteReference"/>
          <w:iCs/>
          <w:noProof/>
        </w:rPr>
        <w:footnoteReference w:id="4"/>
      </w:r>
      <w:r w:rsidRPr="00404A00">
        <w:t xml:space="preserve"> moet worden gewijzigd om die wijzigingen in het MREL-raamwerk tot uiting te brengen in de aan de Europese Bankautoriteit (“EBA”) toe te zenden informatie.</w:t>
      </w:r>
    </w:p>
    <w:p w14:paraId="038A3063" w14:textId="77777777" w:rsidR="00C16484" w:rsidRPr="00404A00" w:rsidRDefault="00A05FAB" w:rsidP="008B6AF9">
      <w:pPr>
        <w:pStyle w:val="Considrant"/>
        <w:numPr>
          <w:ilvl w:val="0"/>
          <w:numId w:val="2"/>
        </w:numPr>
        <w:rPr>
          <w:iCs/>
          <w:noProof/>
        </w:rPr>
      </w:pPr>
      <w:r w:rsidRPr="00404A00">
        <w:t>Volgens Uitvoeringsverordening (EU) 2021/622 moeten afwikkelingsautoriteiten momenteel jaarlijks aan de EBA informatie met betrekking tot het vaststellen van het MREL doen toekomen. Vervolgens combineert de EBA die informatie met informatie over de samenstelling van het eigen vermogen en in aanmerking komende passiva die overeenkomstig Uitvoeringsverordening (EU) 2021/763 van de Commissie</w:t>
      </w:r>
      <w:r w:rsidRPr="00404A00">
        <w:rPr>
          <w:rStyle w:val="FootnoteReference"/>
          <w:noProof/>
        </w:rPr>
        <w:footnoteReference w:id="5"/>
      </w:r>
      <w:r w:rsidRPr="00404A00">
        <w:t xml:space="preserve"> is verkregen, om overeenkomstig artikel 45 terdecies van Richtlijn 2014/59/EU haar MREL-rapport op te stellen, verslag dat momenteel tweemaal per jaar wordt gepubliceerd. Het feit dat momenteel jaarlijks informatie over het vaststellen van het MREL wordt gerapporteerd, betekent dat MREL-besluiten die afwikkelingsautoriteiten na de betrokken referentiedatum vaststellen, niet worden gezonden aan of beoordeeld door de EBA en in de verslagen van de EBA pas het jaar nadien tot uiting komen, waardoor deze niet meer volledig gelijklopen met de actuelere informatie over de samenstelling van het eigen vermogen en de in aanmerking komende passiva.</w:t>
      </w:r>
    </w:p>
    <w:p w14:paraId="676EF325" w14:textId="77777777" w:rsidR="00C16484" w:rsidRPr="00404A00" w:rsidRDefault="00C16484" w:rsidP="004B4C38">
      <w:pPr>
        <w:pStyle w:val="Considrant"/>
        <w:numPr>
          <w:ilvl w:val="0"/>
          <w:numId w:val="2"/>
        </w:numPr>
        <w:rPr>
          <w:iCs/>
          <w:noProof/>
        </w:rPr>
      </w:pPr>
      <w:r w:rsidRPr="00404A00">
        <w:t xml:space="preserve">Om de EBA betere mogelijkheden te geven wat betreft monitoring en beoordeling van het door afwikkelingsautoriteiten vastgestelde MREL en de inachtneming door instellingen van de MREL-vereisten, moet van afwikkelingsautoriteiten worden verlangd dat zij frequenter over MREL-besluiten aan de EBA rapporteren. Om de afstemming met MREL-verslagen van de EBA te verzekeren, moeten afwikkelingsautoriteiten die informatie tweemaal per jaar rapporteren. </w:t>
      </w:r>
    </w:p>
    <w:p w14:paraId="2672C096" w14:textId="77777777" w:rsidR="00C16484" w:rsidRPr="00404A00" w:rsidRDefault="00C16484" w:rsidP="004B4C38">
      <w:pPr>
        <w:pStyle w:val="Considrant"/>
        <w:numPr>
          <w:ilvl w:val="0"/>
          <w:numId w:val="2"/>
        </w:numPr>
        <w:rPr>
          <w:noProof/>
        </w:rPr>
      </w:pPr>
      <w:r w:rsidRPr="00404A00">
        <w:t>Om de EBA te helpen bij het beoordelen van de vraag hoe afwikkelingsautoriteiten bij het bepalen van de MREL hebben gebruikgemaakt van discreties, en met name wat betreft de optie die beschikbaar is op grond van artikel 45 ter, lid 4, eerste alinea, van Richtlijn 2014/59/EU, moeten template M 20.00 – Rapportage over MREL-besluiten (bijlage I bij Verordening (EU) 2021/622) en de daarbij behorende instructies worden aangepast om het opnemen van informatie over de uitoefening van die optie verplicht te stellen.</w:t>
      </w:r>
    </w:p>
    <w:p w14:paraId="1B5314C9" w14:textId="77777777" w:rsidR="00C16484" w:rsidRPr="00404A00" w:rsidRDefault="00C16484" w:rsidP="004B4C38">
      <w:pPr>
        <w:pStyle w:val="Considrant"/>
        <w:numPr>
          <w:ilvl w:val="0"/>
          <w:numId w:val="2"/>
        </w:numPr>
        <w:rPr>
          <w:noProof/>
        </w:rPr>
      </w:pPr>
      <w:r w:rsidRPr="00404A00">
        <w:t>De EBA heeft het advies ingewonnen van de Stakeholdersgroep bankwezen die overeenkomstig artikel 37 van Verordening (EU) nr. 1093/2010 van het Europees Parlement en de Raad</w:t>
      </w:r>
      <w:r w:rsidRPr="00404A00">
        <w:rPr>
          <w:rStyle w:val="FootnoteReference"/>
          <w:noProof/>
        </w:rPr>
        <w:footnoteReference w:id="6"/>
      </w:r>
      <w:r w:rsidRPr="00404A00">
        <w:t xml:space="preserve"> is opgericht. </w:t>
      </w:r>
    </w:p>
    <w:p w14:paraId="5D5111C6" w14:textId="77777777" w:rsidR="00C16484" w:rsidRPr="00404A00" w:rsidRDefault="00373FC4" w:rsidP="004B4C38">
      <w:pPr>
        <w:pStyle w:val="Considrant"/>
        <w:numPr>
          <w:ilvl w:val="0"/>
          <w:numId w:val="2"/>
        </w:numPr>
        <w:rPr>
          <w:noProof/>
        </w:rPr>
      </w:pPr>
      <w:r w:rsidRPr="00404A00">
        <w:t xml:space="preserve">De wijzigingen van Verordening (EU) 2021/622 zijn gericht tot afwikkelingsautoriteiten en houden geen noemenswaardige inhoudelijke wijzigingen in. Daarom heeft de EBA, overeenkomstig artikel 15, lid 1, tweede alinea, van Verordening (EU) nr. 1093/2010, geen open publieke consultaties gehouden en heeft zij evenmin de mogelijke daaraan verbonden kosten en baten geanalyseerd, aangezien zij zulks onevenredig achtte aan de scope en impact van het betrokken ontwerp van technische uitvoeringsnormen. </w:t>
      </w:r>
    </w:p>
    <w:p w14:paraId="0A23BFF6" w14:textId="77777777" w:rsidR="00C16484" w:rsidRPr="00404A00" w:rsidRDefault="00C16484" w:rsidP="004B4C38">
      <w:pPr>
        <w:pStyle w:val="Considrant"/>
        <w:numPr>
          <w:ilvl w:val="0"/>
          <w:numId w:val="2"/>
        </w:numPr>
        <w:rPr>
          <w:noProof/>
        </w:rPr>
      </w:pPr>
      <w:r w:rsidRPr="00404A00">
        <w:t>Uitvoeringsverordening (EU) 2021/622 moet daarom dienovereenkomstig worden gewijzigd.</w:t>
      </w:r>
    </w:p>
    <w:p w14:paraId="1887EA7B" w14:textId="77777777" w:rsidR="00C16484" w:rsidRPr="00404A00" w:rsidRDefault="00C16484" w:rsidP="004B4C38">
      <w:pPr>
        <w:pStyle w:val="Considrant"/>
        <w:numPr>
          <w:ilvl w:val="0"/>
          <w:numId w:val="2"/>
        </w:numPr>
        <w:rPr>
          <w:noProof/>
        </w:rPr>
      </w:pPr>
      <w:r w:rsidRPr="00404A00">
        <w:t>Deze verordening is gebaseerd op de ontwerpen van technische uitvoeringsnormen die de EBA bij de Commissie heeft ingediend,</w:t>
      </w:r>
    </w:p>
    <w:p w14:paraId="313B274F" w14:textId="77777777" w:rsidR="00C16484" w:rsidRPr="00404A00" w:rsidRDefault="00C16484">
      <w:pPr>
        <w:pStyle w:val="Formuledadoption"/>
      </w:pPr>
      <w:r w:rsidRPr="00404A00">
        <w:t>HEEFT DE VOLGENDE VERORDENING VASTGESTELD:</w:t>
      </w:r>
    </w:p>
    <w:p w14:paraId="455FC522" w14:textId="77777777" w:rsidR="00C16484" w:rsidRPr="00404A00" w:rsidRDefault="00C16484">
      <w:pPr>
        <w:pStyle w:val="Titrearticle"/>
      </w:pPr>
      <w:r w:rsidRPr="00404A00">
        <w:t>Artikel 1</w:t>
      </w:r>
    </w:p>
    <w:p w14:paraId="061A957A" w14:textId="77777777" w:rsidR="00C16484" w:rsidRPr="00404A00" w:rsidRDefault="00C16484" w:rsidP="00C16484">
      <w:pPr>
        <w:rPr>
          <w:noProof/>
        </w:rPr>
      </w:pPr>
      <w:r w:rsidRPr="00404A00">
        <w:t>Verordening (EU) 2021/622 wordt als volgt gewijzigd:</w:t>
      </w:r>
    </w:p>
    <w:p w14:paraId="44E520EB" w14:textId="77777777" w:rsidR="00C16484" w:rsidRPr="00404A00" w:rsidRDefault="00C16484" w:rsidP="00783A3B">
      <w:pPr>
        <w:pStyle w:val="Point0number"/>
        <w:numPr>
          <w:ilvl w:val="0"/>
          <w:numId w:val="6"/>
        </w:numPr>
        <w:rPr>
          <w:noProof/>
        </w:rPr>
      </w:pPr>
      <w:r w:rsidRPr="00404A00">
        <w:t>artikel 2 wordt als volgt gewijzigd:</w:t>
      </w:r>
    </w:p>
    <w:p w14:paraId="252CA8AC" w14:textId="77777777" w:rsidR="00C16484" w:rsidRPr="00404A00" w:rsidRDefault="00C16484" w:rsidP="00783A3B">
      <w:pPr>
        <w:pStyle w:val="Point1letter"/>
        <w:rPr>
          <w:noProof/>
        </w:rPr>
      </w:pPr>
      <w:r w:rsidRPr="00404A00">
        <w:t>de titel wordt vervangen door:</w:t>
      </w:r>
    </w:p>
    <w:p w14:paraId="3D4F8508" w14:textId="77777777" w:rsidR="00C16484" w:rsidRPr="00404A00" w:rsidRDefault="00C16484" w:rsidP="00783A3B">
      <w:pPr>
        <w:jc w:val="center"/>
        <w:rPr>
          <w:noProof/>
        </w:rPr>
      </w:pPr>
      <w:r w:rsidRPr="00404A00">
        <w:t>“</w:t>
      </w:r>
      <w:r w:rsidRPr="00404A00">
        <w:rPr>
          <w:b/>
        </w:rPr>
        <w:t>Vereenvoudigd rapportagevereiste voor instellingen waarvoor ontheffingen gelden</w:t>
      </w:r>
      <w:r w:rsidRPr="00404A00">
        <w:t>”;</w:t>
      </w:r>
    </w:p>
    <w:p w14:paraId="2EAF66BD" w14:textId="77777777" w:rsidR="00C16484" w:rsidRPr="00404A00" w:rsidRDefault="00C16484" w:rsidP="00783A3B">
      <w:pPr>
        <w:pStyle w:val="Point1letter"/>
        <w:rPr>
          <w:noProof/>
        </w:rPr>
      </w:pPr>
      <w:r w:rsidRPr="00404A00">
        <w:t>lid 2 wordt geschrapt;</w:t>
      </w:r>
    </w:p>
    <w:p w14:paraId="1A052A8B" w14:textId="77777777" w:rsidR="00C16484" w:rsidRPr="00404A00" w:rsidRDefault="00C16484" w:rsidP="00783A3B">
      <w:pPr>
        <w:pStyle w:val="Point0number"/>
        <w:rPr>
          <w:noProof/>
        </w:rPr>
      </w:pPr>
      <w:r w:rsidRPr="00404A00">
        <w:t>in artikel 3 wordt de aanhef vervangen door:</w:t>
      </w:r>
    </w:p>
    <w:p w14:paraId="533DCDB8" w14:textId="77777777" w:rsidR="00C16484" w:rsidRPr="00404A00" w:rsidRDefault="00C16484" w:rsidP="00783A3B">
      <w:pPr>
        <w:rPr>
          <w:noProof/>
        </w:rPr>
      </w:pPr>
      <w:r w:rsidRPr="00404A00">
        <w:t>“Voor groepen die overeenkomstig artikel 45 sexies, artikel 45 septies, lid 1, derde en vierde alinea, en artikel 45 septies, lid 4, punt b), van Richtlijn 2014/59/EU op geconsolideerde basis aan het MREL onderworpen zijn, wordt de in de artikelen 1 en 2 bedoelde informatie door de volgende autoriteiten en op de volgende wijze aangeleverd:”;</w:t>
      </w:r>
    </w:p>
    <w:p w14:paraId="0509E0AB" w14:textId="77777777" w:rsidR="00C16484" w:rsidRPr="00404A00" w:rsidRDefault="00C16484" w:rsidP="00783A3B">
      <w:pPr>
        <w:pStyle w:val="Point0number"/>
        <w:rPr>
          <w:noProof/>
        </w:rPr>
      </w:pPr>
      <w:r w:rsidRPr="00404A00">
        <w:t>artikel 4 wordt vervangen door:</w:t>
      </w:r>
    </w:p>
    <w:p w14:paraId="66FCA4E9" w14:textId="77777777" w:rsidR="00C16484" w:rsidRPr="00404A00" w:rsidRDefault="00D47F83" w:rsidP="00783A3B">
      <w:pPr>
        <w:pStyle w:val="Titrearticle"/>
        <w:rPr>
          <w:i w:val="0"/>
          <w:iCs/>
          <w:noProof/>
        </w:rPr>
      </w:pPr>
      <w:r w:rsidRPr="00404A00">
        <w:t xml:space="preserve">“Artikel 4 </w:t>
      </w:r>
      <w:r w:rsidRPr="00404A00">
        <w:br/>
      </w:r>
      <w:r w:rsidRPr="00404A00">
        <w:rPr>
          <w:b/>
          <w:i w:val="0"/>
        </w:rPr>
        <w:t>Rapportageperiodes en aanleverdatums</w:t>
      </w:r>
    </w:p>
    <w:p w14:paraId="054F5F9B" w14:textId="77777777" w:rsidR="00C16484" w:rsidRPr="00404A00" w:rsidRDefault="00C16484" w:rsidP="00783A3B">
      <w:pPr>
        <w:rPr>
          <w:noProof/>
        </w:rPr>
      </w:pPr>
      <w:r w:rsidRPr="00404A00">
        <w:t>Afwikkelingsautoriteiten zenden de in de artikelen 1 en 2 bedoelde informatie als volgt:</w:t>
      </w:r>
    </w:p>
    <w:p w14:paraId="5113726F" w14:textId="77777777" w:rsidR="00C16484" w:rsidRPr="00404A00" w:rsidRDefault="00C16484" w:rsidP="00783A3B">
      <w:pPr>
        <w:pStyle w:val="Point1letter"/>
        <w:rPr>
          <w:noProof/>
        </w:rPr>
      </w:pPr>
      <w:r w:rsidRPr="00404A00">
        <w:t>voor het per 30 juni toepasselijke MREL: tegen 16 september van dat jaar;</w:t>
      </w:r>
    </w:p>
    <w:p w14:paraId="7219DDD8" w14:textId="77777777" w:rsidR="00C16484" w:rsidRPr="00404A00" w:rsidRDefault="00C16484" w:rsidP="00783A3B">
      <w:pPr>
        <w:pStyle w:val="Point1letter"/>
        <w:rPr>
          <w:noProof/>
        </w:rPr>
      </w:pPr>
      <w:r w:rsidRPr="00404A00">
        <w:t>voor het per 31 december toepasselijke MREL: tegen 18 maart van het volgende jaar.”;</w:t>
      </w:r>
    </w:p>
    <w:p w14:paraId="65609948" w14:textId="77777777" w:rsidR="00C16484" w:rsidRPr="00404A00" w:rsidRDefault="00C16484" w:rsidP="00783A3B">
      <w:pPr>
        <w:pStyle w:val="Point0number"/>
        <w:rPr>
          <w:noProof/>
        </w:rPr>
      </w:pPr>
      <w:r w:rsidRPr="00404A00">
        <w:t>bijlage I wordt vervangen door de tekst in bijlage I bij deze verordening;</w:t>
      </w:r>
    </w:p>
    <w:p w14:paraId="45E55C10" w14:textId="77777777" w:rsidR="00C16484" w:rsidRPr="00404A00" w:rsidRDefault="00C16484" w:rsidP="00783A3B">
      <w:pPr>
        <w:pStyle w:val="Point0number"/>
        <w:rPr>
          <w:noProof/>
        </w:rPr>
      </w:pPr>
      <w:r w:rsidRPr="00404A00">
        <w:t>bijlage II wordt vervangen door de tekst in bijlage II bij deze verordening.</w:t>
      </w:r>
    </w:p>
    <w:p w14:paraId="0B09A3CA" w14:textId="77777777" w:rsidR="00C16484" w:rsidRPr="00404A00" w:rsidRDefault="00C16484">
      <w:pPr>
        <w:pStyle w:val="Titrearticle"/>
      </w:pPr>
      <w:r w:rsidRPr="00404A00">
        <w:t>Artikel 2</w:t>
      </w:r>
    </w:p>
    <w:p w14:paraId="0BDD24EC" w14:textId="77777777" w:rsidR="00C16484" w:rsidRPr="00404A00" w:rsidRDefault="00C16484" w:rsidP="00830365">
      <w:r w:rsidRPr="00404A00">
        <w:t xml:space="preserve">Deze verordening treedt in werking op de twintigste dag na die van de bekendmaking ervan in het </w:t>
      </w:r>
      <w:r w:rsidRPr="00404A00">
        <w:rPr>
          <w:i/>
        </w:rPr>
        <w:t>Publicatieblad van de Europese Unie</w:t>
      </w:r>
      <w:r w:rsidRPr="00404A00">
        <w:t>.</w:t>
      </w:r>
    </w:p>
    <w:p w14:paraId="3DDE2F7A" w14:textId="77777777" w:rsidR="00C16484" w:rsidRPr="00404A00" w:rsidRDefault="00C16484">
      <w:pPr>
        <w:pStyle w:val="Applicationdirecte"/>
      </w:pPr>
      <w:r w:rsidRPr="00404A00">
        <w:t>Deze verordening is verbindend in al haar onderdelen en is rechtstreeks toepasselijk in elke lidstaat.</w:t>
      </w:r>
    </w:p>
    <w:p w14:paraId="0FD02893" w14:textId="28C78512" w:rsidR="00C16484" w:rsidRPr="00404A00" w:rsidRDefault="00404A00" w:rsidP="00404A00">
      <w:pPr>
        <w:pStyle w:val="Fait"/>
      </w:pPr>
      <w:r w:rsidRPr="00404A00">
        <w:t>Gedaan te Brussel,</w:t>
      </w:r>
    </w:p>
    <w:p w14:paraId="3FB14D4B" w14:textId="77777777" w:rsidR="00C16484" w:rsidRPr="00404A00" w:rsidRDefault="00C16484" w:rsidP="00C16484">
      <w:pPr>
        <w:pStyle w:val="Institutionquisigne"/>
      </w:pPr>
      <w:r w:rsidRPr="00404A00">
        <w:tab/>
        <w:t>Voor de Commissie</w:t>
      </w:r>
    </w:p>
    <w:p w14:paraId="0FEF1170" w14:textId="0CD182DE" w:rsidR="00C16484" w:rsidRPr="00404A00" w:rsidRDefault="00C16484" w:rsidP="00C16484">
      <w:pPr>
        <w:pStyle w:val="Personnequisigne"/>
      </w:pPr>
      <w:r w:rsidRPr="00404A00">
        <w:tab/>
        <w:t xml:space="preserve">De voorzitter </w:t>
      </w:r>
      <w:r w:rsidRPr="00404A00">
        <w:br/>
      </w:r>
      <w:r w:rsidRPr="00404A00">
        <w:tab/>
        <w:t xml:space="preserve">Ursula VON DER LEYEN </w:t>
      </w:r>
      <w:r w:rsidRPr="00404A00">
        <w:br/>
      </w:r>
      <w:r w:rsidRPr="00404A00">
        <w:tab/>
      </w:r>
    </w:p>
    <w:sectPr w:rsidR="00C16484" w:rsidRPr="00404A00" w:rsidSect="00404A00">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D26D" w14:textId="08C1C796" w:rsidR="00404A00" w:rsidRPr="00404A00" w:rsidRDefault="00404A00" w:rsidP="00404A00">
    <w:pPr>
      <w:pStyle w:val="Footer"/>
      <w:rPr>
        <w:rFonts w:ascii="Arial" w:hAnsi="Arial" w:cs="Arial"/>
        <w:b/>
        <w:sz w:val="48"/>
      </w:rPr>
    </w:pPr>
    <w:r w:rsidRPr="00404A00">
      <w:rPr>
        <w:rFonts w:ascii="Arial" w:hAnsi="Arial" w:cs="Arial"/>
        <w:b/>
        <w:sz w:val="48"/>
      </w:rPr>
      <w:t>NL</w:t>
    </w:r>
    <w:r w:rsidRPr="00404A00">
      <w:rPr>
        <w:rFonts w:ascii="Arial" w:hAnsi="Arial" w:cs="Arial"/>
        <w:b/>
        <w:sz w:val="48"/>
      </w:rPr>
      <w:tab/>
    </w:r>
    <w:r w:rsidRPr="00404A00">
      <w:rPr>
        <w:rFonts w:ascii="Arial" w:hAnsi="Arial" w:cs="Arial"/>
        <w:b/>
        <w:sz w:val="48"/>
      </w:rPr>
      <w:tab/>
    </w:r>
    <w:r w:rsidRPr="00404A00">
      <w:tab/>
    </w:r>
    <w:r w:rsidRPr="00404A00">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5B85" w14:textId="468E6551" w:rsidR="00404A00" w:rsidRPr="00404A00" w:rsidRDefault="00404A00" w:rsidP="00404A00">
    <w:pPr>
      <w:pStyle w:val="Footer"/>
      <w:rPr>
        <w:rFonts w:ascii="Arial" w:hAnsi="Arial" w:cs="Arial"/>
        <w:b/>
        <w:sz w:val="48"/>
      </w:rPr>
    </w:pPr>
    <w:r w:rsidRPr="00404A00">
      <w:rPr>
        <w:rFonts w:ascii="Arial" w:hAnsi="Arial" w:cs="Arial"/>
        <w:b/>
        <w:sz w:val="48"/>
      </w:rPr>
      <w:t>NL</w:t>
    </w:r>
    <w:r w:rsidRPr="00404A00">
      <w:rPr>
        <w:rFonts w:ascii="Arial" w:hAnsi="Arial" w:cs="Arial"/>
        <w:b/>
        <w:sz w:val="48"/>
      </w:rPr>
      <w:tab/>
    </w:r>
    <w:r w:rsidRPr="00404A00">
      <w:rPr>
        <w:rFonts w:ascii="Arial" w:hAnsi="Arial" w:cs="Arial"/>
        <w:b/>
        <w:sz w:val="48"/>
      </w:rPr>
      <w:tab/>
    </w:r>
    <w:r w:rsidRPr="00404A00">
      <w:tab/>
    </w:r>
    <w:r w:rsidRPr="00404A00">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107D" w14:textId="77777777" w:rsidR="00404A00" w:rsidRPr="00404A00" w:rsidRDefault="00404A00" w:rsidP="00404A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21E8" w14:textId="6DC496D1" w:rsidR="00404A00" w:rsidRPr="00404A00" w:rsidRDefault="00404A00" w:rsidP="00404A00">
    <w:pPr>
      <w:pStyle w:val="Footer"/>
      <w:rPr>
        <w:rFonts w:ascii="Arial" w:hAnsi="Arial" w:cs="Arial"/>
        <w:b/>
        <w:sz w:val="48"/>
      </w:rPr>
    </w:pPr>
    <w:r w:rsidRPr="00404A00">
      <w:rPr>
        <w:rFonts w:ascii="Arial" w:hAnsi="Arial" w:cs="Arial"/>
        <w:b/>
        <w:sz w:val="48"/>
      </w:rPr>
      <w:t>NL</w:t>
    </w:r>
    <w:r w:rsidRPr="00404A0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04A00">
      <w:tab/>
    </w:r>
    <w:r w:rsidRPr="00404A00">
      <w:rPr>
        <w:rFonts w:ascii="Arial" w:hAnsi="Arial" w:cs="Arial"/>
        <w:b/>
        <w:sz w:val="48"/>
      </w:rPr>
      <w:t>NL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404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404A00" w:rsidRDefault="00C16484" w:rsidP="00C16484">
      <w:pPr>
        <w:pStyle w:val="FootnoteText"/>
      </w:pPr>
      <w:r>
        <w:rPr>
          <w:rStyle w:val="FootnoteReference"/>
        </w:rPr>
        <w:footnoteRef/>
      </w:r>
      <w:r w:rsidRPr="00404A00">
        <w:tab/>
        <w:t>PB L 173 van 12.6.2014, blz. 190, ELI: </w:t>
      </w:r>
      <w:hyperlink r:id="rId1" w:tooltip="Gives access to this document through its ELI URI." w:history="1">
        <w:r w:rsidRPr="00404A00">
          <w:rPr>
            <w:rStyle w:val="Hyperlink"/>
            <w:rFonts w:ascii="Times New Roman" w:hAnsi="Times New Roman"/>
          </w:rPr>
          <w:t>http://data.europa.eu/eli/dir/2014/59/oj</w:t>
        </w:r>
      </w:hyperlink>
      <w:r w:rsidRPr="00404A00">
        <w:t xml:space="preserve">. </w:t>
      </w:r>
    </w:p>
  </w:footnote>
  <w:footnote w:id="3">
    <w:p w14:paraId="584AEAAA" w14:textId="78F88551" w:rsidR="003428AE" w:rsidRPr="00404A00" w:rsidRDefault="003428AE">
      <w:pPr>
        <w:pStyle w:val="FootnoteText"/>
      </w:pPr>
      <w:r>
        <w:rPr>
          <w:rStyle w:val="FootnoteReference"/>
        </w:rPr>
        <w:footnoteRef/>
      </w:r>
      <w:r w:rsidRPr="00404A00">
        <w:tab/>
        <w:t xml:space="preserve">Richtlijn (EU) 2024/1174 van het Europees Parlement en de Raad van 11 april 2024 tot wijziging van Richtlijn 2014/59/EU en Verordening (EU) nr. 806/2014 met betrekking tot bepaalde aspecten van het minimumvereiste voor eigen vermogen en in aanmerking komende passiva (PB L, 2024/1174, 22.4.2024, ELI: </w:t>
      </w:r>
      <w:hyperlink r:id="rId2" w:history="1">
        <w:r w:rsidRPr="00404A00">
          <w:rPr>
            <w:rStyle w:val="Hyperlink"/>
            <w:rFonts w:ascii="Times New Roman" w:hAnsi="Times New Roman"/>
          </w:rPr>
          <w:t>http://data.europa.eu/eli/dir/2024/1174/oj</w:t>
        </w:r>
      </w:hyperlink>
      <w:r w:rsidRPr="00404A00">
        <w:t xml:space="preserve">). </w:t>
      </w:r>
    </w:p>
  </w:footnote>
  <w:footnote w:id="4">
    <w:p w14:paraId="4D1953DF" w14:textId="607C22C8" w:rsidR="001F4496" w:rsidRPr="00404A00" w:rsidRDefault="001F4496">
      <w:pPr>
        <w:pStyle w:val="FootnoteText"/>
      </w:pPr>
      <w:r>
        <w:rPr>
          <w:rStyle w:val="FootnoteReference"/>
        </w:rPr>
        <w:footnoteRef/>
      </w:r>
      <w:r w:rsidRPr="00404A00">
        <w:tab/>
        <w:t xml:space="preserve">Uitvoeringsverordening (EU) 2021/622 van de Commissie van 15 april 2021 tot vaststelling van technische uitvoeringsnormen voor de toepassing van Richtlijn 2014/59/EU van het Europees Parlement en de Raad wat betreft eenvormige rapportagetemplates, eenvormige instructies en een eenvormige methodologie voor de rapportage van het minimumvereiste voor eigen vermogen en in aanmerking komende passiva (PB L 131 van 16.4.2021, blz. 123, ELI: </w:t>
      </w:r>
      <w:hyperlink r:id="rId3" w:history="1">
        <w:r w:rsidRPr="00404A00">
          <w:rPr>
            <w:rStyle w:val="Hyperlink"/>
            <w:rFonts w:ascii="Times New Roman" w:hAnsi="Times New Roman"/>
          </w:rPr>
          <w:t>http://data.europa.eu/eli/reg_impl/2021/622/oj</w:t>
        </w:r>
      </w:hyperlink>
      <w:r w:rsidRPr="00404A00">
        <w:t>).</w:t>
      </w:r>
    </w:p>
  </w:footnote>
  <w:footnote w:id="5">
    <w:p w14:paraId="5FB3833A" w14:textId="77777777" w:rsidR="000B5B60" w:rsidRPr="00404A00" w:rsidRDefault="000B5B60">
      <w:pPr>
        <w:pStyle w:val="FootnoteText"/>
      </w:pPr>
      <w:r>
        <w:rPr>
          <w:rStyle w:val="FootnoteReference"/>
        </w:rPr>
        <w:footnoteRef/>
      </w:r>
      <w:r w:rsidRPr="00404A00">
        <w:tab/>
        <w:t xml:space="preserve">Uitvoeringsverordening (EU) 2021/763 van de Commissie van 23 april 2021 tot vaststelling van technische uitvoeringsnormen voor de toepassing van Verordening (EU) nr. 575/2013 van het Europees Parlement en de Raad en van Richtlijn 2014/59/EU van het Europees Parlement en de Raad ten aanzien van de toezichtrapportage en openbaarmaking van het minimumvereiste voor eigen vermogen en in aanmerking komende passiva (PB L 168 van 12.5.2021, blz. 1, ELI: </w:t>
      </w:r>
      <w:hyperlink r:id="rId4" w:history="1">
        <w:r w:rsidRPr="00404A00">
          <w:rPr>
            <w:rStyle w:val="Hyperlink"/>
            <w:rFonts w:ascii="Times New Roman" w:hAnsi="Times New Roman"/>
          </w:rPr>
          <w:t>http://data.europa.eu/eli/reg_impl/2021/763/oj</w:t>
        </w:r>
      </w:hyperlink>
      <w:r w:rsidRPr="00404A00">
        <w:t>).</w:t>
      </w:r>
    </w:p>
  </w:footnote>
  <w:footnote w:id="6">
    <w:p w14:paraId="04BE3385" w14:textId="77777777" w:rsidR="00401F3A" w:rsidRPr="00404A00" w:rsidRDefault="00401F3A" w:rsidP="00F35BD7">
      <w:pPr>
        <w:pStyle w:val="FootnoteText"/>
      </w:pPr>
      <w:r>
        <w:rPr>
          <w:rStyle w:val="FootnoteReference"/>
        </w:rPr>
        <w:footnoteRef/>
      </w:r>
      <w:r w:rsidRPr="00404A00">
        <w:tab/>
        <w:t>Verordening (EU) nr. 1093/2010 van het Europees Parlement en de Raad van 24 november 2010 tot oprichting van een Europese toezichthoudende autoriteit (Europese Bankautoriteit), tot wijziging van Besluit nr. 716/2009/EG en tot intrekking van Besluit 2009/78/EG van de Commissie (PB L 331 van 15.12.2010, blz. 12, ELI: </w:t>
      </w:r>
      <w:hyperlink r:id="rId5" w:tooltip="Gives access to this document through its ELI URI." w:history="1">
        <w:r w:rsidRPr="00404A00">
          <w:rPr>
            <w:rStyle w:val="Hyperlink"/>
            <w:rFonts w:ascii="Times New Roman" w:hAnsi="Times New Roman"/>
          </w:rPr>
          <w:t>http://data.europa.eu/eli/reg/2010/1093/oj</w:t>
        </w:r>
      </w:hyperlink>
      <w:r w:rsidRPr="00404A0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2788" w14:textId="77777777" w:rsidR="00404A00" w:rsidRPr="00404A00" w:rsidRDefault="00404A00" w:rsidP="00404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90D2" w14:textId="77777777" w:rsidR="00404A00" w:rsidRPr="00404A00" w:rsidRDefault="00404A00" w:rsidP="00404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A7BB" w14:textId="77777777" w:rsidR="00404A00" w:rsidRPr="00404A00" w:rsidRDefault="00404A00" w:rsidP="00404A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14:16: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86C9E73-E1D9-41AA-9436-CCABC3CBA41F"/>
    <w:docVar w:name="LW_COVERPAGE_TYPE" w:val="1"/>
    <w:docVar w:name="LW_CreatedUtc" w:val="2025-09-04T16:00:38.0896335Z"/>
    <w:docVar w:name="LW_CROSSREFERENCE" w:val="&lt;UNUSED&gt;"/>
    <w:docVar w:name="LW_DATE.ADOPT.CP" w:val="van XXX"/>
    <w:docVar w:name="LW_DATE.ADOPT.CP_DATEFORMAT" w:val="van %DATE%"/>
    <w:docVar w:name="LW_DATE.ADOPT.CP_ISODATE" w:val="&lt;EMPTY&gt;"/>
    <w:docVar w:name="LW_DocType" w:val="COM"/>
    <w:docVar w:name="LW_EMISSION" w:val="&lt;EMPTY&gt;"/>
    <w:docVar w:name="LW_EMISSION_ISODATE" w:val="&lt;EMPTY&gt;"/>
    <w:docVar w:name="LW_EMISSION_LOCATION" w:val="BRX"/>
    <w:docVar w:name="LW_EMISSION_PREFIX" w:val="Brussel, "/>
    <w:docVar w:name="LW_EMISSION_SUFFIX" w:val=" "/>
    <w:docVar w:name="LW_ID_DOCMODEL" w:val="SJ-004"/>
    <w:docVar w:name="LW_ID_DOCSIGNATURE" w:val="SJ-004"/>
    <w:docVar w:name="LW_ID_DOCSTRUCTURE" w:val="COM/AA"/>
    <w:docVar w:name="LW_ID_DOCTYPE" w:val="SJ-004"/>
    <w:docVar w:name="LW_INTERETEEE.CP" w:val="(Voor de EER relevante tekst)"/>
    <w:docVar w:name="LW_LANGUE" w:val="NL"/>
    <w:docVar w:name="LW_LANGUESFAISANTFOI.CP" w:val="&lt;UNUSED&gt;"/>
    <w:docVar w:name="LW_LEVEL_OF_SENSITIVITY" w:val="Standard treatment"/>
    <w:docVar w:name="LW_NOM.INST" w:val="EUROPESE COMMISSIE"/>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ot wijziging van de in Uitvoeringsverordening (EU) 2021/622 vastgestelde technische uitvoeringsnormen wat betreft de rapportagefrequentie en de te rapporteren informatie"/>
    <w:docVar w:name="LW_TYPE.DOC.CP" w:val="UITVOERINGSVERORDENING (EU) \u8230?/... VAN DE COMMISSIE"/>
  </w:docVars>
  <w:rsids>
    <w:rsidRoot w:val="00C16484"/>
    <w:rsid w:val="00000BE0"/>
    <w:rsid w:val="00016399"/>
    <w:rsid w:val="000313F6"/>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4A00"/>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4496"/>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1453F"/>
    <w:rsid w:val="00615606"/>
    <w:rsid w:val="00642760"/>
    <w:rsid w:val="00643DEF"/>
    <w:rsid w:val="006654AB"/>
    <w:rsid w:val="00667F1D"/>
    <w:rsid w:val="006700C7"/>
    <w:rsid w:val="00685D33"/>
    <w:rsid w:val="00697D24"/>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474FC"/>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6013D"/>
    <w:rsid w:val="00B65FB3"/>
    <w:rsid w:val="00B66E09"/>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EF4B41"/>
    <w:rsid w:val="00F07F26"/>
    <w:rsid w:val="00F35BD7"/>
    <w:rsid w:val="00F36982"/>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nl-NL"/>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nl-NL"/>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4.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43</TotalTime>
  <Pages>2</Pages>
  <Words>914</Words>
  <Characters>5444</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IDZERDA Renee (DGT)</cp:lastModifiedBy>
  <cp:revision>29</cp:revision>
  <dcterms:created xsi:type="dcterms:W3CDTF">2025-12-05T16:19:00Z</dcterms:created>
  <dcterms:modified xsi:type="dcterms:W3CDTF">2026-02-02T13:16:00Z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