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1BF8" w14:textId="2E5D3672" w:rsidR="004E763F" w:rsidRPr="00A42C83" w:rsidRDefault="00F25566" w:rsidP="00A42C83">
      <w:pPr>
        <w:pStyle w:val="Pagedecouverture"/>
      </w:pPr>
      <w:r>
        <w:pict w14:anchorId="1C84E7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864C6E69-FFE5-429F-9D24-6B9C59444A3A" style="width:456pt;height:332.55pt">
            <v:imagedata r:id="rId11" o:title=""/>
          </v:shape>
        </w:pict>
      </w:r>
    </w:p>
    <w:p w14:paraId="1986B6EA" w14:textId="77777777" w:rsidR="00CE1382" w:rsidRPr="00A42C83" w:rsidRDefault="00CE1382" w:rsidP="003838B9">
      <w:pPr>
        <w:sectPr w:rsidR="00CE1382" w:rsidRPr="00A42C83" w:rsidSect="00B47C85">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ADCEA6B" w14:textId="63AC943E" w:rsidR="00C16484" w:rsidRPr="00A42C83" w:rsidRDefault="00A42C83" w:rsidP="00A42C83">
      <w:pPr>
        <w:pStyle w:val="Typedudocument"/>
      </w:pPr>
      <w:r w:rsidRPr="00A42C83">
        <w:lastRenderedPageBreak/>
        <w:t>KOMISIJOS ĮGYVENDINIMO REGLAMENTAS (ES) …/...</w:t>
      </w:r>
    </w:p>
    <w:p w14:paraId="6819E66E" w14:textId="54223F5E" w:rsidR="00C16484" w:rsidRPr="00A42C83" w:rsidRDefault="00A42C83" w:rsidP="00A42C83">
      <w:pPr>
        <w:pStyle w:val="Datedadoption"/>
      </w:pPr>
      <w:r w:rsidRPr="00A42C83">
        <w:rPr>
          <w:rStyle w:val="Marker2"/>
        </w:rPr>
        <w:t>XXX</w:t>
      </w:r>
    </w:p>
    <w:p w14:paraId="44AA08D1" w14:textId="4F5CDD3B" w:rsidR="00C16484" w:rsidRPr="00A42C83" w:rsidRDefault="00A42C83" w:rsidP="00A42C83">
      <w:pPr>
        <w:pStyle w:val="Titreobjet"/>
      </w:pPr>
      <w:r w:rsidRPr="00A42C83">
        <w:t>kuriuo dėl informacijos teikimo dažnumo ir turinio iš dalies keičiami Įgyvendinimo reglamente (ES) 2021/622 nustatyti techniniai įgyvendinimo standartai</w:t>
      </w:r>
    </w:p>
    <w:p w14:paraId="4A210142" w14:textId="6F08C1CD" w:rsidR="00C16484" w:rsidRPr="00A42C83" w:rsidRDefault="00A42C83" w:rsidP="00A42C83">
      <w:pPr>
        <w:pStyle w:val="IntrtEEE"/>
      </w:pPr>
      <w:r w:rsidRPr="00A42C83">
        <w:t>(Tekstas svarbus EEE)</w:t>
      </w:r>
    </w:p>
    <w:p w14:paraId="6F3A17D1" w14:textId="77777777" w:rsidR="00C16484" w:rsidRPr="00A42C83" w:rsidRDefault="00C16484">
      <w:pPr>
        <w:pStyle w:val="Institutionquiagit"/>
      </w:pPr>
      <w:r w:rsidRPr="00A42C83">
        <w:t>EUROPOS KOMISIJA,</w:t>
      </w:r>
    </w:p>
    <w:p w14:paraId="22B09AC6" w14:textId="77777777" w:rsidR="00C16484" w:rsidRPr="00A42C83" w:rsidRDefault="00C16484">
      <w:r w:rsidRPr="00A42C83">
        <w:rPr>
          <w:color w:val="000000"/>
        </w:rPr>
        <w:t>atsižvelgdama į Sutartį dėl Europos Sąjungos veikimo</w:t>
      </w:r>
      <w:r w:rsidRPr="00A42C83">
        <w:t>,</w:t>
      </w:r>
    </w:p>
    <w:p w14:paraId="6C2E5C7E" w14:textId="77777777" w:rsidR="00C16484" w:rsidRPr="00A42C83" w:rsidRDefault="00C16484">
      <w:r w:rsidRPr="00A42C83">
        <w:t>atsižvelgdama į 2014 m. gegužės 15 d. Europos Parlamento ir Tarybos direktyvą 2014/59/ES, kuria nustatoma kredito įstaigų ir investicinių įmonių gaivinimo ir pertvarkymo sistema ir iš dalies keičiamos Tarybos direktyva 82/891/EEB, direktyvos 2001/24/EB, 2002/47/EB, 2004/25/EB, 2005/56/EB, 2007/36/EB, 2011/35/ES, 2012/30/ES bei 2013/36/ES ir Europos Parlamento ir Tarybos reglamentai (ES) Nr. 1093/2010 bei (ES) Nr. 648/2012</w:t>
      </w:r>
      <w:r w:rsidRPr="00A42C83">
        <w:rPr>
          <w:rStyle w:val="FootnoteReference"/>
        </w:rPr>
        <w:footnoteReference w:id="2"/>
      </w:r>
      <w:r w:rsidRPr="00A42C83">
        <w:t>, ypač į jos 45j straipsnio 2 dalies trečią pastraipą,</w:t>
      </w:r>
    </w:p>
    <w:p w14:paraId="499F4150" w14:textId="77777777" w:rsidR="00C16484" w:rsidRPr="00A42C83" w:rsidRDefault="00C16484">
      <w:r w:rsidRPr="00A42C83">
        <w:t>kadangi:</w:t>
      </w:r>
    </w:p>
    <w:p w14:paraId="7D99777F" w14:textId="77777777" w:rsidR="003428AE" w:rsidRPr="00A42C83" w:rsidRDefault="003428AE" w:rsidP="004B4C38">
      <w:pPr>
        <w:pStyle w:val="Considrant"/>
        <w:numPr>
          <w:ilvl w:val="0"/>
          <w:numId w:val="2"/>
        </w:numPr>
        <w:rPr>
          <w:iCs/>
          <w:noProof/>
        </w:rPr>
      </w:pPr>
      <w:r w:rsidRPr="00A42C83">
        <w:t>Europos Parlamento ir Tarybos direktyva (ES) 2024/1174</w:t>
      </w:r>
      <w:r w:rsidRPr="00A42C83">
        <w:rPr>
          <w:rStyle w:val="FootnoteReference"/>
          <w:iCs/>
          <w:noProof/>
        </w:rPr>
        <w:footnoteReference w:id="3"/>
      </w:r>
      <w:r w:rsidRPr="00A42C83">
        <w:t xml:space="preserve"> iš dalies pakeisti tam tikri Direktyvoje 2014/59/ES nustatyto minimalaus nuosavų lėšų ir tinkamų įsipareigojimų reikalavimo (toliau – MREL) aspektai. Pagal tuos pakeitimus pertvarkymo institucijos neturėtų nustatyti MREL likviduojamiems subjektams, išskyrus atvejus, kai nustatyti MREL, viršijantį sumą, kurios pakanka nuostoliams padengti, būtina finansiniam stabilumui apsaugoti arba išplitimo į finansų sistemą rizikai pašalinti, be kita ko, atsižvelgiant į indėlių garantijų sistemų finansavimo pajėgumą. Be to, Direktyvoje (ES) 2024/1174 numatytas didesnis atvejų, kai pertvarkymo institucijos gali nustatyti MREL konsoliduotai, skaičius. Komisijos įgyvendinimo reglamentas (ES) 2021/622</w:t>
      </w:r>
      <w:r w:rsidRPr="00A42C83">
        <w:rPr>
          <w:rStyle w:val="FootnoteReference"/>
          <w:iCs/>
          <w:noProof/>
        </w:rPr>
        <w:footnoteReference w:id="4"/>
      </w:r>
      <w:r w:rsidRPr="00A42C83">
        <w:t xml:space="preserve"> turėtų būti iš dalies pakeistas, kad Europos bankininkystės institucijai (EBI) teiktinoje informacijoje būtų atsižvelgta į tuos MREL sistemos pakeitimus;</w:t>
      </w:r>
    </w:p>
    <w:p w14:paraId="038A3063" w14:textId="77777777" w:rsidR="00C16484" w:rsidRPr="00A42C83" w:rsidRDefault="00A05FAB" w:rsidP="008B6AF9">
      <w:pPr>
        <w:pStyle w:val="Considrant"/>
        <w:numPr>
          <w:ilvl w:val="0"/>
          <w:numId w:val="2"/>
        </w:numPr>
        <w:rPr>
          <w:iCs/>
          <w:noProof/>
        </w:rPr>
      </w:pPr>
      <w:r w:rsidRPr="00A42C83">
        <w:t>Įgyvendinimo reglamente (ES) 2021/622 šiuo metu reikalaujama, kad pertvarkymo institucijos kasmet perduotų EBI informaciją, susijusią su MREL nustatymu. Vėliau EBI derina tą informaciją su informacija apie nuosavų lėšų ir tinkamų įsipareigojimų sudėtį, gauta pagal Komisijos įgyvendinimo reglamentą (ES) 2021/763</w:t>
      </w:r>
      <w:r w:rsidRPr="00A42C83">
        <w:rPr>
          <w:rStyle w:val="FootnoteReference"/>
          <w:noProof/>
        </w:rPr>
        <w:footnoteReference w:id="5"/>
      </w:r>
      <w:r w:rsidRPr="00A42C83">
        <w:t xml:space="preserve">, kad parengtų </w:t>
      </w:r>
      <w:r w:rsidRPr="00A42C83">
        <w:lastRenderedPageBreak/>
        <w:t>savo ataskaitą dėl MREL pagal Direktyvos 2014/59/ES 45l straipsnį, kuri šiuo metu teikiama du kartus per metus. Dabartinis informacijos apie MREL nustatymą teikimas kartą per metus reiškia, kad MREL sprendimai, kuriuos pertvarkymo institucijos priima po atitinkamos ataskaitinės datos, nėra perduodami EBI ir EBI jų neįvertina ir į juos neatsižvelgia savo ataskaitose iki kitų metų, todėl atsiranda neatitikimų su naujesne informacija apie nuosavų lėšų ir tinkamų įsipareigojimų sudėtį;</w:t>
      </w:r>
    </w:p>
    <w:p w14:paraId="676EF325" w14:textId="77777777" w:rsidR="00C16484" w:rsidRPr="00A42C83" w:rsidRDefault="00C16484" w:rsidP="004B4C38">
      <w:pPr>
        <w:pStyle w:val="Considrant"/>
        <w:numPr>
          <w:ilvl w:val="0"/>
          <w:numId w:val="2"/>
        </w:numPr>
        <w:rPr>
          <w:iCs/>
          <w:noProof/>
        </w:rPr>
      </w:pPr>
      <w:r w:rsidRPr="00A42C83">
        <w:t xml:space="preserve">kad būtų pagerintas EBI gebėjimas stebėti ir vertinti pertvarkymo institucijų nustatytą MREL ir tai, kaip įstaigos laikosi MREL reikalavimų, pertvarkymo institucijos turėtų dažniau teikti informaciją apie MREL sprendimus. Siekiant užtikrinti suderinamumą su EBI parengtomis ataskaitomis dėl MREL, pertvarkymo institucijos tą informaciją turėtų teikti du kartus per metus; </w:t>
      </w:r>
    </w:p>
    <w:p w14:paraId="2672C096" w14:textId="77777777" w:rsidR="00C16484" w:rsidRPr="00A42C83" w:rsidRDefault="00C16484" w:rsidP="004B4C38">
      <w:pPr>
        <w:pStyle w:val="Considrant"/>
        <w:numPr>
          <w:ilvl w:val="0"/>
          <w:numId w:val="2"/>
        </w:numPr>
        <w:rPr>
          <w:noProof/>
        </w:rPr>
      </w:pPr>
      <w:r w:rsidRPr="00A42C83">
        <w:t>kad EBI būtų lengviau įvertinti, kaip pertvarkymo institucijos nustatydamos MREL naudojosi turima diskrecija, visų pirma kiek tai susiję su galimybe, numatyta Direktyvos 2014/59/ES 45b straipsnio 4 dalies pirmoje pastraipoje, M 20.00 forma „Informacijos apie MREL sprendimus teikimas“ (Reglamento (ES) 2021/622 I priedas) ir atitinkami nurodymai turėtų būti pakoreguoti, kad būtų reikalaujama įtraukti informaciją, ar pasinaudota ta galimybe;</w:t>
      </w:r>
    </w:p>
    <w:p w14:paraId="1B5314C9" w14:textId="77777777" w:rsidR="00C16484" w:rsidRPr="00A42C83" w:rsidRDefault="00C16484" w:rsidP="004B4C38">
      <w:pPr>
        <w:pStyle w:val="Considrant"/>
        <w:numPr>
          <w:ilvl w:val="0"/>
          <w:numId w:val="2"/>
        </w:numPr>
        <w:rPr>
          <w:noProof/>
        </w:rPr>
      </w:pPr>
      <w:r w:rsidRPr="00A42C83">
        <w:t>EBI paprašė, kad savo rekomendaciją pateiktų pagal Europos Parlamento ir Tarybos reglamento (ES) Nr. 1093/2010</w:t>
      </w:r>
      <w:r w:rsidRPr="00A42C83">
        <w:rPr>
          <w:rStyle w:val="FootnoteReference"/>
          <w:noProof/>
        </w:rPr>
        <w:footnoteReference w:id="6"/>
      </w:r>
      <w:r w:rsidRPr="00A42C83">
        <w:t xml:space="preserve"> 37 straipsnį įsteigta Bankininkystės suinteresuotųjų subjektų grupė; </w:t>
      </w:r>
    </w:p>
    <w:p w14:paraId="5D5111C6" w14:textId="77777777" w:rsidR="00C16484" w:rsidRPr="00A42C83" w:rsidRDefault="00373FC4" w:rsidP="004B4C38">
      <w:pPr>
        <w:pStyle w:val="Considrant"/>
        <w:numPr>
          <w:ilvl w:val="0"/>
          <w:numId w:val="2"/>
        </w:numPr>
        <w:rPr>
          <w:noProof/>
        </w:rPr>
      </w:pPr>
      <w:r w:rsidRPr="00A42C83">
        <w:t xml:space="preserve">Reglamento (ES) 2021/622 pakeitimai skirti pertvarkymo institucijoms ir nėra reikšmingi esminių sąlygų pakeitimai. Todėl pagal Reglamento (ES) Nr. 1093/2010 15 straipsnio 1 dalies antrą pastraipą EBI nerengė atvirų viešų konsultacijų ir nenagrinėjo galimų susijusių sąnaudų ir naudos, manydama, kad tai būtų neproporcinga atitinkamų techninių įgyvendinimo standartų projektų taikymo srities ir poveikio požiūriu; </w:t>
      </w:r>
    </w:p>
    <w:p w14:paraId="0A23BFF6" w14:textId="77777777" w:rsidR="00C16484" w:rsidRPr="00A42C83" w:rsidRDefault="00C16484" w:rsidP="004B4C38">
      <w:pPr>
        <w:pStyle w:val="Considrant"/>
        <w:numPr>
          <w:ilvl w:val="0"/>
          <w:numId w:val="2"/>
        </w:numPr>
        <w:rPr>
          <w:noProof/>
        </w:rPr>
      </w:pPr>
      <w:r w:rsidRPr="00A42C83">
        <w:t>todėl Įgyvendinimo reglamentas (ES) 2021/622 turėtų būti atitinkamai iš dalies pakeistas;</w:t>
      </w:r>
    </w:p>
    <w:p w14:paraId="1887EA7B" w14:textId="77777777" w:rsidR="00C16484" w:rsidRPr="00A42C83" w:rsidRDefault="00C16484" w:rsidP="004B4C38">
      <w:pPr>
        <w:pStyle w:val="Considrant"/>
        <w:numPr>
          <w:ilvl w:val="0"/>
          <w:numId w:val="2"/>
        </w:numPr>
        <w:rPr>
          <w:noProof/>
        </w:rPr>
      </w:pPr>
      <w:r w:rsidRPr="00A42C83">
        <w:t>šis reglamentas grindžiamas techninių įgyvendinimo standartų projektais, kuriuos EBI pateikė Komisijai,</w:t>
      </w:r>
    </w:p>
    <w:p w14:paraId="313B274F" w14:textId="77777777" w:rsidR="00C16484" w:rsidRPr="00A42C83" w:rsidRDefault="00C16484">
      <w:pPr>
        <w:pStyle w:val="Formuledadoption"/>
      </w:pPr>
      <w:r w:rsidRPr="00A42C83">
        <w:t>PRIĖMĖ ŠĮ REGLAMENTĄ:</w:t>
      </w:r>
    </w:p>
    <w:p w14:paraId="455FC522" w14:textId="77777777" w:rsidR="00C16484" w:rsidRPr="00A42C83" w:rsidRDefault="00C16484">
      <w:pPr>
        <w:pStyle w:val="Titrearticle"/>
      </w:pPr>
      <w:r w:rsidRPr="00A42C83">
        <w:t>1 straipsnis</w:t>
      </w:r>
    </w:p>
    <w:p w14:paraId="061A957A" w14:textId="77777777" w:rsidR="00C16484" w:rsidRPr="00A42C83" w:rsidRDefault="00C16484" w:rsidP="00C16484">
      <w:pPr>
        <w:rPr>
          <w:noProof/>
        </w:rPr>
      </w:pPr>
      <w:r w:rsidRPr="00A42C83">
        <w:t>Įgyvendinimo reglamentas (ES) 2021/622 iš dalies keičiamas taip:</w:t>
      </w:r>
    </w:p>
    <w:p w14:paraId="44E520EB" w14:textId="77777777" w:rsidR="00C16484" w:rsidRPr="00A42C83" w:rsidRDefault="00C16484" w:rsidP="00783A3B">
      <w:pPr>
        <w:pStyle w:val="Point0number"/>
        <w:numPr>
          <w:ilvl w:val="0"/>
          <w:numId w:val="6"/>
        </w:numPr>
        <w:rPr>
          <w:noProof/>
        </w:rPr>
      </w:pPr>
      <w:r w:rsidRPr="00A42C83">
        <w:t>2 straipsnis iš dalies keičiamas taip:</w:t>
      </w:r>
    </w:p>
    <w:p w14:paraId="252CA8AC" w14:textId="77777777" w:rsidR="00C16484" w:rsidRPr="00A42C83" w:rsidRDefault="00C16484" w:rsidP="00783A3B">
      <w:pPr>
        <w:pStyle w:val="Point1letter"/>
        <w:rPr>
          <w:noProof/>
        </w:rPr>
      </w:pPr>
      <w:r w:rsidRPr="00A42C83">
        <w:t>pavadinimas pakeičiamas taip:</w:t>
      </w:r>
    </w:p>
    <w:p w14:paraId="3D4F8508" w14:textId="77777777" w:rsidR="00C16484" w:rsidRPr="00A42C83" w:rsidRDefault="00C16484" w:rsidP="00783A3B">
      <w:pPr>
        <w:jc w:val="center"/>
        <w:rPr>
          <w:noProof/>
        </w:rPr>
      </w:pPr>
      <w:r w:rsidRPr="00A42C83">
        <w:t>„</w:t>
      </w:r>
      <w:r w:rsidRPr="00A42C83">
        <w:rPr>
          <w:b/>
        </w:rPr>
        <w:t>Supaprastinto informacijos teikimo reikalavimas įstaigoms, kurioms netaikomas MREL</w:t>
      </w:r>
      <w:r w:rsidRPr="00A42C83">
        <w:t>“;</w:t>
      </w:r>
    </w:p>
    <w:p w14:paraId="2EAF66BD" w14:textId="77777777" w:rsidR="00C16484" w:rsidRPr="00A42C83" w:rsidRDefault="00C16484" w:rsidP="00783A3B">
      <w:pPr>
        <w:pStyle w:val="Point1letter"/>
        <w:rPr>
          <w:noProof/>
        </w:rPr>
      </w:pPr>
      <w:r w:rsidRPr="00A42C83">
        <w:t>2 dalis išbraukiama;</w:t>
      </w:r>
    </w:p>
    <w:p w14:paraId="1A052A8B" w14:textId="77777777" w:rsidR="00C16484" w:rsidRPr="00A42C83" w:rsidRDefault="00C16484" w:rsidP="00783A3B">
      <w:pPr>
        <w:pStyle w:val="Point0number"/>
        <w:rPr>
          <w:noProof/>
        </w:rPr>
      </w:pPr>
      <w:r w:rsidRPr="00A42C83">
        <w:t>3 straipsnio įžanginė formuluotė pakeičiama taip:</w:t>
      </w:r>
    </w:p>
    <w:p w14:paraId="533DCDB8" w14:textId="77777777" w:rsidR="00C16484" w:rsidRPr="00A42C83" w:rsidRDefault="00C16484" w:rsidP="00783A3B">
      <w:pPr>
        <w:rPr>
          <w:noProof/>
        </w:rPr>
      </w:pPr>
      <w:r w:rsidRPr="00A42C83">
        <w:t>„Tuo atveju, kai grupėms MREL taikomas konsoliduotai pagal Direktyvos 2014/59/ES 45e straipsnį, 45f straipsnio 1 dalies trečią ir ketvirtą pastraipas ir 45f straipsnio 4 dalies b punktą, 1 ir 2 dalyse nurodytą informaciją toliau nurodytu būdu teikia šios institucijos:“;</w:t>
      </w:r>
    </w:p>
    <w:p w14:paraId="0509E0AB" w14:textId="77777777" w:rsidR="00C16484" w:rsidRPr="00A42C83" w:rsidRDefault="00C16484" w:rsidP="00783A3B">
      <w:pPr>
        <w:pStyle w:val="Point0number"/>
        <w:rPr>
          <w:noProof/>
        </w:rPr>
      </w:pPr>
      <w:r w:rsidRPr="00A42C83">
        <w:t>4 straipsnis pakeičiamas taip:</w:t>
      </w:r>
    </w:p>
    <w:p w14:paraId="66FCA4E9" w14:textId="77777777" w:rsidR="00C16484" w:rsidRPr="00A42C83" w:rsidRDefault="00D47F83" w:rsidP="00783A3B">
      <w:pPr>
        <w:pStyle w:val="Titrearticle"/>
        <w:rPr>
          <w:i w:val="0"/>
          <w:iCs/>
          <w:noProof/>
        </w:rPr>
      </w:pPr>
      <w:r w:rsidRPr="00A42C83">
        <w:t xml:space="preserve">„4 straipsnis </w:t>
      </w:r>
      <w:r w:rsidRPr="00A42C83">
        <w:br/>
      </w:r>
      <w:r w:rsidRPr="00A42C83">
        <w:rPr>
          <w:b/>
          <w:i w:val="0"/>
        </w:rPr>
        <w:t>Ataskaitiniai laikotarpiai ir informacijos pateikimo datos</w:t>
      </w:r>
    </w:p>
    <w:p w14:paraId="054F5F9B" w14:textId="77777777" w:rsidR="00C16484" w:rsidRPr="00A42C83" w:rsidRDefault="00C16484" w:rsidP="00783A3B">
      <w:pPr>
        <w:rPr>
          <w:noProof/>
        </w:rPr>
      </w:pPr>
      <w:r w:rsidRPr="00A42C83">
        <w:t>Pertvarkymo institucijos 1 ir 2 straipsniuose nurodytą informaciją perduoda taip:</w:t>
      </w:r>
    </w:p>
    <w:p w14:paraId="5113726F" w14:textId="77777777" w:rsidR="00C16484" w:rsidRPr="00A42C83" w:rsidRDefault="00C16484" w:rsidP="00783A3B">
      <w:pPr>
        <w:pStyle w:val="Point1letter"/>
        <w:rPr>
          <w:noProof/>
        </w:rPr>
      </w:pPr>
      <w:r w:rsidRPr="00A42C83">
        <w:t>apie MREL, taikomą nuo birželio 30 d., – iki tų metų rugsėjo 16 d.,</w:t>
      </w:r>
    </w:p>
    <w:p w14:paraId="7219DDD8" w14:textId="77777777" w:rsidR="00C16484" w:rsidRPr="00A42C83" w:rsidRDefault="00C16484" w:rsidP="00783A3B">
      <w:pPr>
        <w:pStyle w:val="Point1letter"/>
        <w:rPr>
          <w:noProof/>
        </w:rPr>
      </w:pPr>
      <w:r w:rsidRPr="00A42C83">
        <w:t>apie MREL, taikomą nuo gruodžio 31 d., – iki tų metų kovo 18 d.“;</w:t>
      </w:r>
    </w:p>
    <w:p w14:paraId="65609948" w14:textId="77777777" w:rsidR="00C16484" w:rsidRPr="00A42C83" w:rsidRDefault="00C16484" w:rsidP="00783A3B">
      <w:pPr>
        <w:pStyle w:val="Point0number"/>
        <w:rPr>
          <w:noProof/>
        </w:rPr>
      </w:pPr>
      <w:r w:rsidRPr="00A42C83">
        <w:t>I priedas pakeičiamas šio reglamento I priedo tekstu;</w:t>
      </w:r>
    </w:p>
    <w:p w14:paraId="45E55C10" w14:textId="77777777" w:rsidR="00C16484" w:rsidRPr="00A42C83" w:rsidRDefault="00C16484" w:rsidP="00783A3B">
      <w:pPr>
        <w:pStyle w:val="Point0number"/>
        <w:rPr>
          <w:noProof/>
        </w:rPr>
      </w:pPr>
      <w:r w:rsidRPr="00A42C83">
        <w:t>II priedas pakeičiamas šio reglamento II priedo tekstu.</w:t>
      </w:r>
    </w:p>
    <w:p w14:paraId="0B09A3CA" w14:textId="77777777" w:rsidR="00C16484" w:rsidRPr="00A42C83" w:rsidRDefault="00C16484">
      <w:pPr>
        <w:pStyle w:val="Titrearticle"/>
      </w:pPr>
      <w:r w:rsidRPr="00A42C83">
        <w:t>2 straipsnis</w:t>
      </w:r>
    </w:p>
    <w:p w14:paraId="0BDD24EC" w14:textId="77777777" w:rsidR="00C16484" w:rsidRPr="00A42C83" w:rsidRDefault="00C16484" w:rsidP="00830365">
      <w:r w:rsidRPr="00A42C83">
        <w:t xml:space="preserve">Šis reglamentas įsigalioja dvidešimtą dieną po jo paskelbimo </w:t>
      </w:r>
      <w:r w:rsidRPr="00A42C83">
        <w:rPr>
          <w:i/>
          <w:iCs/>
          <w:color w:val="000000"/>
        </w:rPr>
        <w:t>Europos Sąjungos oficialiajame leidinyje</w:t>
      </w:r>
      <w:r w:rsidRPr="00A42C83">
        <w:t>.</w:t>
      </w:r>
    </w:p>
    <w:p w14:paraId="3DDE2F7A" w14:textId="77777777" w:rsidR="00C16484" w:rsidRPr="00A42C83" w:rsidRDefault="00C16484">
      <w:pPr>
        <w:pStyle w:val="Applicationdirecte"/>
      </w:pPr>
      <w:r w:rsidRPr="00A42C83">
        <w:t>Šis reglamentas privalomas visas ir tiesiogiai taikomas visose valstybėse narėse.</w:t>
      </w:r>
    </w:p>
    <w:p w14:paraId="0FD02893" w14:textId="7389E0D5" w:rsidR="00C16484" w:rsidRPr="00A42C83" w:rsidRDefault="00A42C83" w:rsidP="00A42C83">
      <w:pPr>
        <w:pStyle w:val="Fait"/>
      </w:pPr>
      <w:r w:rsidRPr="00A42C83">
        <w:t>Priimta Briuselyje</w:t>
      </w:r>
    </w:p>
    <w:p w14:paraId="3FB14D4B" w14:textId="77777777" w:rsidR="00C16484" w:rsidRPr="00A42C83" w:rsidRDefault="00C16484" w:rsidP="00C16484">
      <w:pPr>
        <w:pStyle w:val="Institutionquisigne"/>
      </w:pPr>
      <w:r w:rsidRPr="00A42C83">
        <w:tab/>
        <w:t>Komisijos vardu</w:t>
      </w:r>
    </w:p>
    <w:p w14:paraId="0FEF1170" w14:textId="0CD182DE" w:rsidR="00C16484" w:rsidRPr="00A42C83" w:rsidRDefault="00C16484" w:rsidP="00C16484">
      <w:pPr>
        <w:pStyle w:val="Personnequisigne"/>
      </w:pPr>
      <w:r w:rsidRPr="00A42C83">
        <w:tab/>
        <w:t xml:space="preserve">Pirmininkė </w:t>
      </w:r>
      <w:r w:rsidRPr="00A42C83">
        <w:br/>
      </w:r>
      <w:r w:rsidRPr="00A42C83">
        <w:tab/>
        <w:t xml:space="preserve">Ursula von der Leyen </w:t>
      </w:r>
      <w:r w:rsidRPr="00A42C83">
        <w:br/>
      </w:r>
      <w:r w:rsidRPr="00A42C83">
        <w:tab/>
      </w:r>
    </w:p>
    <w:sectPr w:rsidR="00C16484" w:rsidRPr="00A42C83" w:rsidSect="00B47C85">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7F3AD" w14:textId="77777777" w:rsidR="003435C0" w:rsidRDefault="003435C0" w:rsidP="00C16484">
      <w:pPr>
        <w:spacing w:before="0" w:after="0"/>
      </w:pPr>
      <w:r>
        <w:separator/>
      </w:r>
    </w:p>
  </w:endnote>
  <w:endnote w:type="continuationSeparator" w:id="0">
    <w:p w14:paraId="473180CC" w14:textId="77777777" w:rsidR="003435C0" w:rsidRDefault="003435C0" w:rsidP="00C16484">
      <w:pPr>
        <w:spacing w:before="0" w:after="0"/>
      </w:pPr>
      <w:r>
        <w:continuationSeparator/>
      </w:r>
    </w:p>
  </w:endnote>
  <w:endnote w:type="continuationNotice" w:id="1">
    <w:p w14:paraId="5D33BB14" w14:textId="77777777" w:rsidR="003435C0" w:rsidRDefault="003435C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2EE0" w14:textId="229E7B9C" w:rsidR="00A42C83" w:rsidRPr="00B47C85" w:rsidRDefault="00B47C85" w:rsidP="00B47C85">
    <w:pPr>
      <w:pStyle w:val="Footer"/>
      <w:rPr>
        <w:rFonts w:ascii="Arial" w:hAnsi="Arial" w:cs="Arial"/>
        <w:b/>
        <w:sz w:val="48"/>
      </w:rPr>
    </w:pPr>
    <w:r w:rsidRPr="00B47C85">
      <w:rPr>
        <w:rFonts w:ascii="Arial" w:hAnsi="Arial" w:cs="Arial"/>
        <w:b/>
        <w:sz w:val="48"/>
      </w:rPr>
      <w:t>LT</w:t>
    </w:r>
    <w:r w:rsidRPr="00B47C85">
      <w:rPr>
        <w:rFonts w:ascii="Arial" w:hAnsi="Arial" w:cs="Arial"/>
        <w:b/>
        <w:sz w:val="48"/>
      </w:rPr>
      <w:tab/>
    </w:r>
    <w:r w:rsidRPr="00B47C85">
      <w:rPr>
        <w:rFonts w:ascii="Arial" w:hAnsi="Arial" w:cs="Arial"/>
        <w:b/>
        <w:sz w:val="48"/>
      </w:rPr>
      <w:tab/>
    </w:r>
    <w:r w:rsidRPr="00B47C85">
      <w:tab/>
    </w:r>
    <w:r w:rsidRPr="00B47C85">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7DA7" w14:textId="6DFB7EF6" w:rsidR="00A42C83" w:rsidRPr="00B47C85" w:rsidRDefault="00B47C85" w:rsidP="00B47C85">
    <w:pPr>
      <w:pStyle w:val="Footer"/>
      <w:rPr>
        <w:rFonts w:ascii="Arial" w:hAnsi="Arial" w:cs="Arial"/>
        <w:b/>
        <w:sz w:val="48"/>
      </w:rPr>
    </w:pPr>
    <w:r w:rsidRPr="00B47C85">
      <w:rPr>
        <w:rFonts w:ascii="Arial" w:hAnsi="Arial" w:cs="Arial"/>
        <w:b/>
        <w:sz w:val="48"/>
      </w:rPr>
      <w:t>LT</w:t>
    </w:r>
    <w:r w:rsidRPr="00B47C85">
      <w:rPr>
        <w:rFonts w:ascii="Arial" w:hAnsi="Arial" w:cs="Arial"/>
        <w:b/>
        <w:sz w:val="48"/>
      </w:rPr>
      <w:tab/>
    </w:r>
    <w:r w:rsidRPr="00B47C85">
      <w:rPr>
        <w:rFonts w:ascii="Arial" w:hAnsi="Arial" w:cs="Arial"/>
        <w:b/>
        <w:sz w:val="48"/>
      </w:rPr>
      <w:tab/>
    </w:r>
    <w:r w:rsidRPr="00B47C85">
      <w:tab/>
    </w:r>
    <w:r w:rsidRPr="00B47C85">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3A93" w14:textId="77777777" w:rsidR="00B47C85" w:rsidRPr="00B47C85" w:rsidRDefault="00B47C85" w:rsidP="00B47C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2728" w14:textId="77777777" w:rsidR="000C320E" w:rsidRPr="00DC5E29" w:rsidRDefault="000C320E" w:rsidP="00DC5E29">
    <w:pPr>
      <w:pStyle w:val="Footer"/>
      <w:rPr>
        <w:rFonts w:ascii="Arial" w:hAnsi="Arial" w:cs="Arial"/>
        <w:b/>
        <w:sz w:val="4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B14D8" w14:textId="3DAC5D16" w:rsidR="00B47C85" w:rsidRPr="00B47C85" w:rsidRDefault="00B47C85" w:rsidP="00B47C85">
    <w:pPr>
      <w:pStyle w:val="Footer"/>
      <w:rPr>
        <w:rFonts w:ascii="Arial" w:hAnsi="Arial" w:cs="Arial"/>
        <w:b/>
        <w:sz w:val="48"/>
      </w:rPr>
    </w:pPr>
    <w:r w:rsidRPr="00B47C85">
      <w:rPr>
        <w:rFonts w:ascii="Arial" w:hAnsi="Arial" w:cs="Arial"/>
        <w:b/>
        <w:sz w:val="48"/>
      </w:rPr>
      <w:t>LT</w:t>
    </w:r>
    <w:r w:rsidRPr="00B47C85">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47C85">
      <w:tab/>
    </w:r>
    <w:r w:rsidRPr="00B47C85">
      <w:rPr>
        <w:rFonts w:ascii="Arial" w:hAnsi="Arial" w:cs="Arial"/>
        <w:b/>
        <w:sz w:val="48"/>
      </w:rPr>
      <w:t>LT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2C19" w14:textId="77777777" w:rsidR="000C320E" w:rsidRDefault="000C320E" w:rsidP="00B47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B855A" w14:textId="77777777" w:rsidR="003435C0" w:rsidRDefault="003435C0" w:rsidP="00C16484">
      <w:pPr>
        <w:spacing w:before="0" w:after="0"/>
      </w:pPr>
      <w:r>
        <w:separator/>
      </w:r>
    </w:p>
  </w:footnote>
  <w:footnote w:type="continuationSeparator" w:id="0">
    <w:p w14:paraId="5DAD29BE" w14:textId="77777777" w:rsidR="003435C0" w:rsidRDefault="003435C0" w:rsidP="00C16484">
      <w:pPr>
        <w:spacing w:before="0" w:after="0"/>
      </w:pPr>
      <w:r>
        <w:continuationSeparator/>
      </w:r>
    </w:p>
  </w:footnote>
  <w:footnote w:type="continuationNotice" w:id="1">
    <w:p w14:paraId="18D8B0F7" w14:textId="77777777" w:rsidR="003435C0" w:rsidRDefault="003435C0">
      <w:pPr>
        <w:spacing w:before="0" w:after="0"/>
      </w:pPr>
    </w:p>
  </w:footnote>
  <w:footnote w:id="2">
    <w:p w14:paraId="33763137" w14:textId="77777777" w:rsidR="00C16484" w:rsidRPr="002A43D8" w:rsidRDefault="00C16484" w:rsidP="00C16484">
      <w:pPr>
        <w:pStyle w:val="FootnoteText"/>
      </w:pPr>
      <w:r>
        <w:rPr>
          <w:rStyle w:val="FootnoteReference"/>
        </w:rPr>
        <w:footnoteRef/>
      </w:r>
      <w:r>
        <w:tab/>
        <w:t>OL L 173, 2014 6 12, p. 190, ELI: </w:t>
      </w:r>
      <w:hyperlink r:id="rId1" w:tooltip="Prieiga prie šio dokumento suteikiama per ELI sistemoje jam suteiktą URI." w:history="1">
        <w:r>
          <w:rPr>
            <w:rStyle w:val="Hyperlink"/>
            <w:rFonts w:ascii="Times New Roman" w:hAnsi="Times New Roman"/>
          </w:rPr>
          <w:t>http://data.europa.eu/eli/dir/2014/59/oj</w:t>
        </w:r>
      </w:hyperlink>
      <w:r>
        <w:t xml:space="preserve">. </w:t>
      </w:r>
    </w:p>
  </w:footnote>
  <w:footnote w:id="3">
    <w:p w14:paraId="584AEAAA" w14:textId="78F88551" w:rsidR="003428AE" w:rsidRPr="009B0295" w:rsidRDefault="003428AE">
      <w:pPr>
        <w:pStyle w:val="FootnoteText"/>
      </w:pPr>
      <w:r>
        <w:rPr>
          <w:rStyle w:val="FootnoteReference"/>
        </w:rPr>
        <w:footnoteRef/>
      </w:r>
      <w:r>
        <w:tab/>
        <w:t xml:space="preserve">2024 m. balandžio 11 d. Europos Parlamento ir Tarybos direktyva (ES) 2024/1174, kuria iš dalies keičiama Direktyva 2014/59/ES ir Reglamentas (ES) Nr. 806/2014, kiek tai susiję su tam tikrais minimalaus nuosavų lėšų ir tinkamų įsipareigojimų reikalavimo aspektais, (OL L, 2024/1174, 2024 4 22, ELI: </w:t>
      </w:r>
      <w:hyperlink r:id="rId2" w:history="1">
        <w:r>
          <w:rPr>
            <w:rStyle w:val="Hyperlink"/>
            <w:rFonts w:ascii="Times New Roman" w:hAnsi="Times New Roman"/>
          </w:rPr>
          <w:t>http://data.europa.eu/eli/dir/2024/1174/oj</w:t>
        </w:r>
      </w:hyperlink>
      <w:r>
        <w:t xml:space="preserve">). </w:t>
      </w:r>
    </w:p>
  </w:footnote>
  <w:footnote w:id="4">
    <w:p w14:paraId="4D1953DF" w14:textId="607C22C8" w:rsidR="001F4496" w:rsidRPr="009B0295" w:rsidRDefault="001F4496">
      <w:pPr>
        <w:pStyle w:val="FootnoteText"/>
      </w:pPr>
      <w:r>
        <w:rPr>
          <w:rStyle w:val="FootnoteReference"/>
        </w:rPr>
        <w:footnoteRef/>
      </w:r>
      <w:r>
        <w:tab/>
        <w:t xml:space="preserve">2021 m. balandžio 15 d. Komisijos įgyvendinimo reglamentas (ES) 2021/622, kuriuo pagal Europos Parlamento ir Tarybos direktyvą 2014/59/ES nustatomi techniniai įgyvendinimo standartai, susiję su informacijos apie minimalų nuosavų lėšų ir tinkamų įsipareigojimų reikalavimą teikimo formomis, nurodymais ir metodika, (OL L 131, 2021 4 16, p. 123–136, ELI: </w:t>
      </w:r>
      <w:hyperlink r:id="rId3" w:history="1">
        <w:r>
          <w:rPr>
            <w:rStyle w:val="Hyperlink"/>
            <w:rFonts w:ascii="Times New Roman" w:hAnsi="Times New Roman"/>
          </w:rPr>
          <w:t>http://data.europa.eu/eli/reg_impl/2021/622/oj</w:t>
        </w:r>
      </w:hyperlink>
      <w:r>
        <w:t>).</w:t>
      </w:r>
    </w:p>
  </w:footnote>
  <w:footnote w:id="5">
    <w:p w14:paraId="5FB3833A" w14:textId="77777777" w:rsidR="000B5B60" w:rsidRPr="000B5B60" w:rsidRDefault="000B5B60">
      <w:pPr>
        <w:pStyle w:val="FootnoteText"/>
      </w:pPr>
      <w:r>
        <w:rPr>
          <w:rStyle w:val="FootnoteReference"/>
        </w:rPr>
        <w:footnoteRef/>
      </w:r>
      <w:r>
        <w:tab/>
        <w:t xml:space="preserve">2021 m. balandžio 23 d. Komisijos įgyvendinimo reglamentas (ES) 2021/763, kuriuo nustatomi Europos Parlamento ir Tarybos reglamento (ES) Nr. 575/2013 ir Europos Parlamento ir Tarybos direktyvos 2014/59/ES taikymo techniniai įgyvendinimo standartai, susiję su priežiūros ataskaitų teikimu ir viešu informacijos apie minimalų nuosavų lėšų ir tinkamų įsipareigojimų reikalavimą atskleidimu, (OL L 168, 2021 5 12, ELI: </w:t>
      </w:r>
      <w:hyperlink r:id="rId4" w:history="1">
        <w:r>
          <w:rPr>
            <w:rStyle w:val="Hyperlink"/>
            <w:rFonts w:ascii="Times New Roman" w:hAnsi="Times New Roman"/>
          </w:rPr>
          <w:t>http://data.europa.eu/eli/reg_impl/2021/763/oj</w:t>
        </w:r>
      </w:hyperlink>
      <w:r>
        <w:t>).</w:t>
      </w:r>
    </w:p>
  </w:footnote>
  <w:footnote w:id="6">
    <w:p w14:paraId="04BE3385" w14:textId="77777777" w:rsidR="00401F3A" w:rsidRPr="00FE7BD1" w:rsidRDefault="00401F3A" w:rsidP="00F35BD7">
      <w:pPr>
        <w:pStyle w:val="FootnoteText"/>
      </w:pPr>
      <w:r>
        <w:rPr>
          <w:rStyle w:val="FootnoteReference"/>
        </w:rPr>
        <w:footnoteRef/>
      </w:r>
      <w:r>
        <w:tab/>
        <w:t>2010 m. lapkričio 24 d. Europos Parlamento ir Tarybos reglamentas (ES) Nr. 1093/2010, kuriuo įsteigiama Europos priežiūros institucija (Europos bankininkystės institucija), iš dalies keičiamas Sprendimas Nr. 716/2009/EB ir panaikinamas Komisijos sprendimas 2009/78/EB, (OL L 331, 2010 12 15, p. 12, ELI: </w:t>
      </w:r>
      <w:hyperlink r:id="rId5" w:tooltip="Prieiga prie šio dokumento suteikiama per ELI sistemoje jam suteiktą URI." w:history="1">
        <w:r>
          <w:rPr>
            <w:rStyle w:val="Hyperlink"/>
            <w:rFonts w:ascii="Times New Roman" w:hAnsi="Times New Roman"/>
          </w:rPr>
          <w:t>http://data.europa.eu/eli/reg/2010/1093/oj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9B2F" w14:textId="77777777" w:rsidR="00B47C85" w:rsidRPr="00B47C85" w:rsidRDefault="00B47C85" w:rsidP="00B47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D9310" w14:textId="77777777" w:rsidR="00B47C85" w:rsidRPr="00B47C85" w:rsidRDefault="00B47C85" w:rsidP="00B47C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CE49" w14:textId="77777777" w:rsidR="00B47C85" w:rsidRPr="00B47C85" w:rsidRDefault="00B47C85" w:rsidP="00B47C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C1D2" w14:textId="77777777" w:rsidR="000C320E" w:rsidRDefault="000C32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10A3" w14:textId="77777777" w:rsidR="000C320E" w:rsidRDefault="000C3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1B8BE2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E56832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CAC290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25511920">
    <w:abstractNumId w:val="3"/>
  </w:num>
  <w:num w:numId="2" w16cid:durableId="784347441">
    <w:abstractNumId w:val="18"/>
    <w:lvlOverride w:ilvl="0">
      <w:startOverride w:val="1"/>
    </w:lvlOverride>
  </w:num>
  <w:num w:numId="3" w16cid:durableId="2119445392">
    <w:abstractNumId w:val="2"/>
  </w:num>
  <w:num w:numId="4" w16cid:durableId="1881360427">
    <w:abstractNumId w:val="1"/>
  </w:num>
  <w:num w:numId="5" w16cid:durableId="309334442">
    <w:abstractNumId w:val="0"/>
  </w:num>
  <w:num w:numId="6" w16cid:durableId="861095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9693441">
    <w:abstractNumId w:val="15"/>
  </w:num>
  <w:num w:numId="8" w16cid:durableId="1693998065">
    <w:abstractNumId w:val="8"/>
  </w:num>
  <w:num w:numId="9" w16cid:durableId="788817884">
    <w:abstractNumId w:val="17"/>
  </w:num>
  <w:num w:numId="10" w16cid:durableId="1535464848">
    <w:abstractNumId w:val="7"/>
  </w:num>
  <w:num w:numId="11" w16cid:durableId="639657071">
    <w:abstractNumId w:val="9"/>
  </w:num>
  <w:num w:numId="12" w16cid:durableId="361050661">
    <w:abstractNumId w:val="10"/>
  </w:num>
  <w:num w:numId="13" w16cid:durableId="472790552">
    <w:abstractNumId w:val="5"/>
  </w:num>
  <w:num w:numId="14" w16cid:durableId="384646725">
    <w:abstractNumId w:val="16"/>
  </w:num>
  <w:num w:numId="15" w16cid:durableId="2031682509">
    <w:abstractNumId w:val="4"/>
  </w:num>
  <w:num w:numId="16" w16cid:durableId="150604668">
    <w:abstractNumId w:val="11"/>
  </w:num>
  <w:num w:numId="17" w16cid:durableId="472332852">
    <w:abstractNumId w:val="13"/>
  </w:num>
  <w:num w:numId="18" w16cid:durableId="1298296966">
    <w:abstractNumId w:val="14"/>
  </w:num>
  <w:num w:numId="19" w16cid:durableId="1306230484">
    <w:abstractNumId w:val="6"/>
  </w:num>
  <w:num w:numId="20" w16cid:durableId="24066917">
    <w:abstractNumId w:val="12"/>
  </w:num>
  <w:num w:numId="21" w16cid:durableId="485436588">
    <w:abstractNumId w:val="18"/>
  </w:num>
  <w:num w:numId="22" w16cid:durableId="2089693441">
    <w:abstractNumId w:val="15"/>
  </w:num>
  <w:num w:numId="23" w16cid:durableId="1693998065">
    <w:abstractNumId w:val="8"/>
  </w:num>
  <w:num w:numId="24" w16cid:durableId="788817884">
    <w:abstractNumId w:val="17"/>
  </w:num>
  <w:num w:numId="25" w16cid:durableId="1535464848">
    <w:abstractNumId w:val="7"/>
  </w:num>
  <w:num w:numId="26" w16cid:durableId="639657071">
    <w:abstractNumId w:val="9"/>
  </w:num>
  <w:num w:numId="27" w16cid:durableId="361050661">
    <w:abstractNumId w:val="10"/>
  </w:num>
  <w:num w:numId="28" w16cid:durableId="472790552">
    <w:abstractNumId w:val="5"/>
  </w:num>
  <w:num w:numId="29" w16cid:durableId="384646725">
    <w:abstractNumId w:val="16"/>
  </w:num>
  <w:num w:numId="30" w16cid:durableId="2031682509">
    <w:abstractNumId w:val="4"/>
  </w:num>
  <w:num w:numId="31" w16cid:durableId="150604668">
    <w:abstractNumId w:val="11"/>
  </w:num>
  <w:num w:numId="32" w16cid:durableId="472332852">
    <w:abstractNumId w:val="13"/>
  </w:num>
  <w:num w:numId="33" w16cid:durableId="1298296966">
    <w:abstractNumId w:val="14"/>
  </w:num>
  <w:num w:numId="34" w16cid:durableId="1306230484">
    <w:abstractNumId w:val="6"/>
  </w:num>
  <w:num w:numId="35" w16cid:durableId="24066917">
    <w:abstractNumId w:val="12"/>
  </w:num>
  <w:num w:numId="36" w16cid:durableId="48543658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QCDateTime" w:val="2026-02-02 16:33:0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864C6E69-FFE5-429F-9D24-6B9C59444A3A"/>
    <w:docVar w:name="LW_COVERPAGE_TYPE" w:val="1"/>
    <w:docVar w:name="LW_CreatedUtc" w:val="2025-09-04T16:00:38.0896335Z"/>
    <w:docVar w:name="LW_CROSSREFERENCE" w:val="&lt;UNUSED&gt;"/>
    <w:docVar w:name="LW_DATE.ADOPT.CP" w:val="XXX"/>
    <w:docVar w:name="LW_DATE.ADOPT.CP_DATEFORMAT" w:val="%DATE%"/>
    <w:docVar w:name="LW_DATE.ADOPT.CP_ISODATE" w:val="&lt;EMPTY&gt;"/>
    <w:docVar w:name="LW_DocType" w:val="COM"/>
    <w:docVar w:name="LW_EMISSION" w:val="&lt;EMPTY&gt;"/>
    <w:docVar w:name="LW_EMISSION_ISODATE" w:val="&lt;EMPTY&gt;"/>
    <w:docVar w:name="LW_EMISSION_LOCATION" w:val="BRX"/>
    <w:docVar w:name="LW_EMISSION_PREFIX" w:val="Briuselis, "/>
    <w:docVar w:name="LW_EMISSION_SUFFIX" w:val=" "/>
    <w:docVar w:name="LW_ID_DOCMODEL" w:val="SJ-004"/>
    <w:docVar w:name="LW_ID_DOCSIGNATURE" w:val="SJ-004"/>
    <w:docVar w:name="LW_ID_DOCSTRUCTURE" w:val="COM/AA"/>
    <w:docVar w:name="LW_ID_DOCTYPE" w:val="SJ-004"/>
    <w:docVar w:name="LW_INTERETEEE.CP" w:val="(Tekstas svarbus EEE)"/>
    <w:docVar w:name="LW_LANGUE" w:val="LT"/>
    <w:docVar w:name="LW_LANGUESFAISANTFOI.CP" w:val="&lt;UNUSED&gt;"/>
    <w:docVar w:name="LW_LEVEL_OF_SENSITIVITY" w:val="Standard treatment"/>
    <w:docVar w:name="LW_NOM.INST" w:val="EUROPOS KOMISIJA"/>
    <w:docVar w:name="LW_NOM.INST_JOINTDOC" w:val="&lt;EMPTY&gt;"/>
    <w:docVar w:name="LW_PART_NBR" w:val="1"/>
    <w:docVar w:name="LW_PART_NBR_TOTAL" w:val="1"/>
    <w:docVar w:name="LW_REF.INST.NEW" w:val="&lt;EMPTY&gt;"/>
    <w:docVar w:name="LW_REF.INST.NEW_ADOPTED" w:val="draft"/>
    <w:docVar w:name="LW_REF.INST.NEW_TEXT" w:val="(2026)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kuriuo d\u279?l informacijos teikimo da\u382?numo ir turinio i\u353? dalies kei\u269?iami \u302?gyvendinimo reglamente (ES) 2021/622 nustatyti techniniai \u303?gyvendinimo standartai"/>
    <w:docVar w:name="LW_TYPE.DOC.CP" w:val="KOMISIJOS \u302?GYVENDINIMO REGLAMENTAS (ES) \u8230?/..."/>
  </w:docVars>
  <w:rsids>
    <w:rsidRoot w:val="00C16484"/>
    <w:rsid w:val="00000BE0"/>
    <w:rsid w:val="00016399"/>
    <w:rsid w:val="000417C4"/>
    <w:rsid w:val="00045B9F"/>
    <w:rsid w:val="000625FB"/>
    <w:rsid w:val="00075947"/>
    <w:rsid w:val="000A663E"/>
    <w:rsid w:val="000B5B60"/>
    <w:rsid w:val="000B7A7D"/>
    <w:rsid w:val="000C320E"/>
    <w:rsid w:val="000D3BC2"/>
    <w:rsid w:val="000E5499"/>
    <w:rsid w:val="00115188"/>
    <w:rsid w:val="001151E7"/>
    <w:rsid w:val="00125199"/>
    <w:rsid w:val="0013305B"/>
    <w:rsid w:val="00143ED4"/>
    <w:rsid w:val="00152894"/>
    <w:rsid w:val="0017762B"/>
    <w:rsid w:val="0018141D"/>
    <w:rsid w:val="001A25E7"/>
    <w:rsid w:val="001A6BDC"/>
    <w:rsid w:val="001E3098"/>
    <w:rsid w:val="001E39BF"/>
    <w:rsid w:val="001F2AC0"/>
    <w:rsid w:val="001F4496"/>
    <w:rsid w:val="00214607"/>
    <w:rsid w:val="002259CF"/>
    <w:rsid w:val="002266B1"/>
    <w:rsid w:val="00235A60"/>
    <w:rsid w:val="00244085"/>
    <w:rsid w:val="00244C17"/>
    <w:rsid w:val="00244DFD"/>
    <w:rsid w:val="00246E59"/>
    <w:rsid w:val="00264589"/>
    <w:rsid w:val="0029415E"/>
    <w:rsid w:val="002A43D8"/>
    <w:rsid w:val="002A753D"/>
    <w:rsid w:val="002B2CA9"/>
    <w:rsid w:val="002B37B6"/>
    <w:rsid w:val="002D6B17"/>
    <w:rsid w:val="002E424E"/>
    <w:rsid w:val="002F1710"/>
    <w:rsid w:val="0030490D"/>
    <w:rsid w:val="00313AC1"/>
    <w:rsid w:val="00325B37"/>
    <w:rsid w:val="00331377"/>
    <w:rsid w:val="00332D7D"/>
    <w:rsid w:val="003428AE"/>
    <w:rsid w:val="003435C0"/>
    <w:rsid w:val="00347E23"/>
    <w:rsid w:val="00353536"/>
    <w:rsid w:val="00364262"/>
    <w:rsid w:val="00373FC4"/>
    <w:rsid w:val="0038290C"/>
    <w:rsid w:val="003838B9"/>
    <w:rsid w:val="00396ACD"/>
    <w:rsid w:val="003B10ED"/>
    <w:rsid w:val="003E05B8"/>
    <w:rsid w:val="003E3FC7"/>
    <w:rsid w:val="003E7D8F"/>
    <w:rsid w:val="003F2A70"/>
    <w:rsid w:val="00401F3A"/>
    <w:rsid w:val="00406CBA"/>
    <w:rsid w:val="004138D9"/>
    <w:rsid w:val="004211F5"/>
    <w:rsid w:val="0042702A"/>
    <w:rsid w:val="00437AA5"/>
    <w:rsid w:val="004518ED"/>
    <w:rsid w:val="00485F6A"/>
    <w:rsid w:val="004918DE"/>
    <w:rsid w:val="00492396"/>
    <w:rsid w:val="004B4C38"/>
    <w:rsid w:val="004D7D54"/>
    <w:rsid w:val="004E19F9"/>
    <w:rsid w:val="004E763F"/>
    <w:rsid w:val="004F04FA"/>
    <w:rsid w:val="004F588A"/>
    <w:rsid w:val="004F6513"/>
    <w:rsid w:val="00506B49"/>
    <w:rsid w:val="00507FF2"/>
    <w:rsid w:val="00517205"/>
    <w:rsid w:val="0052508D"/>
    <w:rsid w:val="00534D3A"/>
    <w:rsid w:val="0054013D"/>
    <w:rsid w:val="00542487"/>
    <w:rsid w:val="00557EAF"/>
    <w:rsid w:val="00582810"/>
    <w:rsid w:val="0058683E"/>
    <w:rsid w:val="005929F6"/>
    <w:rsid w:val="00593EEC"/>
    <w:rsid w:val="00595540"/>
    <w:rsid w:val="005A5382"/>
    <w:rsid w:val="005A55F3"/>
    <w:rsid w:val="005B5FA6"/>
    <w:rsid w:val="005C1F43"/>
    <w:rsid w:val="005D1478"/>
    <w:rsid w:val="005D2C73"/>
    <w:rsid w:val="005D6AA6"/>
    <w:rsid w:val="005E2634"/>
    <w:rsid w:val="005F2B9A"/>
    <w:rsid w:val="00603E01"/>
    <w:rsid w:val="0061453F"/>
    <w:rsid w:val="00642760"/>
    <w:rsid w:val="00643DEF"/>
    <w:rsid w:val="006654AB"/>
    <w:rsid w:val="00666B3C"/>
    <w:rsid w:val="00667F1D"/>
    <w:rsid w:val="006700C7"/>
    <w:rsid w:val="00685D33"/>
    <w:rsid w:val="006D3FD5"/>
    <w:rsid w:val="006D6949"/>
    <w:rsid w:val="006F20E7"/>
    <w:rsid w:val="006F7EFE"/>
    <w:rsid w:val="007142D9"/>
    <w:rsid w:val="00752552"/>
    <w:rsid w:val="007638EF"/>
    <w:rsid w:val="00763F6E"/>
    <w:rsid w:val="00781585"/>
    <w:rsid w:val="00783A3B"/>
    <w:rsid w:val="007878CB"/>
    <w:rsid w:val="00787E7C"/>
    <w:rsid w:val="0079599D"/>
    <w:rsid w:val="007A7287"/>
    <w:rsid w:val="007D0861"/>
    <w:rsid w:val="007D3D95"/>
    <w:rsid w:val="007E010B"/>
    <w:rsid w:val="007F2E65"/>
    <w:rsid w:val="007F5C7C"/>
    <w:rsid w:val="00801EB4"/>
    <w:rsid w:val="00802FC2"/>
    <w:rsid w:val="00817121"/>
    <w:rsid w:val="00830365"/>
    <w:rsid w:val="00833B73"/>
    <w:rsid w:val="00843817"/>
    <w:rsid w:val="008460B7"/>
    <w:rsid w:val="00847915"/>
    <w:rsid w:val="008601F7"/>
    <w:rsid w:val="00861270"/>
    <w:rsid w:val="00874305"/>
    <w:rsid w:val="00880A77"/>
    <w:rsid w:val="00897749"/>
    <w:rsid w:val="008A3F6C"/>
    <w:rsid w:val="008B07C8"/>
    <w:rsid w:val="008B3C68"/>
    <w:rsid w:val="008B6AF9"/>
    <w:rsid w:val="008D3EC5"/>
    <w:rsid w:val="008D4062"/>
    <w:rsid w:val="008E2694"/>
    <w:rsid w:val="008E2E76"/>
    <w:rsid w:val="008F234A"/>
    <w:rsid w:val="00902ADE"/>
    <w:rsid w:val="00910118"/>
    <w:rsid w:val="00917A1D"/>
    <w:rsid w:val="00940731"/>
    <w:rsid w:val="009430FB"/>
    <w:rsid w:val="00943538"/>
    <w:rsid w:val="0094527F"/>
    <w:rsid w:val="009526D5"/>
    <w:rsid w:val="0095347B"/>
    <w:rsid w:val="00962953"/>
    <w:rsid w:val="00964D55"/>
    <w:rsid w:val="00980CC9"/>
    <w:rsid w:val="009957C5"/>
    <w:rsid w:val="009A4095"/>
    <w:rsid w:val="009B0295"/>
    <w:rsid w:val="009C1E02"/>
    <w:rsid w:val="009D2368"/>
    <w:rsid w:val="009D5F8B"/>
    <w:rsid w:val="009F3A7A"/>
    <w:rsid w:val="00A03DA8"/>
    <w:rsid w:val="00A05FAB"/>
    <w:rsid w:val="00A24E3D"/>
    <w:rsid w:val="00A37D2E"/>
    <w:rsid w:val="00A4162C"/>
    <w:rsid w:val="00A41677"/>
    <w:rsid w:val="00A42C83"/>
    <w:rsid w:val="00A54A8C"/>
    <w:rsid w:val="00A564DC"/>
    <w:rsid w:val="00A565C7"/>
    <w:rsid w:val="00A719DF"/>
    <w:rsid w:val="00A7647B"/>
    <w:rsid w:val="00AA038B"/>
    <w:rsid w:val="00AB034D"/>
    <w:rsid w:val="00AC6B16"/>
    <w:rsid w:val="00AD5257"/>
    <w:rsid w:val="00AE4482"/>
    <w:rsid w:val="00B01072"/>
    <w:rsid w:val="00B136EC"/>
    <w:rsid w:val="00B14B01"/>
    <w:rsid w:val="00B43EBD"/>
    <w:rsid w:val="00B47C85"/>
    <w:rsid w:val="00B65FB3"/>
    <w:rsid w:val="00B66E09"/>
    <w:rsid w:val="00B95D78"/>
    <w:rsid w:val="00B97308"/>
    <w:rsid w:val="00BB3BEC"/>
    <w:rsid w:val="00BD02BB"/>
    <w:rsid w:val="00BD3885"/>
    <w:rsid w:val="00BD66E4"/>
    <w:rsid w:val="00C059B6"/>
    <w:rsid w:val="00C10CA6"/>
    <w:rsid w:val="00C11798"/>
    <w:rsid w:val="00C16484"/>
    <w:rsid w:val="00C21AB2"/>
    <w:rsid w:val="00C27976"/>
    <w:rsid w:val="00C3731F"/>
    <w:rsid w:val="00C62388"/>
    <w:rsid w:val="00C63550"/>
    <w:rsid w:val="00C637B0"/>
    <w:rsid w:val="00C64CCC"/>
    <w:rsid w:val="00C87FB3"/>
    <w:rsid w:val="00C9384A"/>
    <w:rsid w:val="00C9629C"/>
    <w:rsid w:val="00C96395"/>
    <w:rsid w:val="00C96A56"/>
    <w:rsid w:val="00CA156D"/>
    <w:rsid w:val="00CA57DA"/>
    <w:rsid w:val="00CA7FE1"/>
    <w:rsid w:val="00CC58EB"/>
    <w:rsid w:val="00CE1382"/>
    <w:rsid w:val="00D02FAD"/>
    <w:rsid w:val="00D0530E"/>
    <w:rsid w:val="00D05DED"/>
    <w:rsid w:val="00D206AC"/>
    <w:rsid w:val="00D47F83"/>
    <w:rsid w:val="00D5454C"/>
    <w:rsid w:val="00D55CE9"/>
    <w:rsid w:val="00D564F7"/>
    <w:rsid w:val="00D72038"/>
    <w:rsid w:val="00D763BC"/>
    <w:rsid w:val="00D872A1"/>
    <w:rsid w:val="00D93F2F"/>
    <w:rsid w:val="00D966E8"/>
    <w:rsid w:val="00DB4B20"/>
    <w:rsid w:val="00DC3AD5"/>
    <w:rsid w:val="00DC5E29"/>
    <w:rsid w:val="00DD4285"/>
    <w:rsid w:val="00DF1FB9"/>
    <w:rsid w:val="00DF36A6"/>
    <w:rsid w:val="00E07235"/>
    <w:rsid w:val="00E23B80"/>
    <w:rsid w:val="00E25A5F"/>
    <w:rsid w:val="00E32BAC"/>
    <w:rsid w:val="00E33C9F"/>
    <w:rsid w:val="00E36D1F"/>
    <w:rsid w:val="00E42E7E"/>
    <w:rsid w:val="00E43152"/>
    <w:rsid w:val="00E50E5B"/>
    <w:rsid w:val="00E667BA"/>
    <w:rsid w:val="00E7044F"/>
    <w:rsid w:val="00E82B0B"/>
    <w:rsid w:val="00E873DD"/>
    <w:rsid w:val="00E932C3"/>
    <w:rsid w:val="00E979AB"/>
    <w:rsid w:val="00EB3279"/>
    <w:rsid w:val="00EC332E"/>
    <w:rsid w:val="00EC39BC"/>
    <w:rsid w:val="00EE0749"/>
    <w:rsid w:val="00EE140B"/>
    <w:rsid w:val="00EE441C"/>
    <w:rsid w:val="00EE54B9"/>
    <w:rsid w:val="00F07F26"/>
    <w:rsid w:val="00F25566"/>
    <w:rsid w:val="00F35BD7"/>
    <w:rsid w:val="00F36982"/>
    <w:rsid w:val="00F41DDB"/>
    <w:rsid w:val="00F629AC"/>
    <w:rsid w:val="00F9249D"/>
    <w:rsid w:val="00F95ED9"/>
    <w:rsid w:val="00FA0BAF"/>
    <w:rsid w:val="00FA382E"/>
    <w:rsid w:val="00FA715C"/>
    <w:rsid w:val="00FB22DB"/>
    <w:rsid w:val="00FC2396"/>
    <w:rsid w:val="00FC5252"/>
    <w:rsid w:val="00FD060F"/>
    <w:rsid w:val="00FD1723"/>
    <w:rsid w:val="00FD5032"/>
    <w:rsid w:val="00FE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8EC4F20"/>
  <w15:docId w15:val="{EDD646E4-8E0C-487A-842A-DA74770F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16484"/>
    <w:pPr>
      <w:numPr>
        <w:numId w:val="1"/>
      </w:numPr>
      <w:tabs>
        <w:tab w:val="clear" w:pos="360"/>
      </w:tabs>
      <w:ind w:left="0" w:firstLine="0"/>
    </w:pPr>
    <w:rPr>
      <w:rFonts w:eastAsia="Times New Roman"/>
      <w:lang w:eastAsia="en-GB"/>
    </w:rPr>
  </w:style>
  <w:style w:type="character" w:styleId="Hyperlink">
    <w:name w:val="Hyperlink"/>
    <w:basedOn w:val="DefaultParagraphFont"/>
    <w:uiPriority w:val="99"/>
    <w:rsid w:val="00C16484"/>
    <w:rPr>
      <w:rFonts w:asciiTheme="majorHAnsi" w:hAnsiTheme="majorHAnsi"/>
      <w:color w:val="F79646" w:themeColor="accent6"/>
      <w:u w:val="single"/>
    </w:rPr>
  </w:style>
  <w:style w:type="numbering" w:customStyle="1" w:styleId="LFO29">
    <w:name w:val="LFO29"/>
    <w:basedOn w:val="NoList"/>
    <w:rsid w:val="00C16484"/>
  </w:style>
  <w:style w:type="paragraph" w:styleId="ListBullet2">
    <w:name w:val="List Bullet 2"/>
    <w:basedOn w:val="Normal"/>
    <w:uiPriority w:val="99"/>
    <w:semiHidden/>
    <w:unhideWhenUsed/>
    <w:rsid w:val="00F9249D"/>
    <w:pPr>
      <w:numPr>
        <w:numId w:val="3"/>
      </w:numPr>
      <w:contextualSpacing/>
    </w:pPr>
  </w:style>
  <w:style w:type="paragraph" w:styleId="ListBullet3">
    <w:name w:val="List Bullet 3"/>
    <w:basedOn w:val="Normal"/>
    <w:uiPriority w:val="99"/>
    <w:semiHidden/>
    <w:unhideWhenUsed/>
    <w:rsid w:val="00F9249D"/>
    <w:pPr>
      <w:numPr>
        <w:numId w:val="4"/>
      </w:numPr>
      <w:contextualSpacing/>
    </w:pPr>
  </w:style>
  <w:style w:type="paragraph" w:styleId="ListBullet4">
    <w:name w:val="List Bullet 4"/>
    <w:basedOn w:val="Normal"/>
    <w:uiPriority w:val="99"/>
    <w:semiHidden/>
    <w:unhideWhenUsed/>
    <w:rsid w:val="00F9249D"/>
    <w:pPr>
      <w:numPr>
        <w:numId w:val="5"/>
      </w:numPr>
      <w:contextualSpacing/>
    </w:pPr>
  </w:style>
  <w:style w:type="character" w:styleId="CommentReference">
    <w:name w:val="annotation reference"/>
    <w:basedOn w:val="DefaultParagraphFont"/>
    <w:uiPriority w:val="99"/>
    <w:semiHidden/>
    <w:unhideWhenUsed/>
    <w:rsid w:val="008A3F6C"/>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lt-LT"/>
    </w:rPr>
  </w:style>
  <w:style w:type="paragraph" w:styleId="Revision">
    <w:name w:val="Revision"/>
    <w:hidden/>
    <w:uiPriority w:val="99"/>
    <w:semiHidden/>
    <w:rsid w:val="005929F6"/>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CA7FE1"/>
    <w:rPr>
      <w:b/>
      <w:bCs/>
    </w:rPr>
  </w:style>
  <w:style w:type="character" w:customStyle="1" w:styleId="CommentSubjectChar">
    <w:name w:val="Comment Subject Char"/>
    <w:basedOn w:val="CommentTextChar"/>
    <w:link w:val="CommentSubject"/>
    <w:uiPriority w:val="99"/>
    <w:semiHidden/>
    <w:rsid w:val="00CA7FE1"/>
    <w:rPr>
      <w:rFonts w:ascii="Times New Roman" w:hAnsi="Times New Roman" w:cs="Times New Roman"/>
      <w:b/>
      <w:bCs/>
      <w:sz w:val="20"/>
      <w:szCs w:val="20"/>
      <w:lang w:val="lt-LT"/>
    </w:rPr>
  </w:style>
  <w:style w:type="paragraph" w:styleId="NormalWeb">
    <w:name w:val="Normal (Web)"/>
    <w:basedOn w:val="Normal"/>
    <w:uiPriority w:val="99"/>
    <w:semiHidden/>
    <w:unhideWhenUsed/>
    <w:rsid w:val="00373FC4"/>
    <w:rPr>
      <w:szCs w:val="24"/>
    </w:rPr>
  </w:style>
  <w:style w:type="character" w:styleId="UnresolvedMention">
    <w:name w:val="Unresolved Mention"/>
    <w:basedOn w:val="DefaultParagraphFont"/>
    <w:uiPriority w:val="99"/>
    <w:semiHidden/>
    <w:unhideWhenUsed/>
    <w:rsid w:val="00373FC4"/>
    <w:rPr>
      <w:color w:val="605E5C"/>
      <w:shd w:val="clear" w:color="auto" w:fill="E1DFDD"/>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2176">
      <w:bodyDiv w:val="1"/>
      <w:marLeft w:val="0"/>
      <w:marRight w:val="0"/>
      <w:marTop w:val="0"/>
      <w:marBottom w:val="0"/>
      <w:divBdr>
        <w:top w:val="none" w:sz="0" w:space="0" w:color="auto"/>
        <w:left w:val="none" w:sz="0" w:space="0" w:color="auto"/>
        <w:bottom w:val="none" w:sz="0" w:space="0" w:color="auto"/>
        <w:right w:val="none" w:sz="0" w:space="0" w:color="auto"/>
      </w:divBdr>
      <w:divsChild>
        <w:div w:id="1504860669">
          <w:marLeft w:val="0"/>
          <w:marRight w:val="0"/>
          <w:marTop w:val="0"/>
          <w:marBottom w:val="0"/>
          <w:divBdr>
            <w:top w:val="none" w:sz="0" w:space="0" w:color="auto"/>
            <w:left w:val="none" w:sz="0" w:space="0" w:color="auto"/>
            <w:bottom w:val="none" w:sz="0" w:space="0" w:color="auto"/>
            <w:right w:val="none" w:sz="0" w:space="0" w:color="auto"/>
          </w:divBdr>
          <w:divsChild>
            <w:div w:id="20509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02523">
      <w:bodyDiv w:val="1"/>
      <w:marLeft w:val="0"/>
      <w:marRight w:val="0"/>
      <w:marTop w:val="0"/>
      <w:marBottom w:val="0"/>
      <w:divBdr>
        <w:top w:val="none" w:sz="0" w:space="0" w:color="auto"/>
        <w:left w:val="none" w:sz="0" w:space="0" w:color="auto"/>
        <w:bottom w:val="none" w:sz="0" w:space="0" w:color="auto"/>
        <w:right w:val="none" w:sz="0" w:space="0" w:color="auto"/>
      </w:divBdr>
    </w:div>
    <w:div w:id="2009358183">
      <w:bodyDiv w:val="1"/>
      <w:marLeft w:val="0"/>
      <w:marRight w:val="0"/>
      <w:marTop w:val="0"/>
      <w:marBottom w:val="0"/>
      <w:divBdr>
        <w:top w:val="none" w:sz="0" w:space="0" w:color="auto"/>
        <w:left w:val="none" w:sz="0" w:space="0" w:color="auto"/>
        <w:bottom w:val="none" w:sz="0" w:space="0" w:color="auto"/>
        <w:right w:val="none" w:sz="0" w:space="0" w:color="auto"/>
      </w:divBdr>
    </w:div>
    <w:div w:id="2089576247">
      <w:bodyDiv w:val="1"/>
      <w:marLeft w:val="0"/>
      <w:marRight w:val="0"/>
      <w:marTop w:val="0"/>
      <w:marBottom w:val="0"/>
      <w:divBdr>
        <w:top w:val="none" w:sz="0" w:space="0" w:color="auto"/>
        <w:left w:val="none" w:sz="0" w:space="0" w:color="auto"/>
        <w:bottom w:val="none" w:sz="0" w:space="0" w:color="auto"/>
        <w:right w:val="none" w:sz="0" w:space="0" w:color="auto"/>
      </w:divBdr>
      <w:divsChild>
        <w:div w:id="1220244498">
          <w:marLeft w:val="0"/>
          <w:marRight w:val="0"/>
          <w:marTop w:val="0"/>
          <w:marBottom w:val="0"/>
          <w:divBdr>
            <w:top w:val="none" w:sz="0" w:space="0" w:color="auto"/>
            <w:left w:val="none" w:sz="0" w:space="0" w:color="auto"/>
            <w:bottom w:val="none" w:sz="0" w:space="0" w:color="auto"/>
            <w:right w:val="none" w:sz="0" w:space="0" w:color="auto"/>
          </w:divBdr>
          <w:divsChild>
            <w:div w:id="861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_impl/2021/622/oj" TargetMode="External"/><Relationship Id="rId2" Type="http://schemas.openxmlformats.org/officeDocument/2006/relationships/hyperlink" Target="http://data.europa.eu/eli/dir/2024/1174/oj" TargetMode="External"/><Relationship Id="rId1" Type="http://schemas.openxmlformats.org/officeDocument/2006/relationships/hyperlink" Target="http://data.europa.eu/eli/dir/2014/59/oj" TargetMode="External"/><Relationship Id="rId5" Type="http://schemas.openxmlformats.org/officeDocument/2006/relationships/hyperlink" Target="http://data.europa.eu/eli/reg/2010/1093/oj" TargetMode="External"/><Relationship Id="rId4" Type="http://schemas.openxmlformats.org/officeDocument/2006/relationships/hyperlink" Target="http://data.europa.eu/eli/reg_impl/2021/763/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b8f93157aac40d6a7319473491243df0">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c8488e7b63ff9a6a107f3024ce322df4"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89B0AD-1837-436D-8ABC-63303F7E4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BD7AB-07EA-4D67-A4B9-4D33FF7955F7}">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3.xml><?xml version="1.0" encoding="utf-8"?>
<ds:datastoreItem xmlns:ds="http://schemas.openxmlformats.org/officeDocument/2006/customXml" ds:itemID="{F14AF581-33E3-408E-95CD-709B93E99837}">
  <ds:schemaRefs>
    <ds:schemaRef ds:uri="http://schemas.openxmlformats.org/officeDocument/2006/bibliography"/>
  </ds:schemaRefs>
</ds:datastoreItem>
</file>

<file path=customXml/itemProps4.xml><?xml version="1.0" encoding="utf-8"?>
<ds:datastoreItem xmlns:ds="http://schemas.openxmlformats.org/officeDocument/2006/customXml" ds:itemID="{9FB74AB9-05CF-4E22-8B2B-667D523C417F}">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COM.dotm</Template>
  <TotalTime>43</TotalTime>
  <Pages>3</Pages>
  <Words>709</Words>
  <Characters>4759</Characters>
  <Application>Microsoft Office Word</Application>
  <DocSecurity>0</DocSecurity>
  <Lines>89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Links>
    <vt:vector size="12" baseType="variant">
      <vt:variant>
        <vt:i4>6291564</vt:i4>
      </vt:variant>
      <vt:variant>
        <vt:i4>3</vt:i4>
      </vt:variant>
      <vt:variant>
        <vt:i4>0</vt:i4>
      </vt:variant>
      <vt:variant>
        <vt:i4>5</vt:i4>
      </vt:variant>
      <vt:variant>
        <vt:lpwstr>http://data.europa.eu/eli/reg/2010/1093/oj</vt:lpwstr>
      </vt:variant>
      <vt:variant>
        <vt:lpwstr/>
      </vt:variant>
      <vt:variant>
        <vt:i4>5570645</vt:i4>
      </vt:variant>
      <vt:variant>
        <vt:i4>0</vt:i4>
      </vt:variant>
      <vt:variant>
        <vt:i4>0</vt:i4>
      </vt:variant>
      <vt:variant>
        <vt:i4>5</vt:i4>
      </vt:variant>
      <vt:variant>
        <vt:lpwstr>http://data.europa.eu/eli/dir/2014/59/oj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DQC</dc:creator>
  <cp:keywords/>
  <dc:description/>
  <cp:lastModifiedBy>VAITUKAITYTE Vita (DGT)</cp:lastModifiedBy>
  <cp:revision>29</cp:revision>
  <dcterms:created xsi:type="dcterms:W3CDTF">2025-12-05T16:19:00Z</dcterms:created>
  <dcterms:modified xsi:type="dcterms:W3CDTF">2026-02-02T15:33:00Z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8.0.19.5</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GrammarlyDocumentId">
    <vt:lpwstr>45e7adda-2841-4732-9409-07daf4dd17e0</vt:lpwstr>
  </property>
  <property fmtid="{D5CDD505-2E9C-101B-9397-08002B2CF9AE}" pid="11" name="ClassificationContentMarkingHeaderShapeIds">
    <vt:lpwstr>5bd6ffca,36e22233,44991716</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MSIP_Label_6bd9ddd1-4d20-43f6-abfa-fc3c07406f94_Enabled">
    <vt:lpwstr>true</vt:lpwstr>
  </property>
  <property fmtid="{D5CDD505-2E9C-101B-9397-08002B2CF9AE}" pid="15" name="MSIP_Label_6bd9ddd1-4d20-43f6-abfa-fc3c07406f94_SetDate">
    <vt:lpwstr>2025-09-22T07:42:43Z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0c5e0d5a-b50c-4aad-8ac2-d3eb4c37e92e</vt:lpwstr>
  </property>
  <property fmtid="{D5CDD505-2E9C-101B-9397-08002B2CF9AE}" pid="20" name="MSIP_Label_6bd9ddd1-4d20-43f6-abfa-fc3c07406f94_ContentBits">
    <vt:lpwstr>0</vt:lpwstr>
  </property>
  <property fmtid="{D5CDD505-2E9C-101B-9397-08002B2CF9AE}" pid="21" name="MSIP_Label_6bd9ddd1-4d20-43f6-abfa-fc3c07406f94_Tag">
    <vt:lpwstr>10, 3, 0, 1</vt:lpwstr>
  </property>
  <property fmtid="{D5CDD505-2E9C-101B-9397-08002B2CF9AE}" pid="22" name="ContentTypeId">
    <vt:lpwstr>0x010100BAD999D84E12C74482EA5120F5227F6F00217DECAAC21D6B43958DFE68658C192E</vt:lpwstr>
  </property>
  <property fmtid="{D5CDD505-2E9C-101B-9397-08002B2CF9AE}" pid="23" name="MediaServiceImageTags">
    <vt:lpwstr/>
  </property>
  <property fmtid="{D5CDD505-2E9C-101B-9397-08002B2CF9AE}" pid="24" name="DQCStatus">
    <vt:lpwstr>Green (DQC version 03)</vt:lpwstr>
  </property>
</Properties>
</file>