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1BF8" w14:textId="151102CD" w:rsidR="004E763F" w:rsidRPr="00FC0C7B" w:rsidRDefault="00230F4F" w:rsidP="00FC0C7B">
      <w:pPr>
        <w:pStyle w:val="Pagedecouverture"/>
      </w:pPr>
      <w:r>
        <w:pict w14:anchorId="599B56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38E68A71-60A1-49F3-8385-4AA15DCFB81B" style="width:455.25pt;height:345.75pt">
            <v:imagedata r:id="rId11" o:title=""/>
          </v:shape>
        </w:pict>
      </w:r>
    </w:p>
    <w:p w14:paraId="1986B6EA" w14:textId="77777777" w:rsidR="00CE1382" w:rsidRPr="00FC0C7B" w:rsidRDefault="00CE1382" w:rsidP="003838B9">
      <w:pPr>
        <w:sectPr w:rsidR="00CE1382" w:rsidRPr="00FC0C7B" w:rsidSect="00B956B7">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ADCEA6B" w14:textId="062F3953" w:rsidR="00C16484" w:rsidRPr="00FC0C7B" w:rsidRDefault="00FC0C7B" w:rsidP="00813837">
      <w:pPr>
        <w:pStyle w:val="Typedudocument"/>
      </w:pPr>
      <w:r>
        <w:lastRenderedPageBreak/>
        <w:t>DURCHFÜHRUNGSVERORDNUNG (EU) .../... DER KOMMISSION</w:t>
      </w:r>
    </w:p>
    <w:p w14:paraId="6819E66E" w14:textId="76A0DAB8" w:rsidR="00C16484" w:rsidRPr="00FC0C7B" w:rsidRDefault="00FC0C7B" w:rsidP="00813837">
      <w:pPr>
        <w:pStyle w:val="Datedadoption"/>
      </w:pPr>
      <w:r>
        <w:t>vom XXX</w:t>
      </w:r>
    </w:p>
    <w:p w14:paraId="44AA08D1" w14:textId="01458A94" w:rsidR="00C16484" w:rsidRPr="00FC0C7B" w:rsidRDefault="00813837" w:rsidP="00813837">
      <w:pPr>
        <w:pStyle w:val="Titreobjet"/>
      </w:pPr>
      <w:r w:rsidRPr="00FC0C7B">
        <w:t>zur Änderung der in der Durchführungsverordnung (EU) 2021/622 festgelegten technischen Durchführungsstandards im Hinblick auf die Meldehäufigkeit und die zu meldenden Informationen</w:t>
      </w:r>
    </w:p>
    <w:p w14:paraId="4A210142" w14:textId="6E924AFD" w:rsidR="00C16484" w:rsidRPr="00FC0C7B" w:rsidRDefault="00813837" w:rsidP="00813837">
      <w:pPr>
        <w:pStyle w:val="IntrtEEE"/>
      </w:pPr>
      <w:r w:rsidRPr="00FC0C7B">
        <w:t>(Text von Bedeutung für den EWR)</w:t>
      </w:r>
    </w:p>
    <w:p w14:paraId="6F3A17D1" w14:textId="77777777" w:rsidR="00C16484" w:rsidRPr="00FC0C7B" w:rsidRDefault="00C16484">
      <w:pPr>
        <w:pStyle w:val="Institutionquiagit"/>
      </w:pPr>
      <w:r w:rsidRPr="00FC0C7B">
        <w:t>DIE EUROPÄISCHE KOMMISSION —</w:t>
      </w:r>
    </w:p>
    <w:p w14:paraId="22B09AC6" w14:textId="77777777" w:rsidR="00C16484" w:rsidRPr="00FC0C7B" w:rsidRDefault="00C16484">
      <w:r w:rsidRPr="00FC0C7B">
        <w:rPr>
          <w:color w:val="000000"/>
        </w:rPr>
        <w:t>gestützt auf den Vertrag über die Arbeitsweise der Europäischen Union</w:t>
      </w:r>
      <w:r w:rsidRPr="00FC0C7B">
        <w:t>,</w:t>
      </w:r>
    </w:p>
    <w:p w14:paraId="6C2E5C7E" w14:textId="77777777" w:rsidR="00C16484" w:rsidRPr="00FC0C7B" w:rsidRDefault="00C16484">
      <w:r w:rsidRPr="00FC0C7B">
        <w:t>gestützt auf die Richtlinie 2014/59/EU des Europäischen Parlaments und des Rates vom 15. Mai 2014 zur Festlegung eines Rahmens für die Sanierung und Abwicklung von Kreditinstituten und Wertpapierfirmen und zur Änderung der Richtlinie 82/891/EWG des Rates, der Richtlinien 2001/24/EG, 2002/47/EG, 2004/25/EG, 2005/56/EG, 2007/36/EG, 2011/35/EU, 2012/30/EU und 2013/36/EU sowie der Verordnungen (EU) Nr. 1093/2010 und (EU) Nr. 648/2012 des Europäischen Parlaments und des Rates</w:t>
      </w:r>
      <w:r w:rsidRPr="00FC0C7B">
        <w:rPr>
          <w:rStyle w:val="FootnoteReference"/>
        </w:rPr>
        <w:footnoteReference w:id="2"/>
      </w:r>
      <w:r w:rsidRPr="00FC0C7B">
        <w:t>, insbesondere auf Artikel 45j Absatz 2 Unterabsatz 3,</w:t>
      </w:r>
    </w:p>
    <w:p w14:paraId="499F4150" w14:textId="77777777" w:rsidR="00C16484" w:rsidRPr="00FC0C7B" w:rsidRDefault="00C16484">
      <w:r w:rsidRPr="00FC0C7B">
        <w:t>in Erwägung nachstehender Gründe:</w:t>
      </w:r>
    </w:p>
    <w:p w14:paraId="7D99777F" w14:textId="77777777" w:rsidR="003428AE" w:rsidRPr="00FC0C7B" w:rsidRDefault="003428AE" w:rsidP="004B4C38">
      <w:pPr>
        <w:pStyle w:val="Considrant"/>
        <w:numPr>
          <w:ilvl w:val="0"/>
          <w:numId w:val="2"/>
        </w:numPr>
        <w:rPr>
          <w:iCs/>
          <w:noProof/>
        </w:rPr>
      </w:pPr>
      <w:r w:rsidRPr="00FC0C7B">
        <w:t>Mit der Richtlinie (EU) 2024/1174 des Europäischen Parlaments und des Rates</w:t>
      </w:r>
      <w:r w:rsidRPr="00FC0C7B">
        <w:rPr>
          <w:rStyle w:val="FootnoteReference"/>
          <w:iCs/>
          <w:noProof/>
        </w:rPr>
        <w:footnoteReference w:id="3"/>
      </w:r>
      <w:r w:rsidRPr="00FC0C7B">
        <w:t xml:space="preserve"> wurden bestimmte Aspekte der in der Richtlinie 2014/59/EU festgelegten Mindestanforderung an Eigenmittel und berücksichtigungsfähige Verbindlichkeiten (im Folgenden „MREL“) geändert. Diesen Änderungen zufolge sollten die Abwicklungsbehörden die MREL nicht für Liquidationseinheiten festlegen, es sei denn, die Festlegung einer MREL, die einen für die Verlustabsorption erforderlichen Betrag übersteigt, ist zum Schutz der Finanzstabilität oder zur Vermeidung eines Ansteckungsrisikos für das Finanzsystem, auch im Hinblick auf die Finanzierungskapazität von Einlagensicherungssystemen, erforderlich. Außerdem wurde mit der Richtlinie (EU) 2024/1174 die Zahl der Fälle, in denen die Abwicklungsbehörden die MREL auf konsolidierter Basis festlegen können, erhöht. Die Durchführungsverordnung (EU) 2021/622 der Kommission</w:t>
      </w:r>
      <w:r w:rsidRPr="00FC0C7B">
        <w:rPr>
          <w:rStyle w:val="FootnoteReference"/>
          <w:iCs/>
          <w:noProof/>
        </w:rPr>
        <w:footnoteReference w:id="4"/>
      </w:r>
      <w:r w:rsidRPr="00FC0C7B">
        <w:t xml:space="preserve"> sollte geändert werden, um diese am MREL-Rahmen vorgenommenen Änderungen in den der Europäischen Bankenaufsichtsbehörde (EBA) zu übermittelnden Informationen abzubilden.</w:t>
      </w:r>
    </w:p>
    <w:p w14:paraId="038A3063" w14:textId="77777777" w:rsidR="00C16484" w:rsidRPr="00FC0C7B" w:rsidRDefault="00A05FAB" w:rsidP="008B6AF9">
      <w:pPr>
        <w:pStyle w:val="Considrant"/>
        <w:numPr>
          <w:ilvl w:val="0"/>
          <w:numId w:val="2"/>
        </w:numPr>
        <w:rPr>
          <w:iCs/>
          <w:noProof/>
        </w:rPr>
      </w:pPr>
      <w:r w:rsidRPr="00FC0C7B">
        <w:t>Nach der Durchführungsverordnung (EU) 2021/622 müssen die Abwicklungsbehörden der EBA gegenwärtig jährlich Informationen zur Festlegung der MREL übermitteln. Die EBA führt diese Informationen sodann mit den von ihr gemäß der Durchführungsverordnung (EU) 2021/763 der Kommission</w:t>
      </w:r>
      <w:r w:rsidRPr="00FC0C7B">
        <w:rPr>
          <w:rStyle w:val="FootnoteReference"/>
          <w:noProof/>
        </w:rPr>
        <w:footnoteReference w:id="5"/>
      </w:r>
      <w:r w:rsidRPr="00FC0C7B">
        <w:t xml:space="preserve"> erlangten Informationen über die Zusammensetzung der Eigenmittel und berücksichtigungsfähigen Verbindlichkeiten zusammen, um ihren Bericht über die MREL gemäß Artikel 45l der Richtlinie 2014/59/EU zu erstellen, was gegenwärtig zwei Mal jährlich geschieht. Dass Informationen über die Festlegung der MREL derzeit jährlich übermittelt werden, bedeutet, dass MREL-Entscheidungen, die nach dem maßgeblichen Stichtag von den Abwicklungsbehörden erlassen werden, nicht mehr übermittelt oder von der EBA bewertet werden und sich erst im Folgejahr in deren Berichten widerspiegeln, was zu Diskrepanzen gegenüber den aktuelleren Informationen über die Zusammensetzung der Eigenmittel und berücksichtigungsfähigen Verbindlichkeiten führt.</w:t>
      </w:r>
    </w:p>
    <w:p w14:paraId="676EF325" w14:textId="77777777" w:rsidR="00C16484" w:rsidRPr="00FC0C7B" w:rsidRDefault="00C16484" w:rsidP="004B4C38">
      <w:pPr>
        <w:pStyle w:val="Considrant"/>
        <w:numPr>
          <w:ilvl w:val="0"/>
          <w:numId w:val="2"/>
        </w:numPr>
        <w:rPr>
          <w:iCs/>
          <w:noProof/>
        </w:rPr>
      </w:pPr>
      <w:r w:rsidRPr="00FC0C7B">
        <w:t xml:space="preserve">Damit die EBA die von den Abwicklungsbehörden festgelegte MREL und die Einhaltung der MREL-Anforderungen durch die Institute besser überwachen und bewerten kann, sollten die Abwicklungsbehörden dazu verpflichtet werden, der EBA häufiger über ihre MREL-Entscheidungen Bericht zu erstatten. Um die Übereinstimmung mit den von der EBA erstellten Berichten über die MREL zu gewährleisten, sollten die Abwicklungsbehörden diese Informationen zwei Mal jährlich melden. </w:t>
      </w:r>
    </w:p>
    <w:p w14:paraId="2672C096" w14:textId="77777777" w:rsidR="00C16484" w:rsidRPr="00FC0C7B" w:rsidRDefault="00C16484" w:rsidP="004B4C38">
      <w:pPr>
        <w:pStyle w:val="Considrant"/>
        <w:numPr>
          <w:ilvl w:val="0"/>
          <w:numId w:val="2"/>
        </w:numPr>
        <w:rPr>
          <w:noProof/>
        </w:rPr>
      </w:pPr>
      <w:r w:rsidRPr="00FC0C7B">
        <w:t>Um der EBA die Bewertung zu erleichtern, wie die Abwicklungsbehörden bei der Festlegung der MREL Ermessen ausgeübt haben, insbesondere mit Blick auf die gemäß Artikel 45b Absatz 4 Unterabsatz 1 der Richtlinie 2014/59/EU zur Verfügung stehende Option, sollten der Meldebogen M 20.00 – Meldung von MREL-Entscheidungen (Anhang I der Verordnung (EU) 2021/622) und die zugehörigen Anweisungen so angepasst werden, dass fortan auch Informationen über die Ausübung dieser Option darin enthalten sein müssen.</w:t>
      </w:r>
    </w:p>
    <w:p w14:paraId="1B5314C9" w14:textId="77777777" w:rsidR="00C16484" w:rsidRPr="00FC0C7B" w:rsidRDefault="00C16484" w:rsidP="004B4C38">
      <w:pPr>
        <w:pStyle w:val="Considrant"/>
        <w:numPr>
          <w:ilvl w:val="0"/>
          <w:numId w:val="2"/>
        </w:numPr>
        <w:rPr>
          <w:noProof/>
        </w:rPr>
      </w:pPr>
      <w:r w:rsidRPr="00FC0C7B">
        <w:t>Die EBA hat die Stellungnahme der nach Artikel 37 der Verordnung (EU) Nr. 1093/2010 des Europäischen Parlaments und des Rates</w:t>
      </w:r>
      <w:r w:rsidRPr="00FC0C7B">
        <w:rPr>
          <w:rStyle w:val="FootnoteReference"/>
          <w:noProof/>
        </w:rPr>
        <w:footnoteReference w:id="6"/>
      </w:r>
      <w:r w:rsidRPr="00FC0C7B">
        <w:t xml:space="preserve"> eingesetzten Interessengruppe Bankensektor eingeholt. </w:t>
      </w:r>
    </w:p>
    <w:p w14:paraId="5D5111C6" w14:textId="77777777" w:rsidR="00C16484" w:rsidRPr="00FC0C7B" w:rsidRDefault="00373FC4" w:rsidP="004B4C38">
      <w:pPr>
        <w:pStyle w:val="Considrant"/>
        <w:numPr>
          <w:ilvl w:val="0"/>
          <w:numId w:val="2"/>
        </w:numPr>
        <w:rPr>
          <w:noProof/>
        </w:rPr>
      </w:pPr>
      <w:r w:rsidRPr="00FC0C7B">
        <w:t xml:space="preserve">Die Änderungen an der Verordnung (EU) 2021/622 richten sich an die Abwicklungsbehörden und beinhalten keine wesentlichen inhaltlichen Änderungen. Daher hat die EBA im Einklang mit Artikel 15 Absatz 1 Unterabsatz 2 der Verordnung (EU) Nr. 1093/2010 weder öffentliche Konsultationen durchgeführt noch die mit dem Entwurf verbundenen potenziellen Kosten- und Nutzeneffekte analysiert, da sie dies mit Blick auf den Anwendungsbereich und die Auswirkungen des betreffenden Entwurfs technischer Durchführungsstandards als unverhältnismäßig ansah. </w:t>
      </w:r>
    </w:p>
    <w:p w14:paraId="0A23BFF6" w14:textId="77777777" w:rsidR="00C16484" w:rsidRPr="00FC0C7B" w:rsidRDefault="00C16484" w:rsidP="004B4C38">
      <w:pPr>
        <w:pStyle w:val="Considrant"/>
        <w:numPr>
          <w:ilvl w:val="0"/>
          <w:numId w:val="2"/>
        </w:numPr>
        <w:rPr>
          <w:noProof/>
        </w:rPr>
      </w:pPr>
      <w:r w:rsidRPr="00FC0C7B">
        <w:t>Die Durchführungsverordnung (EU) 2021/622 sollte daher entsprechend geändert werden.</w:t>
      </w:r>
    </w:p>
    <w:p w14:paraId="1887EA7B" w14:textId="77777777" w:rsidR="00C16484" w:rsidRPr="00FC0C7B" w:rsidRDefault="00C16484" w:rsidP="004B4C38">
      <w:pPr>
        <w:pStyle w:val="Considrant"/>
        <w:numPr>
          <w:ilvl w:val="0"/>
          <w:numId w:val="2"/>
        </w:numPr>
        <w:rPr>
          <w:noProof/>
        </w:rPr>
      </w:pPr>
      <w:r w:rsidRPr="00FC0C7B">
        <w:t>Diese Verordnung beruht auf dem Entwurf technischer Durchführungsstandards, der der Kommission von der EBA vorgelegt wurde —</w:t>
      </w:r>
    </w:p>
    <w:p w14:paraId="313B274F" w14:textId="77777777" w:rsidR="00C16484" w:rsidRPr="00FC0C7B" w:rsidRDefault="00C16484">
      <w:pPr>
        <w:pStyle w:val="Formuledadoption"/>
      </w:pPr>
      <w:r w:rsidRPr="00FC0C7B">
        <w:t>HAT FOLGENDE VERORDNUNG ERLASSEN:</w:t>
      </w:r>
    </w:p>
    <w:p w14:paraId="455FC522" w14:textId="77777777" w:rsidR="00C16484" w:rsidRPr="00FC0C7B" w:rsidRDefault="00C16484">
      <w:pPr>
        <w:pStyle w:val="Titrearticle"/>
      </w:pPr>
      <w:r w:rsidRPr="00FC0C7B">
        <w:t>Artikel 1</w:t>
      </w:r>
    </w:p>
    <w:p w14:paraId="061A957A" w14:textId="77777777" w:rsidR="00C16484" w:rsidRPr="00FC0C7B" w:rsidRDefault="00C16484" w:rsidP="00C16484">
      <w:pPr>
        <w:rPr>
          <w:noProof/>
        </w:rPr>
      </w:pPr>
      <w:r w:rsidRPr="00FC0C7B">
        <w:t>Die Durchführungsverordnung (EU) 2021/622 wird wie folgt geändert:</w:t>
      </w:r>
    </w:p>
    <w:p w14:paraId="44E520EB" w14:textId="59FC3C33" w:rsidR="00C16484" w:rsidRPr="00FC0C7B" w:rsidRDefault="00B956B7" w:rsidP="00B956B7">
      <w:pPr>
        <w:pStyle w:val="Point0"/>
        <w:rPr>
          <w:noProof/>
        </w:rPr>
      </w:pPr>
      <w:r>
        <w:t>1.</w:t>
      </w:r>
      <w:r>
        <w:tab/>
      </w:r>
      <w:r w:rsidR="00C16484" w:rsidRPr="00FC0C7B">
        <w:t>Artikel 2 wird wie folgt geändert:</w:t>
      </w:r>
    </w:p>
    <w:p w14:paraId="252CA8AC" w14:textId="0BAA427F" w:rsidR="00C16484" w:rsidRPr="00FC0C7B" w:rsidRDefault="00B956B7" w:rsidP="00B956B7">
      <w:pPr>
        <w:pStyle w:val="Point1"/>
        <w:rPr>
          <w:noProof/>
        </w:rPr>
      </w:pPr>
      <w:r>
        <w:t>a)</w:t>
      </w:r>
      <w:r>
        <w:tab/>
      </w:r>
      <w:r w:rsidR="00C16484" w:rsidRPr="00FC0C7B">
        <w:t>Der Titel erhält folgende Fassung:</w:t>
      </w:r>
    </w:p>
    <w:p w14:paraId="3D4F8508" w14:textId="77777777" w:rsidR="00C16484" w:rsidRPr="00FC0C7B" w:rsidRDefault="00C16484" w:rsidP="00783A3B">
      <w:pPr>
        <w:jc w:val="center"/>
        <w:rPr>
          <w:noProof/>
        </w:rPr>
      </w:pPr>
      <w:r w:rsidRPr="00FC0C7B">
        <w:t>„Vereinfachte Meldepflicht für Institute, für die eine Ausnahme gewährt wurde“.</w:t>
      </w:r>
    </w:p>
    <w:p w14:paraId="2EAF66BD" w14:textId="47F94A99" w:rsidR="00C16484" w:rsidRPr="00FC0C7B" w:rsidRDefault="00B956B7" w:rsidP="00B956B7">
      <w:pPr>
        <w:pStyle w:val="Point1"/>
        <w:rPr>
          <w:noProof/>
        </w:rPr>
      </w:pPr>
      <w:r>
        <w:t>b)</w:t>
      </w:r>
      <w:r>
        <w:tab/>
      </w:r>
      <w:r w:rsidR="00C16484" w:rsidRPr="00FC0C7B">
        <w:t>Absatz 2 wird gestrichen.</w:t>
      </w:r>
    </w:p>
    <w:p w14:paraId="1A052A8B" w14:textId="222FCBF3" w:rsidR="00C16484" w:rsidRPr="00FC0C7B" w:rsidRDefault="00B956B7" w:rsidP="00B956B7">
      <w:pPr>
        <w:pStyle w:val="Point0"/>
        <w:rPr>
          <w:noProof/>
        </w:rPr>
      </w:pPr>
      <w:r>
        <w:t>2.</w:t>
      </w:r>
      <w:r>
        <w:tab/>
      </w:r>
      <w:r w:rsidR="00C16484" w:rsidRPr="00FC0C7B">
        <w:t>In Artikel 3 erhält der einleitende Teil folgende Fassung:</w:t>
      </w:r>
    </w:p>
    <w:p w14:paraId="533DCDB8" w14:textId="77777777" w:rsidR="00C16484" w:rsidRPr="00FC0C7B" w:rsidRDefault="00C16484" w:rsidP="00783A3B">
      <w:pPr>
        <w:rPr>
          <w:noProof/>
        </w:rPr>
      </w:pPr>
      <w:r w:rsidRPr="00FC0C7B">
        <w:t>„Die in den Artikeln 1 und 2 genannten Informationen werden in Bezug auf Gruppen, die der MREL auf konsolidierter Basis gemäß Artikel 45e, Artikel 45f Absatz 1 Unterabsätze 3 und 4 sowie Artikel 45f Absatz 4 Buchstabe b der Richtlinie 2014/59/EU unterliegen, von den folgenden Behörden wie folgt übermittelt:“</w:t>
      </w:r>
    </w:p>
    <w:p w14:paraId="0509E0AB" w14:textId="5CB47E46" w:rsidR="00C16484" w:rsidRPr="00FC0C7B" w:rsidRDefault="00B956B7" w:rsidP="00B956B7">
      <w:pPr>
        <w:pStyle w:val="Point0"/>
        <w:rPr>
          <w:noProof/>
        </w:rPr>
      </w:pPr>
      <w:r>
        <w:t>3.</w:t>
      </w:r>
      <w:r>
        <w:tab/>
      </w:r>
      <w:r w:rsidR="00C16484" w:rsidRPr="00FC0C7B">
        <w:t>Artikel 4 erhält folgende Fassung:</w:t>
      </w:r>
    </w:p>
    <w:p w14:paraId="66FCA4E9" w14:textId="77777777" w:rsidR="00C16484" w:rsidRPr="00FC0C7B" w:rsidRDefault="00D47F83" w:rsidP="00783A3B">
      <w:pPr>
        <w:pStyle w:val="Titrearticle"/>
        <w:rPr>
          <w:i w:val="0"/>
          <w:iCs/>
          <w:noProof/>
        </w:rPr>
      </w:pPr>
      <w:r w:rsidRPr="00FC0C7B">
        <w:rPr>
          <w:i w:val="0"/>
        </w:rPr>
        <w:t>„</w:t>
      </w:r>
      <w:r w:rsidRPr="00FC0C7B">
        <w:t xml:space="preserve">Artikel 4 </w:t>
      </w:r>
      <w:r w:rsidRPr="00FC0C7B">
        <w:br/>
      </w:r>
      <w:r w:rsidRPr="00FC0C7B">
        <w:rPr>
          <w:b/>
          <w:i w:val="0"/>
        </w:rPr>
        <w:t>Meldezeiträume und Einreichungsfristen</w:t>
      </w:r>
    </w:p>
    <w:p w14:paraId="054F5F9B" w14:textId="77777777" w:rsidR="00C16484" w:rsidRPr="00FC0C7B" w:rsidRDefault="00C16484" w:rsidP="00783A3B">
      <w:pPr>
        <w:rPr>
          <w:noProof/>
        </w:rPr>
      </w:pPr>
      <w:r w:rsidRPr="00FC0C7B">
        <w:t>Die Abwicklungsbehörden übermitteln die in den Artikeln 1 und 2 genannten Informationen wie folgt:</w:t>
      </w:r>
    </w:p>
    <w:p w14:paraId="5113726F" w14:textId="3AF8E69F" w:rsidR="00C16484" w:rsidRPr="00FC0C7B" w:rsidRDefault="00B956B7" w:rsidP="00B956B7">
      <w:pPr>
        <w:pStyle w:val="Point1"/>
        <w:rPr>
          <w:noProof/>
        </w:rPr>
      </w:pPr>
      <w:r>
        <w:t>a)</w:t>
      </w:r>
      <w:r>
        <w:tab/>
      </w:r>
      <w:r w:rsidR="00C16484" w:rsidRPr="00FC0C7B">
        <w:t>für die ab dem 30. Juni geltende MREL bis zum 16. September des betreffenden Jahres;</w:t>
      </w:r>
    </w:p>
    <w:p w14:paraId="7219DDD8" w14:textId="12FC673F" w:rsidR="00C16484" w:rsidRPr="00FC0C7B" w:rsidRDefault="00B956B7" w:rsidP="00B956B7">
      <w:pPr>
        <w:pStyle w:val="Point1"/>
        <w:rPr>
          <w:noProof/>
        </w:rPr>
      </w:pPr>
      <w:r>
        <w:t>b)</w:t>
      </w:r>
      <w:r>
        <w:tab/>
      </w:r>
      <w:r w:rsidR="00C16484" w:rsidRPr="00FC0C7B">
        <w:t>für die ab dem 31. Dezember geltende MREL bis zum 18. März des folgenden Jahres.“</w:t>
      </w:r>
    </w:p>
    <w:p w14:paraId="65609948" w14:textId="78AE356A" w:rsidR="00C16484" w:rsidRPr="00FC0C7B" w:rsidRDefault="00B956B7" w:rsidP="00B956B7">
      <w:pPr>
        <w:pStyle w:val="Point0"/>
        <w:rPr>
          <w:noProof/>
        </w:rPr>
      </w:pPr>
      <w:r>
        <w:t>4.</w:t>
      </w:r>
      <w:r>
        <w:tab/>
      </w:r>
      <w:r w:rsidR="00C16484" w:rsidRPr="00FC0C7B">
        <w:t>Anhang I wird durch Anhang I der vorliegenden Verordnung ersetzt.</w:t>
      </w:r>
    </w:p>
    <w:p w14:paraId="45E55C10" w14:textId="2404525B" w:rsidR="00C16484" w:rsidRPr="00FC0C7B" w:rsidRDefault="00B956B7" w:rsidP="00B956B7">
      <w:pPr>
        <w:pStyle w:val="Point0"/>
        <w:rPr>
          <w:noProof/>
        </w:rPr>
      </w:pPr>
      <w:r>
        <w:t>5.</w:t>
      </w:r>
      <w:r>
        <w:tab/>
      </w:r>
      <w:r w:rsidR="00C16484" w:rsidRPr="00FC0C7B">
        <w:t>Anhang II wird durch Anhang II der vorliegenden Verordnung ersetzt.</w:t>
      </w:r>
    </w:p>
    <w:p w14:paraId="0B09A3CA" w14:textId="77777777" w:rsidR="00C16484" w:rsidRPr="00FC0C7B" w:rsidRDefault="00C16484">
      <w:pPr>
        <w:pStyle w:val="Titrearticle"/>
      </w:pPr>
      <w:r w:rsidRPr="00FC0C7B">
        <w:t>Artikel 2</w:t>
      </w:r>
    </w:p>
    <w:p w14:paraId="0BDD24EC" w14:textId="77777777" w:rsidR="00C16484" w:rsidRPr="00FC0C7B" w:rsidRDefault="00C16484" w:rsidP="00830365">
      <w:r w:rsidRPr="00FC0C7B">
        <w:t xml:space="preserve">Diese Verordnung tritt am zwanzigsten Tag nach ihrer Veröffentlichung im </w:t>
      </w:r>
      <w:r w:rsidRPr="00FC0C7B">
        <w:rPr>
          <w:i/>
        </w:rPr>
        <w:t>Amtsblatt der Europäischen Union</w:t>
      </w:r>
      <w:r w:rsidRPr="00FC0C7B">
        <w:t xml:space="preserve"> in Kraft.</w:t>
      </w:r>
    </w:p>
    <w:p w14:paraId="3DDE2F7A" w14:textId="77777777" w:rsidR="00C16484" w:rsidRPr="00FC0C7B" w:rsidRDefault="00C16484">
      <w:pPr>
        <w:pStyle w:val="Applicationdirecte"/>
      </w:pPr>
      <w:r w:rsidRPr="00FC0C7B">
        <w:t>Diese Verordnung ist in allen ihren Teilen verbindlich und gilt unmittelbar in jedem Mitgliedstaat.</w:t>
      </w:r>
    </w:p>
    <w:p w14:paraId="0FD02893" w14:textId="39698A54" w:rsidR="00C16484" w:rsidRPr="00FC0C7B" w:rsidRDefault="00FC0C7B" w:rsidP="00FC0C7B">
      <w:pPr>
        <w:pStyle w:val="Fait"/>
      </w:pPr>
      <w:r w:rsidRPr="00FC0C7B">
        <w:t>Brüssel, den</w:t>
      </w:r>
    </w:p>
    <w:p w14:paraId="3FB14D4B" w14:textId="77777777" w:rsidR="00C16484" w:rsidRPr="00FC0C7B" w:rsidRDefault="00C16484" w:rsidP="00C16484">
      <w:pPr>
        <w:pStyle w:val="Institutionquisigne"/>
      </w:pPr>
      <w:r w:rsidRPr="00FC0C7B">
        <w:tab/>
        <w:t>Für die Kommission</w:t>
      </w:r>
    </w:p>
    <w:p w14:paraId="0FEF1170" w14:textId="0CD182DE" w:rsidR="00C16484" w:rsidRPr="00FC0C7B" w:rsidRDefault="00C16484" w:rsidP="00C16484">
      <w:pPr>
        <w:pStyle w:val="Personnequisigne"/>
      </w:pPr>
      <w:r w:rsidRPr="00FC0C7B">
        <w:tab/>
        <w:t xml:space="preserve">Die Präsidentin </w:t>
      </w:r>
      <w:r w:rsidRPr="00FC0C7B">
        <w:br/>
      </w:r>
      <w:r w:rsidRPr="00FC0C7B">
        <w:tab/>
        <w:t xml:space="preserve">Ursula von der Leyen </w:t>
      </w:r>
      <w:r w:rsidRPr="00FC0C7B">
        <w:br/>
      </w:r>
      <w:r w:rsidRPr="00FC0C7B">
        <w:tab/>
      </w:r>
    </w:p>
    <w:sectPr w:rsidR="00C16484" w:rsidRPr="00FC0C7B" w:rsidSect="00B956B7">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D8F0" w14:textId="77777777" w:rsidR="00F07F26" w:rsidRDefault="00F07F26" w:rsidP="00C16484">
      <w:pPr>
        <w:spacing w:before="0" w:after="0"/>
      </w:pPr>
      <w:r>
        <w:separator/>
      </w:r>
    </w:p>
  </w:endnote>
  <w:endnote w:type="continuationSeparator" w:id="0">
    <w:p w14:paraId="61DF8EAB" w14:textId="77777777" w:rsidR="00F07F26" w:rsidRDefault="00F07F26" w:rsidP="00C16484">
      <w:pPr>
        <w:spacing w:before="0" w:after="0"/>
      </w:pPr>
      <w:r>
        <w:continuationSeparator/>
      </w:r>
    </w:p>
  </w:endnote>
  <w:endnote w:type="continuationNotice" w:id="1">
    <w:p w14:paraId="04F6DC9C" w14:textId="77777777" w:rsidR="00F07F26" w:rsidRDefault="00F07F2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DF19" w14:textId="46DDA958" w:rsidR="00AE4482" w:rsidRPr="00B956B7" w:rsidRDefault="00B956B7" w:rsidP="00B956B7">
    <w:pPr>
      <w:pStyle w:val="Footer"/>
      <w:rPr>
        <w:rFonts w:ascii="Arial" w:hAnsi="Arial" w:cs="Arial"/>
        <w:b/>
        <w:sz w:val="48"/>
      </w:rPr>
    </w:pPr>
    <w:r w:rsidRPr="00B956B7">
      <w:rPr>
        <w:rFonts w:ascii="Arial" w:hAnsi="Arial" w:cs="Arial"/>
        <w:b/>
        <w:sz w:val="48"/>
      </w:rPr>
      <w:t>DE</w:t>
    </w:r>
    <w:r w:rsidRPr="00B956B7">
      <w:rPr>
        <w:rFonts w:ascii="Arial" w:hAnsi="Arial" w:cs="Arial"/>
        <w:b/>
        <w:sz w:val="48"/>
      </w:rPr>
      <w:tab/>
    </w:r>
    <w:r w:rsidRPr="00B956B7">
      <w:rPr>
        <w:rFonts w:ascii="Arial" w:hAnsi="Arial" w:cs="Arial"/>
        <w:b/>
        <w:sz w:val="48"/>
      </w:rPr>
      <w:tab/>
    </w:r>
    <w:r w:rsidRPr="00B956B7">
      <w:tab/>
    </w:r>
    <w:r w:rsidRPr="00B956B7">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2038" w14:textId="0412E70E" w:rsidR="00AE4482" w:rsidRPr="00B956B7" w:rsidRDefault="00B956B7" w:rsidP="00B956B7">
    <w:pPr>
      <w:pStyle w:val="Footer"/>
      <w:rPr>
        <w:rFonts w:ascii="Arial" w:hAnsi="Arial" w:cs="Arial"/>
        <w:b/>
        <w:sz w:val="48"/>
      </w:rPr>
    </w:pPr>
    <w:r w:rsidRPr="00B956B7">
      <w:rPr>
        <w:rFonts w:ascii="Arial" w:hAnsi="Arial" w:cs="Arial"/>
        <w:b/>
        <w:sz w:val="48"/>
      </w:rPr>
      <w:t>DE</w:t>
    </w:r>
    <w:r w:rsidRPr="00B956B7">
      <w:rPr>
        <w:rFonts w:ascii="Arial" w:hAnsi="Arial" w:cs="Arial"/>
        <w:b/>
        <w:sz w:val="48"/>
      </w:rPr>
      <w:tab/>
    </w:r>
    <w:r w:rsidRPr="00B956B7">
      <w:rPr>
        <w:rFonts w:ascii="Arial" w:hAnsi="Arial" w:cs="Arial"/>
        <w:b/>
        <w:sz w:val="48"/>
      </w:rPr>
      <w:tab/>
    </w:r>
    <w:r w:rsidRPr="00B956B7">
      <w:tab/>
    </w:r>
    <w:r w:rsidRPr="00B956B7">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D74A" w14:textId="77777777" w:rsidR="00B956B7" w:rsidRPr="00B956B7" w:rsidRDefault="00B956B7" w:rsidP="00B956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2728" w14:textId="77777777" w:rsidR="000C320E" w:rsidRPr="00DC5E29" w:rsidRDefault="000C320E" w:rsidP="00DC5E29">
    <w:pPr>
      <w:pStyle w:val="Footer"/>
      <w:rPr>
        <w:rFonts w:ascii="Arial" w:hAnsi="Arial" w:cs="Arial"/>
        <w:b/>
        <w:sz w:val="4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8159" w14:textId="4267A9B7" w:rsidR="00B956B7" w:rsidRPr="00B956B7" w:rsidRDefault="00B956B7" w:rsidP="00B956B7">
    <w:pPr>
      <w:pStyle w:val="Footer"/>
      <w:rPr>
        <w:rFonts w:ascii="Arial" w:hAnsi="Arial" w:cs="Arial"/>
        <w:b/>
        <w:sz w:val="48"/>
      </w:rPr>
    </w:pPr>
    <w:r w:rsidRPr="00B956B7">
      <w:rPr>
        <w:rFonts w:ascii="Arial" w:hAnsi="Arial" w:cs="Arial"/>
        <w:b/>
        <w:sz w:val="48"/>
      </w:rPr>
      <w:t>DE</w:t>
    </w:r>
    <w:r w:rsidRPr="00B956B7">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956B7">
      <w:tab/>
    </w:r>
    <w:r w:rsidRPr="00B956B7">
      <w:rPr>
        <w:rFonts w:ascii="Arial" w:hAnsi="Arial" w:cs="Arial"/>
        <w:b/>
        <w:sz w:val="48"/>
      </w:rPr>
      <w:t>DE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2C19" w14:textId="77777777" w:rsidR="000C320E" w:rsidRDefault="000C320E" w:rsidP="00B95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4942" w14:textId="77777777" w:rsidR="00F07F26" w:rsidRDefault="00F07F26" w:rsidP="00C16484">
      <w:pPr>
        <w:spacing w:before="0" w:after="0"/>
      </w:pPr>
      <w:r>
        <w:separator/>
      </w:r>
    </w:p>
  </w:footnote>
  <w:footnote w:type="continuationSeparator" w:id="0">
    <w:p w14:paraId="298144EA" w14:textId="77777777" w:rsidR="00F07F26" w:rsidRDefault="00F07F26" w:rsidP="00C16484">
      <w:pPr>
        <w:spacing w:before="0" w:after="0"/>
      </w:pPr>
      <w:r>
        <w:continuationSeparator/>
      </w:r>
    </w:p>
  </w:footnote>
  <w:footnote w:type="continuationNotice" w:id="1">
    <w:p w14:paraId="57F8940A" w14:textId="77777777" w:rsidR="00F07F26" w:rsidRDefault="00F07F26">
      <w:pPr>
        <w:spacing w:before="0" w:after="0"/>
      </w:pPr>
    </w:p>
  </w:footnote>
  <w:footnote w:id="2">
    <w:p w14:paraId="33763137" w14:textId="77777777" w:rsidR="00C16484" w:rsidRPr="00813837" w:rsidRDefault="00C16484" w:rsidP="00C16484">
      <w:pPr>
        <w:pStyle w:val="FootnoteText"/>
      </w:pPr>
      <w:r>
        <w:rPr>
          <w:rStyle w:val="FootnoteReference"/>
        </w:rPr>
        <w:footnoteRef/>
      </w:r>
      <w:r w:rsidRPr="00813837">
        <w:tab/>
        <w:t>ABl. L 173 vom 12.6.2014, S. 190, ELI: </w:t>
      </w:r>
      <w:hyperlink r:id="rId1" w:tooltip="Ermöglicht den Zugriff auf dieses Dokument über seinen ELI-URI." w:history="1">
        <w:r w:rsidRPr="00813837">
          <w:rPr>
            <w:rStyle w:val="Hyperlink"/>
            <w:rFonts w:ascii="Times New Roman" w:hAnsi="Times New Roman"/>
          </w:rPr>
          <w:t>http://data.europa.eu/eli/dir/2014/59/oj</w:t>
        </w:r>
      </w:hyperlink>
      <w:r w:rsidRPr="00813837">
        <w:t xml:space="preserve">. </w:t>
      </w:r>
    </w:p>
  </w:footnote>
  <w:footnote w:id="3">
    <w:p w14:paraId="584AEAAA" w14:textId="78F88551" w:rsidR="003428AE" w:rsidRPr="00813837" w:rsidRDefault="003428AE">
      <w:pPr>
        <w:pStyle w:val="FootnoteText"/>
      </w:pPr>
      <w:r>
        <w:rPr>
          <w:rStyle w:val="FootnoteReference"/>
        </w:rPr>
        <w:footnoteRef/>
      </w:r>
      <w:r w:rsidRPr="00813837">
        <w:tab/>
        <w:t xml:space="preserve">Richtlinie (EU) 2024/1174 des Europäischen Parlaments und des Rates vom 11. April 2024 zur Änderung der Richtlinie 2014/59/EU und der Verordnung (EU) Nr. 806/2014 im Hinblick auf bestimmte Aspekte der Mindestanforderung an Eigenmittel und berücksichtigungsfähige Verbindlichkeiten (ABl. L, 2024/1174, 22.4.2024, ELI: </w:t>
      </w:r>
      <w:hyperlink r:id="rId2" w:history="1">
        <w:r w:rsidRPr="00813837">
          <w:rPr>
            <w:rStyle w:val="Hyperlink"/>
            <w:rFonts w:ascii="Times New Roman" w:hAnsi="Times New Roman"/>
          </w:rPr>
          <w:t>http://data.europa.eu/eli/dir/2024/1174/oj</w:t>
        </w:r>
      </w:hyperlink>
      <w:r w:rsidRPr="00813837">
        <w:t xml:space="preserve">). </w:t>
      </w:r>
    </w:p>
  </w:footnote>
  <w:footnote w:id="4">
    <w:p w14:paraId="4D1953DF" w14:textId="607C22C8" w:rsidR="001F4496" w:rsidRPr="00813837" w:rsidRDefault="001F4496">
      <w:pPr>
        <w:pStyle w:val="FootnoteText"/>
      </w:pPr>
      <w:r>
        <w:rPr>
          <w:rStyle w:val="FootnoteReference"/>
        </w:rPr>
        <w:footnoteRef/>
      </w:r>
      <w:r w:rsidRPr="00813837">
        <w:tab/>
        <w:t xml:space="preserve">Durchführungsverordnung (EU) 2021/622 der Kommission vom 15. April 2021 zur Festlegung technischer Durchführungsstandards für die Anwendung der Richtlinie 2014/59/EU des Europäischen Parlaments und des Rates im Hinblick auf einheitliche Meldebögen, Anweisungen und Methoden für die Meldung der Mindestanforderung an Eigenmittel und berücksichtigungsfähige Verbindlichkeiten (ABl. L 131 vom 16.4.2021, S. 123, ELI: </w:t>
      </w:r>
      <w:hyperlink r:id="rId3" w:history="1">
        <w:r w:rsidRPr="00813837">
          <w:rPr>
            <w:rStyle w:val="Hyperlink"/>
            <w:rFonts w:ascii="Times New Roman" w:hAnsi="Times New Roman"/>
          </w:rPr>
          <w:t>http://data.europa.eu/eli/reg_impl/2021/622/oj</w:t>
        </w:r>
      </w:hyperlink>
      <w:r w:rsidRPr="00813837">
        <w:t>).</w:t>
      </w:r>
    </w:p>
  </w:footnote>
  <w:footnote w:id="5">
    <w:p w14:paraId="5FB3833A" w14:textId="77777777" w:rsidR="000B5B60" w:rsidRPr="00813837" w:rsidRDefault="000B5B60">
      <w:pPr>
        <w:pStyle w:val="FootnoteText"/>
      </w:pPr>
      <w:r>
        <w:rPr>
          <w:rStyle w:val="FootnoteReference"/>
        </w:rPr>
        <w:footnoteRef/>
      </w:r>
      <w:r w:rsidRPr="00813837">
        <w:tab/>
        <w:t xml:space="preserve">Durchführungsverordnung (EU) 2021/763 der Kommission vom 23. April 2021 zur Festlegung technischer Durchführungsstandards für die Anwendung der Verordnung (EU) Nr. 575/2013 des Europäischen Parlaments und des Rates und der Richtlinie 2014/59/EU des Europäischen Parlaments und des Rates im Hinblick auf die aufsichtlichen Meldungen und die Offenlegung der Mindestanforderung an Eigenmittel und berücksichtigungsfähige Verbindlichkeiten (ABl. L 168 vom 12.5.2021, ELI: </w:t>
      </w:r>
      <w:hyperlink r:id="rId4" w:history="1">
        <w:r w:rsidRPr="00813837">
          <w:rPr>
            <w:rStyle w:val="Hyperlink"/>
            <w:rFonts w:ascii="Times New Roman" w:hAnsi="Times New Roman"/>
          </w:rPr>
          <w:t>http://data.europa.eu/eli/reg_impl/2021/763/oj</w:t>
        </w:r>
      </w:hyperlink>
      <w:r w:rsidRPr="00813837">
        <w:t>).</w:t>
      </w:r>
    </w:p>
  </w:footnote>
  <w:footnote w:id="6">
    <w:p w14:paraId="04BE3385" w14:textId="77777777" w:rsidR="00401F3A" w:rsidRPr="00813837" w:rsidRDefault="00401F3A" w:rsidP="00F35BD7">
      <w:pPr>
        <w:pStyle w:val="FootnoteText"/>
      </w:pPr>
      <w:r>
        <w:rPr>
          <w:rStyle w:val="FootnoteReference"/>
        </w:rPr>
        <w:footnoteRef/>
      </w:r>
      <w:r w:rsidRPr="00813837">
        <w:tab/>
        <w:t>Verordnung (EU) Nr. 1093/2010 des Europäischen Parlaments und des Rates vom 24. November 2010 zur Errichtung einer Europäischen Aufsichtsbehörde (Europäische Bankenaufsichtsbehörde), zur Änderung des Beschlusses Nr. 716/2009/EG und zur Aufhebung des Beschlusses 2009/78/EG der Kommission (ABl. L 331 vom 15.12.2010, S. 12, ELI: </w:t>
      </w:r>
      <w:hyperlink r:id="rId5" w:tooltip="Ermöglicht den Zugriff auf dieses Dokument über seinen ELI-URI." w:history="1">
        <w:r w:rsidRPr="00813837">
          <w:rPr>
            <w:rStyle w:val="Hyperlink"/>
            <w:rFonts w:ascii="Times New Roman" w:hAnsi="Times New Roman"/>
          </w:rPr>
          <w:t>http://data.europa.eu/eli/reg/2010/1093/oj</w:t>
        </w:r>
      </w:hyperlink>
      <w:r w:rsidRPr="0081383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E447" w14:textId="77777777" w:rsidR="00B956B7" w:rsidRPr="00B956B7" w:rsidRDefault="00B956B7" w:rsidP="00B95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4755" w14:textId="77777777" w:rsidR="00B956B7" w:rsidRPr="00B956B7" w:rsidRDefault="00B956B7" w:rsidP="00B956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300ED" w14:textId="77777777" w:rsidR="00B956B7" w:rsidRPr="00B956B7" w:rsidRDefault="00B956B7" w:rsidP="00B956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C1D2" w14:textId="77777777" w:rsidR="000C320E" w:rsidRDefault="000C32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10A3" w14:textId="77777777" w:rsidR="000C320E" w:rsidRDefault="000C3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1B8BE2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E56832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CAC290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25511920">
    <w:abstractNumId w:val="3"/>
  </w:num>
  <w:num w:numId="2" w16cid:durableId="784347441">
    <w:abstractNumId w:val="18"/>
    <w:lvlOverride w:ilvl="0">
      <w:startOverride w:val="1"/>
    </w:lvlOverride>
  </w:num>
  <w:num w:numId="3" w16cid:durableId="2119445392">
    <w:abstractNumId w:val="2"/>
  </w:num>
  <w:num w:numId="4" w16cid:durableId="1881360427">
    <w:abstractNumId w:val="1"/>
  </w:num>
  <w:num w:numId="5" w16cid:durableId="309334442">
    <w:abstractNumId w:val="0"/>
  </w:num>
  <w:num w:numId="6" w16cid:durableId="861095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9693441">
    <w:abstractNumId w:val="15"/>
  </w:num>
  <w:num w:numId="8" w16cid:durableId="1693998065">
    <w:abstractNumId w:val="8"/>
  </w:num>
  <w:num w:numId="9" w16cid:durableId="788817884">
    <w:abstractNumId w:val="17"/>
  </w:num>
  <w:num w:numId="10" w16cid:durableId="1535464848">
    <w:abstractNumId w:val="7"/>
  </w:num>
  <w:num w:numId="11" w16cid:durableId="639657071">
    <w:abstractNumId w:val="9"/>
  </w:num>
  <w:num w:numId="12" w16cid:durableId="361050661">
    <w:abstractNumId w:val="10"/>
  </w:num>
  <w:num w:numId="13" w16cid:durableId="472790552">
    <w:abstractNumId w:val="5"/>
  </w:num>
  <w:num w:numId="14" w16cid:durableId="384646725">
    <w:abstractNumId w:val="16"/>
  </w:num>
  <w:num w:numId="15" w16cid:durableId="2031682509">
    <w:abstractNumId w:val="4"/>
  </w:num>
  <w:num w:numId="16" w16cid:durableId="150604668">
    <w:abstractNumId w:val="11"/>
  </w:num>
  <w:num w:numId="17" w16cid:durableId="472332852">
    <w:abstractNumId w:val="13"/>
  </w:num>
  <w:num w:numId="18" w16cid:durableId="1298296966">
    <w:abstractNumId w:val="14"/>
  </w:num>
  <w:num w:numId="19" w16cid:durableId="1306230484">
    <w:abstractNumId w:val="6"/>
  </w:num>
  <w:num w:numId="20" w16cid:durableId="24066917">
    <w:abstractNumId w:val="12"/>
  </w:num>
  <w:num w:numId="21" w16cid:durableId="485436588">
    <w:abstractNumId w:val="18"/>
  </w:num>
  <w:num w:numId="22" w16cid:durableId="2089693441">
    <w:abstractNumId w:val="15"/>
  </w:num>
  <w:num w:numId="23" w16cid:durableId="1693998065">
    <w:abstractNumId w:val="8"/>
  </w:num>
  <w:num w:numId="24" w16cid:durableId="788817884">
    <w:abstractNumId w:val="17"/>
  </w:num>
  <w:num w:numId="25" w16cid:durableId="1535464848">
    <w:abstractNumId w:val="7"/>
  </w:num>
  <w:num w:numId="26" w16cid:durableId="639657071">
    <w:abstractNumId w:val="9"/>
  </w:num>
  <w:num w:numId="27" w16cid:durableId="361050661">
    <w:abstractNumId w:val="10"/>
  </w:num>
  <w:num w:numId="28" w16cid:durableId="472790552">
    <w:abstractNumId w:val="5"/>
  </w:num>
  <w:num w:numId="29" w16cid:durableId="384646725">
    <w:abstractNumId w:val="16"/>
  </w:num>
  <w:num w:numId="30" w16cid:durableId="2031682509">
    <w:abstractNumId w:val="4"/>
  </w:num>
  <w:num w:numId="31" w16cid:durableId="150604668">
    <w:abstractNumId w:val="11"/>
  </w:num>
  <w:num w:numId="32" w16cid:durableId="472332852">
    <w:abstractNumId w:val="13"/>
  </w:num>
  <w:num w:numId="33" w16cid:durableId="1298296966">
    <w:abstractNumId w:val="14"/>
  </w:num>
  <w:num w:numId="34" w16cid:durableId="1306230484">
    <w:abstractNumId w:val="6"/>
  </w:num>
  <w:num w:numId="35" w16cid:durableId="24066917">
    <w:abstractNumId w:val="12"/>
  </w:num>
  <w:num w:numId="36" w16cid:durableId="48543658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QCDateTime" w:val="2026-01-22 09:43:0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38E68A71-60A1-49F3-8385-4AA15DCFB81B"/>
    <w:docVar w:name="LW_COVERPAGE_TYPE" w:val="1"/>
    <w:docVar w:name="LW_CreatedUtc" w:val="2025-09-04T16:00:38.0896335Z"/>
    <w:docVar w:name="LW_CROSSREFERENCE" w:val="&lt;UNUSED&gt;"/>
    <w:docVar w:name="LW_DATE.ADOPT.CP" w:val="vom XXX"/>
    <w:docVar w:name="LW_DATE.ADOPT.CP_DATEFORMAT" w:val="vom %DATE%"/>
    <w:docVar w:name="LW_DATE.ADOPT.CP_ISODATE" w:val="&lt;EMPTY&gt;"/>
    <w:docVar w:name="LW_DocType" w:val="COM"/>
    <w:docVar w:name="LW_EMISSION" w:val="&lt;EMPTY&gt;"/>
    <w:docVar w:name="LW_EMISSION_ISODATE" w:val="&lt;EMPTY&gt;"/>
    <w:docVar w:name="LW_EMISSION_LOCATION" w:val="BRX"/>
    <w:docVar w:name="LW_EMISSION_PREFIX" w:val="Brüssel, den"/>
    <w:docVar w:name="LW_EMISSION_SUFFIX" w:val=" "/>
    <w:docVar w:name="LW_ID_DOCMODEL" w:val="SJ-004"/>
    <w:docVar w:name="LW_ID_DOCSIGNATURE" w:val="SJ-004"/>
    <w:docVar w:name="LW_ID_DOCSTRUCTURE" w:val="COM/AA"/>
    <w:docVar w:name="LW_ID_DOCTYPE" w:val="SJ-004"/>
    <w:docVar w:name="LW_INTERETEEE.CP" w:val="(Text von Bedeutung für den EWR)"/>
    <w:docVar w:name="LW_LANGUE" w:val="DE"/>
    <w:docVar w:name="LW_LANGUESFAISANTFOI.CP" w:val="&lt;UNUSED&gt;"/>
    <w:docVar w:name="LW_LEVEL_OF_SENSITIVITY" w:val="Standard treatment"/>
    <w:docVar w:name="LW_NOM.INST" w:val="EUROPÄISCHE KOMMISSION"/>
    <w:docVar w:name="LW_NOM.INST_JOINTDOC" w:val="&lt;EMPTY&gt;"/>
    <w:docVar w:name="LW_PART_NBR" w:val="1"/>
    <w:docVar w:name="LW_PART_NBR_TOTAL" w:val="1"/>
    <w:docVar w:name="LW_REF.INST.NEW" w:val="&lt;EMPTY&gt;"/>
    <w:docVar w:name="LW_REF.INST.NEW_ADOPTED" w:val="draft"/>
    <w:docVar w:name="LW_REF.INST.NEW_TEXT" w:val="(2026)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zur Änderung der in der Durchführungsverordnung (EU) 2021/622 festgelegten technischen Durchführungsstandards im Hinblick auf die Meldehäufigkeit und die zu meldenden Informationen"/>
    <w:docVar w:name="LW_TYPE.DOC.CP" w:val="DURCHFÜHRUNGSVERORDNUNG (EU) .../... DER KOMMISSION"/>
  </w:docVars>
  <w:rsids>
    <w:rsidRoot w:val="00C16484"/>
    <w:rsid w:val="00000BE0"/>
    <w:rsid w:val="00016399"/>
    <w:rsid w:val="000417C4"/>
    <w:rsid w:val="00045B9F"/>
    <w:rsid w:val="000625FB"/>
    <w:rsid w:val="00075947"/>
    <w:rsid w:val="000A663E"/>
    <w:rsid w:val="000B5B60"/>
    <w:rsid w:val="000B7A7D"/>
    <w:rsid w:val="000C320E"/>
    <w:rsid w:val="000D3BC2"/>
    <w:rsid w:val="000E5499"/>
    <w:rsid w:val="00115188"/>
    <w:rsid w:val="001151E7"/>
    <w:rsid w:val="00125199"/>
    <w:rsid w:val="0013305B"/>
    <w:rsid w:val="00143ED4"/>
    <w:rsid w:val="00152894"/>
    <w:rsid w:val="0017762B"/>
    <w:rsid w:val="0018141D"/>
    <w:rsid w:val="001A25E7"/>
    <w:rsid w:val="001A6BDC"/>
    <w:rsid w:val="001E3098"/>
    <w:rsid w:val="001E39BF"/>
    <w:rsid w:val="001F2AC0"/>
    <w:rsid w:val="001F4496"/>
    <w:rsid w:val="00214607"/>
    <w:rsid w:val="002259CF"/>
    <w:rsid w:val="002266B1"/>
    <w:rsid w:val="00230F4F"/>
    <w:rsid w:val="00235A60"/>
    <w:rsid w:val="00244085"/>
    <w:rsid w:val="00244C17"/>
    <w:rsid w:val="00244DFD"/>
    <w:rsid w:val="00246E59"/>
    <w:rsid w:val="00264589"/>
    <w:rsid w:val="0029415E"/>
    <w:rsid w:val="002A43D8"/>
    <w:rsid w:val="002A753D"/>
    <w:rsid w:val="002B37B6"/>
    <w:rsid w:val="002D6B17"/>
    <w:rsid w:val="002F1710"/>
    <w:rsid w:val="0030490D"/>
    <w:rsid w:val="00313AC1"/>
    <w:rsid w:val="00325B37"/>
    <w:rsid w:val="00331377"/>
    <w:rsid w:val="003428AE"/>
    <w:rsid w:val="00353536"/>
    <w:rsid w:val="00364262"/>
    <w:rsid w:val="00373FC4"/>
    <w:rsid w:val="0038290C"/>
    <w:rsid w:val="003838B9"/>
    <w:rsid w:val="00396ACD"/>
    <w:rsid w:val="003B10ED"/>
    <w:rsid w:val="003E05B8"/>
    <w:rsid w:val="003E3FC7"/>
    <w:rsid w:val="003E7D8F"/>
    <w:rsid w:val="003F2A70"/>
    <w:rsid w:val="00401F3A"/>
    <w:rsid w:val="00406CBA"/>
    <w:rsid w:val="004138D9"/>
    <w:rsid w:val="004211F5"/>
    <w:rsid w:val="0042702A"/>
    <w:rsid w:val="00437AA5"/>
    <w:rsid w:val="004518ED"/>
    <w:rsid w:val="00485F6A"/>
    <w:rsid w:val="004918DE"/>
    <w:rsid w:val="00492396"/>
    <w:rsid w:val="004B4C38"/>
    <w:rsid w:val="004D7D54"/>
    <w:rsid w:val="004E19F9"/>
    <w:rsid w:val="004E763F"/>
    <w:rsid w:val="004F04FA"/>
    <w:rsid w:val="004F588A"/>
    <w:rsid w:val="004F6513"/>
    <w:rsid w:val="00506B49"/>
    <w:rsid w:val="00507FF2"/>
    <w:rsid w:val="00517205"/>
    <w:rsid w:val="0052508D"/>
    <w:rsid w:val="00534D3A"/>
    <w:rsid w:val="0054013D"/>
    <w:rsid w:val="00542487"/>
    <w:rsid w:val="00557EAF"/>
    <w:rsid w:val="00582810"/>
    <w:rsid w:val="0058683E"/>
    <w:rsid w:val="005929F6"/>
    <w:rsid w:val="00593EEC"/>
    <w:rsid w:val="00595540"/>
    <w:rsid w:val="005A5382"/>
    <w:rsid w:val="005A55F3"/>
    <w:rsid w:val="005B07E3"/>
    <w:rsid w:val="005B5FA6"/>
    <w:rsid w:val="005C1F43"/>
    <w:rsid w:val="005D1478"/>
    <w:rsid w:val="005D2C73"/>
    <w:rsid w:val="005D6AA6"/>
    <w:rsid w:val="005E2634"/>
    <w:rsid w:val="005F2B9A"/>
    <w:rsid w:val="00603E01"/>
    <w:rsid w:val="0061453F"/>
    <w:rsid w:val="00642760"/>
    <w:rsid w:val="00643DEF"/>
    <w:rsid w:val="006654AB"/>
    <w:rsid w:val="00667F1D"/>
    <w:rsid w:val="006700C7"/>
    <w:rsid w:val="00685D33"/>
    <w:rsid w:val="006D3FD5"/>
    <w:rsid w:val="006D6949"/>
    <w:rsid w:val="006F20E7"/>
    <w:rsid w:val="006F7EFE"/>
    <w:rsid w:val="007142D9"/>
    <w:rsid w:val="00752552"/>
    <w:rsid w:val="007638EF"/>
    <w:rsid w:val="00763F6E"/>
    <w:rsid w:val="00781585"/>
    <w:rsid w:val="00783A3B"/>
    <w:rsid w:val="007878CB"/>
    <w:rsid w:val="00787E7C"/>
    <w:rsid w:val="0079599D"/>
    <w:rsid w:val="007A7287"/>
    <w:rsid w:val="007D0861"/>
    <w:rsid w:val="007D3D95"/>
    <w:rsid w:val="007E010B"/>
    <w:rsid w:val="007F5C7C"/>
    <w:rsid w:val="00801EB4"/>
    <w:rsid w:val="00802FC2"/>
    <w:rsid w:val="00813837"/>
    <w:rsid w:val="00816A7B"/>
    <w:rsid w:val="00817121"/>
    <w:rsid w:val="00830365"/>
    <w:rsid w:val="00833B73"/>
    <w:rsid w:val="00843817"/>
    <w:rsid w:val="008460B7"/>
    <w:rsid w:val="00847915"/>
    <w:rsid w:val="008601F7"/>
    <w:rsid w:val="00861270"/>
    <w:rsid w:val="00874305"/>
    <w:rsid w:val="00880A77"/>
    <w:rsid w:val="00897749"/>
    <w:rsid w:val="008A3F6C"/>
    <w:rsid w:val="008B07C8"/>
    <w:rsid w:val="008B3C68"/>
    <w:rsid w:val="008B6AF9"/>
    <w:rsid w:val="008D3EC5"/>
    <w:rsid w:val="008D4062"/>
    <w:rsid w:val="008E2694"/>
    <w:rsid w:val="008E2E76"/>
    <w:rsid w:val="008F234A"/>
    <w:rsid w:val="008F28CB"/>
    <w:rsid w:val="00902ADE"/>
    <w:rsid w:val="00910118"/>
    <w:rsid w:val="00917A1D"/>
    <w:rsid w:val="00940731"/>
    <w:rsid w:val="009430FB"/>
    <w:rsid w:val="00943538"/>
    <w:rsid w:val="009526D5"/>
    <w:rsid w:val="0095347B"/>
    <w:rsid w:val="00962953"/>
    <w:rsid w:val="00964D55"/>
    <w:rsid w:val="00980CC9"/>
    <w:rsid w:val="009957C5"/>
    <w:rsid w:val="009A4095"/>
    <w:rsid w:val="009B0295"/>
    <w:rsid w:val="009C1E02"/>
    <w:rsid w:val="009D2368"/>
    <w:rsid w:val="009D5F8B"/>
    <w:rsid w:val="009F3A7A"/>
    <w:rsid w:val="00A03DA8"/>
    <w:rsid w:val="00A05FAB"/>
    <w:rsid w:val="00A24E3D"/>
    <w:rsid w:val="00A37D2E"/>
    <w:rsid w:val="00A4162C"/>
    <w:rsid w:val="00A41677"/>
    <w:rsid w:val="00A54A8C"/>
    <w:rsid w:val="00A564DC"/>
    <w:rsid w:val="00A565C7"/>
    <w:rsid w:val="00A719DF"/>
    <w:rsid w:val="00A7647B"/>
    <w:rsid w:val="00AA038B"/>
    <w:rsid w:val="00AB034D"/>
    <w:rsid w:val="00AC6B16"/>
    <w:rsid w:val="00AD5257"/>
    <w:rsid w:val="00AE4482"/>
    <w:rsid w:val="00B01072"/>
    <w:rsid w:val="00B136EC"/>
    <w:rsid w:val="00B14B01"/>
    <w:rsid w:val="00B43EBD"/>
    <w:rsid w:val="00B65FB3"/>
    <w:rsid w:val="00B66E09"/>
    <w:rsid w:val="00B956B7"/>
    <w:rsid w:val="00B95D78"/>
    <w:rsid w:val="00B97308"/>
    <w:rsid w:val="00BB3BEC"/>
    <w:rsid w:val="00BD02BB"/>
    <w:rsid w:val="00BD3885"/>
    <w:rsid w:val="00BD66E4"/>
    <w:rsid w:val="00C059B6"/>
    <w:rsid w:val="00C10CA6"/>
    <w:rsid w:val="00C11798"/>
    <w:rsid w:val="00C16484"/>
    <w:rsid w:val="00C21AB2"/>
    <w:rsid w:val="00C27976"/>
    <w:rsid w:val="00C3731F"/>
    <w:rsid w:val="00C62388"/>
    <w:rsid w:val="00C63550"/>
    <w:rsid w:val="00C637B0"/>
    <w:rsid w:val="00C64CCC"/>
    <w:rsid w:val="00C659ED"/>
    <w:rsid w:val="00C73095"/>
    <w:rsid w:val="00C87FB3"/>
    <w:rsid w:val="00C9384A"/>
    <w:rsid w:val="00C9629C"/>
    <w:rsid w:val="00C96395"/>
    <w:rsid w:val="00C96A56"/>
    <w:rsid w:val="00CA156D"/>
    <w:rsid w:val="00CA57DA"/>
    <w:rsid w:val="00CA7FE1"/>
    <w:rsid w:val="00CC58EB"/>
    <w:rsid w:val="00CE1382"/>
    <w:rsid w:val="00D02FAD"/>
    <w:rsid w:val="00D0530E"/>
    <w:rsid w:val="00D05DED"/>
    <w:rsid w:val="00D206AC"/>
    <w:rsid w:val="00D47F83"/>
    <w:rsid w:val="00D5454C"/>
    <w:rsid w:val="00D55CE9"/>
    <w:rsid w:val="00D564F7"/>
    <w:rsid w:val="00D72038"/>
    <w:rsid w:val="00D763BC"/>
    <w:rsid w:val="00D872A1"/>
    <w:rsid w:val="00D93F2F"/>
    <w:rsid w:val="00D966E8"/>
    <w:rsid w:val="00DB4B20"/>
    <w:rsid w:val="00DC3AD5"/>
    <w:rsid w:val="00DC5E29"/>
    <w:rsid w:val="00DD4285"/>
    <w:rsid w:val="00DF1FB9"/>
    <w:rsid w:val="00DF36A6"/>
    <w:rsid w:val="00E07235"/>
    <w:rsid w:val="00E23B80"/>
    <w:rsid w:val="00E25A5F"/>
    <w:rsid w:val="00E32BAC"/>
    <w:rsid w:val="00E33C9F"/>
    <w:rsid w:val="00E36D1F"/>
    <w:rsid w:val="00E42E7E"/>
    <w:rsid w:val="00E43152"/>
    <w:rsid w:val="00E50E5B"/>
    <w:rsid w:val="00E667BA"/>
    <w:rsid w:val="00E7044F"/>
    <w:rsid w:val="00E82B0B"/>
    <w:rsid w:val="00E873DD"/>
    <w:rsid w:val="00E932C3"/>
    <w:rsid w:val="00E979AB"/>
    <w:rsid w:val="00EB3279"/>
    <w:rsid w:val="00EC332E"/>
    <w:rsid w:val="00EC39BC"/>
    <w:rsid w:val="00EE0749"/>
    <w:rsid w:val="00EE140B"/>
    <w:rsid w:val="00EE441C"/>
    <w:rsid w:val="00EE54B9"/>
    <w:rsid w:val="00F07F26"/>
    <w:rsid w:val="00F35BD7"/>
    <w:rsid w:val="00F36982"/>
    <w:rsid w:val="00F41DDB"/>
    <w:rsid w:val="00F629AC"/>
    <w:rsid w:val="00F9249D"/>
    <w:rsid w:val="00F95ED9"/>
    <w:rsid w:val="00FA0BAF"/>
    <w:rsid w:val="00FA10AB"/>
    <w:rsid w:val="00FA382E"/>
    <w:rsid w:val="00FA715C"/>
    <w:rsid w:val="00FB22DB"/>
    <w:rsid w:val="00FC0C7B"/>
    <w:rsid w:val="00FC2396"/>
    <w:rsid w:val="00FC5252"/>
    <w:rsid w:val="00FD060F"/>
    <w:rsid w:val="00FD1723"/>
    <w:rsid w:val="00FD5032"/>
    <w:rsid w:val="00FE7BD1"/>
    <w:rsid w:val="00FF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8EC4F20"/>
  <w15:docId w15:val="{EDD646E4-8E0C-487A-842A-DA74770F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16484"/>
    <w:pPr>
      <w:numPr>
        <w:numId w:val="1"/>
      </w:numPr>
      <w:tabs>
        <w:tab w:val="clear" w:pos="360"/>
      </w:tabs>
      <w:ind w:left="0" w:firstLine="0"/>
    </w:pPr>
    <w:rPr>
      <w:rFonts w:eastAsia="Times New Roman"/>
      <w:lang w:eastAsia="en-GB"/>
    </w:rPr>
  </w:style>
  <w:style w:type="character" w:styleId="Hyperlink">
    <w:name w:val="Hyperlink"/>
    <w:basedOn w:val="DefaultParagraphFont"/>
    <w:uiPriority w:val="99"/>
    <w:rsid w:val="00C16484"/>
    <w:rPr>
      <w:rFonts w:asciiTheme="majorHAnsi" w:hAnsiTheme="majorHAnsi"/>
      <w:color w:val="F79646" w:themeColor="accent6"/>
      <w:u w:val="single"/>
    </w:rPr>
  </w:style>
  <w:style w:type="numbering" w:customStyle="1" w:styleId="LFO29">
    <w:name w:val="LFO29"/>
    <w:basedOn w:val="NoList"/>
    <w:rsid w:val="00C16484"/>
  </w:style>
  <w:style w:type="paragraph" w:styleId="ListBullet2">
    <w:name w:val="List Bullet 2"/>
    <w:basedOn w:val="Normal"/>
    <w:uiPriority w:val="99"/>
    <w:semiHidden/>
    <w:unhideWhenUsed/>
    <w:rsid w:val="00F9249D"/>
    <w:pPr>
      <w:numPr>
        <w:numId w:val="3"/>
      </w:numPr>
      <w:contextualSpacing/>
    </w:pPr>
  </w:style>
  <w:style w:type="paragraph" w:styleId="ListBullet3">
    <w:name w:val="List Bullet 3"/>
    <w:basedOn w:val="Normal"/>
    <w:uiPriority w:val="99"/>
    <w:semiHidden/>
    <w:unhideWhenUsed/>
    <w:rsid w:val="00F9249D"/>
    <w:pPr>
      <w:numPr>
        <w:numId w:val="4"/>
      </w:numPr>
      <w:contextualSpacing/>
    </w:pPr>
  </w:style>
  <w:style w:type="paragraph" w:styleId="ListBullet4">
    <w:name w:val="List Bullet 4"/>
    <w:basedOn w:val="Normal"/>
    <w:uiPriority w:val="99"/>
    <w:semiHidden/>
    <w:unhideWhenUsed/>
    <w:rsid w:val="00F9249D"/>
    <w:pPr>
      <w:numPr>
        <w:numId w:val="5"/>
      </w:numPr>
      <w:contextualSpacing/>
    </w:pPr>
  </w:style>
  <w:style w:type="character" w:styleId="CommentReference">
    <w:name w:val="annotation reference"/>
    <w:basedOn w:val="DefaultParagraphFont"/>
    <w:uiPriority w:val="99"/>
    <w:semiHidden/>
    <w:unhideWhenUsed/>
    <w:rsid w:val="008A3F6C"/>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e-DE"/>
    </w:rPr>
  </w:style>
  <w:style w:type="paragraph" w:styleId="Revision">
    <w:name w:val="Revision"/>
    <w:hidden/>
    <w:uiPriority w:val="99"/>
    <w:semiHidden/>
    <w:rsid w:val="005929F6"/>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CA7FE1"/>
    <w:rPr>
      <w:b/>
      <w:bCs/>
    </w:rPr>
  </w:style>
  <w:style w:type="character" w:customStyle="1" w:styleId="CommentSubjectChar">
    <w:name w:val="Comment Subject Char"/>
    <w:basedOn w:val="CommentTextChar"/>
    <w:link w:val="CommentSubject"/>
    <w:uiPriority w:val="99"/>
    <w:semiHidden/>
    <w:rsid w:val="00CA7FE1"/>
    <w:rPr>
      <w:rFonts w:ascii="Times New Roman" w:hAnsi="Times New Roman" w:cs="Times New Roman"/>
      <w:b/>
      <w:bCs/>
      <w:sz w:val="20"/>
      <w:szCs w:val="20"/>
      <w:lang w:val="de-DE"/>
    </w:rPr>
  </w:style>
  <w:style w:type="paragraph" w:styleId="NormalWeb">
    <w:name w:val="Normal (Web)"/>
    <w:basedOn w:val="Normal"/>
    <w:uiPriority w:val="99"/>
    <w:semiHidden/>
    <w:unhideWhenUsed/>
    <w:rsid w:val="00373FC4"/>
    <w:rPr>
      <w:szCs w:val="24"/>
    </w:rPr>
  </w:style>
  <w:style w:type="character" w:styleId="UnresolvedMention">
    <w:name w:val="Unresolved Mention"/>
    <w:basedOn w:val="DefaultParagraphFont"/>
    <w:uiPriority w:val="99"/>
    <w:semiHidden/>
    <w:unhideWhenUsed/>
    <w:rsid w:val="00373FC4"/>
    <w:rPr>
      <w:color w:val="605E5C"/>
      <w:shd w:val="clear" w:color="auto" w:fill="E1DFDD"/>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2176">
      <w:bodyDiv w:val="1"/>
      <w:marLeft w:val="0"/>
      <w:marRight w:val="0"/>
      <w:marTop w:val="0"/>
      <w:marBottom w:val="0"/>
      <w:divBdr>
        <w:top w:val="none" w:sz="0" w:space="0" w:color="auto"/>
        <w:left w:val="none" w:sz="0" w:space="0" w:color="auto"/>
        <w:bottom w:val="none" w:sz="0" w:space="0" w:color="auto"/>
        <w:right w:val="none" w:sz="0" w:space="0" w:color="auto"/>
      </w:divBdr>
      <w:divsChild>
        <w:div w:id="1504860669">
          <w:marLeft w:val="0"/>
          <w:marRight w:val="0"/>
          <w:marTop w:val="0"/>
          <w:marBottom w:val="0"/>
          <w:divBdr>
            <w:top w:val="none" w:sz="0" w:space="0" w:color="auto"/>
            <w:left w:val="none" w:sz="0" w:space="0" w:color="auto"/>
            <w:bottom w:val="none" w:sz="0" w:space="0" w:color="auto"/>
            <w:right w:val="none" w:sz="0" w:space="0" w:color="auto"/>
          </w:divBdr>
          <w:divsChild>
            <w:div w:id="20509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02523">
      <w:bodyDiv w:val="1"/>
      <w:marLeft w:val="0"/>
      <w:marRight w:val="0"/>
      <w:marTop w:val="0"/>
      <w:marBottom w:val="0"/>
      <w:divBdr>
        <w:top w:val="none" w:sz="0" w:space="0" w:color="auto"/>
        <w:left w:val="none" w:sz="0" w:space="0" w:color="auto"/>
        <w:bottom w:val="none" w:sz="0" w:space="0" w:color="auto"/>
        <w:right w:val="none" w:sz="0" w:space="0" w:color="auto"/>
      </w:divBdr>
    </w:div>
    <w:div w:id="2009358183">
      <w:bodyDiv w:val="1"/>
      <w:marLeft w:val="0"/>
      <w:marRight w:val="0"/>
      <w:marTop w:val="0"/>
      <w:marBottom w:val="0"/>
      <w:divBdr>
        <w:top w:val="none" w:sz="0" w:space="0" w:color="auto"/>
        <w:left w:val="none" w:sz="0" w:space="0" w:color="auto"/>
        <w:bottom w:val="none" w:sz="0" w:space="0" w:color="auto"/>
        <w:right w:val="none" w:sz="0" w:space="0" w:color="auto"/>
      </w:divBdr>
    </w:div>
    <w:div w:id="2089576247">
      <w:bodyDiv w:val="1"/>
      <w:marLeft w:val="0"/>
      <w:marRight w:val="0"/>
      <w:marTop w:val="0"/>
      <w:marBottom w:val="0"/>
      <w:divBdr>
        <w:top w:val="none" w:sz="0" w:space="0" w:color="auto"/>
        <w:left w:val="none" w:sz="0" w:space="0" w:color="auto"/>
        <w:bottom w:val="none" w:sz="0" w:space="0" w:color="auto"/>
        <w:right w:val="none" w:sz="0" w:space="0" w:color="auto"/>
      </w:divBdr>
      <w:divsChild>
        <w:div w:id="1220244498">
          <w:marLeft w:val="0"/>
          <w:marRight w:val="0"/>
          <w:marTop w:val="0"/>
          <w:marBottom w:val="0"/>
          <w:divBdr>
            <w:top w:val="none" w:sz="0" w:space="0" w:color="auto"/>
            <w:left w:val="none" w:sz="0" w:space="0" w:color="auto"/>
            <w:bottom w:val="none" w:sz="0" w:space="0" w:color="auto"/>
            <w:right w:val="none" w:sz="0" w:space="0" w:color="auto"/>
          </w:divBdr>
          <w:divsChild>
            <w:div w:id="861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_impl/2021/622/oj." TargetMode="External"/><Relationship Id="rId2" Type="http://schemas.openxmlformats.org/officeDocument/2006/relationships/hyperlink" Target="http://data.europa.eu/eli/dir/2024/1174/oj." TargetMode="External"/><Relationship Id="rId1" Type="http://schemas.openxmlformats.org/officeDocument/2006/relationships/hyperlink" Target="http://data.europa.eu/eli/dir/2014/59/oj" TargetMode="External"/><Relationship Id="rId5" Type="http://schemas.openxmlformats.org/officeDocument/2006/relationships/hyperlink" Target="http://data.europa.eu/eli/reg/2010/1093/oj." TargetMode="External"/><Relationship Id="rId4" Type="http://schemas.openxmlformats.org/officeDocument/2006/relationships/hyperlink" Target="http://data.europa.eu/eli/reg_impl/2021/763/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b8f93157aac40d6a7319473491243df0">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c8488e7b63ff9a6a107f3024ce322df4"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74AB9-05CF-4E22-8B2B-667D523C417F}">
  <ds:schemaRefs>
    <ds:schemaRef ds:uri="http://schemas.microsoft.com/sharepoint/v3/contenttype/forms"/>
  </ds:schemaRefs>
</ds:datastoreItem>
</file>

<file path=customXml/itemProps2.xml><?xml version="1.0" encoding="utf-8"?>
<ds:datastoreItem xmlns:ds="http://schemas.openxmlformats.org/officeDocument/2006/customXml" ds:itemID="{3789B0AD-1837-436D-8ABC-63303F7E4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BD7AB-07EA-4D67-A4B9-4D33FF7955F7}">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4.xml><?xml version="1.0" encoding="utf-8"?>
<ds:datastoreItem xmlns:ds="http://schemas.openxmlformats.org/officeDocument/2006/customXml" ds:itemID="{F14AF581-33E3-408E-95CD-709B93E99837}">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COM.dotm</Template>
  <TotalTime>0</TotalTime>
  <Pages>2</Pages>
  <Words>856</Words>
  <Characters>5547</Characters>
  <Application>Microsoft Office Word</Application>
  <DocSecurity>0</DocSecurity>
  <Lines>109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Links>
    <vt:vector size="12" baseType="variant">
      <vt:variant>
        <vt:i4>6291564</vt:i4>
      </vt:variant>
      <vt:variant>
        <vt:i4>3</vt:i4>
      </vt:variant>
      <vt:variant>
        <vt:i4>0</vt:i4>
      </vt:variant>
      <vt:variant>
        <vt:i4>5</vt:i4>
      </vt:variant>
      <vt:variant>
        <vt:lpwstr>http://data.europa.eu/eli/reg/2010/1093/oj</vt:lpwstr>
      </vt:variant>
      <vt:variant>
        <vt:lpwstr/>
      </vt:variant>
      <vt:variant>
        <vt:i4>5570645</vt:i4>
      </vt:variant>
      <vt:variant>
        <vt:i4>0</vt:i4>
      </vt:variant>
      <vt:variant>
        <vt:i4>0</vt:i4>
      </vt:variant>
      <vt:variant>
        <vt:i4>5</vt:i4>
      </vt:variant>
      <vt:variant>
        <vt:lpwstr>http://data.europa.eu/eli/dir/2014/59/oj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DQC</dc:creator>
  <cp:keywords/>
  <dc:description/>
  <cp:lastModifiedBy>LISS Andres (DGT)</cp:lastModifiedBy>
  <cp:revision>30</cp:revision>
  <dcterms:created xsi:type="dcterms:W3CDTF">2025-12-05T16:19:00Z</dcterms:created>
  <dcterms:modified xsi:type="dcterms:W3CDTF">2026-01-22T08:43:00Z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8.0.19.5</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GrammarlyDocumentId">
    <vt:lpwstr>45e7adda-2841-4732-9409-07daf4dd17e0</vt:lpwstr>
  </property>
  <property fmtid="{D5CDD505-2E9C-101B-9397-08002B2CF9AE}" pid="11" name="ClassificationContentMarkingHeaderShapeIds">
    <vt:lpwstr>5bd6ffca,36e22233,44991716</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MSIP_Label_6bd9ddd1-4d20-43f6-abfa-fc3c07406f94_Enabled">
    <vt:lpwstr>true</vt:lpwstr>
  </property>
  <property fmtid="{D5CDD505-2E9C-101B-9397-08002B2CF9AE}" pid="15" name="MSIP_Label_6bd9ddd1-4d20-43f6-abfa-fc3c07406f94_SetDate">
    <vt:lpwstr>2025-09-22T07:42:43Z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0c5e0d5a-b50c-4aad-8ac2-d3eb4c37e92e</vt:lpwstr>
  </property>
  <property fmtid="{D5CDD505-2E9C-101B-9397-08002B2CF9AE}" pid="20" name="MSIP_Label_6bd9ddd1-4d20-43f6-abfa-fc3c07406f94_ContentBits">
    <vt:lpwstr>0</vt:lpwstr>
  </property>
  <property fmtid="{D5CDD505-2E9C-101B-9397-08002B2CF9AE}" pid="21" name="MSIP_Label_6bd9ddd1-4d20-43f6-abfa-fc3c07406f94_Tag">
    <vt:lpwstr>10, 3, 0, 1</vt:lpwstr>
  </property>
  <property fmtid="{D5CDD505-2E9C-101B-9397-08002B2CF9AE}" pid="22" name="ContentTypeId">
    <vt:lpwstr>0x010100BAD999D84E12C74482EA5120F5227F6F00217DECAAC21D6B43958DFE68658C192E</vt:lpwstr>
  </property>
  <property fmtid="{D5CDD505-2E9C-101B-9397-08002B2CF9AE}" pid="23" name="MediaServiceImageTags">
    <vt:lpwstr/>
  </property>
  <property fmtid="{D5CDD505-2E9C-101B-9397-08002B2CF9AE}" pid="24" name="DQCStatus">
    <vt:lpwstr>Green (DQC version 03)</vt:lpwstr>
  </property>
</Properties>
</file>