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D1BF8" w14:textId="12F6CDBA" w:rsidR="004E763F" w:rsidRPr="00BF6203" w:rsidRDefault="00377769" w:rsidP="00BF6203">
      <w:pPr>
        <w:pStyle w:val="Pagedecouverture"/>
      </w:pPr>
      <w:r>
        <w:pict w14:anchorId="79ABA2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8B52908-C4CD-47A0-A455-021BD510E8E2" style="width:454.65pt;height:345.35pt">
            <v:imagedata r:id="rId11" o:title=""/>
          </v:shape>
        </w:pict>
      </w:r>
    </w:p>
    <w:p w14:paraId="1986B6EA" w14:textId="77777777" w:rsidR="00CE1382" w:rsidRPr="00BF6203" w:rsidRDefault="00CE1382" w:rsidP="003838B9">
      <w:pPr>
        <w:sectPr w:rsidR="00CE1382" w:rsidRPr="00BF6203" w:rsidSect="00A413F6">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5ADCEA6B" w14:textId="7A626EEB" w:rsidR="00C16484" w:rsidRPr="00BF6203" w:rsidRDefault="00BF6203" w:rsidP="00BF6203">
      <w:pPr>
        <w:pStyle w:val="Typedudocument"/>
      </w:pPr>
      <w:r w:rsidRPr="00BF6203">
        <w:lastRenderedPageBreak/>
        <w:t>РЕГЛАМЕНТ ЗА ИЗПЪЛНЕНИЕ (ЕС) .../… НА КОМИСИЯТА</w:t>
      </w:r>
    </w:p>
    <w:p w14:paraId="6819E66E" w14:textId="700209FD" w:rsidR="00C16484" w:rsidRPr="00BF6203" w:rsidRDefault="00BF6203" w:rsidP="00BF6203">
      <w:pPr>
        <w:pStyle w:val="Datedadoption"/>
      </w:pPr>
      <w:r w:rsidRPr="00BF6203">
        <w:t xml:space="preserve">от </w:t>
      </w:r>
      <w:r w:rsidRPr="00BF6203">
        <w:rPr>
          <w:rStyle w:val="Marker2"/>
        </w:rPr>
        <w:t>XXX</w:t>
      </w:r>
      <w:r w:rsidRPr="00BF6203">
        <w:t xml:space="preserve"> година</w:t>
      </w:r>
    </w:p>
    <w:p w14:paraId="44AA08D1" w14:textId="328D7440" w:rsidR="00C16484" w:rsidRPr="00BF6203" w:rsidRDefault="00BF6203" w:rsidP="00BF6203">
      <w:pPr>
        <w:pStyle w:val="Titreobjet"/>
      </w:pPr>
      <w:r w:rsidRPr="00BF6203">
        <w:t>за изменение на техническите стандарти за изпълнение в Регламент за изпълнение (ЕС) 2021/622 по отношение на периодичността на докладването и подлежащата на докладване информация</w:t>
      </w:r>
    </w:p>
    <w:p w14:paraId="4A210142" w14:textId="6F0B2F0E" w:rsidR="00C16484" w:rsidRPr="00BF6203" w:rsidRDefault="00BF6203" w:rsidP="00BF6203">
      <w:pPr>
        <w:pStyle w:val="IntrtEEE"/>
      </w:pPr>
      <w:r w:rsidRPr="00BF6203">
        <w:t>(текст от значение за ЕИП)</w:t>
      </w:r>
    </w:p>
    <w:p w14:paraId="6F3A17D1" w14:textId="77777777" w:rsidR="00C16484" w:rsidRPr="00BF6203" w:rsidRDefault="00C16484">
      <w:pPr>
        <w:pStyle w:val="Institutionquiagit"/>
      </w:pPr>
      <w:r w:rsidRPr="00BF6203">
        <w:t>ЕВРОПЕЙСКАТА КОМИСИЯ,</w:t>
      </w:r>
    </w:p>
    <w:p w14:paraId="22B09AC6" w14:textId="77777777" w:rsidR="00C16484" w:rsidRPr="00BF6203" w:rsidRDefault="00C16484">
      <w:r w:rsidRPr="00BF6203">
        <w:t>като взе предвид Договора за функционирането на Европейския съюз,</w:t>
      </w:r>
    </w:p>
    <w:p w14:paraId="6C2E5C7E" w14:textId="77777777" w:rsidR="00C16484" w:rsidRPr="00BF6203" w:rsidRDefault="00C16484">
      <w:r w:rsidRPr="00BF6203">
        <w:t>като взе предвид Директива 2014/59/ЕС на Европейския парламент и на Съвета от 15 май 2014 г. за създаване на рамка за възстановяване и преструктуриране на кредитни институции и инвестиционни посредници и за изменение на Директива 82/891/ЕИО на Съвета и директиви 2001/24/ЕО, 2002/47/ЕО, 2004/25/ЕО, 2005/56/ЕО, 2007/36/ЕО, 2011/35/ЕС, 2012/30/ЕС и 2013/36/ЕС и на регламенти (ЕС) № 1093/2010 и (ЕС) № 648/2012 на Европейския парламент и на Съвета</w:t>
      </w:r>
      <w:r w:rsidRPr="00BF6203">
        <w:rPr>
          <w:rStyle w:val="FootnoteReference"/>
        </w:rPr>
        <w:footnoteReference w:id="2"/>
      </w:r>
      <w:r w:rsidRPr="00BF6203">
        <w:t>, и по-специално член 45й, параграф 2, трета алинея от нея,</w:t>
      </w:r>
    </w:p>
    <w:p w14:paraId="499F4150" w14:textId="77777777" w:rsidR="00C16484" w:rsidRPr="00BF6203" w:rsidRDefault="00C16484">
      <w:r w:rsidRPr="00BF6203">
        <w:t>като има предвид, че:</w:t>
      </w:r>
    </w:p>
    <w:p w14:paraId="7D99777F" w14:textId="77777777" w:rsidR="003428AE" w:rsidRPr="00BF6203" w:rsidRDefault="003428AE" w:rsidP="004B4C38">
      <w:pPr>
        <w:pStyle w:val="Considrant"/>
        <w:numPr>
          <w:ilvl w:val="0"/>
          <w:numId w:val="2"/>
        </w:numPr>
        <w:rPr>
          <w:iCs/>
          <w:noProof/>
        </w:rPr>
      </w:pPr>
      <w:r w:rsidRPr="00BF6203">
        <w:t>С Директива (ЕС) 2024/1174 на Европейския парламент и на Съвета</w:t>
      </w:r>
      <w:r w:rsidRPr="00BF6203">
        <w:rPr>
          <w:rStyle w:val="FootnoteReference"/>
          <w:iCs/>
          <w:noProof/>
        </w:rPr>
        <w:footnoteReference w:id="3"/>
      </w:r>
      <w:r w:rsidRPr="00BF6203">
        <w:t xml:space="preserve"> бяха изменени някои аспекти на предвиденото в Директива 2014/59/ЕС минимално изискване за собствени средства и приемливи задължения (МИПЗ). Съгласно тези изменения органите за преструктуриране не следва да определят МИПЗ за ликвидационните субекти, освен когато определянето на МИПЗ, надвишаващо размера, достатъчен за покриване на загубите, е необходимо за защита на финансовата стабилност или за ограничаване на риска от разпространение на проблемите във финансовата система, включително по отношение на капацитета за финансиране на схемите за гарантиране на депозитите. Освен това с Директива (ЕС) 2024/1174 се увеличи броят на ситуациите, които позволяват на органите за преструктуриране да определят МИПЗ на консолидирана основа. Регламент за изпълнение (ЕС) 2021/622 на Комисията</w:t>
      </w:r>
      <w:r w:rsidRPr="00BF6203">
        <w:rPr>
          <w:rStyle w:val="FootnoteReference"/>
          <w:iCs/>
          <w:noProof/>
        </w:rPr>
        <w:footnoteReference w:id="4"/>
      </w:r>
      <w:r w:rsidRPr="00BF6203">
        <w:t xml:space="preserve"> следва да бъде изменен, за да се отразят тези нормативни промени относно МИПЗ в информацията, която трябва да се предоставя на Европейския банков орган (ЕБО).</w:t>
      </w:r>
    </w:p>
    <w:p w14:paraId="038A3063" w14:textId="77777777" w:rsidR="00C16484" w:rsidRPr="00BF6203" w:rsidRDefault="00A05FAB" w:rsidP="008B6AF9">
      <w:pPr>
        <w:pStyle w:val="Considrant"/>
        <w:numPr>
          <w:ilvl w:val="0"/>
          <w:numId w:val="2"/>
        </w:numPr>
        <w:rPr>
          <w:iCs/>
          <w:noProof/>
        </w:rPr>
      </w:pPr>
      <w:r w:rsidRPr="00BF6203">
        <w:t>Понастоящем Регламент за изпълнение (ЕС) 2021/622 изисква от органите за преструктуриране ежегодно да предоставят на ЕБО информация, свързана с определянето на МИПЗ. Впоследствие ЕБО съчетава тази информация с информацията за състава на собствените средства и приемливите задължения, получена по силата на Регламент за изпълнение (ЕС) 2021/763 на Комисията</w:t>
      </w:r>
      <w:r w:rsidRPr="00BF6203">
        <w:rPr>
          <w:rStyle w:val="FootnoteReference"/>
          <w:noProof/>
        </w:rPr>
        <w:footnoteReference w:id="5"/>
      </w:r>
      <w:r w:rsidRPr="00BF6203">
        <w:t>, за да изготвя в изпълнение на член 45л от Директива 2014/59/ЕС своя доклад за МИПЗ – понастоящем два пъти годишно. В момента информация за определянето на МИПЗ се предоставя веднъж годишно, което означава, че решенията за МИПЗ, приети от органите за преструктуриране след съответната референтна дата, не се предават на ЕБО, нито се оценяват от него и оттам – не се отразяват в неговите доклади чак до следващата година, което поражда несъответствия с по-актуалната информация за състава на собствените средства и приемливите задължения.</w:t>
      </w:r>
    </w:p>
    <w:p w14:paraId="676EF325" w14:textId="77777777" w:rsidR="00C16484" w:rsidRPr="00BF6203" w:rsidRDefault="00C16484" w:rsidP="004B4C38">
      <w:pPr>
        <w:pStyle w:val="Considrant"/>
        <w:numPr>
          <w:ilvl w:val="0"/>
          <w:numId w:val="2"/>
        </w:numPr>
        <w:rPr>
          <w:iCs/>
          <w:noProof/>
        </w:rPr>
      </w:pPr>
      <w:r w:rsidRPr="00BF6203">
        <w:t xml:space="preserve">С цел да се оптимизира наблюдаването и оценяването от ЕБО на определеното от органите за преструктуриране МИПЗ, както и съблюдаването от институциите на изискванията за МИПЗ, от органите за преструктуриране следва да се изиска да докладват по-често на ЕБО за решенията за МИПЗ. С оглед на съгласуваността с изготвяните от ЕБО доклади за МИПЗ, органите за преструктуриране следва да докладват тази информация два пъти годишно. </w:t>
      </w:r>
    </w:p>
    <w:p w14:paraId="2672C096" w14:textId="77777777" w:rsidR="00C16484" w:rsidRPr="00BF6203" w:rsidRDefault="00C16484" w:rsidP="004B4C38">
      <w:pPr>
        <w:pStyle w:val="Considrant"/>
        <w:numPr>
          <w:ilvl w:val="0"/>
          <w:numId w:val="2"/>
        </w:numPr>
        <w:rPr>
          <w:noProof/>
        </w:rPr>
      </w:pPr>
      <w:r w:rsidRPr="00BF6203">
        <w:t>С цел да се улесни оценяването от ЕБО на начина, по който органите за преструктуриране са упражнили правото си на преценка при определянето на МИПЗ, по-специално по отношение на предвидената в член 45б, параграф 4, първа алинея от Директива 2014/59/ЕС възможност, образец M 20.00 — Докладване относно решенията за МИПЗ (приложение I към Регламент (ЕС) 2021/622), и съответните указания следва да се изменят, за да се изиска включването на информация за упражняването на тази възможност.</w:t>
      </w:r>
    </w:p>
    <w:p w14:paraId="1B5314C9" w14:textId="77777777" w:rsidR="00C16484" w:rsidRPr="00BF6203" w:rsidRDefault="00C16484" w:rsidP="004B4C38">
      <w:pPr>
        <w:pStyle w:val="Considrant"/>
        <w:numPr>
          <w:ilvl w:val="0"/>
          <w:numId w:val="2"/>
        </w:numPr>
        <w:rPr>
          <w:noProof/>
        </w:rPr>
      </w:pPr>
      <w:r w:rsidRPr="00BF6203">
        <w:t>ЕБО поиска становището на създадената с член 37 от Регламент (ЕС) № 1093/2010 на Европейския парламент и на Съвета</w:t>
      </w:r>
      <w:r w:rsidRPr="00BF6203">
        <w:rPr>
          <w:rStyle w:val="FootnoteReference"/>
          <w:noProof/>
        </w:rPr>
        <w:footnoteReference w:id="6"/>
      </w:r>
      <w:r w:rsidRPr="00BF6203">
        <w:t xml:space="preserve"> Група на участниците от банковия сектор. </w:t>
      </w:r>
    </w:p>
    <w:p w14:paraId="5D5111C6" w14:textId="77777777" w:rsidR="00C16484" w:rsidRPr="00BF6203" w:rsidRDefault="00373FC4" w:rsidP="004B4C38">
      <w:pPr>
        <w:pStyle w:val="Considrant"/>
        <w:numPr>
          <w:ilvl w:val="0"/>
          <w:numId w:val="2"/>
        </w:numPr>
        <w:rPr>
          <w:noProof/>
        </w:rPr>
      </w:pPr>
      <w:r w:rsidRPr="00BF6203">
        <w:t xml:space="preserve">Измененията на Регламент (ЕС) 2021/622 са насочени към органите за преструктуриране и не съдържат значителни промени по същество. ЕБО сметна за нецелесъобразно, предвид обхвата и въздействието на предложените технически стандарти за изпълнение, да провежда открити обществени консултации по тях и да анализира свързаните с тях потенциални разходи и ползи, поради което не го направи – както е предвидено в член 15, параграф 1, втора алинея от Регламент (ЕС) № 1093/2010. </w:t>
      </w:r>
    </w:p>
    <w:p w14:paraId="0A23BFF6" w14:textId="77777777" w:rsidR="00C16484" w:rsidRPr="00BF6203" w:rsidRDefault="00C16484" w:rsidP="004B4C38">
      <w:pPr>
        <w:pStyle w:val="Considrant"/>
        <w:numPr>
          <w:ilvl w:val="0"/>
          <w:numId w:val="2"/>
        </w:numPr>
        <w:rPr>
          <w:noProof/>
        </w:rPr>
      </w:pPr>
      <w:r w:rsidRPr="00BF6203">
        <w:t>Поради това Регламент за изпълнение (ЕС) 2021/622 следва да бъде съответно изменен.</w:t>
      </w:r>
    </w:p>
    <w:p w14:paraId="1887EA7B" w14:textId="77777777" w:rsidR="00C16484" w:rsidRPr="00BF6203" w:rsidRDefault="00C16484" w:rsidP="004B4C38">
      <w:pPr>
        <w:pStyle w:val="Considrant"/>
        <w:numPr>
          <w:ilvl w:val="0"/>
          <w:numId w:val="2"/>
        </w:numPr>
        <w:rPr>
          <w:noProof/>
        </w:rPr>
      </w:pPr>
      <w:r w:rsidRPr="00BF6203">
        <w:t>Настоящият регламент е изготвен въз основа на проекта на технически стандарти за изпълнение, представен на Комисията от ЕБО,</w:t>
      </w:r>
    </w:p>
    <w:p w14:paraId="313B274F" w14:textId="77777777" w:rsidR="00C16484" w:rsidRPr="00BF6203" w:rsidRDefault="00C16484">
      <w:pPr>
        <w:pStyle w:val="Formuledadoption"/>
      </w:pPr>
      <w:r w:rsidRPr="00BF6203">
        <w:t>ПРИЕ НАСТОЯЩИЯ РЕГЛАМЕНТ:</w:t>
      </w:r>
    </w:p>
    <w:p w14:paraId="455FC522" w14:textId="77777777" w:rsidR="00C16484" w:rsidRPr="00BF6203" w:rsidRDefault="00C16484">
      <w:pPr>
        <w:pStyle w:val="Titrearticle"/>
      </w:pPr>
      <w:r w:rsidRPr="00BF6203">
        <w:t>Член 1</w:t>
      </w:r>
    </w:p>
    <w:p w14:paraId="061A957A" w14:textId="77777777" w:rsidR="00C16484" w:rsidRPr="00BF6203" w:rsidRDefault="00C16484" w:rsidP="00C16484">
      <w:pPr>
        <w:rPr>
          <w:noProof/>
        </w:rPr>
      </w:pPr>
      <w:r w:rsidRPr="00BF6203">
        <w:t>Регламент за изпълнение (ЕС) 2021/622 се изменя, както следва:</w:t>
      </w:r>
    </w:p>
    <w:p w14:paraId="44E520EB" w14:textId="7D472423" w:rsidR="00C16484" w:rsidRPr="00BF6203" w:rsidRDefault="00A413F6" w:rsidP="00A413F6">
      <w:pPr>
        <w:pStyle w:val="Point0"/>
        <w:rPr>
          <w:noProof/>
        </w:rPr>
      </w:pPr>
      <w:r>
        <w:t>1)</w:t>
      </w:r>
      <w:r>
        <w:tab/>
      </w:r>
      <w:r w:rsidR="00C16484" w:rsidRPr="00BF6203">
        <w:t>член 2 се изменя, както следва:</w:t>
      </w:r>
    </w:p>
    <w:p w14:paraId="252CA8AC" w14:textId="5BAF52B4" w:rsidR="00C16484" w:rsidRPr="00BF6203" w:rsidRDefault="00A413F6" w:rsidP="00A413F6">
      <w:pPr>
        <w:pStyle w:val="Point1"/>
        <w:rPr>
          <w:noProof/>
        </w:rPr>
      </w:pPr>
      <w:r>
        <w:t>а)</w:t>
      </w:r>
      <w:r>
        <w:tab/>
      </w:r>
      <w:r w:rsidR="00C16484" w:rsidRPr="00BF6203">
        <w:t>заглавието се заменя със следното:</w:t>
      </w:r>
    </w:p>
    <w:p w14:paraId="3D4F8508" w14:textId="77777777" w:rsidR="00C16484" w:rsidRPr="00BF6203" w:rsidRDefault="00C16484" w:rsidP="00783A3B">
      <w:pPr>
        <w:jc w:val="center"/>
        <w:rPr>
          <w:noProof/>
        </w:rPr>
      </w:pPr>
      <w:r w:rsidRPr="00BF6203">
        <w:t>„</w:t>
      </w:r>
      <w:r w:rsidRPr="00BF6203">
        <w:rPr>
          <w:b/>
        </w:rPr>
        <w:t>Опростено изискване за докладване за институциите, които подлежат на освобождаване</w:t>
      </w:r>
      <w:r w:rsidRPr="00BF6203">
        <w:t>“;</w:t>
      </w:r>
    </w:p>
    <w:p w14:paraId="2EAF66BD" w14:textId="64C77B27" w:rsidR="00C16484" w:rsidRPr="00BF6203" w:rsidRDefault="00A413F6" w:rsidP="00A413F6">
      <w:pPr>
        <w:pStyle w:val="Point1"/>
        <w:rPr>
          <w:noProof/>
        </w:rPr>
      </w:pPr>
      <w:r>
        <w:t>б)</w:t>
      </w:r>
      <w:r>
        <w:tab/>
      </w:r>
      <w:r w:rsidR="00C16484" w:rsidRPr="00BF6203">
        <w:t>параграф 2 се заличава;</w:t>
      </w:r>
    </w:p>
    <w:p w14:paraId="1A052A8B" w14:textId="21AAFFAF" w:rsidR="00C16484" w:rsidRPr="00BF6203" w:rsidRDefault="00A413F6" w:rsidP="00A413F6">
      <w:pPr>
        <w:pStyle w:val="Point0"/>
        <w:rPr>
          <w:noProof/>
        </w:rPr>
      </w:pPr>
      <w:r>
        <w:t>2)</w:t>
      </w:r>
      <w:r>
        <w:tab/>
      </w:r>
      <w:r w:rsidR="00C16484" w:rsidRPr="00BF6203">
        <w:t>в член 3 уводният текст се заменя със следното:</w:t>
      </w:r>
    </w:p>
    <w:p w14:paraId="533DCDB8" w14:textId="77777777" w:rsidR="00C16484" w:rsidRPr="00BF6203" w:rsidRDefault="00C16484" w:rsidP="00783A3B">
      <w:pPr>
        <w:rPr>
          <w:noProof/>
        </w:rPr>
      </w:pPr>
      <w:r w:rsidRPr="00BF6203">
        <w:t>„За групите, за които МИПЗ се прилага на консолидирана основа по силата на член 45д, член 45е, параграф 1, трета и четвърта алинея и член 45е, параграф 4, буква б) от Директива 2014/59/ЕС, посочената в членове 1 и 2 информация се подава от следните органи, както следва:“;</w:t>
      </w:r>
    </w:p>
    <w:p w14:paraId="0509E0AB" w14:textId="0764B696" w:rsidR="00C16484" w:rsidRPr="00BF6203" w:rsidRDefault="00A413F6" w:rsidP="00A413F6">
      <w:pPr>
        <w:pStyle w:val="Point0"/>
        <w:rPr>
          <w:noProof/>
        </w:rPr>
      </w:pPr>
      <w:r>
        <w:t>3)</w:t>
      </w:r>
      <w:r>
        <w:tab/>
      </w:r>
      <w:r w:rsidR="00C16484" w:rsidRPr="00BF6203">
        <w:t>член 4 се заменя със следното:</w:t>
      </w:r>
    </w:p>
    <w:p w14:paraId="66FCA4E9" w14:textId="77777777" w:rsidR="00C16484" w:rsidRPr="00BF6203" w:rsidRDefault="00D47F83" w:rsidP="00783A3B">
      <w:pPr>
        <w:pStyle w:val="Titrearticle"/>
        <w:rPr>
          <w:i w:val="0"/>
          <w:iCs/>
          <w:noProof/>
        </w:rPr>
      </w:pPr>
      <w:r w:rsidRPr="00BF6203">
        <w:rPr>
          <w:i w:val="0"/>
        </w:rPr>
        <w:t>„</w:t>
      </w:r>
      <w:r w:rsidRPr="00BF6203">
        <w:t xml:space="preserve">Член 4 </w:t>
      </w:r>
      <w:r w:rsidRPr="00BF6203">
        <w:br/>
      </w:r>
      <w:r w:rsidRPr="00BF6203">
        <w:rPr>
          <w:b/>
          <w:i w:val="0"/>
        </w:rPr>
        <w:t>Периоди на докладване и дати на предаване на информацията</w:t>
      </w:r>
    </w:p>
    <w:p w14:paraId="054F5F9B" w14:textId="77777777" w:rsidR="00C16484" w:rsidRPr="00BF6203" w:rsidRDefault="00C16484" w:rsidP="00783A3B">
      <w:pPr>
        <w:rPr>
          <w:noProof/>
        </w:rPr>
      </w:pPr>
      <w:r w:rsidRPr="00BF6203">
        <w:t>Органите за преструктуриране предават посочената в членове 1 и 2 информация, както следва:</w:t>
      </w:r>
    </w:p>
    <w:p w14:paraId="5113726F" w14:textId="68783996" w:rsidR="00C16484" w:rsidRPr="00BF6203" w:rsidRDefault="00A413F6" w:rsidP="00A413F6">
      <w:pPr>
        <w:pStyle w:val="Point1"/>
        <w:rPr>
          <w:noProof/>
        </w:rPr>
      </w:pPr>
      <w:r>
        <w:t>а)</w:t>
      </w:r>
      <w:r>
        <w:tab/>
      </w:r>
      <w:r w:rsidR="00C16484" w:rsidRPr="00BF6203">
        <w:t>за МИПЗ, приложимо от 30 юни – до 16 септември същата година;</w:t>
      </w:r>
    </w:p>
    <w:p w14:paraId="7219DDD8" w14:textId="3CA96D26" w:rsidR="00C16484" w:rsidRPr="00BF6203" w:rsidRDefault="00A413F6" w:rsidP="00A413F6">
      <w:pPr>
        <w:pStyle w:val="Point1"/>
        <w:rPr>
          <w:noProof/>
        </w:rPr>
      </w:pPr>
      <w:r>
        <w:t>б)</w:t>
      </w:r>
      <w:r>
        <w:tab/>
      </w:r>
      <w:r w:rsidR="00C16484" w:rsidRPr="00BF6203">
        <w:t>за МИПЗ, приложимо от 31 декември – до 18 март следващата година.“;</w:t>
      </w:r>
    </w:p>
    <w:p w14:paraId="65609948" w14:textId="0B78DCDF" w:rsidR="00C16484" w:rsidRPr="00BF6203" w:rsidRDefault="00A413F6" w:rsidP="00A413F6">
      <w:pPr>
        <w:pStyle w:val="Point0"/>
        <w:rPr>
          <w:noProof/>
        </w:rPr>
      </w:pPr>
      <w:r>
        <w:t>4)</w:t>
      </w:r>
      <w:r>
        <w:tab/>
      </w:r>
      <w:r w:rsidR="00C16484" w:rsidRPr="00BF6203">
        <w:t>приложение I се заменя с текста в приложение I към настоящия регламент;</w:t>
      </w:r>
    </w:p>
    <w:p w14:paraId="45E55C10" w14:textId="767ACC3A" w:rsidR="00C16484" w:rsidRPr="00BF6203" w:rsidRDefault="00A413F6" w:rsidP="00A413F6">
      <w:pPr>
        <w:pStyle w:val="Point0"/>
        <w:rPr>
          <w:noProof/>
        </w:rPr>
      </w:pPr>
      <w:r>
        <w:t>5)</w:t>
      </w:r>
      <w:r>
        <w:tab/>
      </w:r>
      <w:r w:rsidR="00C16484" w:rsidRPr="00BF6203">
        <w:t>приложение II се заменя с текста в приложение II към настоящия регламент.</w:t>
      </w:r>
    </w:p>
    <w:p w14:paraId="0B09A3CA" w14:textId="77777777" w:rsidR="00C16484" w:rsidRPr="00BF6203" w:rsidRDefault="00C16484">
      <w:pPr>
        <w:pStyle w:val="Titrearticle"/>
      </w:pPr>
      <w:r w:rsidRPr="00BF6203">
        <w:t>Член 2</w:t>
      </w:r>
    </w:p>
    <w:p w14:paraId="0BDD24EC" w14:textId="77777777" w:rsidR="00C16484" w:rsidRPr="00BF6203" w:rsidRDefault="00C16484" w:rsidP="00830365">
      <w:r w:rsidRPr="00BF6203">
        <w:t xml:space="preserve">Настоящият регламент влиза в сила на двадесетия ден след деня на публикуването му в </w:t>
      </w:r>
      <w:r w:rsidRPr="00BF6203">
        <w:rPr>
          <w:i/>
        </w:rPr>
        <w:t>Официален вестник на Европейския съюз</w:t>
      </w:r>
      <w:r w:rsidRPr="00BF6203">
        <w:t>.</w:t>
      </w:r>
    </w:p>
    <w:p w14:paraId="3DDE2F7A" w14:textId="77777777" w:rsidR="00C16484" w:rsidRPr="00BF6203" w:rsidRDefault="00C16484">
      <w:pPr>
        <w:pStyle w:val="Applicationdirecte"/>
      </w:pPr>
      <w:r w:rsidRPr="00BF6203">
        <w:t>Настоящият регламент е задължителен в своята цялост и се прилага пряко във всички държави членки.</w:t>
      </w:r>
    </w:p>
    <w:p w14:paraId="0FD02893" w14:textId="2DB8AE86" w:rsidR="00C16484" w:rsidRPr="00BF6203" w:rsidRDefault="00BF6203" w:rsidP="00BF6203">
      <w:pPr>
        <w:pStyle w:val="Fait"/>
      </w:pPr>
      <w:r w:rsidRPr="00BF6203">
        <w:t xml:space="preserve">Съставено в Брюксел на </w:t>
      </w:r>
      <w:r w:rsidRPr="00BF6203">
        <w:rPr>
          <w:rStyle w:val="Marker"/>
        </w:rPr>
        <w:t>[…]</w:t>
      </w:r>
      <w:r w:rsidRPr="00BF6203">
        <w:t xml:space="preserve"> година.</w:t>
      </w:r>
    </w:p>
    <w:p w14:paraId="3FB14D4B" w14:textId="77777777" w:rsidR="00C16484" w:rsidRPr="00BF6203" w:rsidRDefault="00C16484" w:rsidP="00C16484">
      <w:pPr>
        <w:pStyle w:val="Institutionquisigne"/>
      </w:pPr>
      <w:r w:rsidRPr="00BF6203">
        <w:tab/>
        <w:t>За Комисията</w:t>
      </w:r>
    </w:p>
    <w:p w14:paraId="0FEF1170" w14:textId="0CD182DE" w:rsidR="00C16484" w:rsidRPr="00BF6203" w:rsidRDefault="00C16484" w:rsidP="00C16484">
      <w:pPr>
        <w:pStyle w:val="Personnequisigne"/>
      </w:pPr>
      <w:r w:rsidRPr="00BF6203">
        <w:tab/>
        <w:t xml:space="preserve">Председател </w:t>
      </w:r>
      <w:r w:rsidRPr="00BF6203">
        <w:br/>
      </w:r>
      <w:r w:rsidRPr="00BF6203">
        <w:tab/>
        <w:t xml:space="preserve">Ursula von der Leyen </w:t>
      </w:r>
      <w:r w:rsidRPr="00BF6203">
        <w:br/>
      </w:r>
      <w:r w:rsidRPr="00BF6203">
        <w:tab/>
      </w:r>
    </w:p>
    <w:sectPr w:rsidR="00C16484" w:rsidRPr="00BF6203" w:rsidSect="00A413F6">
      <w:headerReference w:type="even" r:id="rId18"/>
      <w:footerReference w:type="even" r:id="rId19"/>
      <w:footerReference w:type="default" r:id="rId20"/>
      <w:headerReference w:type="first" r:id="rId21"/>
      <w:footerReference w:type="first" r:id="rId2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4D8F0" w14:textId="77777777" w:rsidR="00F07F26" w:rsidRDefault="00F07F26" w:rsidP="00C16484">
      <w:pPr>
        <w:spacing w:before="0" w:after="0"/>
      </w:pPr>
      <w:r>
        <w:separator/>
      </w:r>
    </w:p>
  </w:endnote>
  <w:endnote w:type="continuationSeparator" w:id="0">
    <w:p w14:paraId="61DF8EAB" w14:textId="77777777" w:rsidR="00F07F26" w:rsidRDefault="00F07F26" w:rsidP="00C16484">
      <w:pPr>
        <w:spacing w:before="0" w:after="0"/>
      </w:pPr>
      <w:r>
        <w:continuationSeparator/>
      </w:r>
    </w:p>
  </w:endnote>
  <w:endnote w:type="continuationNotice" w:id="1">
    <w:p w14:paraId="04F6DC9C" w14:textId="77777777" w:rsidR="00F07F26" w:rsidRDefault="00F07F2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1F6E0" w14:textId="6B4154AE" w:rsidR="00BF6203" w:rsidRPr="00A413F6" w:rsidRDefault="00A413F6" w:rsidP="00A413F6">
    <w:pPr>
      <w:pStyle w:val="Footer"/>
      <w:rPr>
        <w:rFonts w:ascii="Arial" w:hAnsi="Arial" w:cs="Arial"/>
        <w:b/>
        <w:sz w:val="48"/>
      </w:rPr>
    </w:pPr>
    <w:r w:rsidRPr="00A413F6">
      <w:rPr>
        <w:rFonts w:ascii="Arial" w:hAnsi="Arial" w:cs="Arial"/>
        <w:b/>
        <w:sz w:val="48"/>
      </w:rPr>
      <w:t>BG</w:t>
    </w:r>
    <w:r w:rsidRPr="00A413F6">
      <w:rPr>
        <w:rFonts w:ascii="Arial" w:hAnsi="Arial" w:cs="Arial"/>
        <w:b/>
        <w:sz w:val="48"/>
      </w:rPr>
      <w:tab/>
    </w:r>
    <w:r w:rsidRPr="00A413F6">
      <w:rPr>
        <w:rFonts w:ascii="Arial" w:hAnsi="Arial" w:cs="Arial"/>
        <w:b/>
        <w:sz w:val="48"/>
      </w:rPr>
      <w:tab/>
    </w:r>
    <w:r w:rsidRPr="00A413F6">
      <w:tab/>
    </w:r>
    <w:r w:rsidRPr="00A413F6">
      <w:rPr>
        <w:rFonts w:ascii="Arial" w:hAnsi="Arial" w:cs="Arial"/>
        <w:b/>
        <w:sz w:val="48"/>
      </w:rPr>
      <w:t>BG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5CC4E" w14:textId="11836551" w:rsidR="00BF6203" w:rsidRPr="00A413F6" w:rsidRDefault="00A413F6" w:rsidP="00A413F6">
    <w:pPr>
      <w:pStyle w:val="Footer"/>
      <w:rPr>
        <w:rFonts w:ascii="Arial" w:hAnsi="Arial" w:cs="Arial"/>
        <w:b/>
        <w:sz w:val="48"/>
      </w:rPr>
    </w:pPr>
    <w:r w:rsidRPr="00A413F6">
      <w:rPr>
        <w:rFonts w:ascii="Arial" w:hAnsi="Arial" w:cs="Arial"/>
        <w:b/>
        <w:sz w:val="48"/>
      </w:rPr>
      <w:t>BG</w:t>
    </w:r>
    <w:r w:rsidRPr="00A413F6">
      <w:rPr>
        <w:rFonts w:ascii="Arial" w:hAnsi="Arial" w:cs="Arial"/>
        <w:b/>
        <w:sz w:val="48"/>
      </w:rPr>
      <w:tab/>
    </w:r>
    <w:r w:rsidRPr="00A413F6">
      <w:rPr>
        <w:rFonts w:ascii="Arial" w:hAnsi="Arial" w:cs="Arial"/>
        <w:b/>
        <w:sz w:val="48"/>
      </w:rPr>
      <w:tab/>
    </w:r>
    <w:r w:rsidRPr="00A413F6">
      <w:tab/>
    </w:r>
    <w:r w:rsidRPr="00A413F6">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C2234" w14:textId="77777777" w:rsidR="00A413F6" w:rsidRPr="00A413F6" w:rsidRDefault="00A413F6" w:rsidP="00A413F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02728" w14:textId="77777777" w:rsidR="000C320E" w:rsidRPr="00DC5E29" w:rsidRDefault="000C320E" w:rsidP="00DC5E29">
    <w:pPr>
      <w:pStyle w:val="Footer"/>
      <w:rPr>
        <w:rFonts w:ascii="Arial" w:hAnsi="Arial" w:cs="Arial"/>
        <w:b/>
        <w:sz w:val="4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837D" w14:textId="7313E547" w:rsidR="00A413F6" w:rsidRPr="00A413F6" w:rsidRDefault="00A413F6" w:rsidP="00A413F6">
    <w:pPr>
      <w:pStyle w:val="Footer"/>
      <w:rPr>
        <w:rFonts w:ascii="Arial" w:hAnsi="Arial" w:cs="Arial"/>
        <w:b/>
        <w:sz w:val="48"/>
      </w:rPr>
    </w:pPr>
    <w:r w:rsidRPr="00A413F6">
      <w:rPr>
        <w:rFonts w:ascii="Arial" w:hAnsi="Arial" w:cs="Arial"/>
        <w:b/>
        <w:sz w:val="48"/>
      </w:rPr>
      <w:t>BG</w:t>
    </w:r>
    <w:r w:rsidRPr="00A413F6">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A413F6">
      <w:tab/>
    </w:r>
    <w:r w:rsidRPr="00A413F6">
      <w:rPr>
        <w:rFonts w:ascii="Arial" w:hAnsi="Arial" w:cs="Arial"/>
        <w:b/>
        <w:sz w:val="48"/>
      </w:rPr>
      <w:t>BG</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2C19" w14:textId="77777777" w:rsidR="000C320E" w:rsidRDefault="000C320E" w:rsidP="00A413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04942" w14:textId="77777777" w:rsidR="00F07F26" w:rsidRDefault="00F07F26" w:rsidP="00C16484">
      <w:pPr>
        <w:spacing w:before="0" w:after="0"/>
      </w:pPr>
      <w:r>
        <w:separator/>
      </w:r>
    </w:p>
  </w:footnote>
  <w:footnote w:type="continuationSeparator" w:id="0">
    <w:p w14:paraId="298144EA" w14:textId="77777777" w:rsidR="00F07F26" w:rsidRDefault="00F07F26" w:rsidP="00C16484">
      <w:pPr>
        <w:spacing w:before="0" w:after="0"/>
      </w:pPr>
      <w:r>
        <w:continuationSeparator/>
      </w:r>
    </w:p>
  </w:footnote>
  <w:footnote w:type="continuationNotice" w:id="1">
    <w:p w14:paraId="57F8940A" w14:textId="77777777" w:rsidR="00F07F26" w:rsidRDefault="00F07F26">
      <w:pPr>
        <w:spacing w:before="0" w:after="0"/>
      </w:pPr>
    </w:p>
  </w:footnote>
  <w:footnote w:id="2">
    <w:p w14:paraId="33763137" w14:textId="77777777" w:rsidR="00C16484" w:rsidRPr="002A43D8" w:rsidRDefault="00C16484" w:rsidP="00C16484">
      <w:pPr>
        <w:pStyle w:val="FootnoteText"/>
      </w:pPr>
      <w:r>
        <w:rPr>
          <w:rStyle w:val="FootnoteReference"/>
        </w:rPr>
        <w:footnoteRef/>
      </w:r>
      <w:r>
        <w:tab/>
        <w:t>ОВ L 173, 12.6.2014 г., стр. 190, ELI: </w:t>
      </w:r>
      <w:hyperlink r:id="rId1" w:tooltip="Gives access to this document through its ELI URI." w:history="1">
        <w:r>
          <w:rPr>
            <w:rStyle w:val="Hyperlink"/>
            <w:rFonts w:ascii="Times New Roman" w:hAnsi="Times New Roman"/>
          </w:rPr>
          <w:t>http://data.europa.eu/eli/dir/2014/59/oj</w:t>
        </w:r>
      </w:hyperlink>
      <w:r>
        <w:t xml:space="preserve">. </w:t>
      </w:r>
    </w:p>
  </w:footnote>
  <w:footnote w:id="3">
    <w:p w14:paraId="584AEAAA" w14:textId="78F88551" w:rsidR="003428AE" w:rsidRPr="009B0295" w:rsidRDefault="003428AE">
      <w:pPr>
        <w:pStyle w:val="FootnoteText"/>
      </w:pPr>
      <w:r>
        <w:rPr>
          <w:rStyle w:val="FootnoteReference"/>
        </w:rPr>
        <w:footnoteRef/>
      </w:r>
      <w:r>
        <w:tab/>
        <w:t xml:space="preserve">Директива (ЕС) 2024/1174 на Европейския парламент и на Съвета от 11 април 2024 г. за изменение на Директива 2014/59/ЕС и Регламент (ЕС) № 806/2014 по отношение на някои аспекти на минималното изискване за собствен капитал и приемливи задължения (ОВ L, 2024/1174, 22.4.2024 г., ELI: </w:t>
      </w:r>
      <w:hyperlink r:id="rId2" w:history="1">
        <w:r>
          <w:rPr>
            <w:rStyle w:val="Hyperlink"/>
            <w:rFonts w:ascii="Times New Roman" w:hAnsi="Times New Roman"/>
          </w:rPr>
          <w:t>http://data.europa.eu/eli/dir/2024/1174/oj</w:t>
        </w:r>
      </w:hyperlink>
      <w:r>
        <w:t xml:space="preserve">). </w:t>
      </w:r>
    </w:p>
  </w:footnote>
  <w:footnote w:id="4">
    <w:p w14:paraId="4D1953DF" w14:textId="607C22C8" w:rsidR="001F4496" w:rsidRPr="009B0295" w:rsidRDefault="001F4496">
      <w:pPr>
        <w:pStyle w:val="FootnoteText"/>
      </w:pPr>
      <w:r>
        <w:rPr>
          <w:rStyle w:val="FootnoteReference"/>
        </w:rPr>
        <w:footnoteRef/>
      </w:r>
      <w:r>
        <w:tab/>
        <w:t xml:space="preserve">Регламент за изпълнение (ЕС) 2021/622 на Комисията от 15 април 2021 г. за определяне на технически стандарти за изпълнение за прилагането на Директива 2014/59/ЕС на Европейския парламент и на Съвета по отношение на единните образци за докладване, указанията и методиката за докладване относно минималното изискване за собствени средства и приемливи задължения (ОВ L 131, 16.4.2021 г., стр. 123—136, ELI: </w:t>
      </w:r>
      <w:hyperlink r:id="rId3" w:history="1">
        <w:r>
          <w:rPr>
            <w:rStyle w:val="Hyperlink"/>
            <w:rFonts w:ascii="Times New Roman" w:hAnsi="Times New Roman"/>
          </w:rPr>
          <w:t>http://data.europa.eu/eli/reg_impl/2021/622/oj</w:t>
        </w:r>
      </w:hyperlink>
      <w:r>
        <w:t>).</w:t>
      </w:r>
    </w:p>
  </w:footnote>
  <w:footnote w:id="5">
    <w:p w14:paraId="5FB3833A" w14:textId="77777777" w:rsidR="000B5B60" w:rsidRPr="000B5B60" w:rsidRDefault="000B5B60">
      <w:pPr>
        <w:pStyle w:val="FootnoteText"/>
      </w:pPr>
      <w:r>
        <w:rPr>
          <w:rStyle w:val="FootnoteReference"/>
        </w:rPr>
        <w:footnoteRef/>
      </w:r>
      <w:r>
        <w:tab/>
        <w:t xml:space="preserve">Регламент за изпълнение (ЕС) 2021/763 на Комисията от 23 април 2021 г. за определяне на техническите стандарти за изпълнение за прилагането на Регламент (ЕС) № 575/2013 на Европейския парламент и на Съвета и Директива 2014/59/ЕС на Европейския парламент и на Съвета по отношение на предоставянето на информация на надзорните органи и публичното оповестяване на минималното изискване за собствени средства и приемливи задължения (ОВ L 168, 12.5.2021 г., ELI: </w:t>
      </w:r>
      <w:hyperlink r:id="rId4" w:history="1">
        <w:r>
          <w:rPr>
            <w:rStyle w:val="Hyperlink"/>
            <w:rFonts w:ascii="Times New Roman" w:hAnsi="Times New Roman"/>
          </w:rPr>
          <w:t>http://data.europa.eu/eli/reg_impl/2021/763/oj</w:t>
        </w:r>
      </w:hyperlink>
      <w:r>
        <w:t>).</w:t>
      </w:r>
    </w:p>
  </w:footnote>
  <w:footnote w:id="6">
    <w:p w14:paraId="04BE3385" w14:textId="77777777" w:rsidR="00401F3A" w:rsidRPr="00FE7BD1" w:rsidRDefault="00401F3A" w:rsidP="00F35BD7">
      <w:pPr>
        <w:pStyle w:val="FootnoteText"/>
      </w:pPr>
      <w:r>
        <w:rPr>
          <w:rStyle w:val="FootnoteReference"/>
        </w:rPr>
        <w:footnoteRef/>
      </w:r>
      <w:r>
        <w:tab/>
        <w:t>Регламент (ЕС) № 1093/2010 на Европейския парламент и на Съвета от 24 ноември 2010 г. за създаване на Европейски надзорен орган (Европейски банков орган), за изменение на Решение № 716/2009/ЕО и за отмяна на Решение 2009/78/ЕО на Комисията (OВ L 331, 15.12.2010 г., стр. 12, ELI: </w:t>
      </w:r>
      <w:hyperlink r:id="rId5" w:tooltip="Gives access to this document through its ELI URI." w:history="1">
        <w:r>
          <w:rPr>
            <w:rStyle w:val="Hyperlink"/>
            <w:rFonts w:ascii="Times New Roman" w:hAnsi="Times New Roman"/>
          </w:rPr>
          <w:t>http://data.europa.eu/eli/reg/2010/1093/oj</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C3818" w14:textId="77777777" w:rsidR="00A413F6" w:rsidRPr="00A413F6" w:rsidRDefault="00A413F6" w:rsidP="00A413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A920B" w14:textId="77777777" w:rsidR="00A413F6" w:rsidRPr="00A413F6" w:rsidRDefault="00A413F6" w:rsidP="00A413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21ECA" w14:textId="77777777" w:rsidR="00A413F6" w:rsidRPr="00A413F6" w:rsidRDefault="00A413F6" w:rsidP="00A413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C1D2" w14:textId="77777777" w:rsidR="000C320E" w:rsidRDefault="000C32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310A3" w14:textId="77777777" w:rsidR="000C320E" w:rsidRDefault="000C32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91B8BE2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BE56832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CAC2908"/>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B7A921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25511920">
    <w:abstractNumId w:val="3"/>
  </w:num>
  <w:num w:numId="2" w16cid:durableId="784347441">
    <w:abstractNumId w:val="18"/>
    <w:lvlOverride w:ilvl="0">
      <w:startOverride w:val="1"/>
    </w:lvlOverride>
  </w:num>
  <w:num w:numId="3" w16cid:durableId="2119445392">
    <w:abstractNumId w:val="2"/>
  </w:num>
  <w:num w:numId="4" w16cid:durableId="1881360427">
    <w:abstractNumId w:val="1"/>
  </w:num>
  <w:num w:numId="5" w16cid:durableId="309334442">
    <w:abstractNumId w:val="0"/>
  </w:num>
  <w:num w:numId="6" w16cid:durableId="8610950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9693441">
    <w:abstractNumId w:val="15"/>
  </w:num>
  <w:num w:numId="8" w16cid:durableId="1693998065">
    <w:abstractNumId w:val="8"/>
  </w:num>
  <w:num w:numId="9" w16cid:durableId="788817884">
    <w:abstractNumId w:val="17"/>
  </w:num>
  <w:num w:numId="10" w16cid:durableId="1535464848">
    <w:abstractNumId w:val="7"/>
  </w:num>
  <w:num w:numId="11" w16cid:durableId="639657071">
    <w:abstractNumId w:val="9"/>
  </w:num>
  <w:num w:numId="12" w16cid:durableId="361050661">
    <w:abstractNumId w:val="10"/>
  </w:num>
  <w:num w:numId="13" w16cid:durableId="472790552">
    <w:abstractNumId w:val="5"/>
  </w:num>
  <w:num w:numId="14" w16cid:durableId="384646725">
    <w:abstractNumId w:val="16"/>
  </w:num>
  <w:num w:numId="15" w16cid:durableId="2031682509">
    <w:abstractNumId w:val="4"/>
  </w:num>
  <w:num w:numId="16" w16cid:durableId="150604668">
    <w:abstractNumId w:val="11"/>
  </w:num>
  <w:num w:numId="17" w16cid:durableId="472332852">
    <w:abstractNumId w:val="13"/>
  </w:num>
  <w:num w:numId="18" w16cid:durableId="1298296966">
    <w:abstractNumId w:val="14"/>
  </w:num>
  <w:num w:numId="19" w16cid:durableId="1306230484">
    <w:abstractNumId w:val="6"/>
  </w:num>
  <w:num w:numId="20" w16cid:durableId="24066917">
    <w:abstractNumId w:val="12"/>
  </w:num>
  <w:num w:numId="21" w16cid:durableId="485436588">
    <w:abstractNumId w:val="18"/>
  </w:num>
  <w:num w:numId="22" w16cid:durableId="2089693441">
    <w:abstractNumId w:val="15"/>
  </w:num>
  <w:num w:numId="23" w16cid:durableId="1693998065">
    <w:abstractNumId w:val="8"/>
  </w:num>
  <w:num w:numId="24" w16cid:durableId="788817884">
    <w:abstractNumId w:val="17"/>
  </w:num>
  <w:num w:numId="25" w16cid:durableId="1535464848">
    <w:abstractNumId w:val="7"/>
  </w:num>
  <w:num w:numId="26" w16cid:durableId="639657071">
    <w:abstractNumId w:val="9"/>
  </w:num>
  <w:num w:numId="27" w16cid:durableId="361050661">
    <w:abstractNumId w:val="10"/>
  </w:num>
  <w:num w:numId="28" w16cid:durableId="472790552">
    <w:abstractNumId w:val="5"/>
  </w:num>
  <w:num w:numId="29" w16cid:durableId="384646725">
    <w:abstractNumId w:val="16"/>
  </w:num>
  <w:num w:numId="30" w16cid:durableId="2031682509">
    <w:abstractNumId w:val="4"/>
  </w:num>
  <w:num w:numId="31" w16cid:durableId="150604668">
    <w:abstractNumId w:val="11"/>
  </w:num>
  <w:num w:numId="32" w16cid:durableId="472332852">
    <w:abstractNumId w:val="13"/>
  </w:num>
  <w:num w:numId="33" w16cid:durableId="1298296966">
    <w:abstractNumId w:val="14"/>
  </w:num>
  <w:num w:numId="34" w16cid:durableId="1306230484">
    <w:abstractNumId w:val="6"/>
  </w:num>
  <w:num w:numId="35" w16cid:durableId="24066917">
    <w:abstractNumId w:val="12"/>
  </w:num>
  <w:num w:numId="36" w16cid:durableId="485436588">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QCDateTime" w:val="2026-02-02 15:45:1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B8B52908-C4CD-47A0-A455-021BD510E8E2"/>
    <w:docVar w:name="LW_COVERPAGE_TYPE" w:val="1"/>
    <w:docVar w:name="LW_CreatedUtc" w:val="2025-09-04T16:00:38.0896335Z"/>
    <w:docVar w:name="LW_CROSSREFERENCE" w:val="&lt;UNUSED&gt;"/>
    <w:docVar w:name="LW_DATE.ADOPT.CP" w:val="\u1086?\u1090? XXX \u1075?\u1086?\u1076?\u1080?\u1085?\u1072?"/>
    <w:docVar w:name="LW_DATE.ADOPT.CP_DATEFORMAT" w:val="\u1086?\u1090? %DATE% \u1075?\u1086?\u1076?\u1080?\u1085?\u1072?"/>
    <w:docVar w:name="LW_DATE.ADOPT.CP_ISODATE" w:val="&lt;EMPTY&gt;"/>
    <w:docVar w:name="LW_DocType" w:val="COM"/>
    <w:docVar w:name="LW_EMISSION" w:val="&lt;EMPTY&gt;"/>
    <w:docVar w:name="LW_EMISSION_ISODATE" w:val="&lt;EMPTY&gt;"/>
    <w:docVar w:name="LW_EMISSION_LOCATION" w:val="BRX"/>
    <w:docVar w:name="LW_EMISSION_PREFIX" w:val="\u1041?\u1088?\u1102?\u1082?\u1089?\u1077?\u1083?, "/>
    <w:docVar w:name="LW_EMISSION_SUFFIX" w:val=" \u1075?."/>
    <w:docVar w:name="LW_ID_DOCMODEL" w:val="SJ-004"/>
    <w:docVar w:name="LW_ID_DOCSIGNATURE" w:val="SJ-004"/>
    <w:docVar w:name="LW_ID_DOCSTRUCTURE" w:val="COM/AA"/>
    <w:docVar w:name="LW_ID_DOCTYPE" w:val="SJ-004"/>
    <w:docVar w:name="LW_INTERETEEE.CP" w:val="(\u1090?\u1077?\u1082?\u1089?\u1090? \u1086?\u1090? \u1079?\u1085?\u1072?\u1095?\u1077?\u1085?\u1080?\u1077? \u1079?\u1072? \u1045?\u1048?\u1055?)"/>
    <w:docVar w:name="LW_LANGUE" w:val="BG"/>
    <w:docVar w:name="LW_LANGUESFAISANTFOI.CP" w:val="&lt;UNUSED&gt;"/>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lt;EMPTY&gt;"/>
    <w:docVar w:name="LW_REF.INST.NEW_ADOPTED" w:val="draft"/>
    <w:docVar w:name="LW_REF.INST.NEW_TEXT" w:val="(2026) XXX"/>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u1079?\u1072? \u1080?\u1079?\u1084?\u1077?\u1085?\u1077?\u1085?\u1080?\u1077? \u1085?\u1072? \u1090?\u1077?\u1093?\u1085?\u1080?\u1095?\u1077?\u1089?\u1082?\u1080?\u1090?\u1077? \u1089?\u1090?\u1072?\u1085?\u1076?\u1072?\u1088?\u1090?\u1080? \u1079?\u1072? \u1080?\u1079?\u1087?\u1098?\u1083?\u1085?\u1077?\u1085?\u1080?\u1077? \u1074? \u1056?\u1077?\u1075?\u1083?\u1072?\u1084?\u1077?\u1085?\u1090? \u1079?\u1072? \u1080?\u1079?\u1087?\u1098?\u1083?\u1085?\u1077?\u1085?\u1080?\u1077? (\u1045?\u1057?) 2021/622 \u1087?\u1086? \u1086?\u1090?\u1085?\u1086?\u1096?\u1077?\u1085?\u1080?\u1077? \u1085?\u1072? \u1087?\u1077?\u1088?\u1080?\u1086?\u1076?\u1080?\u1095?\u1085?\u1086?\u1089?\u1090?\u1090?\u1072? \u1085?\u1072? \u1076?\u1086?\u1082?\u1083?\u1072?\u1076?\u1074?\u1072?\u1085?\u1077?\u1090?\u1086? \u1080? \u1087?\u1086?\u1076?\u1083?\u1077?\u1078?\u1072?\u1097?\u1072?\u1090?\u1072? \u1085?\u1072? \u1076?\u1086?\u1082?\u1083?\u1072?\u1076?\u1074?\u1072?\u1085?\u1077? \u1080?\u1085?\u1092?\u1086?\u1088?\u1084?\u1072?\u1094?\u1080?\u1103?"/>
    <w:docVar w:name="LW_TYPE.DOC.CP" w:val="\u1056?\u1045?\u1043?\u1051?\u1040?\u1052?\u1045?\u1053?\u1058? \u1047?\u1040? \u1048?\u1047?\u1055?\u1066?\u1051?\u1053?\u1045?\u1053?\u1048?\u1045? (\u1045?\u1057?) .../\u8230? \u1053?\u1040? \u1050?\u1054?\u1052?\u1048?\u1057?\u1048?\u1071?\u1058?\u1040?"/>
  </w:docVars>
  <w:rsids>
    <w:rsidRoot w:val="00C16484"/>
    <w:rsid w:val="00000BE0"/>
    <w:rsid w:val="00016399"/>
    <w:rsid w:val="000417C4"/>
    <w:rsid w:val="00045B9F"/>
    <w:rsid w:val="000625FB"/>
    <w:rsid w:val="00075947"/>
    <w:rsid w:val="000A663E"/>
    <w:rsid w:val="000B5B60"/>
    <w:rsid w:val="000B7A7D"/>
    <w:rsid w:val="000C320E"/>
    <w:rsid w:val="000D3BC2"/>
    <w:rsid w:val="000E5499"/>
    <w:rsid w:val="00115188"/>
    <w:rsid w:val="001151E7"/>
    <w:rsid w:val="00125199"/>
    <w:rsid w:val="0013305B"/>
    <w:rsid w:val="00143ED4"/>
    <w:rsid w:val="00152894"/>
    <w:rsid w:val="0017762B"/>
    <w:rsid w:val="0018141D"/>
    <w:rsid w:val="001A25E7"/>
    <w:rsid w:val="001A6BDC"/>
    <w:rsid w:val="001E3098"/>
    <w:rsid w:val="001E39BF"/>
    <w:rsid w:val="001F2AC0"/>
    <w:rsid w:val="001F4496"/>
    <w:rsid w:val="00214607"/>
    <w:rsid w:val="002259CF"/>
    <w:rsid w:val="002266B1"/>
    <w:rsid w:val="00235A60"/>
    <w:rsid w:val="00244085"/>
    <w:rsid w:val="00244C17"/>
    <w:rsid w:val="00244DFD"/>
    <w:rsid w:val="00246E59"/>
    <w:rsid w:val="00264589"/>
    <w:rsid w:val="0029415E"/>
    <w:rsid w:val="002A43D8"/>
    <w:rsid w:val="002A753D"/>
    <w:rsid w:val="002B37B6"/>
    <w:rsid w:val="002D6B17"/>
    <w:rsid w:val="002F1710"/>
    <w:rsid w:val="0030490D"/>
    <w:rsid w:val="00313AC1"/>
    <w:rsid w:val="00325B37"/>
    <w:rsid w:val="00331377"/>
    <w:rsid w:val="003428AE"/>
    <w:rsid w:val="00353536"/>
    <w:rsid w:val="00364262"/>
    <w:rsid w:val="00373FC4"/>
    <w:rsid w:val="00377769"/>
    <w:rsid w:val="0038290C"/>
    <w:rsid w:val="003838B9"/>
    <w:rsid w:val="00396ACD"/>
    <w:rsid w:val="003B10ED"/>
    <w:rsid w:val="003E05B8"/>
    <w:rsid w:val="003E3FC7"/>
    <w:rsid w:val="003E7D8F"/>
    <w:rsid w:val="003F2A70"/>
    <w:rsid w:val="00401F3A"/>
    <w:rsid w:val="00406CBA"/>
    <w:rsid w:val="004138D9"/>
    <w:rsid w:val="004211F5"/>
    <w:rsid w:val="0042702A"/>
    <w:rsid w:val="00437AA5"/>
    <w:rsid w:val="004518ED"/>
    <w:rsid w:val="00485F6A"/>
    <w:rsid w:val="004918DE"/>
    <w:rsid w:val="00492396"/>
    <w:rsid w:val="004B4C38"/>
    <w:rsid w:val="004D7D54"/>
    <w:rsid w:val="004E19F9"/>
    <w:rsid w:val="004E763F"/>
    <w:rsid w:val="004F04FA"/>
    <w:rsid w:val="004F588A"/>
    <w:rsid w:val="004F6513"/>
    <w:rsid w:val="00506B49"/>
    <w:rsid w:val="00507FF2"/>
    <w:rsid w:val="00517205"/>
    <w:rsid w:val="0052508D"/>
    <w:rsid w:val="00534D3A"/>
    <w:rsid w:val="0054013D"/>
    <w:rsid w:val="00542487"/>
    <w:rsid w:val="00557EAF"/>
    <w:rsid w:val="00582810"/>
    <w:rsid w:val="0058683E"/>
    <w:rsid w:val="005929F6"/>
    <w:rsid w:val="00593EEC"/>
    <w:rsid w:val="00595540"/>
    <w:rsid w:val="005A5382"/>
    <w:rsid w:val="005A55F3"/>
    <w:rsid w:val="005B5FA6"/>
    <w:rsid w:val="005C1F43"/>
    <w:rsid w:val="005D1478"/>
    <w:rsid w:val="005D2C73"/>
    <w:rsid w:val="005D6AA6"/>
    <w:rsid w:val="005E2634"/>
    <w:rsid w:val="005F2B9A"/>
    <w:rsid w:val="00603E01"/>
    <w:rsid w:val="0061453F"/>
    <w:rsid w:val="00642760"/>
    <w:rsid w:val="00643DEF"/>
    <w:rsid w:val="006654AB"/>
    <w:rsid w:val="00667F1D"/>
    <w:rsid w:val="006700C7"/>
    <w:rsid w:val="00685D33"/>
    <w:rsid w:val="006D3BB0"/>
    <w:rsid w:val="006D3FD5"/>
    <w:rsid w:val="006D6949"/>
    <w:rsid w:val="006F20E7"/>
    <w:rsid w:val="006F7EFE"/>
    <w:rsid w:val="007142D9"/>
    <w:rsid w:val="00752552"/>
    <w:rsid w:val="0075350C"/>
    <w:rsid w:val="007638EF"/>
    <w:rsid w:val="00763F6E"/>
    <w:rsid w:val="00781585"/>
    <w:rsid w:val="00783A3B"/>
    <w:rsid w:val="007878CB"/>
    <w:rsid w:val="00787E7C"/>
    <w:rsid w:val="0079599D"/>
    <w:rsid w:val="007A7287"/>
    <w:rsid w:val="007D0861"/>
    <w:rsid w:val="007D3D95"/>
    <w:rsid w:val="007E010B"/>
    <w:rsid w:val="007F5C7C"/>
    <w:rsid w:val="00801EB4"/>
    <w:rsid w:val="00802FC2"/>
    <w:rsid w:val="00817121"/>
    <w:rsid w:val="00830365"/>
    <w:rsid w:val="00833B73"/>
    <w:rsid w:val="00843817"/>
    <w:rsid w:val="008460B7"/>
    <w:rsid w:val="00847915"/>
    <w:rsid w:val="008601F7"/>
    <w:rsid w:val="00861270"/>
    <w:rsid w:val="00874305"/>
    <w:rsid w:val="00880A77"/>
    <w:rsid w:val="00897749"/>
    <w:rsid w:val="008A3F6C"/>
    <w:rsid w:val="008B07C8"/>
    <w:rsid w:val="008B3C68"/>
    <w:rsid w:val="008B6AF9"/>
    <w:rsid w:val="008D3EC5"/>
    <w:rsid w:val="008D4062"/>
    <w:rsid w:val="008E2694"/>
    <w:rsid w:val="008E2E76"/>
    <w:rsid w:val="008F234A"/>
    <w:rsid w:val="00902ADE"/>
    <w:rsid w:val="00910118"/>
    <w:rsid w:val="00917A1D"/>
    <w:rsid w:val="00940731"/>
    <w:rsid w:val="009430FB"/>
    <w:rsid w:val="00943538"/>
    <w:rsid w:val="009526D5"/>
    <w:rsid w:val="0095347B"/>
    <w:rsid w:val="00962953"/>
    <w:rsid w:val="00964D55"/>
    <w:rsid w:val="00980CC9"/>
    <w:rsid w:val="009957C5"/>
    <w:rsid w:val="009A4095"/>
    <w:rsid w:val="009B0295"/>
    <w:rsid w:val="009C1E02"/>
    <w:rsid w:val="009D2368"/>
    <w:rsid w:val="009D5F8B"/>
    <w:rsid w:val="009F3A7A"/>
    <w:rsid w:val="00A03DA8"/>
    <w:rsid w:val="00A05FAB"/>
    <w:rsid w:val="00A24E3D"/>
    <w:rsid w:val="00A37D2E"/>
    <w:rsid w:val="00A413F6"/>
    <w:rsid w:val="00A4162C"/>
    <w:rsid w:val="00A41677"/>
    <w:rsid w:val="00A54A8C"/>
    <w:rsid w:val="00A564DC"/>
    <w:rsid w:val="00A565C7"/>
    <w:rsid w:val="00A719DF"/>
    <w:rsid w:val="00A7647B"/>
    <w:rsid w:val="00AA038B"/>
    <w:rsid w:val="00AB034D"/>
    <w:rsid w:val="00AC6B16"/>
    <w:rsid w:val="00AD5257"/>
    <w:rsid w:val="00AE26E9"/>
    <w:rsid w:val="00AE4482"/>
    <w:rsid w:val="00AE522C"/>
    <w:rsid w:val="00B01072"/>
    <w:rsid w:val="00B136EC"/>
    <w:rsid w:val="00B14B01"/>
    <w:rsid w:val="00B43EBD"/>
    <w:rsid w:val="00B65FB3"/>
    <w:rsid w:val="00B66E09"/>
    <w:rsid w:val="00B95D78"/>
    <w:rsid w:val="00B97308"/>
    <w:rsid w:val="00BB3BEC"/>
    <w:rsid w:val="00BD02BB"/>
    <w:rsid w:val="00BD3885"/>
    <w:rsid w:val="00BD66E4"/>
    <w:rsid w:val="00BF6203"/>
    <w:rsid w:val="00C059B6"/>
    <w:rsid w:val="00C10CA6"/>
    <w:rsid w:val="00C11798"/>
    <w:rsid w:val="00C16484"/>
    <w:rsid w:val="00C21AB2"/>
    <w:rsid w:val="00C27976"/>
    <w:rsid w:val="00C3731F"/>
    <w:rsid w:val="00C46163"/>
    <w:rsid w:val="00C62388"/>
    <w:rsid w:val="00C63550"/>
    <w:rsid w:val="00C637B0"/>
    <w:rsid w:val="00C64CCC"/>
    <w:rsid w:val="00C87FB3"/>
    <w:rsid w:val="00C9384A"/>
    <w:rsid w:val="00C9629C"/>
    <w:rsid w:val="00C96395"/>
    <w:rsid w:val="00C96A56"/>
    <w:rsid w:val="00CA156D"/>
    <w:rsid w:val="00CA57DA"/>
    <w:rsid w:val="00CA7FE1"/>
    <w:rsid w:val="00CC58EB"/>
    <w:rsid w:val="00CE1382"/>
    <w:rsid w:val="00D02FAD"/>
    <w:rsid w:val="00D0530E"/>
    <w:rsid w:val="00D05DED"/>
    <w:rsid w:val="00D206AC"/>
    <w:rsid w:val="00D47F83"/>
    <w:rsid w:val="00D5454C"/>
    <w:rsid w:val="00D55CE9"/>
    <w:rsid w:val="00D564F7"/>
    <w:rsid w:val="00D72038"/>
    <w:rsid w:val="00D763BC"/>
    <w:rsid w:val="00D872A1"/>
    <w:rsid w:val="00D93F2F"/>
    <w:rsid w:val="00D966E8"/>
    <w:rsid w:val="00DB4B20"/>
    <w:rsid w:val="00DC3AD5"/>
    <w:rsid w:val="00DC5E29"/>
    <w:rsid w:val="00DD4285"/>
    <w:rsid w:val="00DF1FB9"/>
    <w:rsid w:val="00DF36A6"/>
    <w:rsid w:val="00E07235"/>
    <w:rsid w:val="00E23B80"/>
    <w:rsid w:val="00E25A5F"/>
    <w:rsid w:val="00E32BAC"/>
    <w:rsid w:val="00E33C9F"/>
    <w:rsid w:val="00E36D1F"/>
    <w:rsid w:val="00E42E7E"/>
    <w:rsid w:val="00E43152"/>
    <w:rsid w:val="00E50E5B"/>
    <w:rsid w:val="00E667BA"/>
    <w:rsid w:val="00E7044F"/>
    <w:rsid w:val="00E82B0B"/>
    <w:rsid w:val="00E873DD"/>
    <w:rsid w:val="00E932C3"/>
    <w:rsid w:val="00E979AB"/>
    <w:rsid w:val="00EB3279"/>
    <w:rsid w:val="00EC332E"/>
    <w:rsid w:val="00EC39BC"/>
    <w:rsid w:val="00EE0749"/>
    <w:rsid w:val="00EE140B"/>
    <w:rsid w:val="00EE441C"/>
    <w:rsid w:val="00EE54B9"/>
    <w:rsid w:val="00F07F26"/>
    <w:rsid w:val="00F35BD7"/>
    <w:rsid w:val="00F36982"/>
    <w:rsid w:val="00F41DDB"/>
    <w:rsid w:val="00F629AC"/>
    <w:rsid w:val="00F77A20"/>
    <w:rsid w:val="00F9249D"/>
    <w:rsid w:val="00F95ED9"/>
    <w:rsid w:val="00FA0BAF"/>
    <w:rsid w:val="00FA382E"/>
    <w:rsid w:val="00FA715C"/>
    <w:rsid w:val="00FB216A"/>
    <w:rsid w:val="00FB22DB"/>
    <w:rsid w:val="00FC2396"/>
    <w:rsid w:val="00FC5252"/>
    <w:rsid w:val="00FD060F"/>
    <w:rsid w:val="00FD1723"/>
    <w:rsid w:val="00FD5032"/>
    <w:rsid w:val="00FE7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8EC4F20"/>
  <w15:docId w15:val="{EDD646E4-8E0C-487A-842A-DA74770F7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9"/>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C16484"/>
    <w:pPr>
      <w:numPr>
        <w:numId w:val="1"/>
      </w:numPr>
      <w:tabs>
        <w:tab w:val="clear" w:pos="360"/>
      </w:tabs>
      <w:ind w:left="0" w:firstLine="0"/>
    </w:pPr>
    <w:rPr>
      <w:rFonts w:eastAsia="Times New Roman"/>
      <w:lang w:eastAsia="en-GB"/>
    </w:rPr>
  </w:style>
  <w:style w:type="character" w:styleId="Hyperlink">
    <w:name w:val="Hyperlink"/>
    <w:basedOn w:val="DefaultParagraphFont"/>
    <w:uiPriority w:val="99"/>
    <w:rsid w:val="00C16484"/>
    <w:rPr>
      <w:rFonts w:asciiTheme="majorHAnsi" w:hAnsiTheme="majorHAnsi"/>
      <w:color w:val="F79646" w:themeColor="accent6"/>
      <w:u w:val="single"/>
    </w:rPr>
  </w:style>
  <w:style w:type="numbering" w:customStyle="1" w:styleId="LFO29">
    <w:name w:val="LFO29"/>
    <w:basedOn w:val="NoList"/>
    <w:rsid w:val="00C16484"/>
  </w:style>
  <w:style w:type="paragraph" w:styleId="ListBullet2">
    <w:name w:val="List Bullet 2"/>
    <w:basedOn w:val="Normal"/>
    <w:uiPriority w:val="99"/>
    <w:semiHidden/>
    <w:unhideWhenUsed/>
    <w:rsid w:val="00F9249D"/>
    <w:pPr>
      <w:numPr>
        <w:numId w:val="3"/>
      </w:numPr>
      <w:contextualSpacing/>
    </w:pPr>
  </w:style>
  <w:style w:type="paragraph" w:styleId="ListBullet3">
    <w:name w:val="List Bullet 3"/>
    <w:basedOn w:val="Normal"/>
    <w:uiPriority w:val="99"/>
    <w:semiHidden/>
    <w:unhideWhenUsed/>
    <w:rsid w:val="00F9249D"/>
    <w:pPr>
      <w:numPr>
        <w:numId w:val="4"/>
      </w:numPr>
      <w:contextualSpacing/>
    </w:pPr>
  </w:style>
  <w:style w:type="paragraph" w:styleId="ListBullet4">
    <w:name w:val="List Bullet 4"/>
    <w:basedOn w:val="Normal"/>
    <w:uiPriority w:val="99"/>
    <w:semiHidden/>
    <w:unhideWhenUsed/>
    <w:rsid w:val="00F9249D"/>
    <w:pPr>
      <w:numPr>
        <w:numId w:val="5"/>
      </w:numPr>
      <w:contextualSpacing/>
    </w:pPr>
  </w:style>
  <w:style w:type="character" w:styleId="CommentReference">
    <w:name w:val="annotation reference"/>
    <w:basedOn w:val="DefaultParagraphFont"/>
    <w:uiPriority w:val="99"/>
    <w:semiHidden/>
    <w:unhideWhenUsed/>
    <w:rsid w:val="008A3F6C"/>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bg-BG"/>
    </w:rPr>
  </w:style>
  <w:style w:type="paragraph" w:styleId="Revision">
    <w:name w:val="Revision"/>
    <w:hidden/>
    <w:uiPriority w:val="99"/>
    <w:semiHidden/>
    <w:rsid w:val="005929F6"/>
    <w:pPr>
      <w:spacing w:after="0" w:line="240" w:lineRule="auto"/>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CA7FE1"/>
    <w:rPr>
      <w:b/>
      <w:bCs/>
    </w:rPr>
  </w:style>
  <w:style w:type="character" w:customStyle="1" w:styleId="CommentSubjectChar">
    <w:name w:val="Comment Subject Char"/>
    <w:basedOn w:val="CommentTextChar"/>
    <w:link w:val="CommentSubject"/>
    <w:uiPriority w:val="99"/>
    <w:semiHidden/>
    <w:rsid w:val="00CA7FE1"/>
    <w:rPr>
      <w:rFonts w:ascii="Times New Roman" w:hAnsi="Times New Roman" w:cs="Times New Roman"/>
      <w:b/>
      <w:bCs/>
      <w:sz w:val="20"/>
      <w:szCs w:val="20"/>
      <w:lang w:val="bg-BG"/>
    </w:rPr>
  </w:style>
  <w:style w:type="paragraph" w:styleId="NormalWeb">
    <w:name w:val="Normal (Web)"/>
    <w:basedOn w:val="Normal"/>
    <w:uiPriority w:val="99"/>
    <w:semiHidden/>
    <w:unhideWhenUsed/>
    <w:rsid w:val="00373FC4"/>
    <w:rPr>
      <w:szCs w:val="24"/>
    </w:rPr>
  </w:style>
  <w:style w:type="character" w:styleId="UnresolvedMention">
    <w:name w:val="Unresolved Mention"/>
    <w:basedOn w:val="DefaultParagraphFont"/>
    <w:uiPriority w:val="99"/>
    <w:semiHidden/>
    <w:unhideWhenUsed/>
    <w:rsid w:val="00373FC4"/>
    <w:rPr>
      <w:color w:val="605E5C"/>
      <w:shd w:val="clear" w:color="auto" w:fill="E1DFDD"/>
    </w:rPr>
  </w:style>
  <w:style w:type="paragraph" w:styleId="Header">
    <w:name w:val="header"/>
    <w:basedOn w:val="Normal"/>
    <w:link w:val="HeaderChar"/>
    <w:uiPriority w:val="99"/>
    <w:semiHidden/>
    <w:unhideWhenUsed/>
    <w:pPr>
      <w:tabs>
        <w:tab w:val="center" w:pos="4535"/>
        <w:tab w:val="right" w:pos="9071"/>
      </w:tabs>
      <w:spacing w:before="0"/>
    </w:pPr>
  </w:style>
  <w:style w:type="character" w:customStyle="1" w:styleId="HeaderChar">
    <w:name w:val="Header Char"/>
    <w:basedOn w:val="DefaultParagraphFont"/>
    <w:link w:val="Header"/>
    <w:uiPriority w:val="99"/>
    <w:semiHidden/>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2"/>
      </w:numPr>
    </w:pPr>
  </w:style>
  <w:style w:type="paragraph" w:customStyle="1" w:styleId="Tiret1">
    <w:name w:val="Tiret 1"/>
    <w:basedOn w:val="Point1"/>
    <w:pPr>
      <w:numPr>
        <w:numId w:val="23"/>
      </w:numPr>
    </w:pPr>
  </w:style>
  <w:style w:type="paragraph" w:customStyle="1" w:styleId="Tiret2">
    <w:name w:val="Tiret 2"/>
    <w:basedOn w:val="Point2"/>
    <w:pPr>
      <w:numPr>
        <w:numId w:val="24"/>
      </w:numPr>
    </w:pPr>
  </w:style>
  <w:style w:type="paragraph" w:customStyle="1" w:styleId="Tiret3">
    <w:name w:val="Tiret 3"/>
    <w:basedOn w:val="Point3"/>
    <w:pPr>
      <w:numPr>
        <w:numId w:val="25"/>
      </w:numPr>
    </w:pPr>
  </w:style>
  <w:style w:type="paragraph" w:customStyle="1" w:styleId="Tiret4">
    <w:name w:val="Tiret 4"/>
    <w:basedOn w:val="Point4"/>
    <w:pPr>
      <w:numPr>
        <w:numId w:val="26"/>
      </w:numPr>
    </w:pPr>
  </w:style>
  <w:style w:type="paragraph" w:customStyle="1" w:styleId="Tiret5">
    <w:name w:val="Tiret 5"/>
    <w:basedOn w:val="Point5"/>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NumPar5">
    <w:name w:val="NumPar 5"/>
    <w:basedOn w:val="Normal"/>
    <w:next w:val="Text2"/>
    <w:pPr>
      <w:numPr>
        <w:ilvl w:val="4"/>
        <w:numId w:val="28"/>
      </w:numPr>
    </w:pPr>
  </w:style>
  <w:style w:type="paragraph" w:customStyle="1" w:styleId="NumPar6">
    <w:name w:val="NumPar 6"/>
    <w:basedOn w:val="Normal"/>
    <w:next w:val="Text2"/>
    <w:pPr>
      <w:numPr>
        <w:ilvl w:val="5"/>
        <w:numId w:val="28"/>
      </w:numPr>
    </w:pPr>
  </w:style>
  <w:style w:type="paragraph" w:customStyle="1" w:styleId="NumPar7">
    <w:name w:val="NumPar 7"/>
    <w:basedOn w:val="Normal"/>
    <w:next w:val="Text2"/>
    <w:pPr>
      <w:numPr>
        <w:ilvl w:val="6"/>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02176">
      <w:bodyDiv w:val="1"/>
      <w:marLeft w:val="0"/>
      <w:marRight w:val="0"/>
      <w:marTop w:val="0"/>
      <w:marBottom w:val="0"/>
      <w:divBdr>
        <w:top w:val="none" w:sz="0" w:space="0" w:color="auto"/>
        <w:left w:val="none" w:sz="0" w:space="0" w:color="auto"/>
        <w:bottom w:val="none" w:sz="0" w:space="0" w:color="auto"/>
        <w:right w:val="none" w:sz="0" w:space="0" w:color="auto"/>
      </w:divBdr>
      <w:divsChild>
        <w:div w:id="1504860669">
          <w:marLeft w:val="0"/>
          <w:marRight w:val="0"/>
          <w:marTop w:val="0"/>
          <w:marBottom w:val="0"/>
          <w:divBdr>
            <w:top w:val="none" w:sz="0" w:space="0" w:color="auto"/>
            <w:left w:val="none" w:sz="0" w:space="0" w:color="auto"/>
            <w:bottom w:val="none" w:sz="0" w:space="0" w:color="auto"/>
            <w:right w:val="none" w:sz="0" w:space="0" w:color="auto"/>
          </w:divBdr>
          <w:divsChild>
            <w:div w:id="205091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02523">
      <w:bodyDiv w:val="1"/>
      <w:marLeft w:val="0"/>
      <w:marRight w:val="0"/>
      <w:marTop w:val="0"/>
      <w:marBottom w:val="0"/>
      <w:divBdr>
        <w:top w:val="none" w:sz="0" w:space="0" w:color="auto"/>
        <w:left w:val="none" w:sz="0" w:space="0" w:color="auto"/>
        <w:bottom w:val="none" w:sz="0" w:space="0" w:color="auto"/>
        <w:right w:val="none" w:sz="0" w:space="0" w:color="auto"/>
      </w:divBdr>
    </w:div>
    <w:div w:id="2009358183">
      <w:bodyDiv w:val="1"/>
      <w:marLeft w:val="0"/>
      <w:marRight w:val="0"/>
      <w:marTop w:val="0"/>
      <w:marBottom w:val="0"/>
      <w:divBdr>
        <w:top w:val="none" w:sz="0" w:space="0" w:color="auto"/>
        <w:left w:val="none" w:sz="0" w:space="0" w:color="auto"/>
        <w:bottom w:val="none" w:sz="0" w:space="0" w:color="auto"/>
        <w:right w:val="none" w:sz="0" w:space="0" w:color="auto"/>
      </w:divBdr>
    </w:div>
    <w:div w:id="2089576247">
      <w:bodyDiv w:val="1"/>
      <w:marLeft w:val="0"/>
      <w:marRight w:val="0"/>
      <w:marTop w:val="0"/>
      <w:marBottom w:val="0"/>
      <w:divBdr>
        <w:top w:val="none" w:sz="0" w:space="0" w:color="auto"/>
        <w:left w:val="none" w:sz="0" w:space="0" w:color="auto"/>
        <w:bottom w:val="none" w:sz="0" w:space="0" w:color="auto"/>
        <w:right w:val="none" w:sz="0" w:space="0" w:color="auto"/>
      </w:divBdr>
      <w:divsChild>
        <w:div w:id="1220244498">
          <w:marLeft w:val="0"/>
          <w:marRight w:val="0"/>
          <w:marTop w:val="0"/>
          <w:marBottom w:val="0"/>
          <w:divBdr>
            <w:top w:val="none" w:sz="0" w:space="0" w:color="auto"/>
            <w:left w:val="none" w:sz="0" w:space="0" w:color="auto"/>
            <w:bottom w:val="none" w:sz="0" w:space="0" w:color="auto"/>
            <w:right w:val="none" w:sz="0" w:space="0" w:color="auto"/>
          </w:divBdr>
          <w:divsChild>
            <w:div w:id="86143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_impl/2021/622/oj" TargetMode="External"/><Relationship Id="rId2" Type="http://schemas.openxmlformats.org/officeDocument/2006/relationships/hyperlink" Target="http://data.europa.eu/eli/dir/2024/1174/oj" TargetMode="External"/><Relationship Id="rId1" Type="http://schemas.openxmlformats.org/officeDocument/2006/relationships/hyperlink" Target="http://data.europa.eu/eli/dir/2014/59/oj" TargetMode="External"/><Relationship Id="rId5" Type="http://schemas.openxmlformats.org/officeDocument/2006/relationships/hyperlink" Target="http://data.europa.eu/eli/reg/2010/1093/oj" TargetMode="External"/><Relationship Id="rId4" Type="http://schemas.openxmlformats.org/officeDocument/2006/relationships/hyperlink" Target="http://data.europa.eu/eli/reg_impl/2021/763/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b8f93157aac40d6a7319473491243df0">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c8488e7b63ff9a6a107f3024ce322df4"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FBD7AB-07EA-4D67-A4B9-4D33FF7955F7}">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2.xml><?xml version="1.0" encoding="utf-8"?>
<ds:datastoreItem xmlns:ds="http://schemas.openxmlformats.org/officeDocument/2006/customXml" ds:itemID="{F14AF581-33E3-408E-95CD-709B93E99837}">
  <ds:schemaRefs>
    <ds:schemaRef ds:uri="http://schemas.openxmlformats.org/officeDocument/2006/bibliography"/>
  </ds:schemaRefs>
</ds:datastoreItem>
</file>

<file path=customXml/itemProps3.xml><?xml version="1.0" encoding="utf-8"?>
<ds:datastoreItem xmlns:ds="http://schemas.openxmlformats.org/officeDocument/2006/customXml" ds:itemID="{9FB74AB9-05CF-4E22-8B2B-667D523C417F}">
  <ds:schemaRefs>
    <ds:schemaRef ds:uri="http://schemas.microsoft.com/sharepoint/v3/contenttype/forms"/>
  </ds:schemaRefs>
</ds:datastoreItem>
</file>

<file path=customXml/itemProps4.xml><?xml version="1.0" encoding="utf-8"?>
<ds:datastoreItem xmlns:ds="http://schemas.openxmlformats.org/officeDocument/2006/customXml" ds:itemID="{3789B0AD-1837-436D-8ABC-63303F7E4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COM.dotm</Template>
  <TotalTime>38</TotalTime>
  <Pages>2</Pages>
  <Words>901</Words>
  <Characters>5063</Characters>
  <Application>Microsoft Office Word</Application>
  <DocSecurity>0</DocSecurity>
  <Lines>104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5940</CharactersWithSpaces>
  <SharedDoc>false</SharedDoc>
  <HLinks>
    <vt:vector size="12" baseType="variant">
      <vt:variant>
        <vt:i4>6291564</vt:i4>
      </vt:variant>
      <vt:variant>
        <vt:i4>3</vt:i4>
      </vt:variant>
      <vt:variant>
        <vt:i4>0</vt:i4>
      </vt:variant>
      <vt:variant>
        <vt:i4>5</vt:i4>
      </vt:variant>
      <vt:variant>
        <vt:lpwstr>http://data.europa.eu/eli/reg/2010/1093/oj</vt:lpwstr>
      </vt:variant>
      <vt:variant>
        <vt:lpwstr/>
      </vt:variant>
      <vt:variant>
        <vt:i4>5570645</vt:i4>
      </vt:variant>
      <vt:variant>
        <vt:i4>0</vt:i4>
      </vt:variant>
      <vt:variant>
        <vt:i4>0</vt:i4>
      </vt:variant>
      <vt:variant>
        <vt:i4>5</vt:i4>
      </vt:variant>
      <vt:variant>
        <vt:lpwstr>http://data.europa.eu/eli/dir/2014/59/oj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DQC</dc:creator>
  <cp:keywords/>
  <dc:description/>
  <cp:lastModifiedBy>BAKOS Tamas (DGT)</cp:lastModifiedBy>
  <cp:revision>29</cp:revision>
  <dcterms:created xsi:type="dcterms:W3CDTF">2025-12-05T16:19:00Z</dcterms:created>
  <dcterms:modified xsi:type="dcterms:W3CDTF">2026-02-02T14:45:00Z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8.0.19.5</vt:lpwstr>
  </property>
  <property fmtid="{D5CDD505-2E9C-101B-9397-08002B2CF9AE}" pid="4" name="Last edited using">
    <vt:lpwstr>LW 9.2, Build 20250828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GrammarlyDocumentId">
    <vt:lpwstr>45e7adda-2841-4732-9409-07daf4dd17e0</vt:lpwstr>
  </property>
  <property fmtid="{D5CDD505-2E9C-101B-9397-08002B2CF9AE}" pid="11" name="ClassificationContentMarkingHeaderShapeIds">
    <vt:lpwstr>5bd6ffca,36e22233,44991716</vt:lpwstr>
  </property>
  <property fmtid="{D5CDD505-2E9C-101B-9397-08002B2CF9AE}" pid="12" name="ClassificationContentMarkingHeaderFontProps">
    <vt:lpwstr>#000000,12,Aptos</vt:lpwstr>
  </property>
  <property fmtid="{D5CDD505-2E9C-101B-9397-08002B2CF9AE}" pid="13" name="ClassificationContentMarkingHeaderText">
    <vt:lpwstr>EBA Regular Use</vt:lpwstr>
  </property>
  <property fmtid="{D5CDD505-2E9C-101B-9397-08002B2CF9AE}" pid="14" name="MSIP_Label_6bd9ddd1-4d20-43f6-abfa-fc3c07406f94_Enabled">
    <vt:lpwstr>true</vt:lpwstr>
  </property>
  <property fmtid="{D5CDD505-2E9C-101B-9397-08002B2CF9AE}" pid="15" name="MSIP_Label_6bd9ddd1-4d20-43f6-abfa-fc3c07406f94_SetDate">
    <vt:lpwstr>2025-09-22T07:42:43Z</vt:lpwstr>
  </property>
  <property fmtid="{D5CDD505-2E9C-101B-9397-08002B2CF9AE}" pid="16" name="MSIP_Label_6bd9ddd1-4d20-43f6-abfa-fc3c07406f94_Method">
    <vt:lpwstr>Standard</vt:lpwstr>
  </property>
  <property fmtid="{D5CDD505-2E9C-101B-9397-08002B2CF9AE}" pid="17" name="MSIP_Label_6bd9ddd1-4d20-43f6-abfa-fc3c07406f94_Name">
    <vt:lpwstr>Commission Use</vt:lpwstr>
  </property>
  <property fmtid="{D5CDD505-2E9C-101B-9397-08002B2CF9AE}" pid="18" name="MSIP_Label_6bd9ddd1-4d20-43f6-abfa-fc3c07406f94_SiteId">
    <vt:lpwstr>b24c8b06-522c-46fe-9080-70926f8dddb1</vt:lpwstr>
  </property>
  <property fmtid="{D5CDD505-2E9C-101B-9397-08002B2CF9AE}" pid="19" name="MSIP_Label_6bd9ddd1-4d20-43f6-abfa-fc3c07406f94_ActionId">
    <vt:lpwstr>0c5e0d5a-b50c-4aad-8ac2-d3eb4c37e92e</vt:lpwstr>
  </property>
  <property fmtid="{D5CDD505-2E9C-101B-9397-08002B2CF9AE}" pid="20" name="MSIP_Label_6bd9ddd1-4d20-43f6-abfa-fc3c07406f94_ContentBits">
    <vt:lpwstr>0</vt:lpwstr>
  </property>
  <property fmtid="{D5CDD505-2E9C-101B-9397-08002B2CF9AE}" pid="21" name="MSIP_Label_6bd9ddd1-4d20-43f6-abfa-fc3c07406f94_Tag">
    <vt:lpwstr>10, 3, 0, 1</vt:lpwstr>
  </property>
  <property fmtid="{D5CDD505-2E9C-101B-9397-08002B2CF9AE}" pid="22" name="ContentTypeId">
    <vt:lpwstr>0x010100BAD999D84E12C74482EA5120F5227F6F00217DECAAC21D6B43958DFE68658C192E</vt:lpwstr>
  </property>
  <property fmtid="{D5CDD505-2E9C-101B-9397-08002B2CF9AE}" pid="23" name="MediaServiceImageTags">
    <vt:lpwstr/>
  </property>
  <property fmtid="{D5CDD505-2E9C-101B-9397-08002B2CF9AE}" pid="24" name="DQCStatus">
    <vt:lpwstr>Green (DQC version 03)</vt:lpwstr>
  </property>
</Properties>
</file>