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rFonts w:ascii="Times New Roman" w:hAnsi="Times New Roman"/>
          <w:b/>
          <w:sz w:val="24"/>
          <w:u w:val="single"/>
        </w:rPr>
      </w:pPr>
      <w:bookmarkStart w:id="0" w:name="_Toc262568021"/>
      <w:bookmarkStart w:id="1" w:name="_Toc295829847"/>
      <w:r>
        <w:rPr>
          <w:rFonts w:ascii="Times New Roman" w:hAnsi="Times New Roman"/>
          <w:b/>
          <w:sz w:val="24"/>
          <w:u w:val="single"/>
        </w:rPr>
        <w:t>CS</w:t>
      </w:r>
    </w:p>
    <w:p w14:paraId="3A6A5996" w14:textId="6AD676CF" w:rsidR="007312D4" w:rsidRDefault="007312D4" w:rsidP="00295371">
      <w:pPr>
        <w:suppressAutoHyphens/>
        <w:jc w:val="center"/>
        <w:rPr>
          <w:rFonts w:ascii="Times New Roman" w:hAnsi="Times New Roman"/>
          <w:b/>
          <w:sz w:val="24"/>
          <w:u w:val="single"/>
        </w:rPr>
      </w:pPr>
      <w:r>
        <w:rPr>
          <w:rFonts w:ascii="Times New Roman" w:hAnsi="Times New Roman"/>
          <w:b/>
          <w:sz w:val="24"/>
          <w:u w:val="single"/>
        </w:rPr>
        <w:t>PŘÍLOHA II</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rFonts w:ascii="Times New Roman" w:hAnsi="Times New Roman"/>
          <w:b/>
          <w:sz w:val="24"/>
        </w:rPr>
      </w:pPr>
      <w:r>
        <w:rPr>
          <w:rFonts w:ascii="Times New Roman" w:hAnsi="Times New Roman"/>
          <w:b/>
          <w:sz w:val="24"/>
        </w:rPr>
        <w:t>PODÁVÁNÍ ZPRÁV O MINIMÁLNÍM POŽADAVKU NA KAPITÁL A ZPŮSOBILÉ ZÁVAZKY – POKYNY</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ČÁST I:</w:t>
      </w:r>
      <w:bookmarkEnd w:id="2"/>
      <w:r>
        <w:rPr>
          <w:rFonts w:ascii="Times New Roman" w:hAnsi="Times New Roman"/>
        </w:rPr>
        <w:t xml:space="preserve"> OBECNÉ POKYNY</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Struktura a konvence</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Struktura</w:t>
      </w:r>
      <w:bookmarkEnd w:id="9"/>
      <w:bookmarkEnd w:id="10"/>
      <w:bookmarkEnd w:id="11"/>
      <w:bookmarkEnd w:id="12"/>
    </w:p>
    <w:p w14:paraId="2AC3B1BF" w14:textId="310ACCAB" w:rsidR="002648B0" w:rsidRPr="00FB08AF" w:rsidRDefault="00102048" w:rsidP="00E36728">
      <w:pPr>
        <w:pStyle w:val="InstructionsText2"/>
      </w:pPr>
      <w:r>
        <w:t>Tento rámec pro podávání zpráv o minimálním požadavku na kapitál a způsobilé závazky a celkové kapacitě pro absorpci ztrát zahrnuje čtyři skupiny šablon:</w:t>
      </w:r>
    </w:p>
    <w:p w14:paraId="3086B9DD" w14:textId="5E78D7ED" w:rsidR="002648B0" w:rsidRPr="00FB08AF" w:rsidRDefault="00142215" w:rsidP="00E36728">
      <w:pPr>
        <w:pStyle w:val="InstructionsText2"/>
        <w:numPr>
          <w:ilvl w:val="1"/>
          <w:numId w:val="15"/>
        </w:numPr>
      </w:pPr>
      <w:r>
        <w:t>částky: klíčové ukazatele minimálního požadavku na kapitál a způsobilé závazky a celkové kapacity pro absorpci ztrát;</w:t>
      </w:r>
    </w:p>
    <w:p w14:paraId="3B952615" w14:textId="5D008287" w:rsidR="00436204" w:rsidRPr="00FB08AF" w:rsidRDefault="00142215" w:rsidP="00E36728">
      <w:pPr>
        <w:pStyle w:val="InstructionsText2"/>
        <w:numPr>
          <w:ilvl w:val="1"/>
          <w:numId w:val="15"/>
        </w:numPr>
      </w:pPr>
      <w:r>
        <w:t>složení a splatnost;</w:t>
      </w:r>
    </w:p>
    <w:p w14:paraId="63E2C274" w14:textId="67BC4149" w:rsidR="002648B0" w:rsidRPr="00FB08AF" w:rsidRDefault="00102048" w:rsidP="00E36728">
      <w:pPr>
        <w:pStyle w:val="InstructionsText2"/>
        <w:numPr>
          <w:ilvl w:val="1"/>
          <w:numId w:val="15"/>
        </w:numPr>
      </w:pPr>
      <w:r>
        <w:t>pořadí věřitelů;</w:t>
      </w:r>
    </w:p>
    <w:p w14:paraId="0D4AB948" w14:textId="42C1A351" w:rsidR="002648B0" w:rsidRPr="00FB08AF" w:rsidRDefault="00142215" w:rsidP="00E36728">
      <w:pPr>
        <w:pStyle w:val="InstructionsText2"/>
        <w:numPr>
          <w:ilvl w:val="1"/>
          <w:numId w:val="15"/>
        </w:numPr>
      </w:pPr>
      <w:r>
        <w:t>informace týkající se smlouvy.</w:t>
      </w:r>
    </w:p>
    <w:p w14:paraId="0F36F124" w14:textId="757CCD2C" w:rsidR="002648B0" w:rsidRPr="00FB08AF" w:rsidRDefault="002648B0" w:rsidP="00E36728">
      <w:pPr>
        <w:pStyle w:val="InstructionsText2"/>
      </w:pPr>
      <w:r>
        <w:t>Ke každé šabloně jsou uvedeny odkazy na právní předpisy. Další podrobné informace ohledně obecnějších aspektů vykazování každého souboru šablon a pokynů týkajících se konkrétních pozic jsou zahrnuty v této části.</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Konvence v oblasti číslování</w:t>
      </w:r>
      <w:bookmarkEnd w:id="15"/>
      <w:bookmarkEnd w:id="16"/>
      <w:bookmarkEnd w:id="17"/>
      <w:bookmarkEnd w:id="18"/>
    </w:p>
    <w:p w14:paraId="66584242" w14:textId="63AA7C63" w:rsidR="002648B0" w:rsidRPr="00FB08AF" w:rsidRDefault="002648B0" w:rsidP="00E36728">
      <w:pPr>
        <w:pStyle w:val="InstructionsText2"/>
      </w:pPr>
      <w:r>
        <w:t>Jestliže dokument odkazuje na sloupce, řádky a buňky šablon, řídí se označováním, které je stanoveno v písmenech a) až d). Uvedené číselné kódy se běžně používají v pravidlech pro ověřování stanovených v souladu s přílohou III.</w:t>
      </w:r>
    </w:p>
    <w:p w14:paraId="62F2C4B4" w14:textId="37DCE2FC" w:rsidR="005643EA" w:rsidRPr="00FB08AF" w:rsidRDefault="00142215" w:rsidP="00E36728">
      <w:pPr>
        <w:pStyle w:val="InstructionsText2"/>
        <w:numPr>
          <w:ilvl w:val="1"/>
          <w:numId w:val="15"/>
        </w:numPr>
      </w:pPr>
      <w:r>
        <w:t>používá se tento obecný zápis: {</w:t>
      </w:r>
      <w:proofErr w:type="spellStart"/>
      <w:proofErr w:type="gramStart"/>
      <w:r>
        <w:t>šablona;řádek</w:t>
      </w:r>
      <w:proofErr w:type="gramEnd"/>
      <w:r>
        <w:t>;sloupec</w:t>
      </w:r>
      <w:proofErr w:type="spellEnd"/>
      <w:r>
        <w:t>};</w:t>
      </w:r>
    </w:p>
    <w:p w14:paraId="7FB9131E" w14:textId="0B707586" w:rsidR="007D41F2" w:rsidRPr="00FB08AF" w:rsidRDefault="00142215" w:rsidP="00E36728">
      <w:pPr>
        <w:pStyle w:val="InstructionsText2"/>
        <w:numPr>
          <w:ilvl w:val="1"/>
          <w:numId w:val="15"/>
        </w:numPr>
      </w:pPr>
      <w:r>
        <w:t>odkazy v rámci šablony neobsahují označení šablony: {</w:t>
      </w:r>
      <w:proofErr w:type="spellStart"/>
      <w:proofErr w:type="gramStart"/>
      <w:r>
        <w:t>řádek;sloupec</w:t>
      </w:r>
      <w:proofErr w:type="spellEnd"/>
      <w:proofErr w:type="gramEnd"/>
      <w:r>
        <w:t>};</w:t>
      </w:r>
    </w:p>
    <w:p w14:paraId="07D8D5F5" w14:textId="74593C91" w:rsidR="007D41F2" w:rsidRPr="00FB08AF" w:rsidRDefault="00142215" w:rsidP="00E36728">
      <w:pPr>
        <w:pStyle w:val="InstructionsText2"/>
        <w:numPr>
          <w:ilvl w:val="1"/>
          <w:numId w:val="15"/>
        </w:numPr>
      </w:pPr>
      <w:r>
        <w:t>má-li šablona pouze jeden sloupec, odkazuje se pouze na řádky: {</w:t>
      </w:r>
      <w:proofErr w:type="spellStart"/>
      <w:proofErr w:type="gramStart"/>
      <w:r>
        <w:t>šablona;řádek</w:t>
      </w:r>
      <w:proofErr w:type="spellEnd"/>
      <w:proofErr w:type="gramEnd"/>
      <w:r>
        <w:t>};</w:t>
      </w:r>
    </w:p>
    <w:p w14:paraId="690EFD8E" w14:textId="1E756AEF" w:rsidR="002648B0" w:rsidRPr="00FB08AF" w:rsidRDefault="00BD4614" w:rsidP="00E36728">
      <w:pPr>
        <w:pStyle w:val="InstructionsText2"/>
        <w:numPr>
          <w:ilvl w:val="1"/>
          <w:numId w:val="15"/>
        </w:numPr>
      </w:pPr>
      <w:r>
        <w:t>k vyjádření, že se odkazuje na předem specifikované řádky nebo sloupce, se používá hvězdička.</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t>Konvence v oblasti znamének</w:t>
      </w:r>
      <w:bookmarkEnd w:id="13"/>
      <w:bookmarkEnd w:id="14"/>
      <w:bookmarkEnd w:id="19"/>
      <w:bookmarkEnd w:id="20"/>
      <w:bookmarkEnd w:id="21"/>
      <w:bookmarkEnd w:id="22"/>
    </w:p>
    <w:p w14:paraId="5CD09166" w14:textId="3D59906B" w:rsidR="002648B0" w:rsidRPr="00FB08AF" w:rsidRDefault="002648B0" w:rsidP="00E36728">
      <w:pPr>
        <w:pStyle w:val="InstructionsText2"/>
      </w:pPr>
      <w:r>
        <w:t xml:space="preserve">Jakákoli částka, která zvyšuje kapitál a způsobilé závazky, objemy rizikově vážených expozic, míru expozic pákového poměru nebo požadavky, se zapisuje jako kladné číslo. Naopak jakákoli částka, která kapitál a způsobilé závazky, </w:t>
      </w:r>
      <w:r>
        <w:lastRenderedPageBreak/>
        <w:t>objemy rizikově vážených expozic, míru expozic pákového poměru nebo požadavky snižuje, se vykazuje jako číslo záporné. Je-li před označením položky uvedeno záporné znaménko (–), předpokládá se, že u této položky nebude uvedeno žádné kladné číslo.</w:t>
      </w:r>
    </w:p>
    <w:p w14:paraId="4866E65F" w14:textId="7E31C83B" w:rsidR="00304CA5" w:rsidRPr="00FB08AF" w:rsidRDefault="001F2830" w:rsidP="00BA4811">
      <w:pPr>
        <w:pStyle w:val="Numberedtilelevel1"/>
        <w:numPr>
          <w:ilvl w:val="1"/>
          <w:numId w:val="30"/>
        </w:numPr>
      </w:pPr>
      <w:bookmarkStart w:id="23" w:name="_Toc16868629"/>
      <w:bookmarkStart w:id="24" w:name="_Toc45558477"/>
      <w:r>
        <w:t>Zkratky a</w:t>
      </w:r>
      <w:bookmarkEnd w:id="23"/>
      <w:bookmarkEnd w:id="24"/>
      <w:r>
        <w:t xml:space="preserve"> definice</w:t>
      </w:r>
    </w:p>
    <w:p w14:paraId="246BFF93" w14:textId="656D592B" w:rsidR="007D41F2" w:rsidRPr="00FB08AF" w:rsidRDefault="007D41F2" w:rsidP="00E36728">
      <w:pPr>
        <w:pStyle w:val="InstructionsText2"/>
      </w:pPr>
      <w:r>
        <w:t>Pro účely příloh tohoto nařízení se použijí následující zkratky a definice:</w:t>
      </w:r>
    </w:p>
    <w:p w14:paraId="570D1886" w14:textId="129F471C" w:rsidR="007A0406" w:rsidRPr="00FB08AF" w:rsidRDefault="006876BA" w:rsidP="00E36728">
      <w:pPr>
        <w:pStyle w:val="InstructionsText2"/>
        <w:numPr>
          <w:ilvl w:val="1"/>
          <w:numId w:val="15"/>
        </w:numPr>
      </w:pPr>
      <w:r>
        <w:t xml:space="preserve"> „MREL“ se rozumí minimální požadavek na kapitál a způsobilé závazky podle článku 45 směrnice 2014/59/EU;</w:t>
      </w:r>
    </w:p>
    <w:p w14:paraId="57536738" w14:textId="0377AEDA" w:rsidR="007A0406" w:rsidRPr="00FB08AF" w:rsidRDefault="007A0406" w:rsidP="00E36728">
      <w:pPr>
        <w:pStyle w:val="InstructionsText2"/>
        <w:numPr>
          <w:ilvl w:val="1"/>
          <w:numId w:val="15"/>
        </w:numPr>
      </w:pPr>
      <w:r>
        <w:t>„TLAC“ se rozumí požadavky na kapitál a způsobilé závazky pro globální systémově významné instituce (G-SVI) podle článku 92a nařízení (EU) č. 575/2013;</w:t>
      </w:r>
    </w:p>
    <w:p w14:paraId="2F8292A9" w14:textId="510A8DF1" w:rsidR="005C73C9" w:rsidRPr="00FB08AF" w:rsidRDefault="005C73C9" w:rsidP="00E36728">
      <w:pPr>
        <w:pStyle w:val="InstructionsText2"/>
        <w:numPr>
          <w:ilvl w:val="1"/>
          <w:numId w:val="15"/>
        </w:numPr>
      </w:pPr>
      <w:r>
        <w:t>„interním TLAC“ se rozumí požadavek na kapitál a způsobilé závazky G-SVI mimo EU podle článku 92b nařízení (EU) č. 575/2013;</w:t>
      </w:r>
    </w:p>
    <w:p w14:paraId="20FFA708" w14:textId="217BA515" w:rsidR="008E638A" w:rsidRPr="00FB08AF" w:rsidRDefault="008E638A" w:rsidP="00E36728">
      <w:pPr>
        <w:pStyle w:val="InstructionsText2"/>
        <w:numPr>
          <w:ilvl w:val="1"/>
          <w:numId w:val="15"/>
        </w:numPr>
      </w:pPr>
      <w:r>
        <w:t>„interním MREL“ se rozumí MREL uplatňovaný na subjekty, které samy nejsou subjekty řešícími krizi, podle článku 45f směrnice 2014/59/EU;</w:t>
      </w:r>
    </w:p>
    <w:p w14:paraId="549385E1" w14:textId="142F130E" w:rsidR="00A335B4" w:rsidRPr="00FB08AF" w:rsidRDefault="00A335B4" w:rsidP="00E36728">
      <w:pPr>
        <w:pStyle w:val="InstructionsText2"/>
        <w:numPr>
          <w:ilvl w:val="1"/>
          <w:numId w:val="15"/>
        </w:numPr>
      </w:pPr>
      <w:r>
        <w:t xml:space="preserve">„nevyužitou částkou, pro niž bylo uděleno předběžné svolení,“ se rozumí částka, na kterou se vztahuje předběžné svolení k vypovězení, umoření, splacení nebo zpětnému odkupu kapitálových nástrojů v souladu s článkem 78 nařízení (EU) č. 575/2013, případně nástrojů způsobilých závazků v souladu s článkem </w:t>
      </w:r>
      <w:proofErr w:type="gramStart"/>
      <w:r>
        <w:t>78a</w:t>
      </w:r>
      <w:proofErr w:type="gramEnd"/>
      <w:r>
        <w:t xml:space="preserve"> uvedeného nařízení, v rozsahu, v jakém vykazující subjekt tuto částku k vypovězení, umoření, splacení nebo zpětnému odkupu nástrojů dosud nevyužil. Jedná-li se o svolení </w:t>
      </w:r>
      <w:r>
        <w:rPr>
          <w:i/>
        </w:rPr>
        <w:t>ad hoc</w:t>
      </w:r>
      <w:r>
        <w:t>, které se týká vypověditelných nástrojů, u nichž není poskytnuta dostatečná jistota, že kupní opce bude provedena, jsou veškeré takové nástroje z nevyužité částky, pro niž bylo uděleno předběžné svolení, vyloučeny;</w:t>
      </w:r>
    </w:p>
    <w:p w14:paraId="228F5767" w14:textId="2A472080" w:rsidR="00A335B4" w:rsidRPr="00FB08AF" w:rsidRDefault="00A335B4" w:rsidP="00E36728">
      <w:pPr>
        <w:pStyle w:val="InstructionsText2"/>
        <w:numPr>
          <w:ilvl w:val="1"/>
          <w:numId w:val="15"/>
        </w:numPr>
      </w:pPr>
      <w:r>
        <w:t xml:space="preserve">„nevyužitou částkou, pro niž bylo uděleno svolení </w:t>
      </w:r>
      <w:r>
        <w:rPr>
          <w:i/>
          <w:iCs/>
        </w:rPr>
        <w:t>ad hoc</w:t>
      </w:r>
      <w:r>
        <w:t xml:space="preserve">,“ se rozumí částka, na kterou se vztahuje předběžné svolení </w:t>
      </w:r>
      <w:r>
        <w:rPr>
          <w:i/>
          <w:iCs/>
        </w:rPr>
        <w:t>ad hoc</w:t>
      </w:r>
      <w:r>
        <w:t xml:space="preserve"> k vypovězení, umoření, splacení nebo zpětnému odkupu specifických kapitálových nástrojů v souladu s čl. 78 odst. 1 prvním pododstavcem nařízení (EU) č. 575/2013 ve spojení s čl. 28 odst. 5 </w:t>
      </w:r>
      <w:r>
        <w:rPr>
          <w:rStyle w:val="FormatvorlageInstructionsTabelleText"/>
          <w:rFonts w:ascii="Times New Roman" w:hAnsi="Times New Roman"/>
          <w:sz w:val="24"/>
        </w:rPr>
        <w:t>nařízení Komise v přenesené pravomoci (EU) č. 241/2014</w:t>
      </w:r>
      <w:r w:rsidR="00295371" w:rsidRPr="00FB08AF">
        <w:rPr>
          <w:rStyle w:val="FootnoteReference"/>
          <w:bCs/>
        </w:rPr>
        <w:footnoteReference w:id="2"/>
      </w:r>
      <w:r>
        <w:t xml:space="preserve">, případně specifických nástrojů způsobilých závazků v souladu s článkem 78a nařízení (EU) č. 575/2013 </w:t>
      </w:r>
      <w:r>
        <w:rPr>
          <w:rStyle w:val="FormatvorlageInstructionsTabelleText"/>
          <w:rFonts w:ascii="Times New Roman" w:hAnsi="Times New Roman"/>
          <w:sz w:val="24"/>
        </w:rPr>
        <w:t>ve spojení s čl. 32b odst. 2 nařízení v přenesené pravomoci (EU) č. 241/2014</w:t>
      </w:r>
      <w:r>
        <w:t>, v rozsahu, v jakém vykazující subjekt tuto částku k vypovězení, umoření, splacení nebo zpětnému odkupu nástrojů dosud nevyužil. Pokud se svolení týká vypověditelných nástrojů, u nichž není poskytnuta dostatečná jistota, že kupní opce bude provedena, jsou veškeré takové nástroje z nevyužité částky, pro niž bylo uděleno předběžné svolení, vyloučeny.</w:t>
      </w:r>
    </w:p>
    <w:p w14:paraId="2817175F" w14:textId="48A4A2F6" w:rsidR="001B1864" w:rsidRPr="00FB08AF" w:rsidRDefault="001B1864" w:rsidP="00E36728">
      <w:pPr>
        <w:pStyle w:val="InstructionsText2"/>
        <w:numPr>
          <w:ilvl w:val="1"/>
          <w:numId w:val="15"/>
        </w:numPr>
      </w:pPr>
      <w:r>
        <w:t xml:space="preserve">„nevyužitou částkou, pro niž bylo uděleno obecné svolení,“ se rozumí částka, na kterou se vztahuje předběžné svolení k vypovězení, umoření, splacení nebo </w:t>
      </w:r>
      <w:r>
        <w:lastRenderedPageBreak/>
        <w:t xml:space="preserve">zpětnému odkupu kapitálových nástrojů v souladu s čl. 78 odst. 1 druhým pododstavcem nařízení (EU) č. 575/2013 ve spojení s čl. 28 odst. 3 </w:t>
      </w:r>
      <w:r>
        <w:rPr>
          <w:rStyle w:val="FormatvorlageInstructionsTabelleText"/>
          <w:rFonts w:ascii="Times New Roman" w:hAnsi="Times New Roman"/>
          <w:sz w:val="24"/>
        </w:rPr>
        <w:t>nařízení v přenesené pravomoci (EU) č. 241/2014</w:t>
      </w:r>
      <w:r>
        <w:t xml:space="preserve">, případně nástrojů způsobilých závazků v souladu s článkem 78a nařízení (EU) č. 575/2013 </w:t>
      </w:r>
      <w:r>
        <w:rPr>
          <w:rStyle w:val="FormatvorlageInstructionsTabelleText"/>
          <w:rFonts w:ascii="Times New Roman" w:hAnsi="Times New Roman"/>
          <w:sz w:val="24"/>
        </w:rPr>
        <w:t>ve spojení s čl. 32b odst. 3 a 5 nařízení v přenesené pravomoci (EU) č. 241/2014</w:t>
      </w:r>
      <w:r>
        <w:t xml:space="preserve">, v rozsahu, v jakém vykazující subjekt tuto částku k vypovězení, umoření, splacení nebo zpětnému odkupu nástrojů dosud nevyužil.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lastRenderedPageBreak/>
        <w:t>ČÁST II: POKYNY K ŠABLONÁM</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Částky: M 01.00 – Klíčové ukazatele pro MREL a TLAC (KM2)</w:t>
      </w:r>
      <w:bookmarkEnd w:id="29"/>
    </w:p>
    <w:p w14:paraId="33F01D1B" w14:textId="77777777" w:rsidR="00443BEC" w:rsidRPr="00FB08AF" w:rsidRDefault="00443BEC" w:rsidP="00C271AC">
      <w:pPr>
        <w:pStyle w:val="Numberedtilelevel1"/>
        <w:numPr>
          <w:ilvl w:val="1"/>
          <w:numId w:val="30"/>
        </w:numPr>
      </w:pPr>
      <w:bookmarkStart w:id="30" w:name="_Toc45558480"/>
      <w:r>
        <w:t>Obecné poznámky</w:t>
      </w:r>
      <w:bookmarkEnd w:id="30"/>
    </w:p>
    <w:p w14:paraId="6B3CD7BF" w14:textId="035C8958" w:rsidR="00902E77" w:rsidRPr="00FB08AF" w:rsidRDefault="002701C8" w:rsidP="00E36728">
      <w:pPr>
        <w:pStyle w:val="InstructionsText2"/>
      </w:pPr>
      <w:r>
        <w:t>Sloupec odkazující na minimální požadavek na kapitál a způsobilé závazky (MREL) vyplní subjekty, které podléhají minimálnímu požadavku na kapitál a způsobilé závazky v souladu s článkem 45e směrnice 2014/59/EU. Položky odkazující na požadavek na kapitál a způsobilé závazky G-SVI (TLAC) vykazují pouze ty subjekty, které jsou povinny splnit požadavek stanovený v článku 92a nařízení (EU) č. 575/2013.</w:t>
      </w:r>
    </w:p>
    <w:p w14:paraId="507A7131" w14:textId="63A7BD8F" w:rsidR="00443BEC" w:rsidRPr="00FB08AF" w:rsidRDefault="00443BEC" w:rsidP="00443BEC">
      <w:pPr>
        <w:pStyle w:val="Numberedtilelevel1"/>
        <w:numPr>
          <w:ilvl w:val="1"/>
          <w:numId w:val="30"/>
        </w:numPr>
      </w:pPr>
      <w:bookmarkStart w:id="31" w:name="_Toc45558481"/>
      <w:r>
        <w:t>Pokyny týkající se konkrétních pozic</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Sloupce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Odkazy na právní předpisy a pokyny</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Minimální požadavek na kapitál a způsobilé závazky (MREL)</w:t>
            </w:r>
          </w:p>
          <w:p w14:paraId="2AD8D05B" w14:textId="3CD8A827" w:rsidR="00B24942" w:rsidRPr="00FB08AF" w:rsidRDefault="00B24942" w:rsidP="00E36728">
            <w:pPr>
              <w:pStyle w:val="InstructionsText"/>
            </w:pPr>
            <w:r>
              <w:rPr>
                <w:rStyle w:val="InstructionsTabelleberschrift"/>
                <w:rFonts w:ascii="Times New Roman" w:hAnsi="Times New Roman"/>
                <w:b w:val="0"/>
                <w:sz w:val="24"/>
                <w:u w:val="none"/>
              </w:rPr>
              <w:t>Články 45 a 45e</w:t>
            </w:r>
            <w:r>
              <w:t xml:space="preserve"> směrnice 2014/59/EU</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Požadavek na kapitál a způsobilé závazky G-SVI (TLAC)</w:t>
            </w:r>
          </w:p>
          <w:p w14:paraId="3CB88656" w14:textId="5EB7C7A4" w:rsidR="00B24942" w:rsidRPr="00FB08AF" w:rsidRDefault="00B2494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Článek 92a</w:t>
            </w:r>
            <w:r>
              <w:t xml:space="preserve"> nařízení (EU) č. 575/2013</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Řádek</w:t>
            </w:r>
          </w:p>
        </w:tc>
        <w:tc>
          <w:tcPr>
            <w:tcW w:w="7620" w:type="dxa"/>
            <w:shd w:val="clear" w:color="auto" w:fill="D9D9D9"/>
          </w:tcPr>
          <w:p w14:paraId="40ACB4D4"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Odkazy na právní předpisy a pokyny</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0100–0120</w:t>
            </w:r>
          </w:p>
        </w:tc>
        <w:tc>
          <w:tcPr>
            <w:tcW w:w="7620" w:type="dxa"/>
          </w:tcPr>
          <w:p w14:paraId="420690CF" w14:textId="4B72D8DC" w:rsidR="00482729" w:rsidRPr="00FB08AF" w:rsidRDefault="00D61796"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Celkový objem rizikové expozice a celková míra expozic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tcPr>
          <w:p w14:paraId="6351F1FC" w14:textId="14541FAF"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Celkový objem rizikové expozice</w:t>
            </w:r>
          </w:p>
          <w:p w14:paraId="2DCC2520" w14:textId="7A3D9C76" w:rsidR="00EB663A"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Ustanovení čl. 45 odst. 2 písm. a) směrnice 2014/59/EU, čl. 92 odst. 3 nařízení (EU) č. 575/2013</w:t>
            </w:r>
          </w:p>
          <w:p w14:paraId="59BD35A0" w14:textId="68EBF60A" w:rsidR="00482729"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 xml:space="preserve">Celkový objem rizikové expozice vykázaný v tomto řádku je celkový objem rizikové expozice, který </w:t>
            </w:r>
            <w:proofErr w:type="gramStart"/>
            <w:r>
              <w:rPr>
                <w:rStyle w:val="FormatvorlageInstructionsTabelleText"/>
                <w:rFonts w:ascii="Times New Roman" w:hAnsi="Times New Roman"/>
                <w:sz w:val="24"/>
              </w:rPr>
              <w:t>slouží</w:t>
            </w:r>
            <w:proofErr w:type="gramEnd"/>
            <w:r>
              <w:rPr>
                <w:rStyle w:val="FormatvorlageInstructionsTabelleText"/>
                <w:rFonts w:ascii="Times New Roman" w:hAnsi="Times New Roman"/>
                <w:sz w:val="24"/>
              </w:rPr>
              <w:t xml:space="preserve"> jako základ pro splnění požadavků stanovených v článku 45 směrnice 2014/59/EU, případně v článku 92a nařízení (EU) č. 575/2013.</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Pr>
          <w:p w14:paraId="624C65F2" w14:textId="5BF3693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Celková míra expozic</w:t>
            </w:r>
          </w:p>
          <w:p w14:paraId="1A7F5C6F" w14:textId="31F45D0B" w:rsidR="00482729" w:rsidRPr="00FB08AF" w:rsidRDefault="00833ACC" w:rsidP="00740250">
            <w:pPr>
              <w:rPr>
                <w:rStyle w:val="FormatvorlageInstructionsTabelleText"/>
                <w:rFonts w:ascii="Times New Roman" w:hAnsi="Times New Roman"/>
                <w:sz w:val="24"/>
              </w:rPr>
            </w:pPr>
            <w:r>
              <w:rPr>
                <w:rStyle w:val="FormatvorlageInstructionsTabelleText"/>
                <w:rFonts w:ascii="Times New Roman" w:hAnsi="Times New Roman"/>
                <w:sz w:val="24"/>
              </w:rPr>
              <w:t>Ustanovení čl. 45 odst. 2 písm. b) směrnice 2014/59/EU, čl. 429 odst. 4 a článek 429a nařízení (EU) č. 575/2013</w:t>
            </w:r>
          </w:p>
          <w:p w14:paraId="27EFEFE0" w14:textId="06A23103" w:rsidR="00EB663A" w:rsidRPr="00FB08AF" w:rsidRDefault="00EB663A" w:rsidP="00454476">
            <w:pPr>
              <w:rPr>
                <w:rStyle w:val="FormatvorlageInstructionsTabelleText"/>
                <w:rFonts w:ascii="Times New Roman" w:hAnsi="Times New Roman"/>
                <w:sz w:val="24"/>
              </w:rPr>
            </w:pPr>
            <w:r>
              <w:rPr>
                <w:rStyle w:val="FormatvorlageInstructionsTabelleText"/>
                <w:rFonts w:ascii="Times New Roman" w:hAnsi="Times New Roman"/>
                <w:sz w:val="24"/>
              </w:rPr>
              <w:t xml:space="preserve">Celková míra expozic vykázaná v tomto řádku je celková míra expozic, která </w:t>
            </w:r>
            <w:proofErr w:type="gramStart"/>
            <w:r>
              <w:rPr>
                <w:rStyle w:val="FormatvorlageInstructionsTabelleText"/>
                <w:rFonts w:ascii="Times New Roman" w:hAnsi="Times New Roman"/>
                <w:sz w:val="24"/>
              </w:rPr>
              <w:t>slouží</w:t>
            </w:r>
            <w:proofErr w:type="gramEnd"/>
            <w:r>
              <w:rPr>
                <w:rStyle w:val="FormatvorlageInstructionsTabelleText"/>
                <w:rFonts w:ascii="Times New Roman" w:hAnsi="Times New Roman"/>
                <w:sz w:val="24"/>
              </w:rPr>
              <w:t xml:space="preserve"> jako základ pro splnění požadavků stanovených v článku 45 směrnice 2014/59/EU, případně v článku 92a nařízení (EU) č. 575/2013.</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0200–0230</w:t>
            </w:r>
          </w:p>
        </w:tc>
        <w:tc>
          <w:tcPr>
            <w:tcW w:w="7620" w:type="dxa"/>
          </w:tcPr>
          <w:p w14:paraId="5847F001" w14:textId="7DB76AE6"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Kapitál a způsobilé závazky</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tcPr>
          <w:p w14:paraId="69CC3F9F" w14:textId="44BAB6DC" w:rsidR="00833ACC" w:rsidRPr="00FB08AF" w:rsidRDefault="00833AC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Kapitál a způsobilé závazky</w:t>
            </w:r>
          </w:p>
          <w:p w14:paraId="23602173" w14:textId="13A6C1A6" w:rsidR="00014A29" w:rsidRPr="00FB08AF" w:rsidRDefault="00014A29" w:rsidP="00833ACC">
            <w:pPr>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BB19EC3" w14:textId="6EEA08CA" w:rsidR="00833ACC" w:rsidRPr="00FB08AF" w:rsidRDefault="00833ACC" w:rsidP="00833ACC">
            <w:pPr>
              <w:rPr>
                <w:rStyle w:val="FormatvorlageInstructionsTabelleText"/>
                <w:rFonts w:ascii="Times New Roman" w:hAnsi="Times New Roman"/>
                <w:sz w:val="24"/>
              </w:rPr>
            </w:pPr>
            <w:r>
              <w:rPr>
                <w:rStyle w:val="FormatvorlageInstructionsTabelleText"/>
                <w:rFonts w:ascii="Times New Roman" w:hAnsi="Times New Roman"/>
                <w:sz w:val="24"/>
              </w:rPr>
              <w:t>Hodnota kapitálu a způsobilých závazků, které se započítávají do MREL, se vykáže jako součet:</w:t>
            </w:r>
          </w:p>
          <w:p w14:paraId="48247D2D" w14:textId="593F7FE6" w:rsidR="00833ACC" w:rsidRPr="00FB08AF" w:rsidRDefault="00833ACC" w:rsidP="00454476">
            <w:pPr>
              <w:pStyle w:val="ListParagraph"/>
              <w:numPr>
                <w:ilvl w:val="0"/>
                <w:numId w:val="20"/>
              </w:num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 xml:space="preserve">kapitálu ve smyslu čl. 4 odst. 1 bodu 118 a článku 72 nařízení (EU) č. 575/2013; </w:t>
            </w:r>
          </w:p>
          <w:p w14:paraId="4562E31B" w14:textId="37D6374D" w:rsidR="00833ACC" w:rsidRPr="00FB08AF" w:rsidRDefault="00031DC6" w:rsidP="00454476">
            <w:pPr>
              <w:pStyle w:val="ListParagraph"/>
              <w:numPr>
                <w:ilvl w:val="0"/>
                <w:numId w:val="20"/>
              </w:numPr>
              <w:rPr>
                <w:rStyle w:val="FormatvorlageInstructionsTabelleText"/>
                <w:rFonts w:ascii="Times New Roman" w:hAnsi="Times New Roman"/>
                <w:sz w:val="24"/>
                <w:u w:val="single"/>
              </w:rPr>
            </w:pPr>
            <w:r>
              <w:rPr>
                <w:rStyle w:val="FormatvorlageInstructionsTabelleText"/>
                <w:rFonts w:ascii="Times New Roman" w:hAnsi="Times New Roman"/>
                <w:sz w:val="24"/>
              </w:rPr>
              <w:t>způsobilých závazků ve smyslu čl. 2 odst. 1 bodu 71a směrnice 2014/59/EU.</w:t>
            </w:r>
          </w:p>
          <w:p w14:paraId="08E53EB1" w14:textId="30145812" w:rsidR="00014A29" w:rsidRPr="00FB08AF" w:rsidRDefault="00014A29" w:rsidP="00CC7A43">
            <w:pPr>
              <w:rPr>
                <w:rStyle w:val="FormatvorlageInstructionsTabelleText"/>
                <w:rFonts w:ascii="Times New Roman" w:hAnsi="Times New Roman"/>
                <w:sz w:val="24"/>
                <w:u w:val="single"/>
              </w:rPr>
            </w:pPr>
            <w:r>
              <w:rPr>
                <w:rStyle w:val="FormatvorlageInstructionsTabelleText"/>
                <w:rFonts w:ascii="Times New Roman" w:hAnsi="Times New Roman"/>
                <w:sz w:val="24"/>
              </w:rPr>
              <w:t>Nástroj, který se řídí právem třetí země, se do tohoto řádku zahrne pouze v případě, že splňuje požadavky stanovené v článku 55 směrnice 2014/59/EU.</w:t>
            </w:r>
          </w:p>
          <w:p w14:paraId="3802483D" w14:textId="72951D63" w:rsidR="00014A29" w:rsidRPr="00FB08AF" w:rsidRDefault="00014A29" w:rsidP="007B2300">
            <w:pPr>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172C64BD" w14:textId="5B59747A" w:rsidR="00C74C49" w:rsidRPr="00FB08AF" w:rsidRDefault="00C74C49" w:rsidP="00CC7A43">
            <w:pPr>
              <w:rPr>
                <w:rStyle w:val="FormatvorlageInstructionsTabelleText"/>
                <w:rFonts w:ascii="Times New Roman" w:hAnsi="Times New Roman"/>
                <w:sz w:val="24"/>
              </w:rPr>
            </w:pPr>
            <w:r>
              <w:rPr>
                <w:rStyle w:val="FormatvorlageInstructionsTabelleText"/>
                <w:rFonts w:ascii="Times New Roman" w:hAnsi="Times New Roman"/>
                <w:sz w:val="24"/>
              </w:rPr>
              <w:t>Hodnotou kapitálu a způsobilých závazků, které se započítávají do požadavku na kapitál a způsobilé závazky G-SVI (TLAC), je hodnota uvedená v článku 72l nařízení (EU) č. 575/2013, která se skládá z:</w:t>
            </w:r>
          </w:p>
          <w:p w14:paraId="2C797F81" w14:textId="05226138" w:rsidR="00C74C49" w:rsidRPr="00FB08AF" w:rsidRDefault="00C74C49" w:rsidP="00FC7D64">
            <w:pPr>
              <w:pStyle w:val="ListParagraph"/>
              <w:numPr>
                <w:ilvl w:val="0"/>
                <w:numId w:val="22"/>
              </w:numPr>
              <w:rPr>
                <w:rStyle w:val="FormatvorlageInstructionsTabelleText"/>
                <w:rFonts w:ascii="Times New Roman" w:hAnsi="Times New Roman"/>
                <w:sz w:val="24"/>
                <w:u w:val="single"/>
              </w:rPr>
            </w:pPr>
            <w:r>
              <w:rPr>
                <w:rStyle w:val="FormatvorlageInstructionsTabelleText"/>
                <w:rFonts w:ascii="Times New Roman" w:hAnsi="Times New Roman"/>
                <w:sz w:val="24"/>
              </w:rPr>
              <w:t>kapitálu ve smyslu čl. 4 odst. 1 bodu 118 a článku 72 nařízení (EU) č. 575/2013;</w:t>
            </w:r>
          </w:p>
          <w:p w14:paraId="5A219BC0" w14:textId="42171A65" w:rsidR="00C60A1B" w:rsidRPr="00FB08AF" w:rsidRDefault="00C74C49" w:rsidP="00FC7D64">
            <w:pPr>
              <w:pStyle w:val="ListParagraph"/>
              <w:numPr>
                <w:ilvl w:val="0"/>
                <w:numId w:val="22"/>
              </w:numPr>
              <w:rPr>
                <w:rStyle w:val="InstructionsTabelleberschrift"/>
                <w:rFonts w:ascii="Times New Roman" w:hAnsi="Times New Roman"/>
                <w:b w:val="0"/>
                <w:sz w:val="24"/>
              </w:rPr>
            </w:pPr>
            <w:r>
              <w:rPr>
                <w:rStyle w:val="FormatvorlageInstructionsTabelleText"/>
                <w:rFonts w:ascii="Times New Roman" w:hAnsi="Times New Roman"/>
                <w:sz w:val="24"/>
              </w:rPr>
              <w:t>způsobilých závazků v souladu s článkem 72k nařízení (EU) č. 575/2013.</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0" w:type="dxa"/>
          </w:tcPr>
          <w:p w14:paraId="4DC5951E" w14:textId="77777777"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kapitál a podřízené závazky</w:t>
            </w:r>
          </w:p>
          <w:p w14:paraId="2FF67EC2" w14:textId="46DA0283" w:rsidR="00CC7A43" w:rsidRPr="00FB08AF" w:rsidRDefault="00CC7A4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Hodnota kapitálu a podřízených způsobilých závazků, které se započítávají do MREL, se vykáže jako součet:</w:t>
            </w:r>
          </w:p>
          <w:p w14:paraId="1E69B0AB" w14:textId="728EBA78" w:rsidR="00CC7A43" w:rsidRPr="00FB08AF" w:rsidRDefault="00CC7A43" w:rsidP="007B2300">
            <w:pPr>
              <w:pStyle w:val="ListParagraph"/>
              <w:numPr>
                <w:ilvl w:val="0"/>
                <w:numId w:val="45"/>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kapitálu</w:t>
            </w:r>
            <w:r>
              <w:rPr>
                <w:rStyle w:val="FormatvorlageInstructionsTabelleText"/>
                <w:rFonts w:ascii="Times New Roman" w:hAnsi="Times New Roman"/>
                <w:sz w:val="24"/>
              </w:rPr>
              <w:t xml:space="preserve"> ve</w:t>
            </w:r>
            <w:r>
              <w:rPr>
                <w:rStyle w:val="InstructionsTabelleberschrift"/>
                <w:rFonts w:ascii="Times New Roman" w:hAnsi="Times New Roman"/>
                <w:b w:val="0"/>
                <w:sz w:val="24"/>
                <w:u w:val="none"/>
              </w:rPr>
              <w:t xml:space="preserve"> smyslu čl. 4 odst. 1 bodu 118 a článku 72</w:t>
            </w:r>
            <w:r>
              <w:rPr>
                <w:rStyle w:val="FormatvorlageInstructionsTabelleText"/>
                <w:rFonts w:ascii="Times New Roman" w:hAnsi="Times New Roman"/>
                <w:sz w:val="24"/>
              </w:rPr>
              <w:t xml:space="preserve"> nařízení (EU) č. 575/2013</w:t>
            </w:r>
            <w:r>
              <w:rPr>
                <w:rStyle w:val="InstructionsTabelleberschrift"/>
                <w:rFonts w:ascii="Times New Roman" w:hAnsi="Times New Roman"/>
                <w:b w:val="0"/>
                <w:sz w:val="24"/>
                <w:u w:val="none"/>
              </w:rPr>
              <w:t>;</w:t>
            </w:r>
          </w:p>
          <w:p w14:paraId="2CA01563" w14:textId="21173DD8" w:rsidR="00DE3106" w:rsidRPr="00FB08AF" w:rsidRDefault="00031DC6" w:rsidP="00E55589">
            <w:pPr>
              <w:pStyle w:val="ListParagraph"/>
              <w:numPr>
                <w:ilvl w:val="0"/>
                <w:numId w:val="45"/>
              </w:numPr>
              <w:rPr>
                <w:rStyle w:val="FormatvorlageInstructionsTabelleText"/>
                <w:rFonts w:ascii="Times New Roman" w:hAnsi="Times New Roman"/>
                <w:sz w:val="24"/>
              </w:rPr>
            </w:pPr>
            <w:r>
              <w:rPr>
                <w:rStyle w:val="InstructionsTabelleberschrift"/>
                <w:rFonts w:ascii="Times New Roman" w:hAnsi="Times New Roman"/>
                <w:b w:val="0"/>
                <w:sz w:val="24"/>
                <w:u w:val="none"/>
              </w:rPr>
              <w:t>způsobilých závazků zahrnutých</w:t>
            </w:r>
            <w:r>
              <w:rPr>
                <w:rStyle w:val="FormatvorlageInstructionsTabelleText"/>
                <w:rFonts w:ascii="Times New Roman" w:hAnsi="Times New Roman"/>
                <w:sz w:val="24"/>
              </w:rPr>
              <w:t xml:space="preserve"> do výše kapitálu a způsobilých závazků podle článku 45b směrnice 2014/59/EU, které jsou podřízenými způsobilými nástroji ve smyslu čl. 2 odst. 1 bodu </w:t>
            </w:r>
            <w:proofErr w:type="gramStart"/>
            <w:r>
              <w:rPr>
                <w:rStyle w:val="FormatvorlageInstructionsTabelleText"/>
                <w:rFonts w:ascii="Times New Roman" w:hAnsi="Times New Roman"/>
                <w:sz w:val="24"/>
              </w:rPr>
              <w:t>71b</w:t>
            </w:r>
            <w:proofErr w:type="gramEnd"/>
            <w:r>
              <w:rPr>
                <w:rStyle w:val="FormatvorlageInstructionsTabelleText"/>
                <w:rFonts w:ascii="Times New Roman" w:hAnsi="Times New Roman"/>
                <w:sz w:val="24"/>
              </w:rPr>
              <w:t xml:space="preserve"> uvedené směrnice;</w:t>
            </w:r>
          </w:p>
          <w:p w14:paraId="013BC1DB" w14:textId="4C025BAC" w:rsidR="007B2300" w:rsidRPr="00FB08AF" w:rsidRDefault="00DE3106" w:rsidP="007B2300">
            <w:pPr>
              <w:pStyle w:val="ListParagraph"/>
              <w:numPr>
                <w:ilvl w:val="0"/>
                <w:numId w:val="45"/>
              </w:numPr>
              <w:rPr>
                <w:rStyle w:val="FormatvorlageInstructionsTabelleText"/>
                <w:rFonts w:ascii="Times New Roman" w:hAnsi="Times New Roman"/>
                <w:sz w:val="24"/>
                <w:u w:val="single"/>
              </w:rPr>
            </w:pPr>
            <w:r>
              <w:rPr>
                <w:rStyle w:val="InstructionsTabelleberschrift"/>
                <w:rFonts w:ascii="Times New Roman" w:hAnsi="Times New Roman"/>
                <w:b w:val="0"/>
                <w:sz w:val="24"/>
                <w:u w:val="none"/>
              </w:rPr>
              <w:t>závazků</w:t>
            </w:r>
            <w:r>
              <w:rPr>
                <w:rStyle w:val="FormatvorlageInstructionsTabelleText"/>
                <w:rFonts w:ascii="Times New Roman" w:hAnsi="Times New Roman"/>
                <w:sz w:val="24"/>
              </w:rPr>
              <w:t xml:space="preserve"> zahrnutých do výše kapitálu a způsobilých závazků v souladu s čl. </w:t>
            </w:r>
            <w:proofErr w:type="gramStart"/>
            <w:r>
              <w:rPr>
                <w:rStyle w:val="FormatvorlageInstructionsTabelleText"/>
                <w:rFonts w:ascii="Times New Roman" w:hAnsi="Times New Roman"/>
                <w:sz w:val="24"/>
              </w:rPr>
              <w:t>45b</w:t>
            </w:r>
            <w:proofErr w:type="gramEnd"/>
            <w:r>
              <w:rPr>
                <w:rStyle w:val="FormatvorlageInstructionsTabelleText"/>
                <w:rFonts w:ascii="Times New Roman" w:hAnsi="Times New Roman"/>
                <w:sz w:val="24"/>
              </w:rPr>
              <w:t xml:space="preserve"> odst. 3 směrnice 2014/59/EU.</w:t>
            </w:r>
          </w:p>
          <w:p w14:paraId="6E9E5E3C" w14:textId="13AC4EF4" w:rsidR="00CC7A43" w:rsidRPr="00FB08AF" w:rsidRDefault="0036191E" w:rsidP="00E55589">
            <w:pPr>
              <w:rPr>
                <w:rStyle w:val="FormatvorlageInstructionsTabelleText"/>
                <w:rFonts w:ascii="Times New Roman" w:hAnsi="Times New Roman"/>
                <w:sz w:val="24"/>
              </w:rPr>
            </w:pPr>
            <w:r>
              <w:rPr>
                <w:rStyle w:val="FormatvorlageInstructionsTabelleText"/>
                <w:rFonts w:ascii="Times New Roman" w:hAnsi="Times New Roman"/>
                <w:sz w:val="24"/>
              </w:rPr>
              <w:t>Nástroj, který se řídí právem třetí země, se do tohoto řádku zahrne pouze v případě, že splňuje požadavky stanovené v článku 55 směrnice 2014/59/EU.</w:t>
            </w:r>
          </w:p>
          <w:p w14:paraId="015C2F95" w14:textId="689BF0B6" w:rsidR="00581EAB" w:rsidRPr="00FB08AF" w:rsidRDefault="00947AE8" w:rsidP="00E55589">
            <w:pPr>
              <w:rPr>
                <w:rStyle w:val="FormatvorlageInstructionsTabelleText"/>
                <w:rFonts w:ascii="Times New Roman" w:hAnsi="Times New Roman"/>
                <w:sz w:val="24"/>
              </w:rPr>
            </w:pPr>
            <w:r>
              <w:rPr>
                <w:rStyle w:val="FormatvorlageInstructionsTabelleText"/>
                <w:rFonts w:ascii="Times New Roman" w:hAnsi="Times New Roman"/>
                <w:sz w:val="24"/>
              </w:rPr>
              <w:t xml:space="preserve">Pokud jde o podřízené způsobilé závazky, vykazovanými částkami jsou částky bez </w:t>
            </w:r>
          </w:p>
          <w:p w14:paraId="47ABA882" w14:textId="6BD49519" w:rsidR="00581EAB" w:rsidRPr="00FB08AF" w:rsidRDefault="008C19BD" w:rsidP="00581EAB">
            <w:pPr>
              <w:pStyle w:val="ListParagraph"/>
              <w:numPr>
                <w:ilvl w:val="0"/>
                <w:numId w:val="65"/>
              </w:numPr>
              <w:rPr>
                <w:rStyle w:val="FormatvorlageInstructionsTabelleText"/>
                <w:rFonts w:ascii="Times New Roman" w:hAnsi="Times New Roman"/>
                <w:sz w:val="24"/>
              </w:rPr>
            </w:pPr>
            <w:r>
              <w:rPr>
                <w:rStyle w:val="InstructionsTabelleberschrift"/>
                <w:rFonts w:ascii="Times New Roman" w:hAnsi="Times New Roman"/>
                <w:b w:val="0"/>
                <w:sz w:val="24"/>
                <w:u w:val="none"/>
              </w:rPr>
              <w:t xml:space="preserve">případných kapitálových investic do vlastních nástrojů </w:t>
            </w:r>
            <w:r>
              <w:rPr>
                <w:rStyle w:val="FormatvorlageInstructionsTabelleText"/>
                <w:rFonts w:ascii="Times New Roman" w:hAnsi="Times New Roman"/>
                <w:sz w:val="24"/>
              </w:rPr>
              <w:t>podřízených způsobilých závazků uvedených v čl. 72e odst. 1 písm. a) nařízení (EU) č. 575/2013 a</w:t>
            </w:r>
          </w:p>
          <w:p w14:paraId="023D5208" w14:textId="3A69C0C3" w:rsidR="00581EAB" w:rsidRPr="00FB08AF" w:rsidRDefault="00A335B4" w:rsidP="009E5168">
            <w:pPr>
              <w:pStyle w:val="ListParagraph"/>
              <w:numPr>
                <w:ilvl w:val="0"/>
                <w:numId w:val="65"/>
              </w:numPr>
              <w:rPr>
                <w:rStyle w:val="InstructionsTabelleberschrift"/>
                <w:rFonts w:ascii="Times New Roman" w:hAnsi="Times New Roman"/>
                <w:b w:val="0"/>
                <w:sz w:val="24"/>
                <w:u w:val="none"/>
              </w:rPr>
            </w:pPr>
            <w:r>
              <w:rPr>
                <w:rStyle w:val="FormatvorlageInstructionsTabelleText"/>
                <w:rFonts w:ascii="Times New Roman" w:hAnsi="Times New Roman"/>
                <w:sz w:val="24"/>
              </w:rPr>
              <w:t>nevyužitých částek, pro něž bylo uděleno předběžné svolení, v rozsahu, v jakém se předběžné svolení vztahuje na nástroje podřízených závazků obecně nebo na specifický nástroj podřízených závazků.</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tcPr>
          <w:p w14:paraId="11F50189" w14:textId="503D08CC"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se řídí právem třetí země</w:t>
            </w:r>
          </w:p>
          <w:p w14:paraId="7B75DAA1"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Hodnota kapitálu a způsobilých závazků, které se řídí právem třetí země, jak je uvedeno v článku 55 směrnice 2014/59/EU.</w:t>
            </w:r>
          </w:p>
          <w:p w14:paraId="6536DCBA" w14:textId="04E8BB0B" w:rsidR="00D544E6" w:rsidRPr="00FB08AF" w:rsidRDefault="00947AE8"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Vykazované částky jsou částky bez: </w:t>
            </w:r>
          </w:p>
          <w:p w14:paraId="04BEB273" w14:textId="2791EFB1" w:rsidR="00D544E6" w:rsidRPr="00FB08AF" w:rsidRDefault="008C19BD" w:rsidP="00D544E6">
            <w:pPr>
              <w:pStyle w:val="ListParagraph"/>
              <w:numPr>
                <w:ilvl w:val="0"/>
                <w:numId w:val="66"/>
              </w:numPr>
              <w:rPr>
                <w:rStyle w:val="FormatvorlageInstructionsTabelleText"/>
                <w:rFonts w:ascii="Times New Roman" w:hAnsi="Times New Roman"/>
                <w:sz w:val="24"/>
              </w:rPr>
            </w:pPr>
            <w:r>
              <w:rPr>
                <w:rStyle w:val="InstructionsTabelleberschrift"/>
                <w:rFonts w:ascii="Times New Roman" w:hAnsi="Times New Roman"/>
                <w:b w:val="0"/>
                <w:sz w:val="24"/>
                <w:u w:val="none"/>
              </w:rPr>
              <w:t>případných kapitálových investic do vlastních</w:t>
            </w:r>
            <w:r>
              <w:rPr>
                <w:rStyle w:val="FormatvorlageInstructionsTabelleText"/>
                <w:rFonts w:ascii="Times New Roman" w:hAnsi="Times New Roman"/>
                <w:sz w:val="24"/>
              </w:rPr>
              <w:t xml:space="preserve"> nástrojů způsobilých závazků uvedených v čl. 72e odst. 1 písm. a) nařízení (EU) </w:t>
            </w:r>
            <w:r>
              <w:rPr>
                <w:rStyle w:val="FormatvorlageInstructionsTabelleText"/>
                <w:rFonts w:ascii="Times New Roman" w:hAnsi="Times New Roman"/>
                <w:sz w:val="24"/>
              </w:rPr>
              <w:lastRenderedPageBreak/>
              <w:t>č. 575/2013 a kapitálových investic do kapitálových nástrojů uvedených v čl. 36 odst. 1 písm. f), čl. 56 písm. a) a čl. 66 písm. a) nařízení (EU) č. 575/2013, které se řídí právem třetí země, a</w:t>
            </w:r>
          </w:p>
          <w:p w14:paraId="1FA67352" w14:textId="170D3681" w:rsidR="00D544E6" w:rsidRPr="00FB08AF" w:rsidRDefault="001C3C19" w:rsidP="009E5168">
            <w:pPr>
              <w:pStyle w:val="ListParagraph"/>
              <w:numPr>
                <w:ilvl w:val="0"/>
                <w:numId w:val="66"/>
              </w:numPr>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nevyužitých částek, pro něž bylo uděleno svolení </w:t>
            </w:r>
            <w:r>
              <w:rPr>
                <w:rStyle w:val="FormatvorlageInstructionsTabelleText"/>
                <w:rFonts w:ascii="Times New Roman" w:hAnsi="Times New Roman"/>
                <w:i/>
                <w:iCs/>
                <w:sz w:val="24"/>
              </w:rPr>
              <w:t>ad hoc</w:t>
            </w:r>
            <w:r>
              <w:rPr>
                <w:rStyle w:val="FormatvorlageInstructionsTabelleText"/>
                <w:rFonts w:ascii="Times New Roman" w:hAnsi="Times New Roman"/>
                <w:sz w:val="24"/>
              </w:rPr>
              <w:t>, v rozsahu, v jakém se předběžné svolení vztahuje na kapitálový nástroj nebo specifický nástroj způsobilých závazků, který se řídí právem třetí země.</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0230</w:t>
            </w:r>
          </w:p>
        </w:tc>
        <w:tc>
          <w:tcPr>
            <w:tcW w:w="7620" w:type="dxa"/>
          </w:tcPr>
          <w:p w14:paraId="1EF5E394" w14:textId="4735FB67" w:rsidR="000D5110" w:rsidRPr="00FB08AF" w:rsidRDefault="000D511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obsahující ustanovení o odpisu a konverzi uvedené v článku 55 směrnice 2014/59/EU</w:t>
            </w:r>
          </w:p>
          <w:p w14:paraId="441346A2" w14:textId="77777777" w:rsidR="000D5110" w:rsidRPr="00FB08AF" w:rsidRDefault="000D5110"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Hodnota kapitálu a způsobilých závazků, které se řídí právem třetí země a obsahují ustanovení o odpisu a konverzi, jak je uvedeno v článku 55 </w:t>
            </w:r>
            <w:r>
              <w:rPr>
                <w:rStyle w:val="FormatvorlageInstructionsTabelleText"/>
                <w:rFonts w:ascii="Times New Roman" w:hAnsi="Times New Roman"/>
                <w:sz w:val="24"/>
              </w:rPr>
              <w:t>směrnice 2014/59/EU</w:t>
            </w:r>
            <w:r>
              <w:rPr>
                <w:rStyle w:val="InstructionsTabelleberschrift"/>
                <w:rFonts w:ascii="Times New Roman" w:hAnsi="Times New Roman"/>
                <w:b w:val="0"/>
                <w:sz w:val="24"/>
                <w:u w:val="none"/>
              </w:rPr>
              <w:t>.</w:t>
            </w:r>
          </w:p>
          <w:p w14:paraId="51482315" w14:textId="77777777" w:rsidR="00D544E6" w:rsidRPr="00FB08AF" w:rsidRDefault="00D544E6" w:rsidP="00D544E6">
            <w:pPr>
              <w:rPr>
                <w:rStyle w:val="FormatvorlageInstructionsTabelleText"/>
                <w:rFonts w:ascii="Times New Roman" w:hAnsi="Times New Roman"/>
                <w:sz w:val="24"/>
              </w:rPr>
            </w:pPr>
            <w:r>
              <w:rPr>
                <w:rStyle w:val="FormatvorlageInstructionsTabelleText"/>
                <w:rFonts w:ascii="Times New Roman" w:hAnsi="Times New Roman"/>
                <w:sz w:val="24"/>
              </w:rPr>
              <w:t xml:space="preserve">Vykazované částky jsou částky bez: </w:t>
            </w:r>
          </w:p>
          <w:p w14:paraId="5776B6EB" w14:textId="6CA86BCA" w:rsidR="00D544E6" w:rsidRPr="00FB08AF" w:rsidRDefault="008C19BD" w:rsidP="00D544E6">
            <w:pPr>
              <w:pStyle w:val="ListParagraph"/>
              <w:numPr>
                <w:ilvl w:val="0"/>
                <w:numId w:val="67"/>
              </w:numPr>
              <w:rPr>
                <w:rStyle w:val="FormatvorlageInstructionsTabelleText"/>
                <w:rFonts w:ascii="Times New Roman" w:hAnsi="Times New Roman"/>
                <w:sz w:val="24"/>
              </w:rPr>
            </w:pPr>
            <w:r>
              <w:rPr>
                <w:rStyle w:val="InstructionsTabelleberschrift"/>
                <w:rFonts w:ascii="Times New Roman" w:hAnsi="Times New Roman"/>
                <w:b w:val="0"/>
                <w:sz w:val="24"/>
                <w:u w:val="none"/>
              </w:rPr>
              <w:t>případných kapitálových investic do vlastních</w:t>
            </w:r>
            <w:r>
              <w:rPr>
                <w:rStyle w:val="FormatvorlageInstructionsTabelleText"/>
                <w:rFonts w:ascii="Times New Roman" w:hAnsi="Times New Roman"/>
                <w:sz w:val="24"/>
              </w:rPr>
              <w:t xml:space="preserve"> nástrojů způsobilých závazků uvedených v čl. 72e odst. 1 písm. a) nařízení (EU) č. 575/2013 a kapitálových investic do kapitálových nástrojů uvedených v čl. 36 odst. 1 písm. f), čl. 56 písm. a) a čl. 66 písm. a) nařízení (EU) č. 575/2013, které se řídí právem třetí země a obsahují ustanovení o odpisu a konverzi, jak je uvedeno v článku 55 směrnice 2014/59/EU, a</w:t>
            </w:r>
          </w:p>
          <w:p w14:paraId="5A286E7E" w14:textId="27B31AB3" w:rsidR="00D544E6" w:rsidRPr="00FB08AF" w:rsidRDefault="001C3C19" w:rsidP="009E5168">
            <w:pPr>
              <w:pStyle w:val="ListParagraph"/>
              <w:numPr>
                <w:ilvl w:val="0"/>
                <w:numId w:val="67"/>
              </w:numPr>
              <w:rPr>
                <w:rStyle w:val="InstructionsTabelleberschrift"/>
                <w:rFonts w:ascii="Times New Roman" w:hAnsi="Times New Roman"/>
                <w:b w:val="0"/>
                <w:bCs w:val="0"/>
                <w:sz w:val="24"/>
              </w:rPr>
            </w:pPr>
            <w:r>
              <w:rPr>
                <w:rStyle w:val="InstructionsTabelleberschrift"/>
                <w:rFonts w:ascii="Times New Roman" w:hAnsi="Times New Roman"/>
                <w:b w:val="0"/>
                <w:sz w:val="24"/>
                <w:u w:val="none"/>
              </w:rPr>
              <w:t xml:space="preserve">nevyužitých částek, pro něž bylo uděleno svolení </w:t>
            </w:r>
            <w:r>
              <w:rPr>
                <w:rStyle w:val="InstructionsTabelleberschrift"/>
                <w:rFonts w:ascii="Times New Roman" w:hAnsi="Times New Roman"/>
                <w:b w:val="0"/>
                <w:i/>
                <w:iCs/>
                <w:sz w:val="24"/>
                <w:u w:val="none"/>
              </w:rPr>
              <w:t>ad hoc</w:t>
            </w:r>
            <w:r>
              <w:rPr>
                <w:rStyle w:val="InstructionsTabelleberschrift"/>
                <w:rFonts w:ascii="Times New Roman" w:hAnsi="Times New Roman"/>
                <w:b w:val="0"/>
                <w:sz w:val="24"/>
                <w:u w:val="none"/>
              </w:rPr>
              <w:t>, v rozsahu, v jakém se svolení vztahuje na kapitálový nástroj nebo specifický nástroj způsobilých závazků, který se řídí právem třetí země a obsahuje ustanovení o odpisu a konverzi, jak je uvedeno v článku 55 směrnice 2014/59/EU.</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0250–0290</w:t>
            </w:r>
          </w:p>
        </w:tc>
        <w:tc>
          <w:tcPr>
            <w:tcW w:w="7620" w:type="dxa"/>
          </w:tcPr>
          <w:p w14:paraId="1E3DF83A" w14:textId="77777777" w:rsidR="00C725CB"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Jiné závazky použitelné k rekapitalizaci z vnitřních zdrojů</w:t>
            </w:r>
          </w:p>
          <w:p w14:paraId="4B51FD1B" w14:textId="77777777" w:rsidR="00303127" w:rsidRPr="00FB08AF" w:rsidRDefault="0009341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Subjekty, které ke dni podání této informace </w:t>
            </w:r>
            <w:proofErr w:type="gramStart"/>
            <w:r>
              <w:rPr>
                <w:rStyle w:val="InstructionsTabelleberschrift"/>
                <w:rFonts w:ascii="Times New Roman" w:hAnsi="Times New Roman"/>
                <w:b w:val="0"/>
                <w:sz w:val="24"/>
                <w:u w:val="none"/>
              </w:rPr>
              <w:t>drží</w:t>
            </w:r>
            <w:proofErr w:type="gramEnd"/>
            <w:r>
              <w:rPr>
                <w:rStyle w:val="InstructionsTabelleberschrift"/>
                <w:rFonts w:ascii="Times New Roman" w:hAnsi="Times New Roman"/>
                <w:b w:val="0"/>
                <w:sz w:val="24"/>
                <w:u w:val="none"/>
              </w:rPr>
              <w:t xml:space="preserve"> kapitál a způsobilé závazky ve výši alespoň 150 % požadavku stanoveného v čl. 45 odst. 1 </w:t>
            </w:r>
            <w:r>
              <w:rPr>
                <w:rStyle w:val="FormatvorlageInstructionsTabelleText"/>
                <w:rFonts w:ascii="Times New Roman" w:hAnsi="Times New Roman"/>
                <w:sz w:val="24"/>
              </w:rPr>
              <w:t>směrnice 2014/59/EU,</w:t>
            </w:r>
            <w:r>
              <w:rPr>
                <w:rStyle w:val="InstructionsTabelleberschrift"/>
                <w:rFonts w:ascii="Times New Roman" w:hAnsi="Times New Roman"/>
                <w:b w:val="0"/>
                <w:sz w:val="24"/>
                <w:u w:val="none"/>
              </w:rPr>
              <w:t xml:space="preserve"> jsou osvobozeny od vykazování údajů v řádcích 0250 až 0290. Takové subjekty mohou předmětné údaje v této šabloně vykazovat dobrovolně.</w:t>
            </w:r>
          </w:p>
          <w:p w14:paraId="23F6E725" w14:textId="074096E2" w:rsidR="00CA024E" w:rsidRPr="00FB08AF" w:rsidRDefault="00CA024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Nevyužité částky, pro něž bylo uděleno předběžné svolení, v rozsahu, v jakém se svolení vztahuje na nástroj způsobilých závazků, se pro účely těchto řádků považují za jiné závazky použitelné k rekapitalizaci z vnitřních zdrojů.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0250</w:t>
            </w:r>
          </w:p>
        </w:tc>
        <w:tc>
          <w:tcPr>
            <w:tcW w:w="7620" w:type="dxa"/>
          </w:tcPr>
          <w:p w14:paraId="5DF67F30" w14:textId="4A1B3CDE" w:rsidR="00975018" w:rsidRPr="00FB08AF" w:rsidRDefault="0097501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Jiné závazky použitelné k rekapitalizaci z vnitřních zdrojů</w:t>
            </w:r>
          </w:p>
          <w:p w14:paraId="13517B1C" w14:textId="143C0711" w:rsidR="007705FD" w:rsidRPr="00FB08AF" w:rsidRDefault="00810D53"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Hodnota závazků použitelných k rekapitalizaci z vnitřních zdrojů ve smyslu čl. 2 odst. 1 bodu 71 </w:t>
            </w:r>
            <w:r>
              <w:rPr>
                <w:rStyle w:val="FormatvorlageInstructionsTabelleText"/>
                <w:rFonts w:ascii="Times New Roman" w:hAnsi="Times New Roman"/>
                <w:sz w:val="24"/>
              </w:rPr>
              <w:t>směrnice 2014/59/EU,</w:t>
            </w:r>
            <w:r>
              <w:rPr>
                <w:rStyle w:val="InstructionsTabelleberschrift"/>
                <w:rFonts w:ascii="Times New Roman" w:hAnsi="Times New Roman"/>
                <w:b w:val="0"/>
                <w:sz w:val="24"/>
                <w:u w:val="none"/>
              </w:rPr>
              <w:t xml:space="preserve"> které nejsou zahrnuty do kapitálu a způsobilých závazků v souladu s článkem </w:t>
            </w:r>
            <w:proofErr w:type="gramStart"/>
            <w:r>
              <w:rPr>
                <w:rStyle w:val="InstructionsTabelleberschrift"/>
                <w:rFonts w:ascii="Times New Roman" w:hAnsi="Times New Roman"/>
                <w:b w:val="0"/>
                <w:sz w:val="24"/>
                <w:u w:val="none"/>
              </w:rPr>
              <w:t>45b</w:t>
            </w:r>
            <w:proofErr w:type="gramEnd"/>
            <w:r>
              <w:rPr>
                <w:rStyle w:val="InstructionsTabelleberschrift"/>
                <w:rFonts w:ascii="Times New Roman" w:hAnsi="Times New Roman"/>
                <w:b w:val="0"/>
                <w:sz w:val="24"/>
                <w:u w:val="none"/>
              </w:rPr>
              <w:t xml:space="preserve"> uvedené směrnice.</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0" w:type="dxa"/>
          </w:tcPr>
          <w:p w14:paraId="7CF081FC" w14:textId="7743924C"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se řídí právem třetí země</w:t>
            </w:r>
          </w:p>
          <w:p w14:paraId="083AFDCB" w14:textId="463FBABB" w:rsidR="000B5B4D" w:rsidRPr="00FB08AF" w:rsidRDefault="000B5B4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Hodnota jiných závazků použitelných k rekapitalizaci z vnitřních zdrojů, které se řídí právem třetí země, jak je uvedeno v článku 55</w:t>
            </w:r>
            <w:r>
              <w:t xml:space="preserve"> směrnice 2014/59/EU</w:t>
            </w:r>
            <w:r>
              <w:rPr>
                <w:rStyle w:val="InstructionsTabelleberschrift"/>
                <w:rFonts w:ascii="Times New Roman" w:hAnsi="Times New Roman"/>
                <w:b w:val="0"/>
                <w:sz w:val="24"/>
                <w:u w:val="none"/>
              </w:rPr>
              <w:t>.</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0270</w:t>
            </w:r>
          </w:p>
        </w:tc>
        <w:tc>
          <w:tcPr>
            <w:tcW w:w="7620" w:type="dxa"/>
          </w:tcPr>
          <w:p w14:paraId="6C3DE5F1" w14:textId="31C6CA86" w:rsidR="00975018" w:rsidRPr="00FB08AF" w:rsidRDefault="000B5B4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obsahující ustanovení o odpisu a konverzi uvedené v článku 55 směrnice 2014/59/EU</w:t>
            </w:r>
          </w:p>
          <w:p w14:paraId="0FA24129" w14:textId="7C351D54" w:rsidR="000B5B4D" w:rsidRPr="00FB08AF" w:rsidRDefault="002A4F17"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Hodnota jiných závazků použitelných k rekapitalizaci z vnitřních zdrojů, které se řídí právem třetí země a obsahují ustanovení o odpisu a konverzi, jak je uvedeno v článku 55 směrnice 2014/59/EU.</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0280–0290</w:t>
            </w:r>
          </w:p>
        </w:tc>
        <w:tc>
          <w:tcPr>
            <w:tcW w:w="7620" w:type="dxa"/>
          </w:tcPr>
          <w:p w14:paraId="7FD04343" w14:textId="76053762" w:rsidR="00EC3749" w:rsidRPr="00FB08AF" w:rsidRDefault="00EC374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Rozčlenění jiných závazků použitelných k rekapitalizaci z vnitřních zdrojů podle zbytkové splatnosti</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0" w:type="dxa"/>
          </w:tcPr>
          <w:p w14:paraId="7BB8479E" w14:textId="1277B407" w:rsidR="00EC3749" w:rsidRPr="00FB08AF" w:rsidRDefault="00EC3749" w:rsidP="00E36728">
            <w:pPr>
              <w:pStyle w:val="InstructionsText"/>
              <w:rPr>
                <w:rStyle w:val="InstructionsTabelleberschrift"/>
                <w:rFonts w:ascii="Times New Roman" w:hAnsi="Times New Roman"/>
                <w:b w:val="0"/>
                <w:sz w:val="24"/>
              </w:rPr>
            </w:pPr>
            <w:r>
              <w:t xml:space="preserve">zbytková splatnost </w:t>
            </w:r>
            <w:proofErr w:type="gramStart"/>
            <w:r>
              <w:t>&lt; 1</w:t>
            </w:r>
            <w:proofErr w:type="gramEnd"/>
            <w:r>
              <w:t xml:space="preserve"> rok</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0285</w:t>
            </w:r>
          </w:p>
        </w:tc>
        <w:tc>
          <w:tcPr>
            <w:tcW w:w="7620" w:type="dxa"/>
          </w:tcPr>
          <w:p w14:paraId="711BCB7B" w14:textId="7195CB9C" w:rsidR="00EC3749" w:rsidRPr="00FB08AF" w:rsidRDefault="00EC3749" w:rsidP="00E36728">
            <w:pPr>
              <w:pStyle w:val="InstructionsText"/>
              <w:rPr>
                <w:rStyle w:val="InstructionsTabelleberschrift"/>
                <w:rFonts w:ascii="Times New Roman" w:hAnsi="Times New Roman"/>
                <w:b w:val="0"/>
                <w:sz w:val="24"/>
              </w:rPr>
            </w:pPr>
            <w:r>
              <w:t xml:space="preserve">zbytková </w:t>
            </w:r>
            <w:proofErr w:type="gramStart"/>
            <w:r>
              <w:t>splatnost &gt;</w:t>
            </w:r>
            <w:proofErr w:type="gramEnd"/>
            <w:r>
              <w:t>= 1 rok a &lt; 2 roky</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0" w:type="dxa"/>
          </w:tcPr>
          <w:p w14:paraId="5BA6A556" w14:textId="4CC49FD3" w:rsidR="00EC3749" w:rsidRPr="00FB08AF" w:rsidRDefault="00EC3749" w:rsidP="00E36728">
            <w:pPr>
              <w:pStyle w:val="InstructionsText"/>
              <w:rPr>
                <w:rStyle w:val="InstructionsTabelleberschrift"/>
                <w:rFonts w:ascii="Times New Roman" w:hAnsi="Times New Roman"/>
                <w:b w:val="0"/>
                <w:sz w:val="24"/>
              </w:rPr>
            </w:pPr>
            <w:r>
              <w:t xml:space="preserve">zbytková </w:t>
            </w:r>
            <w:proofErr w:type="gramStart"/>
            <w:r>
              <w:t>splatnost &gt;</w:t>
            </w:r>
            <w:proofErr w:type="gramEnd"/>
            <w:r>
              <w:t>= 2 roky</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0300–0360</w:t>
            </w:r>
          </w:p>
        </w:tc>
        <w:tc>
          <w:tcPr>
            <w:tcW w:w="7620" w:type="dxa"/>
          </w:tcPr>
          <w:p w14:paraId="374B5319" w14:textId="4410DC5B" w:rsidR="00CC7A43" w:rsidRPr="00FB08AF" w:rsidRDefault="00CC7A4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Poměry a výjimky z podřízenosti</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tcPr>
          <w:p w14:paraId="63757942" w14:textId="1ACF8B54" w:rsidR="00A0358A" w:rsidRPr="00FB08AF" w:rsidRDefault="00A0358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Kapitál a způsobilé závazky jako procentní podíl celkového objemu rizikové expozice</w:t>
            </w:r>
          </w:p>
          <w:p w14:paraId="26CF9D91" w14:textId="3FD820A0"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Pro účely tohoto řádku se výše kapitálu a způsobilých závazků, která se vykazuje v řádku 0200, </w:t>
            </w:r>
            <w:proofErr w:type="gramStart"/>
            <w:r>
              <w:rPr>
                <w:rStyle w:val="InstructionsTabelleberschrift"/>
                <w:rFonts w:ascii="Times New Roman" w:hAnsi="Times New Roman"/>
                <w:b w:val="0"/>
                <w:sz w:val="24"/>
                <w:u w:val="none"/>
              </w:rPr>
              <w:t>vyjádří</w:t>
            </w:r>
            <w:proofErr w:type="gramEnd"/>
            <w:r>
              <w:rPr>
                <w:rStyle w:val="InstructionsTabelleberschrift"/>
                <w:rFonts w:ascii="Times New Roman" w:hAnsi="Times New Roman"/>
                <w:b w:val="0"/>
                <w:sz w:val="24"/>
                <w:u w:val="none"/>
              </w:rPr>
              <w:t xml:space="preserve"> jako procentní podíl celkového objemu rizikové expozice vypočítaného v souladu s čl. 92 odst. 3 nařízení (EU) č. 575/2013.</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tcPr>
          <w:p w14:paraId="19FBD071" w14:textId="77777777" w:rsidR="00A0358A"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kapitál a podřízené závazky</w:t>
            </w:r>
          </w:p>
          <w:p w14:paraId="4BB00887" w14:textId="054D6A44" w:rsidR="002B6980" w:rsidRPr="00FB08AF" w:rsidRDefault="002B6980"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Pro účely tohoto řádku se výše kapitálu a podřízených způsobilých závazků, která se vykazuje v řádku 0210, </w:t>
            </w:r>
            <w:proofErr w:type="gramStart"/>
            <w:r>
              <w:rPr>
                <w:rStyle w:val="InstructionsTabelleberschrift"/>
                <w:rFonts w:ascii="Times New Roman" w:hAnsi="Times New Roman"/>
                <w:b w:val="0"/>
                <w:sz w:val="24"/>
                <w:u w:val="none"/>
              </w:rPr>
              <w:t>vyjádří</w:t>
            </w:r>
            <w:proofErr w:type="gramEnd"/>
            <w:r>
              <w:rPr>
                <w:rStyle w:val="InstructionsTabelleberschrift"/>
                <w:rFonts w:ascii="Times New Roman" w:hAnsi="Times New Roman"/>
                <w:b w:val="0"/>
                <w:sz w:val="24"/>
                <w:u w:val="none"/>
              </w:rPr>
              <w:t xml:space="preserve"> jako procentní podíl celkového objemu rizikové expozice vypočítaného v souladu s čl. 92 odst. 3 </w:t>
            </w:r>
            <w:r>
              <w:rPr>
                <w:rStyle w:val="FormatvorlageInstructionsTabelleText"/>
                <w:rFonts w:ascii="Times New Roman" w:hAnsi="Times New Roman"/>
                <w:sz w:val="24"/>
              </w:rPr>
              <w:t>nařízení (EU) č. 575/2013</w:t>
            </w:r>
            <w:r>
              <w:rPr>
                <w:rStyle w:val="InstructionsTabelleberschrift"/>
                <w:rFonts w:ascii="Times New Roman" w:hAnsi="Times New Roman"/>
                <w:b w:val="0"/>
                <w:sz w:val="24"/>
                <w:u w:val="none"/>
              </w:rPr>
              <w:t>.</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tcPr>
          <w:p w14:paraId="3AA50C32" w14:textId="102EF905"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Kapitál a způsobilé závazky jako procentní podíl celkové míry expozic</w:t>
            </w:r>
          </w:p>
          <w:p w14:paraId="389667F6" w14:textId="3967E8FF" w:rsidR="00A0358A" w:rsidRPr="00FB08AF" w:rsidRDefault="00A0358A"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Pro účely tohoto řádku se výše kapitálu a způsobilých závazků, která se vykazuje v řádku 0200, </w:t>
            </w:r>
            <w:proofErr w:type="gramStart"/>
            <w:r>
              <w:rPr>
                <w:rStyle w:val="InstructionsTabelleberschrift"/>
                <w:rFonts w:ascii="Times New Roman" w:hAnsi="Times New Roman"/>
                <w:b w:val="0"/>
                <w:sz w:val="24"/>
                <w:u w:val="none"/>
              </w:rPr>
              <w:t>vyjádří</w:t>
            </w:r>
            <w:proofErr w:type="gramEnd"/>
            <w:r>
              <w:rPr>
                <w:rStyle w:val="InstructionsTabelleberschrift"/>
                <w:rFonts w:ascii="Times New Roman" w:hAnsi="Times New Roman"/>
                <w:b w:val="0"/>
                <w:sz w:val="24"/>
                <w:u w:val="none"/>
              </w:rPr>
              <w:t xml:space="preserve"> jako procentní podíl celkové míry expozic vypočítané v souladu s čl. 429 odst. 4 a článkem 429a</w:t>
            </w:r>
            <w:r>
              <w:rPr>
                <w:rStyle w:val="FormatvorlageInstructionsTabelleText"/>
                <w:rFonts w:ascii="Times New Roman" w:hAnsi="Times New Roman"/>
                <w:sz w:val="24"/>
              </w:rPr>
              <w:t xml:space="preserve"> nařízení (EU) č. 575/2013</w:t>
            </w:r>
            <w:r>
              <w:rPr>
                <w:rStyle w:val="InstructionsTabelleberschrift"/>
                <w:rFonts w:ascii="Times New Roman" w:hAnsi="Times New Roman"/>
                <w:b w:val="0"/>
                <w:sz w:val="24"/>
                <w:u w:val="none"/>
              </w:rPr>
              <w:t>.</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tcPr>
          <w:p w14:paraId="4D0C5A18" w14:textId="77777777" w:rsidR="002B6980" w:rsidRPr="00FB08AF" w:rsidRDefault="002B698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kapitál a podřízené závazky</w:t>
            </w:r>
          </w:p>
          <w:p w14:paraId="6DE930D8" w14:textId="1386471E" w:rsidR="002B6980" w:rsidRPr="00FB08AF" w:rsidRDefault="002B6980"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 xml:space="preserve">Pro účely tohoto řádku se výše kapitálu a podřízených způsobilých závazků, která se vykazuje v řádku 0210, </w:t>
            </w:r>
            <w:proofErr w:type="gramStart"/>
            <w:r>
              <w:rPr>
                <w:rStyle w:val="InstructionsTabelleberschrift"/>
                <w:rFonts w:ascii="Times New Roman" w:hAnsi="Times New Roman"/>
                <w:b w:val="0"/>
                <w:sz w:val="24"/>
                <w:u w:val="none"/>
              </w:rPr>
              <w:t>vyjádří</w:t>
            </w:r>
            <w:proofErr w:type="gramEnd"/>
            <w:r>
              <w:rPr>
                <w:rStyle w:val="InstructionsTabelleberschrift"/>
                <w:rFonts w:ascii="Times New Roman" w:hAnsi="Times New Roman"/>
                <w:b w:val="0"/>
                <w:sz w:val="24"/>
                <w:u w:val="none"/>
              </w:rPr>
              <w:t xml:space="preserve"> jako procentní podíl celkové míry expozic vypočítané v souladu s čl. 429 odst. 4 a článkem 429a nařízení</w:t>
            </w:r>
            <w:r>
              <w:rPr>
                <w:rStyle w:val="FormatvorlageInstructionsTabelleText"/>
                <w:rFonts w:ascii="Times New Roman" w:hAnsi="Times New Roman"/>
                <w:sz w:val="24"/>
              </w:rPr>
              <w:t xml:space="preserve"> (EU) č. 575/2013</w:t>
            </w:r>
            <w:r>
              <w:rPr>
                <w:rStyle w:val="InstructionsTabelleberschrift"/>
                <w:rFonts w:ascii="Times New Roman" w:hAnsi="Times New Roman"/>
                <w:b w:val="0"/>
                <w:sz w:val="24"/>
                <w:u w:val="none"/>
              </w:rPr>
              <w:t>.</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0340</w:t>
            </w:r>
          </w:p>
        </w:tc>
        <w:tc>
          <w:tcPr>
            <w:tcW w:w="7620" w:type="dxa"/>
          </w:tcPr>
          <w:p w14:paraId="0B740E04" w14:textId="56DB18DD"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Platí výjimka z podřízenosti stanovená v čl. </w:t>
            </w:r>
            <w:proofErr w:type="gramStart"/>
            <w:r>
              <w:rPr>
                <w:rStyle w:val="InstructionsTabelleberschrift"/>
                <w:rFonts w:ascii="Times New Roman" w:hAnsi="Times New Roman"/>
                <w:sz w:val="24"/>
              </w:rPr>
              <w:t>72b</w:t>
            </w:r>
            <w:proofErr w:type="gramEnd"/>
            <w:r>
              <w:rPr>
                <w:rStyle w:val="InstructionsTabelleberschrift"/>
                <w:rFonts w:ascii="Times New Roman" w:hAnsi="Times New Roman"/>
                <w:sz w:val="24"/>
              </w:rPr>
              <w:t xml:space="preserve"> odst. 4 nařízení (EU) č. 575/2013? (5% výjimka)</w:t>
            </w:r>
          </w:p>
          <w:p w14:paraId="7E4A548A" w14:textId="0F07A0A9"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Tento řádek vykazují pouze subjekty, které podléhají požadavku na kapitál a způsobilé závazky G-SVI (požadavek TLAC).</w:t>
            </w:r>
          </w:p>
          <w:p w14:paraId="049A2EF8" w14:textId="27BA3427" w:rsidR="004C2312" w:rsidRPr="00FB08AF" w:rsidRDefault="001C369A" w:rsidP="00341BC3">
            <w:pPr>
              <w:rPr>
                <w:rStyle w:val="FormatvorlageInstructionsTabelleText"/>
                <w:rFonts w:ascii="Times New Roman" w:hAnsi="Times New Roman"/>
                <w:sz w:val="24"/>
              </w:rPr>
            </w:pPr>
            <w:r>
              <w:rPr>
                <w:rStyle w:val="FormatvorlageInstructionsTabelleText"/>
                <w:rFonts w:ascii="Times New Roman" w:hAnsi="Times New Roman"/>
                <w:sz w:val="24"/>
              </w:rPr>
              <w:t>Pokud orgán příslušný k řešení krize povolí, aby byly závazky považovány za nástroje způsobilých závazků v souladu s čl. </w:t>
            </w:r>
            <w:proofErr w:type="gramStart"/>
            <w:r>
              <w:rPr>
                <w:rStyle w:val="FormatvorlageInstructionsTabelleText"/>
                <w:rFonts w:ascii="Times New Roman" w:hAnsi="Times New Roman"/>
                <w:sz w:val="24"/>
              </w:rPr>
              <w:t>72b</w:t>
            </w:r>
            <w:proofErr w:type="gramEnd"/>
            <w:r>
              <w:rPr>
                <w:rStyle w:val="FormatvorlageInstructionsTabelleText"/>
                <w:rFonts w:ascii="Times New Roman" w:hAnsi="Times New Roman"/>
                <w:sz w:val="24"/>
              </w:rPr>
              <w:t xml:space="preserve"> odst. 4 nařízení (EU) č. 575/2013, pak vykazující subjekt uvede ve sloupci 0020 „ano“.</w:t>
            </w:r>
          </w:p>
          <w:p w14:paraId="2A0884E3" w14:textId="22D96245" w:rsidR="004C2312" w:rsidRPr="00FB08AF" w:rsidRDefault="00441D4D" w:rsidP="00341BC3">
            <w:pPr>
              <w:rPr>
                <w:rStyle w:val="FormatvorlageInstructionsTabelleText"/>
                <w:rFonts w:ascii="Times New Roman" w:hAnsi="Times New Roman"/>
                <w:sz w:val="24"/>
              </w:rPr>
            </w:pPr>
            <w:r>
              <w:rPr>
                <w:rStyle w:val="FormatvorlageInstructionsTabelleText"/>
                <w:rFonts w:ascii="Times New Roman" w:hAnsi="Times New Roman"/>
                <w:sz w:val="24"/>
              </w:rPr>
              <w:lastRenderedPageBreak/>
              <w:t>Pokud orgán příslušný k řešení krize nepovolí, aby byly závazky považovány za nástroje způsobilých závazků v souladu s čl. </w:t>
            </w:r>
            <w:proofErr w:type="gramStart"/>
            <w:r>
              <w:rPr>
                <w:rStyle w:val="FormatvorlageInstructionsTabelleText"/>
                <w:rFonts w:ascii="Times New Roman" w:hAnsi="Times New Roman"/>
                <w:sz w:val="24"/>
              </w:rPr>
              <w:t>72b</w:t>
            </w:r>
            <w:proofErr w:type="gramEnd"/>
            <w:r>
              <w:rPr>
                <w:rStyle w:val="FormatvorlageInstructionsTabelleText"/>
                <w:rFonts w:ascii="Times New Roman" w:hAnsi="Times New Roman"/>
                <w:sz w:val="24"/>
              </w:rPr>
              <w:t xml:space="preserve"> odst. 4 nařízení (EU) č. 575/2013, pak vykazující subjekt uvede ve sloupci 0020 „ne“.</w:t>
            </w:r>
          </w:p>
          <w:p w14:paraId="23DEB310" w14:textId="089BA898" w:rsidR="004C2312" w:rsidRPr="00FB08AF" w:rsidRDefault="004C2312" w:rsidP="00441D4D">
            <w:pPr>
              <w:rPr>
                <w:rStyle w:val="FormatvorlageInstructionsTabelleText"/>
                <w:rFonts w:ascii="Times New Roman" w:hAnsi="Times New Roman"/>
                <w:sz w:val="24"/>
              </w:rPr>
            </w:pPr>
            <w:r>
              <w:rPr>
                <w:rStyle w:val="FormatvorlageInstructionsTabelleText"/>
                <w:rFonts w:ascii="Times New Roman" w:hAnsi="Times New Roman"/>
                <w:sz w:val="24"/>
              </w:rPr>
              <w:t>Jelikož výjimky stanovené v čl. </w:t>
            </w:r>
            <w:proofErr w:type="gramStart"/>
            <w:r>
              <w:rPr>
                <w:rStyle w:val="FormatvorlageInstructionsTabelleText"/>
                <w:rFonts w:ascii="Times New Roman" w:hAnsi="Times New Roman"/>
                <w:sz w:val="24"/>
              </w:rPr>
              <w:t>72b</w:t>
            </w:r>
            <w:proofErr w:type="gramEnd"/>
            <w:r>
              <w:rPr>
                <w:rStyle w:val="FormatvorlageInstructionsTabelleText"/>
                <w:rFonts w:ascii="Times New Roman" w:hAnsi="Times New Roman"/>
                <w:sz w:val="24"/>
              </w:rPr>
              <w:t xml:space="preserve"> odst. 3 a 4 nařízení (EU) č. 575/2013 se vzájemně vylučují, tento řádek se nevyplní, pokud vykazující subjekt vyplnil {r0350}.</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0350</w:t>
            </w:r>
          </w:p>
        </w:tc>
        <w:tc>
          <w:tcPr>
            <w:tcW w:w="7620" w:type="dxa"/>
          </w:tcPr>
          <w:p w14:paraId="3509C99D" w14:textId="456757DC" w:rsidR="000418B8" w:rsidRPr="00FB08AF" w:rsidRDefault="000418B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Souhrnná hodnota povolených nepodřízených nástrojů způsobilých závazků, pokud je využita možnost týkající se podřízenosti stanovená v čl. </w:t>
            </w:r>
            <w:proofErr w:type="gramStart"/>
            <w:r>
              <w:rPr>
                <w:rStyle w:val="InstructionsTabelleberschrift"/>
                <w:rFonts w:ascii="Times New Roman" w:hAnsi="Times New Roman"/>
                <w:sz w:val="24"/>
              </w:rPr>
              <w:t>72b</w:t>
            </w:r>
            <w:proofErr w:type="gramEnd"/>
            <w:r>
              <w:rPr>
                <w:rStyle w:val="InstructionsTabelleberschrift"/>
                <w:rFonts w:ascii="Times New Roman" w:hAnsi="Times New Roman"/>
                <w:sz w:val="24"/>
              </w:rPr>
              <w:t xml:space="preserve"> odst. 3 nařízení (EU) č. 575/2013 (maximálně 3,5% výjimka)</w:t>
            </w:r>
          </w:p>
          <w:p w14:paraId="1FC3A371" w14:textId="5AFA5120" w:rsidR="002B6980" w:rsidRPr="00FB08AF" w:rsidRDefault="008C0FD4" w:rsidP="008C0FD4">
            <w:pPr>
              <w:rPr>
                <w:rStyle w:val="FormatvorlageInstructionsTabelleText"/>
                <w:rFonts w:ascii="Times New Roman" w:hAnsi="Times New Roman"/>
                <w:sz w:val="24"/>
              </w:rPr>
            </w:pPr>
            <w:r>
              <w:rPr>
                <w:rStyle w:val="FormatvorlageInstructionsTabelleText"/>
                <w:rFonts w:ascii="Times New Roman" w:hAnsi="Times New Roman"/>
                <w:sz w:val="24"/>
              </w:rPr>
              <w:t>Souhrnná hodnota nepodřízených závazků, u nichž orgán příslušný k řešení krize povolil, aby byly považovány za nástroje způsobilých závazků pro účely požadavku na kapitál a způsobilé závazky G-SVI (TLAC) v souladu s čl. </w:t>
            </w:r>
            <w:proofErr w:type="gramStart"/>
            <w:r>
              <w:rPr>
                <w:rStyle w:val="FormatvorlageInstructionsTabelleText"/>
                <w:rFonts w:ascii="Times New Roman" w:hAnsi="Times New Roman"/>
                <w:sz w:val="24"/>
              </w:rPr>
              <w:t>72b</w:t>
            </w:r>
            <w:proofErr w:type="gramEnd"/>
            <w:r>
              <w:rPr>
                <w:rStyle w:val="FormatvorlageInstructionsTabelleText"/>
                <w:rFonts w:ascii="Times New Roman" w:hAnsi="Times New Roman"/>
                <w:sz w:val="24"/>
              </w:rPr>
              <w:t xml:space="preserve"> odst. 3 nařízení (EU) č. 575/2013, nebo které se za tyto nástroje považují podle čl. 494 odst. 3 uvedeného nařízení.</w:t>
            </w:r>
          </w:p>
          <w:p w14:paraId="5A2D4755" w14:textId="6058CE93" w:rsidR="002B6980" w:rsidRPr="00FB08AF" w:rsidRDefault="002B6980" w:rsidP="000D1C6A">
            <w:pPr>
              <w:rPr>
                <w:rStyle w:val="FormatvorlageInstructionsTabelleText"/>
                <w:rFonts w:ascii="Times New Roman" w:hAnsi="Times New Roman"/>
                <w:sz w:val="24"/>
              </w:rPr>
            </w:pPr>
            <w:r>
              <w:rPr>
                <w:rStyle w:val="FormatvorlageInstructionsTabelleText"/>
                <w:rFonts w:ascii="Times New Roman" w:hAnsi="Times New Roman"/>
                <w:sz w:val="24"/>
              </w:rPr>
              <w:t>Jelikož výjimky stanovené v čl. 72b odst. 3 a 4 nařízení (EU) č. 575/2013 se vzájemně vylučují, tento řádek se nevyplní, pokud vykazující subjekt vyplnil v {r</w:t>
            </w:r>
            <w:proofErr w:type="gramStart"/>
            <w:r>
              <w:rPr>
                <w:rStyle w:val="FormatvorlageInstructionsTabelleText"/>
                <w:rFonts w:ascii="Times New Roman" w:hAnsi="Times New Roman"/>
                <w:sz w:val="24"/>
              </w:rPr>
              <w:t>0340,c</w:t>
            </w:r>
            <w:proofErr w:type="gramEnd"/>
            <w:r>
              <w:rPr>
                <w:rStyle w:val="FormatvorlageInstructionsTabelleText"/>
                <w:rFonts w:ascii="Times New Roman" w:hAnsi="Times New Roman"/>
                <w:sz w:val="24"/>
              </w:rPr>
              <w:t>0020} „ano“.</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0360</w:t>
            </w:r>
          </w:p>
        </w:tc>
        <w:tc>
          <w:tcPr>
            <w:tcW w:w="7620" w:type="dxa"/>
          </w:tcPr>
          <w:p w14:paraId="2A9ACE51" w14:textId="77777777" w:rsidR="004C2312" w:rsidRPr="00FB08AF" w:rsidRDefault="004C23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Podíl celkových nepodřízených závazků, který je zahrnut do kapitálu a způsobilých závazků</w:t>
            </w:r>
          </w:p>
          <w:p w14:paraId="0FE9D1C5" w14:textId="188F5A41"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Tento řádek vykazují pouze subjekty, které podléhají požadavku na kapitál a způsobilé závazky G-SVI (požadavek TLAC).</w:t>
            </w:r>
          </w:p>
          <w:p w14:paraId="18212BF7" w14:textId="5569B4EC" w:rsidR="004C2312" w:rsidRPr="00FB08AF" w:rsidRDefault="004C231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Platí-li výjimka z podřízenosti s horní hranicí stanovená v čl. </w:t>
            </w:r>
            <w:proofErr w:type="gramStart"/>
            <w:r>
              <w:rPr>
                <w:rStyle w:val="InstructionsTabelleberschrift"/>
                <w:rFonts w:ascii="Times New Roman" w:hAnsi="Times New Roman"/>
                <w:b w:val="0"/>
                <w:sz w:val="24"/>
                <w:u w:val="none"/>
              </w:rPr>
              <w:t>72b</w:t>
            </w:r>
            <w:proofErr w:type="gramEnd"/>
            <w:r>
              <w:rPr>
                <w:rStyle w:val="InstructionsTabelleberschrift"/>
                <w:rFonts w:ascii="Times New Roman" w:hAnsi="Times New Roman"/>
                <w:b w:val="0"/>
                <w:sz w:val="24"/>
                <w:u w:val="none"/>
              </w:rPr>
              <w:t xml:space="preserve"> odst. 3 nařízení (EU) č. 575/2013, subjekty vykazují:</w:t>
            </w:r>
          </w:p>
          <w:p w14:paraId="4BA05B73" w14:textId="527E2F2D" w:rsidR="004C2312" w:rsidRPr="00FB08AF" w:rsidRDefault="004C2312" w:rsidP="00E274D8">
            <w:pPr>
              <w:pStyle w:val="ListParagraph"/>
              <w:numPr>
                <w:ilvl w:val="0"/>
                <w:numId w:val="24"/>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výši vydaných závazků, které jsou na stejné úrovni jako vyloučené závazky uvedené v čl. </w:t>
            </w:r>
            <w:proofErr w:type="gramStart"/>
            <w:r>
              <w:rPr>
                <w:rStyle w:val="InstructionsTabelleberschrift"/>
                <w:rFonts w:ascii="Times New Roman" w:hAnsi="Times New Roman"/>
                <w:b w:val="0"/>
                <w:sz w:val="24"/>
                <w:u w:val="none"/>
              </w:rPr>
              <w:t>72a</w:t>
            </w:r>
            <w:proofErr w:type="gramEnd"/>
            <w:r>
              <w:rPr>
                <w:rStyle w:val="InstructionsTabelleberschrift"/>
                <w:rFonts w:ascii="Times New Roman" w:hAnsi="Times New Roman"/>
                <w:b w:val="0"/>
                <w:sz w:val="24"/>
                <w:u w:val="none"/>
              </w:rPr>
              <w:t xml:space="preserve"> odst. 2 nařízení (EU) č. 575/2013 a které jsou zahrnuty do hodnoty vykázané v řádku 0200 (po uplatnění horní hranice);</w:t>
            </w:r>
          </w:p>
          <w:p w14:paraId="61E137DF" w14:textId="5AC9E81D" w:rsidR="004C2312" w:rsidRPr="00FB08AF" w:rsidRDefault="004C2312" w:rsidP="000B6FC5">
            <w:pPr>
              <w:pStyle w:val="ListParagraph"/>
              <w:numPr>
                <w:ilvl w:val="0"/>
                <w:numId w:val="24"/>
              </w:numPr>
              <w:rPr>
                <w:rStyle w:val="InstructionsTabelleberschrift"/>
                <w:rFonts w:ascii="Times New Roman" w:hAnsi="Times New Roman"/>
                <w:b w:val="0"/>
                <w:sz w:val="24"/>
              </w:rPr>
            </w:pPr>
            <w:r>
              <w:rPr>
                <w:rStyle w:val="InstructionsTabelleberschrift"/>
                <w:rFonts w:ascii="Times New Roman" w:hAnsi="Times New Roman"/>
                <w:b w:val="0"/>
                <w:sz w:val="24"/>
                <w:u w:val="none"/>
              </w:rPr>
              <w:t>děleno výší vydaných závazků, které jsou na stejné úrovni jako vyloučené závazky uvedené v čl. </w:t>
            </w:r>
            <w:proofErr w:type="gramStart"/>
            <w:r>
              <w:rPr>
                <w:rStyle w:val="InstructionsTabelleberschrift"/>
                <w:rFonts w:ascii="Times New Roman" w:hAnsi="Times New Roman"/>
                <w:b w:val="0"/>
                <w:sz w:val="24"/>
                <w:u w:val="none"/>
              </w:rPr>
              <w:t>72a</w:t>
            </w:r>
            <w:proofErr w:type="gramEnd"/>
            <w:r>
              <w:rPr>
                <w:rStyle w:val="InstructionsTabelleberschrift"/>
                <w:rFonts w:ascii="Times New Roman" w:hAnsi="Times New Roman"/>
                <w:b w:val="0"/>
                <w:sz w:val="24"/>
                <w:u w:val="none"/>
              </w:rPr>
              <w:t xml:space="preserve"> odst. 2 nařízení (EU) č. 575/2013 a které by byly vykázány v řádku 0200, pokud by nebyla uplatněna horní hranice.</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Složení a splatnost</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M 02.00 – Kapacita a složení MREL a TLAC (skupiny a subjekty řešící krizi)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Obecné poznámky</w:t>
      </w:r>
      <w:bookmarkEnd w:id="38"/>
      <w:bookmarkEnd w:id="39"/>
      <w:bookmarkEnd w:id="40"/>
    </w:p>
    <w:p w14:paraId="7532242D" w14:textId="4019739D" w:rsidR="002701C8" w:rsidRPr="00FB08AF" w:rsidRDefault="002701C8" w:rsidP="00E36728">
      <w:pPr>
        <w:pStyle w:val="InstructionsText2"/>
      </w:pPr>
      <w:r>
        <w:t>Šablona M 02.00 – Kapacita a složení MREL a TLAC (skupiny a subjekty řešící krizi) (TLAC1) poskytuje podrobnější údaje o složení kapitálu a způsobilých závazků.</w:t>
      </w:r>
    </w:p>
    <w:p w14:paraId="2B751F8F" w14:textId="6316E792" w:rsidR="00095D0D" w:rsidRPr="00FB08AF" w:rsidRDefault="00095D0D" w:rsidP="00E36728">
      <w:pPr>
        <w:pStyle w:val="InstructionsText2"/>
      </w:pPr>
      <w:r>
        <w:t xml:space="preserve">Sloupec odkazující na minimální požadavek na kapitál a způsobilé závazky (MREL) vyplní subjekty, které podléhají minimálnímu požadavku na kapitál a způsobilé závazky v souladu s článkem 45e směrnice 2014/59/EU. Položky </w:t>
      </w:r>
      <w:r>
        <w:lastRenderedPageBreak/>
        <w:t>odkazující na požadavek na kapitál a způsobilé závazky G-SVI (TLAC) vykazují pouze ty subjekty, které jsou povinny splnit požadavek stanovený v článku 92a nařízení (EU) č. 575/2013.</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Pokyny týkající se konkrétních pozic</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Sloupec</w:t>
            </w:r>
          </w:p>
        </w:tc>
        <w:tc>
          <w:tcPr>
            <w:tcW w:w="7620" w:type="dxa"/>
            <w:shd w:val="clear" w:color="auto" w:fill="D9D9D9"/>
          </w:tcPr>
          <w:p w14:paraId="2947DA5B" w14:textId="77777777" w:rsidR="00913681" w:rsidRPr="00FB08AF" w:rsidRDefault="00913681"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Odkazy na právní předpisy a pokyny</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Pr>
          <w:p w14:paraId="29E99259" w14:textId="77777777"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Minimální požadavek na kapitál a způsobilé závazky (MREL)</w:t>
            </w:r>
          </w:p>
          <w:p w14:paraId="3BA23812" w14:textId="78160C50" w:rsidR="00A47334" w:rsidRPr="00FB08AF" w:rsidRDefault="00A4733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Články 45 a 45e směrnice 2014/59/EU</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3B4D8FB6" w14:textId="205BC47D"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Požadavky na kapitál a způsobilé závazky G-SVI (TLAC)</w:t>
            </w:r>
          </w:p>
          <w:p w14:paraId="28749035" w14:textId="00E359CB" w:rsidR="00913681" w:rsidRPr="00FB08AF" w:rsidRDefault="0091368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Článek 92a</w:t>
            </w:r>
            <w:r>
              <w:t>nařízení (EU) č. 575/2013</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vAlign w:val="center"/>
          </w:tcPr>
          <w:p w14:paraId="4332BAEC" w14:textId="0F53D802" w:rsidR="00913681" w:rsidRPr="00FB08AF" w:rsidRDefault="0091368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Doplňková položka: Částky způsobilé pro účely MREL, nikoli TLAC</w:t>
            </w:r>
          </w:p>
          <w:p w14:paraId="45D0BB3D" w14:textId="173F3B31" w:rsidR="00913681" w:rsidRPr="00FB08AF" w:rsidRDefault="00913681" w:rsidP="00E36728">
            <w:pPr>
              <w:pStyle w:val="InstructionsText"/>
              <w:rPr>
                <w:noProof/>
              </w:rPr>
            </w:pPr>
            <w:r>
              <w:rPr>
                <w:rStyle w:val="FormatvorlageInstructionsTabelleText"/>
                <w:rFonts w:ascii="Times New Roman" w:hAnsi="Times New Roman"/>
                <w:sz w:val="24"/>
              </w:rPr>
              <w:t>Tento sloupec vyplňují pouze subjekty, které podléhají požadavku na kapitál a způsobilé závazky G-SVI (TLAC).</w:t>
            </w:r>
            <w:r>
              <w:t xml:space="preserve"> </w:t>
            </w:r>
          </w:p>
          <w:p w14:paraId="47297FC0" w14:textId="3CE2FA32" w:rsidR="00913681" w:rsidRPr="00FB08AF" w:rsidRDefault="0091368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Tento sloupec uvádí rozdíl mezi výší kapitálu a závazků způsobilých pro splnění požadavku stanoveného v článku 45 </w:t>
            </w:r>
            <w:r>
              <w:rPr>
                <w:rStyle w:val="InstructionsTabelleberschrift"/>
                <w:rFonts w:ascii="Times New Roman" w:hAnsi="Times New Roman"/>
                <w:b w:val="0"/>
                <w:sz w:val="24"/>
                <w:u w:val="none"/>
              </w:rPr>
              <w:t xml:space="preserve">směrnice 2014/59/EU </w:t>
            </w:r>
            <w:r>
              <w:rPr>
                <w:rStyle w:val="FormatvorlageInstructionsTabelleText"/>
                <w:rFonts w:ascii="Times New Roman" w:hAnsi="Times New Roman"/>
                <w:sz w:val="24"/>
              </w:rPr>
              <w:t xml:space="preserve">v souladu s článkem 45e uvedené směrnice a výší kapitálu a závazků způsobilých pro splnění požadavku stanoveného v článku 92a </w:t>
            </w:r>
            <w:r>
              <w:t>nařízení (EU) č. 575/2013</w:t>
            </w:r>
            <w:r>
              <w:rPr>
                <w:rStyle w:val="FormatvorlageInstructionsTabelleText"/>
                <w:rFonts w:ascii="Times New Roman" w:hAnsi="Times New Roman"/>
                <w:sz w:val="24"/>
              </w:rPr>
              <w:t>.</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rFonts w:ascii="Times New Roman" w:hAnsi="Times New Roman"/>
                <w:bCs/>
                <w:sz w:val="24"/>
              </w:rPr>
            </w:pPr>
            <w:r>
              <w:rPr>
                <w:rStyle w:val="FormatvorlageInstructionsTabelleText"/>
                <w:rFonts w:ascii="Times New Roman" w:hAnsi="Times New Roman"/>
                <w:sz w:val="24"/>
              </w:rPr>
              <w:t>Řádek</w:t>
            </w:r>
          </w:p>
        </w:tc>
        <w:tc>
          <w:tcPr>
            <w:tcW w:w="7620" w:type="dxa"/>
            <w:shd w:val="clear" w:color="auto" w:fill="D9D9D9"/>
          </w:tcPr>
          <w:p w14:paraId="41ABA84A" w14:textId="77777777" w:rsidR="00F72178" w:rsidRPr="00FB08AF" w:rsidRDefault="00F7217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Odkazy na právní předpisy a pokyny</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rFonts w:ascii="Times New Roman" w:hAnsi="Times New Roman"/>
                <w:sz w:val="24"/>
              </w:rPr>
              <w:t>0010</w:t>
            </w:r>
          </w:p>
        </w:tc>
        <w:tc>
          <w:tcPr>
            <w:tcW w:w="7620" w:type="dxa"/>
            <w:vAlign w:val="center"/>
          </w:tcPr>
          <w:p w14:paraId="3E6078FF" w14:textId="61357071" w:rsidR="00014A29" w:rsidRPr="00FB08AF" w:rsidRDefault="000A388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KAPITÁL A ZPŮSOBILÉ ZÁVAZKY</w:t>
            </w:r>
          </w:p>
          <w:p w14:paraId="158DD0F6" w14:textId="42467472" w:rsidR="00BE3EAB" w:rsidRPr="00FB08AF" w:rsidRDefault="000A38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Kapitál a způsobilé závazky pro účely článku 45e </w:t>
            </w:r>
            <w:r>
              <w:rPr>
                <w:rStyle w:val="InstructionsTabelleberschrift"/>
                <w:rFonts w:ascii="Times New Roman" w:hAnsi="Times New Roman"/>
                <w:b w:val="0"/>
                <w:sz w:val="24"/>
                <w:u w:val="none"/>
              </w:rPr>
              <w:t>směrnice 2014/59/EU</w:t>
            </w:r>
            <w:r>
              <w:rPr>
                <w:rStyle w:val="FormatvorlageInstructionsTabelleText"/>
                <w:rFonts w:ascii="Times New Roman" w:hAnsi="Times New Roman"/>
                <w:sz w:val="24"/>
              </w:rPr>
              <w:t xml:space="preserve"> a článku 92a</w:t>
            </w:r>
            <w:r>
              <w:t xml:space="preserve"> nařízení (EU) č. 575/2013.</w:t>
            </w:r>
          </w:p>
          <w:p w14:paraId="47315A58" w14:textId="3A637A51" w:rsidR="00014A29" w:rsidRPr="00FB08AF" w:rsidRDefault="00014A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E6FE74F" w14:textId="77777777"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Hodnota kapitálu a způsobilých závazků, které se započítávají do MREL, se vykáže jako součet:</w:t>
            </w:r>
          </w:p>
          <w:p w14:paraId="66099F0F" w14:textId="00BEC1C1" w:rsidR="00BE3EAB" w:rsidRPr="00FB08AF" w:rsidRDefault="00BE3EAB" w:rsidP="00FE656D">
            <w:pPr>
              <w:pStyle w:val="ListParagraph"/>
              <w:numPr>
                <w:ilvl w:val="0"/>
                <w:numId w:val="28"/>
              </w:numPr>
              <w:rPr>
                <w:rStyle w:val="FormatvorlageInstructionsTabelleText"/>
                <w:rFonts w:ascii="Times New Roman" w:hAnsi="Times New Roman"/>
                <w:sz w:val="24"/>
              </w:rPr>
            </w:pPr>
            <w:r>
              <w:rPr>
                <w:rStyle w:val="FormatvorlageInstructionsTabelleText"/>
                <w:rFonts w:ascii="Times New Roman" w:hAnsi="Times New Roman"/>
                <w:sz w:val="24"/>
              </w:rPr>
              <w:t xml:space="preserve">kapitálu ve smyslu čl. 4 odst. 1 bodu 118 a článku 72 nařízení (EU) č. 575/2013; </w:t>
            </w:r>
          </w:p>
          <w:p w14:paraId="1A27E8BB" w14:textId="311BCA4D" w:rsidR="00BE3EAB" w:rsidRPr="00FB08AF" w:rsidRDefault="00BE3EAB" w:rsidP="00FE656D">
            <w:pPr>
              <w:pStyle w:val="ListParagraph"/>
              <w:numPr>
                <w:ilvl w:val="0"/>
                <w:numId w:val="28"/>
              </w:numPr>
              <w:rPr>
                <w:rStyle w:val="FormatvorlageInstructionsTabelleText"/>
                <w:rFonts w:ascii="Times New Roman" w:hAnsi="Times New Roman"/>
                <w:sz w:val="24"/>
                <w:u w:val="single"/>
              </w:rPr>
            </w:pPr>
            <w:r>
              <w:rPr>
                <w:rStyle w:val="FormatvorlageInstructionsTabelleText"/>
                <w:rFonts w:ascii="Times New Roman" w:hAnsi="Times New Roman"/>
                <w:sz w:val="24"/>
              </w:rPr>
              <w:t>způsobilých závazků ve smyslu čl. 2 odst. 1 bodu 71a směrnice 2014/59/EU.</w:t>
            </w:r>
          </w:p>
          <w:p w14:paraId="21D33D83" w14:textId="122CC6DD" w:rsidR="00014A29" w:rsidRPr="00FB08AF" w:rsidRDefault="00014A29" w:rsidP="00BE3EAB">
            <w:pPr>
              <w:rPr>
                <w:rStyle w:val="FormatvorlageInstructionsTabelleText"/>
                <w:rFonts w:ascii="Times New Roman" w:hAnsi="Times New Roman"/>
                <w:i/>
                <w:sz w:val="24"/>
              </w:rPr>
            </w:pPr>
            <w:r>
              <w:rPr>
                <w:rStyle w:val="FormatvorlageInstructionsTabelleText"/>
                <w:rFonts w:ascii="Times New Roman" w:hAnsi="Times New Roman"/>
                <w:sz w:val="24"/>
              </w:rPr>
              <w:t>Nástroj, který se řídí právem třetí země, se do tohoto řádku zahrne pouze v případě, že splňuje požadavky stanovené v článku 55 směrnice 2014/59/EU.</w:t>
            </w:r>
            <w:r>
              <w:rPr>
                <w:rStyle w:val="FormatvorlageInstructionsTabelleText"/>
                <w:rFonts w:ascii="Times New Roman" w:hAnsi="Times New Roman"/>
                <w:i/>
                <w:sz w:val="24"/>
              </w:rPr>
              <w:t xml:space="preserve"> TLAC</w:t>
            </w:r>
          </w:p>
          <w:p w14:paraId="0817FF17" w14:textId="147DF078" w:rsidR="00BE3EAB" w:rsidRPr="00FB08AF" w:rsidRDefault="00BE3EAB" w:rsidP="00BE3EAB">
            <w:pPr>
              <w:rPr>
                <w:rStyle w:val="FormatvorlageInstructionsTabelleText"/>
                <w:rFonts w:ascii="Times New Roman" w:hAnsi="Times New Roman"/>
                <w:sz w:val="24"/>
              </w:rPr>
            </w:pPr>
            <w:r>
              <w:rPr>
                <w:rStyle w:val="FormatvorlageInstructionsTabelleText"/>
                <w:rFonts w:ascii="Times New Roman" w:hAnsi="Times New Roman"/>
                <w:sz w:val="24"/>
              </w:rPr>
              <w:t>Hodnotou kapitálu a způsobilých závazků, které se započítávají do požadavku na kapitál a způsobilé závazky G-SVI (TLAC), je hodnota uvedená v článku 72l nařízení (EU) č. 575/2013, která se skládá z:</w:t>
            </w:r>
          </w:p>
          <w:p w14:paraId="23B4F5AB" w14:textId="3387CBBD" w:rsidR="00D83C2E" w:rsidRPr="00FB08AF" w:rsidRDefault="00BE3EAB" w:rsidP="00A65357">
            <w:pPr>
              <w:pStyle w:val="ListParagraph"/>
              <w:numPr>
                <w:ilvl w:val="0"/>
                <w:numId w:val="27"/>
              </w:numPr>
              <w:rPr>
                <w:rStyle w:val="FormatvorlageInstructionsTabelleText"/>
                <w:rFonts w:ascii="Times New Roman" w:hAnsi="Times New Roman"/>
                <w:sz w:val="24"/>
                <w:u w:val="single"/>
              </w:rPr>
            </w:pPr>
            <w:r>
              <w:rPr>
                <w:rStyle w:val="FormatvorlageInstructionsTabelleText"/>
                <w:rFonts w:ascii="Times New Roman" w:hAnsi="Times New Roman"/>
                <w:sz w:val="24"/>
              </w:rPr>
              <w:t>kapitálu ve smyslu čl. 4 odst. 1 bodu 118 a článku 72 nařízení (EU) č. 575/2013;</w:t>
            </w:r>
          </w:p>
          <w:p w14:paraId="6DCF60B1" w14:textId="36852AD7" w:rsidR="00AF19A1" w:rsidRPr="00FB08AF" w:rsidRDefault="00BE3EAB" w:rsidP="00BC0F5B">
            <w:pPr>
              <w:pStyle w:val="ListParagraph"/>
              <w:numPr>
                <w:ilvl w:val="0"/>
                <w:numId w:val="27"/>
              </w:numPr>
              <w:rPr>
                <w:rStyle w:val="InstructionsTabelleberschrift"/>
                <w:rFonts w:ascii="Times New Roman" w:hAnsi="Times New Roman"/>
                <w:b w:val="0"/>
                <w:sz w:val="24"/>
              </w:rPr>
            </w:pPr>
            <w:r>
              <w:rPr>
                <w:rStyle w:val="FormatvorlageInstructionsTabelleText"/>
                <w:rFonts w:ascii="Times New Roman" w:hAnsi="Times New Roman"/>
                <w:sz w:val="24"/>
              </w:rPr>
              <w:t>způsobilých závazků v souladu s článkem 72k nařízení (EU) č. 575/2013.</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Pr>
          <w:p w14:paraId="15E9F845" w14:textId="5692C9FF" w:rsidR="00F72178"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(Způsobilý) kapitál</w:t>
            </w:r>
          </w:p>
          <w:p w14:paraId="090BDA8C" w14:textId="539B6E6D" w:rsidR="00F72178" w:rsidRPr="00FB08AF" w:rsidRDefault="006C308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Ustanovení čl. 4 odst. 1 bodu 118 a článku 72 nařízení (EU) č. 575/2013</w:t>
            </w:r>
          </w:p>
          <w:p w14:paraId="568BA2E2" w14:textId="2B97F467" w:rsidR="00631A23" w:rsidRPr="00FB08AF" w:rsidRDefault="00DD50D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V případě MREL se nástroje, které se řídí právem třetí země, </w:t>
            </w:r>
            <w:r>
              <w:rPr>
                <w:rStyle w:val="InstructionsTabelleberschrift"/>
                <w:rFonts w:ascii="Times New Roman" w:hAnsi="Times New Roman"/>
                <w:b w:val="0"/>
                <w:sz w:val="24"/>
                <w:u w:val="none"/>
              </w:rPr>
              <w:t xml:space="preserve">do tohoto řádku a řádků 0040 a 0050 </w:t>
            </w:r>
            <w:r>
              <w:rPr>
                <w:rStyle w:val="FormatvorlageInstructionsTabelleText"/>
                <w:rFonts w:ascii="Times New Roman" w:hAnsi="Times New Roman"/>
                <w:sz w:val="24"/>
              </w:rPr>
              <w:t>zahrnou pouze v případě, že splňují požadavky stanovené v článku 55 směrnice 2014/59/EU.</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0030</w:t>
            </w:r>
          </w:p>
        </w:tc>
        <w:tc>
          <w:tcPr>
            <w:tcW w:w="7620" w:type="dxa"/>
          </w:tcPr>
          <w:p w14:paraId="42CAC46E" w14:textId="697F38BE" w:rsidR="00F72178" w:rsidRPr="00FB08AF" w:rsidRDefault="00F7217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Kmenový kapitál </w:t>
            </w:r>
            <w:proofErr w:type="spellStart"/>
            <w:r>
              <w:rPr>
                <w:rStyle w:val="InstructionsTabelleberschrift"/>
                <w:rFonts w:ascii="Times New Roman" w:hAnsi="Times New Roman"/>
                <w:sz w:val="24"/>
              </w:rPr>
              <w:t>tier</w:t>
            </w:r>
            <w:proofErr w:type="spellEnd"/>
            <w:r>
              <w:rPr>
                <w:rStyle w:val="InstructionsTabelleberschrift"/>
                <w:rFonts w:ascii="Times New Roman" w:hAnsi="Times New Roman"/>
                <w:sz w:val="24"/>
              </w:rPr>
              <w:t xml:space="preserve"> 1</w:t>
            </w:r>
          </w:p>
          <w:p w14:paraId="2EE09494" w14:textId="7F87E430" w:rsidR="00F72178" w:rsidRPr="00FB08AF" w:rsidRDefault="00F72178"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Článek 50 nařízení (EU) č. 575/2013</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vAlign w:val="center"/>
          </w:tcPr>
          <w:p w14:paraId="376A736F" w14:textId="1C5D040D"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(Způsobilý) vedlejší kapitál </w:t>
            </w:r>
            <w:proofErr w:type="spellStart"/>
            <w:r>
              <w:rPr>
                <w:rStyle w:val="InstructionsTabelleberschrift"/>
                <w:rFonts w:ascii="Times New Roman" w:hAnsi="Times New Roman"/>
                <w:sz w:val="24"/>
              </w:rPr>
              <w:t>tier</w:t>
            </w:r>
            <w:proofErr w:type="spellEnd"/>
            <w:r>
              <w:rPr>
                <w:rStyle w:val="InstructionsTabelleberschrift"/>
                <w:rFonts w:ascii="Times New Roman" w:hAnsi="Times New Roman"/>
                <w:sz w:val="24"/>
              </w:rPr>
              <w:t xml:space="preserve"> 1</w:t>
            </w:r>
          </w:p>
          <w:p w14:paraId="44A6CA99" w14:textId="1B49FE4D" w:rsidR="00A63011" w:rsidRPr="00FB08AF" w:rsidRDefault="00A6301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Článek 61 nařízení (EU) č. 575/2013</w:t>
            </w:r>
            <w: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vAlign w:val="center"/>
          </w:tcPr>
          <w:p w14:paraId="3ADA9D5F" w14:textId="2739B118" w:rsidR="00A63011" w:rsidRPr="00FB08AF" w:rsidRDefault="00880C0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(Způsobilý) kapitál </w:t>
            </w:r>
            <w:proofErr w:type="spellStart"/>
            <w:r>
              <w:rPr>
                <w:rStyle w:val="InstructionsTabelleberschrift"/>
                <w:rFonts w:ascii="Times New Roman" w:hAnsi="Times New Roman"/>
                <w:sz w:val="24"/>
              </w:rPr>
              <w:t>tier</w:t>
            </w:r>
            <w:proofErr w:type="spellEnd"/>
            <w:r>
              <w:rPr>
                <w:rStyle w:val="InstructionsTabelleberschrift"/>
                <w:rFonts w:ascii="Times New Roman" w:hAnsi="Times New Roman"/>
                <w:sz w:val="24"/>
              </w:rPr>
              <w:t xml:space="preserve"> 2</w:t>
            </w:r>
          </w:p>
          <w:p w14:paraId="63F618CB" w14:textId="00AD8301" w:rsidR="00A63011" w:rsidRPr="00FB08AF" w:rsidRDefault="006C308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Článek 71 nařízení (EU) č. 575/2013</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rFonts w:ascii="Times New Roman" w:hAnsi="Times New Roman"/>
                <w:sz w:val="24"/>
              </w:rPr>
              <w:t>0060</w:t>
            </w:r>
          </w:p>
        </w:tc>
        <w:tc>
          <w:tcPr>
            <w:tcW w:w="7620" w:type="dxa"/>
            <w:vAlign w:val="center"/>
          </w:tcPr>
          <w:p w14:paraId="4FEFDC5E" w14:textId="25C1A41E"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Způsobilé závazky</w:t>
            </w:r>
          </w:p>
          <w:p w14:paraId="76BC8267" w14:textId="51AF0C24"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4A43196B" w14:textId="0CE82DD5" w:rsidR="0016365A"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Způsobilé závazky ve smyslu čl. 2 odst. 1 bodu 71a směrnice 2014/59/EU; nástroj, který se řídí právem třetí země, se do tohoto řádku zahrne pouze v případě, že splňuje požadavky stanovené v článku 55 uvedené směrnice.</w:t>
            </w:r>
          </w:p>
          <w:p w14:paraId="1997E756" w14:textId="7BE311EA"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0267CAB" w14:textId="6284073F" w:rsidR="00A63011" w:rsidRPr="00FB08AF" w:rsidRDefault="00685080" w:rsidP="00E36728">
            <w:pPr>
              <w:pStyle w:val="InstructionsText"/>
              <w:rPr>
                <w:b/>
                <w:szCs w:val="22"/>
              </w:rPr>
            </w:pPr>
            <w:r>
              <w:rPr>
                <w:rStyle w:val="FormatvorlageInstructionsTabelleText"/>
                <w:rFonts w:ascii="Times New Roman" w:hAnsi="Times New Roman"/>
                <w:sz w:val="24"/>
              </w:rPr>
              <w:t>Způsobilé závazky v souladu s článkem 72k nařízení (EU) č. 575/2013.</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rFonts w:ascii="Times New Roman" w:hAnsi="Times New Roman"/>
                <w:sz w:val="24"/>
              </w:rPr>
              <w:t>0070</w:t>
            </w:r>
          </w:p>
        </w:tc>
        <w:tc>
          <w:tcPr>
            <w:tcW w:w="7620" w:type="dxa"/>
            <w:vAlign w:val="center"/>
          </w:tcPr>
          <w:p w14:paraId="3CACADFF" w14:textId="65107B6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Položky způsobilých závazků před úpravami </w:t>
            </w:r>
          </w:p>
          <w:p w14:paraId="383F53A3" w14:textId="77777777"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9BA6C55" w14:textId="4232FCE0" w:rsidR="008E420D" w:rsidRPr="00FB08AF" w:rsidRDefault="0068508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Způsobilé závazky ve smyslu čl. 2 odst. 1 bodu 71a směrnice 2014/59/EU; nástroj, který se řídí právem třetí země, se do tohoto řádku zahrne pouze v případě, že splňuje požadavky stanovené v článku 55 uvedené směrnice. Vykazovanými částkami jsou částky bez nevyužitých částek, pro něž bylo uděleno předběžné svolení, v rozsahu, v jakém se svolení vztahuje na nástroje způsobilých závazků.</w:t>
            </w:r>
          </w:p>
          <w:p w14:paraId="69F02168" w14:textId="455490F6" w:rsidR="00685080" w:rsidRPr="00FB08AF" w:rsidRDefault="00685080"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03CAF6E8" w14:textId="133579FB" w:rsidR="00181B53" w:rsidRPr="00FB08AF" w:rsidRDefault="00685080" w:rsidP="00E36728">
            <w:pPr>
              <w:pStyle w:val="InstructionsText"/>
            </w:pPr>
            <w:r>
              <w:rPr>
                <w:rStyle w:val="FormatvorlageInstructionsTabelleText"/>
                <w:rFonts w:ascii="Times New Roman" w:hAnsi="Times New Roman"/>
                <w:sz w:val="24"/>
              </w:rPr>
              <w:t xml:space="preserve">Vykazují se způsobilé závazky, které splňují všechny požadavky stanovené v článcích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až 72d nařízení (EU) č. 575/2013. Vykazovanými částkami jsou částky bez kapitálových investic do vlastních nástrojů způsobilých závazků a bez nevyužitých částek, pro něž bylo uděleno předběžné svolení, v rozsahu, v jakém se svolení vztahuje na nástroje způsobilých závazků.</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vAlign w:val="center"/>
          </w:tcPr>
          <w:p w14:paraId="7564EC67" w14:textId="77777777" w:rsidR="00EF1BBD" w:rsidRPr="00FB08AF" w:rsidRDefault="00EF1BB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 toho: způsobilé závazky považované za strukturálně podřízené </w:t>
            </w:r>
          </w:p>
          <w:p w14:paraId="3BCE2B05" w14:textId="77777777" w:rsidR="00EF1BBD" w:rsidRPr="00FB08AF" w:rsidRDefault="00EF1B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6F55458A" w14:textId="04AC4CB9"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sz w:val="24"/>
                <w:u w:val="none"/>
              </w:rPr>
              <w:t>Závazky, které splňují podmínky stanovené v článku 45b</w:t>
            </w:r>
            <w:r>
              <w:rPr>
                <w:rStyle w:val="FormatvorlageInstructionsTabelleText"/>
                <w:rFonts w:ascii="Times New Roman" w:hAnsi="Times New Roman"/>
                <w:sz w:val="24"/>
              </w:rPr>
              <w:t xml:space="preserve"> směrnice 2014/59/EU</w:t>
            </w:r>
            <w:r>
              <w:rPr>
                <w:rStyle w:val="InstructionsTabelleberschrift"/>
                <w:rFonts w:ascii="Times New Roman" w:hAnsi="Times New Roman"/>
                <w:b w:val="0"/>
                <w:sz w:val="24"/>
                <w:u w:val="none"/>
              </w:rPr>
              <w:t>, jelikož jsou vydány subjektem řešícím krizi, který je holdingovou společností, a jelikož neexistují žádné vyloučené závazky podle čl. </w:t>
            </w:r>
            <w:proofErr w:type="gramStart"/>
            <w:r>
              <w:rPr>
                <w:rStyle w:val="InstructionsTabelleberschrift"/>
                <w:rFonts w:ascii="Times New Roman" w:hAnsi="Times New Roman"/>
                <w:b w:val="0"/>
                <w:sz w:val="24"/>
                <w:u w:val="none"/>
              </w:rPr>
              <w:t>72a</w:t>
            </w:r>
            <w:proofErr w:type="gramEnd"/>
            <w:r>
              <w:rPr>
                <w:rStyle w:val="InstructionsTabelleberschrift"/>
                <w:rFonts w:ascii="Times New Roman" w:hAnsi="Times New Roman"/>
                <w:b w:val="0"/>
                <w:sz w:val="24"/>
                <w:u w:val="none"/>
              </w:rPr>
              <w:t xml:space="preserve"> odst. 2 nařízení (EU) č. 575/2013, které jsou na stejné úrovni jako nástroje způsobilých závazků nebo jim jsou podřízené.</w:t>
            </w:r>
          </w:p>
          <w:p w14:paraId="1A629DBA" w14:textId="0DE8803D" w:rsidR="00014A29"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Nástroj, který se řídí právem třetí země, se do tohoto řádku zahrne pouze v případě, že splňuje požadavky stanovené v článku 55 směrnice 2014/59/EU.</w:t>
            </w:r>
          </w:p>
          <w:p w14:paraId="57F8A551" w14:textId="371D79D0"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Tento řádek zahrnuje rovněž způsobilé závazky, které splňují podmínky v důsledku zachování právních účinků v souladu s čl. </w:t>
            </w:r>
            <w:proofErr w:type="gramStart"/>
            <w:r>
              <w:rPr>
                <w:rStyle w:val="FormatvorlageInstructionsTabelleText"/>
                <w:rFonts w:ascii="Times New Roman" w:hAnsi="Times New Roman"/>
                <w:sz w:val="24"/>
              </w:rPr>
              <w:t>494b</w:t>
            </w:r>
            <w:proofErr w:type="gramEnd"/>
            <w:r>
              <w:rPr>
                <w:rStyle w:val="FormatvorlageInstructionsTabelleText"/>
                <w:rFonts w:ascii="Times New Roman" w:hAnsi="Times New Roman"/>
                <w:sz w:val="24"/>
              </w:rPr>
              <w:t xml:space="preserve"> odst. 3 nařízení (EU) č. 575/2013.</w:t>
            </w:r>
          </w:p>
          <w:p w14:paraId="796DDC04" w14:textId="391BF591" w:rsidR="006A42FC" w:rsidRPr="00FB08AF" w:rsidRDefault="006A42F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Vykazovanými částkami jsou částky bez nevyužitých částek, pro něž bylo uděleno předběžné svolení, v rozsahu, v jakém se předběžné svolení vztahuje na nástroje způsobilých závazků, které splňují kritéria uvedená v prvním, druhém a třetím pododstavci tohoto odstavce.</w:t>
            </w:r>
          </w:p>
          <w:p w14:paraId="4F393620" w14:textId="77777777" w:rsidR="00EF1BBD" w:rsidRPr="00FB08AF" w:rsidRDefault="00EF1BBD"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60DE397F" w14:textId="6AEF8E6E"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Závazky, které:</w:t>
            </w:r>
          </w:p>
          <w:p w14:paraId="4850AF1A" w14:textId="5D492876" w:rsidR="00EF1BBD" w:rsidRPr="00FB08AF" w:rsidRDefault="006921A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a) splňují požadavky stanovené v článcích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až 72d nařízení (EU) č. 575/2013, zejména požadavek stanovený v čl. 72b odst. 2 písm. d) bodě </w:t>
            </w:r>
            <w:proofErr w:type="spellStart"/>
            <w:r>
              <w:rPr>
                <w:rStyle w:val="FormatvorlageInstructionsTabelleText"/>
                <w:rFonts w:ascii="Times New Roman" w:hAnsi="Times New Roman"/>
                <w:sz w:val="24"/>
              </w:rPr>
              <w:t>iii</w:t>
            </w:r>
            <w:proofErr w:type="spellEnd"/>
            <w:r>
              <w:rPr>
                <w:rStyle w:val="FormatvorlageInstructionsTabelleText"/>
                <w:rFonts w:ascii="Times New Roman" w:hAnsi="Times New Roman"/>
                <w:sz w:val="24"/>
              </w:rPr>
              <w:t xml:space="preserve">) uvedeného nařízení, nikoli však požadavky stanovené v písm. d) bodech i) nebo </w:t>
            </w:r>
            <w:proofErr w:type="spellStart"/>
            <w:r>
              <w:rPr>
                <w:rStyle w:val="FormatvorlageInstructionsTabelleText"/>
                <w:rFonts w:ascii="Times New Roman" w:hAnsi="Times New Roman"/>
                <w:sz w:val="24"/>
              </w:rPr>
              <w:t>ii</w:t>
            </w:r>
            <w:proofErr w:type="spellEnd"/>
            <w:r>
              <w:rPr>
                <w:rStyle w:val="FormatvorlageInstructionsTabelleText"/>
                <w:rFonts w:ascii="Times New Roman" w:hAnsi="Times New Roman"/>
                <w:sz w:val="24"/>
              </w:rPr>
              <w:t>) uvedeného odstavce, nebo</w:t>
            </w:r>
          </w:p>
          <w:p w14:paraId="5A5A5CD9" w14:textId="0D1C4333" w:rsidR="00EF1BBD" w:rsidRPr="00FB08AF" w:rsidRDefault="006921A5"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 xml:space="preserve">b) splňují požadavky stanovené v článcích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až 72d</w:t>
            </w:r>
            <w:r>
              <w:t xml:space="preserve"> </w:t>
            </w:r>
            <w:r>
              <w:rPr>
                <w:rStyle w:val="FormatvorlageInstructionsTabelleText"/>
                <w:rFonts w:ascii="Times New Roman" w:hAnsi="Times New Roman"/>
                <w:sz w:val="24"/>
              </w:rPr>
              <w:t xml:space="preserve">nařízení (EU) č. 575/2013, s výjimkou čl. 72b odst. 2 písm. d) uvedeného nařízení, a u nichž orgány příslušné k řešení krize povolily, aby byly považovány za nástroje způsobilých závazků v souladu s čl. 72b odst. 4 uvedeného nařízení. </w:t>
            </w:r>
          </w:p>
          <w:p w14:paraId="5835FC6E" w14:textId="77777777" w:rsidR="00EF1BBD" w:rsidRPr="00FB08AF" w:rsidRDefault="00EF1B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Tento řádek zahrnuje rovněž způsobilé závazky, které splňují podmínky v důsledku zachování právních účinků v souladu s čl. </w:t>
            </w:r>
            <w:proofErr w:type="gramStart"/>
            <w:r>
              <w:rPr>
                <w:rStyle w:val="FormatvorlageInstructionsTabelleText"/>
                <w:rFonts w:ascii="Times New Roman" w:hAnsi="Times New Roman"/>
                <w:sz w:val="24"/>
              </w:rPr>
              <w:t>494b</w:t>
            </w:r>
            <w:proofErr w:type="gramEnd"/>
            <w:r>
              <w:rPr>
                <w:rStyle w:val="FormatvorlageInstructionsTabelleText"/>
                <w:rFonts w:ascii="Times New Roman" w:hAnsi="Times New Roman"/>
                <w:sz w:val="24"/>
              </w:rPr>
              <w:t xml:space="preserve"> odst. 3 nařízení (EU) č. 575/2013.</w:t>
            </w:r>
          </w:p>
          <w:p w14:paraId="57A8D9F5" w14:textId="1A4880A3" w:rsidR="006A42FC" w:rsidRPr="00FB08AF" w:rsidRDefault="006A42FC" w:rsidP="00672C9C">
            <w:pPr>
              <w:rPr>
                <w:rStyle w:val="InstructionsTabelleberschrift"/>
                <w:rFonts w:ascii="Times New Roman" w:hAnsi="Times New Roman"/>
                <w:b w:val="0"/>
                <w:sz w:val="24"/>
                <w:u w:val="none"/>
              </w:rPr>
            </w:pPr>
            <w:r>
              <w:rPr>
                <w:rStyle w:val="FormatvorlageInstructionsTabelleText"/>
                <w:rFonts w:ascii="Times New Roman" w:hAnsi="Times New Roman"/>
                <w:sz w:val="24"/>
              </w:rPr>
              <w:t>Vykazovanými částkami jsou částky bez nevyužitých částek, pro něž bylo uděleno předběžné svolení,</w:t>
            </w:r>
            <w:r>
              <w:rPr>
                <w:rStyle w:val="InstructionsTabelleberschrift"/>
                <w:rFonts w:ascii="Times New Roman" w:hAnsi="Times New Roman"/>
                <w:b w:val="0"/>
                <w:sz w:val="24"/>
                <w:u w:val="none"/>
              </w:rPr>
              <w:t xml:space="preserve"> v rozsahu,</w:t>
            </w:r>
            <w:r>
              <w:rPr>
                <w:rStyle w:val="FormatvorlageInstructionsTabelleText"/>
                <w:rFonts w:ascii="Times New Roman" w:hAnsi="Times New Roman"/>
                <w:sz w:val="24"/>
              </w:rPr>
              <w:t xml:space="preserve"> v jakém se předběžné svolení vztahuje na nástroje způsobilých závazků, které splňují kritéria uvedená v prvním a druhém pododstavci tohoto odstavce.</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rFonts w:ascii="Times New Roman" w:hAnsi="Times New Roman"/>
                <w:sz w:val="24"/>
              </w:rPr>
              <w:lastRenderedPageBreak/>
              <w:t>0090</w:t>
            </w:r>
          </w:p>
        </w:tc>
        <w:tc>
          <w:tcPr>
            <w:tcW w:w="7620" w:type="dxa"/>
            <w:vAlign w:val="center"/>
          </w:tcPr>
          <w:p w14:paraId="21FA960A" w14:textId="77777777"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Způsobilé závazky podřízené vyloučeným závazkům</w:t>
            </w:r>
          </w:p>
          <w:p w14:paraId="7423CFA6" w14:textId="5A9BD8DB" w:rsidR="00C80C5A" w:rsidRPr="00FB08AF" w:rsidRDefault="00D83C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i/>
                <w:sz w:val="24"/>
              </w:rPr>
              <w:t>MREL</w:t>
            </w:r>
            <w:r>
              <w:rPr>
                <w:rStyle w:val="InstructionsTabelleberschrift"/>
                <w:rFonts w:ascii="Times New Roman" w:hAnsi="Times New Roman"/>
                <w:sz w:val="24"/>
              </w:rPr>
              <w:t xml:space="preserve"> </w:t>
            </w:r>
          </w:p>
          <w:p w14:paraId="1C189CD3" w14:textId="6A7B9DEA" w:rsidR="00D83C2E" w:rsidRPr="00FB08AF" w:rsidRDefault="00C80C5A"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Způsobilé závazky zahrnuté</w:t>
            </w:r>
            <w:r>
              <w:rPr>
                <w:rStyle w:val="FormatvorlageInstructionsTabelleText"/>
                <w:rFonts w:ascii="Times New Roman" w:hAnsi="Times New Roman"/>
                <w:sz w:val="24"/>
              </w:rPr>
              <w:t xml:space="preserve"> do hodnoty kapitálu a způsobilých závazků v souladu s článkem 45b směrnice 2014/59/EU, které jsou podřízenými způsobilými nástroji ve smyslu čl. 2 odst. 1 bodu </w:t>
            </w:r>
            <w:proofErr w:type="gramStart"/>
            <w:r>
              <w:rPr>
                <w:rStyle w:val="FormatvorlageInstructionsTabelleText"/>
                <w:rFonts w:ascii="Times New Roman" w:hAnsi="Times New Roman"/>
                <w:sz w:val="24"/>
              </w:rPr>
              <w:t>71b</w:t>
            </w:r>
            <w:proofErr w:type="gramEnd"/>
            <w:r>
              <w:rPr>
                <w:rStyle w:val="FormatvorlageInstructionsTabelleText"/>
                <w:rFonts w:ascii="Times New Roman" w:hAnsi="Times New Roman"/>
                <w:sz w:val="24"/>
              </w:rPr>
              <w:t xml:space="preserve"> uvedené směrnice, a závazky, které jsou zahrnuty do hodnoty kapitálu a způsobilých závazků v souladu s článkem 45b odst. 3 uvedené směrnice. Nástroj, který se řídí právem třetí země, se do tohoto řádku zahrne pouze v případě, že splňuje požadavky stanovené v článku 55 uvedené směrnice. Vykazovanými částkami jsou částky bez nevyužitých částek, pro něž bylo uděleno předběžné svolení, v rozsahu, v jakém se svolení vztahuje na nástroje způsobilých závazků podřízené vyloučeným závazkům.</w:t>
            </w:r>
          </w:p>
          <w:p w14:paraId="5C3837FC" w14:textId="25D3B279" w:rsidR="00C80C5A" w:rsidRPr="00FB08AF" w:rsidRDefault="00D83C2E" w:rsidP="00E36728">
            <w:pPr>
              <w:pStyle w:val="InstructionsText"/>
            </w:pPr>
            <w:r>
              <w:rPr>
                <w:rStyle w:val="FormatvorlageInstructionsTabelleText"/>
                <w:rFonts w:ascii="Times New Roman" w:hAnsi="Times New Roman"/>
                <w:i/>
                <w:sz w:val="24"/>
              </w:rPr>
              <w:t>TLAC</w:t>
            </w:r>
          </w:p>
          <w:p w14:paraId="7F653EB4" w14:textId="23661CC2" w:rsidR="00D83C2E" w:rsidRPr="00FB08AF" w:rsidRDefault="00C80C5A" w:rsidP="00E36728">
            <w:pPr>
              <w:pStyle w:val="InstructionsText"/>
            </w:pPr>
            <w:r>
              <w:rPr>
                <w:rStyle w:val="FormatvorlageInstructionsTabelleText"/>
                <w:rFonts w:ascii="Times New Roman" w:hAnsi="Times New Roman"/>
                <w:sz w:val="24"/>
              </w:rPr>
              <w:t>Způsobilé závazky, které splňují veškeré požadavky stanovené v článcích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až 72d</w:t>
            </w:r>
            <w:r>
              <w:t xml:space="preserve"> </w:t>
            </w:r>
            <w:r>
              <w:rPr>
                <w:rStyle w:val="FormatvorlageInstructionsTabelleText"/>
                <w:rFonts w:ascii="Times New Roman" w:hAnsi="Times New Roman"/>
                <w:sz w:val="24"/>
              </w:rPr>
              <w:t xml:space="preserve">nařízení (EU) č. 575/2013, s vyloučením závazků, které je v souladu s čl. 72b odst. 3 nebo 4 uvedeného nařízení povoleno považovat za </w:t>
            </w:r>
            <w:r>
              <w:rPr>
                <w:rStyle w:val="FormatvorlageInstructionsTabelleText"/>
                <w:rFonts w:ascii="Times New Roman" w:hAnsi="Times New Roman"/>
                <w:sz w:val="24"/>
              </w:rPr>
              <w:lastRenderedPageBreak/>
              <w:t>nástroje způsobilých závazků. Vykazovanými částkami jsou částky bez kapitálových investic do vlastních nástrojů způsobilých závazků a bez nevyužitých částek, pro něž bylo uděleno předběžné svolení, v rozsahu, v jakém se předběžné svolení vztahuje na nástroje způsobilých závazků podřízené vyloučeným závazkům.</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rFonts w:ascii="Times New Roman" w:hAnsi="Times New Roman"/>
                <w:sz w:val="24"/>
              </w:rPr>
              <w:lastRenderedPageBreak/>
              <w:t>0100</w:t>
            </w:r>
          </w:p>
        </w:tc>
        <w:tc>
          <w:tcPr>
            <w:tcW w:w="7620" w:type="dxa"/>
            <w:vAlign w:val="center"/>
          </w:tcPr>
          <w:p w14:paraId="32ABAB10" w14:textId="5A2436B8" w:rsidR="00A63011" w:rsidRPr="00FB08AF" w:rsidRDefault="00A63011" w:rsidP="00E36728">
            <w:pPr>
              <w:pStyle w:val="InstructionsText"/>
              <w:rPr>
                <w:rStyle w:val="InstructionsTabelleberschrift"/>
                <w:rFonts w:ascii="Times New Roman" w:hAnsi="Times New Roman"/>
                <w:i/>
                <w:sz w:val="24"/>
              </w:rPr>
            </w:pPr>
            <w:r>
              <w:rPr>
                <w:rStyle w:val="InstructionsTabelleberschrift"/>
                <w:rFonts w:ascii="Times New Roman" w:hAnsi="Times New Roman"/>
                <w:sz w:val="24"/>
              </w:rPr>
              <w:t>Nástroje způsobilých závazků vydané přímo subjektem řešícím krizi (bez zachování právních účinků)</w:t>
            </w:r>
          </w:p>
          <w:p w14:paraId="4DBAA034" w14:textId="489D258B" w:rsidR="00C80C5A" w:rsidRPr="00FB08AF" w:rsidRDefault="00D83C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698153B3" w14:textId="1F6A16E5" w:rsidR="006B3F3C" w:rsidRPr="00FB08AF" w:rsidRDefault="00C80C5A"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Způsobilé závazky zahrnuté</w:t>
            </w:r>
            <w:r>
              <w:rPr>
                <w:rStyle w:val="FormatvorlageInstructionsTabelleText"/>
                <w:rFonts w:ascii="Times New Roman" w:hAnsi="Times New Roman"/>
                <w:sz w:val="24"/>
              </w:rPr>
              <w:t xml:space="preserve"> do výše kapitálu a způsobilých závazků podle článku 45b směrnice 2014/59/EU, které jsou podřízenými způsobilými nástroji ve smyslu čl. 2 odst. 1 bodu </w:t>
            </w:r>
            <w:proofErr w:type="gramStart"/>
            <w:r>
              <w:rPr>
                <w:rStyle w:val="FormatvorlageInstructionsTabelleText"/>
                <w:rFonts w:ascii="Times New Roman" w:hAnsi="Times New Roman"/>
                <w:sz w:val="24"/>
              </w:rPr>
              <w:t>71b</w:t>
            </w:r>
            <w:proofErr w:type="gramEnd"/>
            <w:r>
              <w:rPr>
                <w:rStyle w:val="FormatvorlageInstructionsTabelleText"/>
                <w:rFonts w:ascii="Times New Roman" w:hAnsi="Times New Roman"/>
                <w:sz w:val="24"/>
              </w:rPr>
              <w:t xml:space="preserve"> uvedené směrnice a které jsou vydány přímo subjektem řešícím krizi. Nástroj, který se řídí právem třetí země, se do tohoto řádku zahrne pouze v případě, že splňuje požadavky stanovené v článku 55 uvedené směrnice. Vykazovanými částkami jsou částky před odečtením nevyužitých částek, pro něž bylo uděleno předběžné svolení, v rozsahu, v jakém se svolení vztahuje na nástroje způsobilých závazků vydané přímo subjektem řešícím krizi bez zachování právních účinků.</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51F95D97" w14:textId="43FD0F8E" w:rsidR="00D83C2E" w:rsidRPr="00FB08AF" w:rsidRDefault="00C80C5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Způsobilé závazky, které splňují veškeré požadavky stanovené v článcích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až 72d nařízení (EU) č. 575/2013, s vyloučením závazků, které je v souladu s čl. 72b odst. 3 nebo 4 uvedeného nařízení povoleno považovat za nástroje způsobilých závazků, a které jsou vydány přímo subjektem řešícím krizi. Vykazovanými částkami jsou částky před odečtením nevyužitých částek, pro něž bylo uděleno předběžné svolení, v rozsahu, v jakém se svolení vztahuje na nástroje způsobilých závazků vydané přímo subjektem řešícím krizi bez zachování právních účinků.</w:t>
            </w:r>
          </w:p>
          <w:p w14:paraId="538B9AEC" w14:textId="6E580954" w:rsidR="00A63011"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Tento řádek nezahrnuje umořenou část nástrojů zahrnovaných do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2 se zbývající dobou splatnosti delší než jeden rok (čl.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odst. 1 písm. b) nařízení (EU) č. 575/2013) ani způsobilé závazky, pro které platí zachování právních účinků podle článku 494b uvedeného nařízení.</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rFonts w:ascii="Times New Roman" w:hAnsi="Times New Roman"/>
                <w:sz w:val="24"/>
              </w:rPr>
              <w:t>0110</w:t>
            </w:r>
          </w:p>
        </w:tc>
        <w:tc>
          <w:tcPr>
            <w:tcW w:w="7620" w:type="dxa"/>
            <w:vAlign w:val="center"/>
          </w:tcPr>
          <w:p w14:paraId="79B3EE97" w14:textId="7FDAAA39"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Nástroje způsobilých závazků vydané jinými subjekty v rámci skupiny řešící krizi (bez zachování právních účinků)</w:t>
            </w:r>
          </w:p>
          <w:p w14:paraId="6D1C85D0" w14:textId="02C1463F" w:rsidR="00C80C5A" w:rsidRPr="00FB08AF" w:rsidRDefault="00B775C4"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50B462B4" w14:textId="69301D76" w:rsidR="00B775C4" w:rsidRPr="00FB08AF" w:rsidRDefault="00C80C5A"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b w:val="0"/>
                <w:sz w:val="24"/>
                <w:u w:val="none"/>
              </w:rPr>
              <w:t>Způsobilé závazky zahrnuté</w:t>
            </w:r>
            <w:r>
              <w:rPr>
                <w:rStyle w:val="FormatvorlageInstructionsTabelleText"/>
                <w:rFonts w:ascii="Times New Roman" w:hAnsi="Times New Roman"/>
                <w:sz w:val="24"/>
              </w:rPr>
              <w:t xml:space="preserve"> do hodnoty kapitálu a způsobilých závazků podle článku 45b směrnice 2014/59/EU, které jsou vydány dceřinými podniky a jsou v souladu s čl. </w:t>
            </w:r>
            <w:proofErr w:type="gramStart"/>
            <w:r>
              <w:rPr>
                <w:rStyle w:val="FormatvorlageInstructionsTabelleText"/>
                <w:rFonts w:ascii="Times New Roman" w:hAnsi="Times New Roman"/>
                <w:sz w:val="24"/>
              </w:rPr>
              <w:t>45b</w:t>
            </w:r>
            <w:proofErr w:type="gramEnd"/>
            <w:r>
              <w:rPr>
                <w:rStyle w:val="FormatvorlageInstructionsTabelleText"/>
                <w:rFonts w:ascii="Times New Roman" w:hAnsi="Times New Roman"/>
                <w:sz w:val="24"/>
              </w:rPr>
              <w:t xml:space="preserve"> odst. 3 uvedené směrnice zahrnuty do MREL. Nástroj, který se řídí právem třetí země, se do tohoto řádku zahrne pouze v případě, že splňuje požadavky stanovené v článku 55 uvedené směrnice. Vykazovanými částkami jsou částky před odečtením nevyužitých částek, pro něž bylo uděleno předběžné svolení, v rozsahu, v jakém se svolení vztahuje na nástroje způsobilých závazků vydané jinými subjekty v rámci skupiny řešící krizi bez zachování právních účinků.</w:t>
            </w:r>
          </w:p>
          <w:p w14:paraId="5240CE7F" w14:textId="4DC3E44A" w:rsidR="00CD51BC" w:rsidRPr="00FB08AF" w:rsidRDefault="00CD58A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lastRenderedPageBreak/>
              <w:t>TLAC</w:t>
            </w:r>
          </w:p>
          <w:p w14:paraId="371D0855" w14:textId="426AC3D1" w:rsidR="00B775C4" w:rsidRPr="00FB08AF" w:rsidRDefault="00CD51BC"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Způsobilé závazky, které splňují veškeré požadavky stanovené v článcích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až 72d nařízení (EU) č. 575/2013, s vyloučením závazků, které je podle čl. 72b odst. 3 nebo 4 uvedeného nařízení povoleno považovat za nástroje způsobilých závazků, které byly vydány dceřinými podniky a které v souladu s článkem 88a uvedeného nařízení splňují podmínky pro zařazení do konsolidovaných nástrojů způsobilých závazků subjektu. Vykazovanými částkami jsou částky před odečtením nevyužitých částek, pro něž bylo uděleno předběžné svolení, v rozsahu, v jakém se svolení vztahuje na nástroje způsobilých závazků vydané jinými subjekty v rámci skupiny řešící krizi bez zachování právních účinků.</w:t>
            </w:r>
          </w:p>
          <w:p w14:paraId="669A214A" w14:textId="7C7BF538" w:rsidR="003C1F98" w:rsidRPr="00FB08AF" w:rsidRDefault="003C1F98" w:rsidP="00E36728">
            <w:pPr>
              <w:pStyle w:val="InstructionsText"/>
            </w:pPr>
            <w:r>
              <w:rPr>
                <w:rStyle w:val="FormatvorlageInstructionsTabelleText"/>
                <w:rFonts w:ascii="Times New Roman" w:hAnsi="Times New Roman"/>
                <w:sz w:val="24"/>
              </w:rPr>
              <w:t xml:space="preserve">Tento řádek nezahrnuje umořenou část nástrojů zahrnovaných do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2 se zbývající dobou splatnosti delší než jeden rok (čl.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odst. 1 písm. b) nařízení (EU) č. 575/2013) ani způsobilé závazky, pro které platí zachování právních účinků podle článku 494b uvedeného nařízení.</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rFonts w:ascii="Times New Roman" w:hAnsi="Times New Roman"/>
                <w:sz w:val="24"/>
              </w:rPr>
              <w:lastRenderedPageBreak/>
              <w:t>0120</w:t>
            </w:r>
          </w:p>
        </w:tc>
        <w:tc>
          <w:tcPr>
            <w:tcW w:w="7620" w:type="dxa"/>
            <w:vAlign w:val="center"/>
          </w:tcPr>
          <w:p w14:paraId="6C0E7472" w14:textId="6E4EAD48"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Položky způsobilých závazků vydané před 27. červnem 2019 </w:t>
            </w:r>
          </w:p>
          <w:p w14:paraId="45E921ED" w14:textId="5B5AA12F" w:rsidR="00CD51BC" w:rsidRPr="00FB08AF" w:rsidRDefault="003A0717"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77573479" w14:textId="4DEADB3A" w:rsidR="003A0717" w:rsidRPr="00FB08AF" w:rsidRDefault="003A071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Způsobilé závazky,</w:t>
            </w:r>
            <w:r>
              <w:rPr>
                <w:rStyle w:val="FormatvorlageInstructionsTabelleText"/>
                <w:rFonts w:ascii="Times New Roman" w:hAnsi="Times New Roman"/>
                <w:sz w:val="24"/>
              </w:rPr>
              <w:t xml:space="preserve"> které</w:t>
            </w:r>
            <w:r>
              <w:rPr>
                <w:rStyle w:val="InstructionsTabelleberschrift"/>
                <w:rFonts w:ascii="Times New Roman" w:hAnsi="Times New Roman"/>
                <w:b w:val="0"/>
                <w:sz w:val="24"/>
                <w:u w:val="none"/>
              </w:rPr>
              <w:t xml:space="preserve"> splňují následující podmínky:</w:t>
            </w:r>
          </w:p>
          <w:p w14:paraId="27B0933B" w14:textId="12AD7DA6" w:rsidR="003A0717" w:rsidRPr="00FB08AF" w:rsidRDefault="00C904F7"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 byly vydány před 27. červnem 2019;</w:t>
            </w:r>
          </w:p>
          <w:p w14:paraId="784DD851" w14:textId="288C5949" w:rsidR="00CD51BC" w:rsidRPr="00FB08AF" w:rsidRDefault="00C904F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b w:val="0"/>
                <w:sz w:val="24"/>
                <w:u w:val="none"/>
              </w:rPr>
              <w:t xml:space="preserve">b) představují </w:t>
            </w:r>
            <w:r>
              <w:rPr>
                <w:rStyle w:val="FormatvorlageInstructionsTabelleText"/>
                <w:rFonts w:ascii="Times New Roman" w:hAnsi="Times New Roman"/>
                <w:sz w:val="24"/>
              </w:rPr>
              <w:t xml:space="preserve">podřízené způsobilé nástroje ve smyslu čl. 2 odst. 1 bodu 71b směrnice 2014/59/EU; </w:t>
            </w:r>
          </w:p>
          <w:p w14:paraId="1A9E4169" w14:textId="4C0E47C2" w:rsidR="003A0717" w:rsidRPr="00FB08AF" w:rsidRDefault="00C904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jsou zahrnuty do kapitálu a způsobilých závazků v souladu s čl. </w:t>
            </w:r>
            <w:proofErr w:type="gramStart"/>
            <w:r>
              <w:rPr>
                <w:rStyle w:val="FormatvorlageInstructionsTabelleText"/>
                <w:rFonts w:ascii="Times New Roman" w:hAnsi="Times New Roman"/>
                <w:sz w:val="24"/>
              </w:rPr>
              <w:t>494b</w:t>
            </w:r>
            <w:proofErr w:type="gramEnd"/>
            <w:r>
              <w:rPr>
                <w:rStyle w:val="FormatvorlageInstructionsTabelleText"/>
                <w:rFonts w:ascii="Times New Roman" w:hAnsi="Times New Roman"/>
                <w:sz w:val="24"/>
              </w:rPr>
              <w:t xml:space="preserve"> odst. 3 nařízení (EU) č. 575/2013;</w:t>
            </w:r>
          </w:p>
          <w:p w14:paraId="729FD97D" w14:textId="2B49FF11" w:rsidR="00612E23" w:rsidRPr="00FB08AF" w:rsidRDefault="00B511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 v případě nástrojů, které se řídí právem třetí země, splňují požadavky stanovené v článku 55 směrnice 2014/59/EU.</w:t>
            </w:r>
          </w:p>
          <w:p w14:paraId="23DB3E90" w14:textId="7AAD14FB" w:rsidR="006B3F3C"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Vykazovanými částkami jsou částky před odečtením nevyužitých částek, pro něž bylo uděleno předběžné svolení, v rozsahu, v jakém se svolení vztahuje na nástroje způsobilých závazků vydané před 27. červnem 2019.</w:t>
            </w:r>
          </w:p>
          <w:p w14:paraId="101AB6AC" w14:textId="4E538F15" w:rsidR="00CD51BC" w:rsidRPr="00FB08AF" w:rsidRDefault="00CD51BC"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2C4CA631" w14:textId="53206BFA" w:rsidR="003A0717" w:rsidRPr="00FB08AF" w:rsidRDefault="0090294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Způsobilé závazky, které splňují následující podmínky:</w:t>
            </w:r>
          </w:p>
          <w:p w14:paraId="06CB52C8" w14:textId="1DDB2DB7"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a) byly vydány před 27. červnem 2019;</w:t>
            </w:r>
          </w:p>
          <w:p w14:paraId="7D19D1F7" w14:textId="50CAF5D5" w:rsidR="003A0717" w:rsidRPr="00FB08AF" w:rsidRDefault="00A01D02"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sz w:val="24"/>
              </w:rPr>
              <w:t>b) jsou v souladu s čl. </w:t>
            </w:r>
            <w:proofErr w:type="gramStart"/>
            <w:r>
              <w:rPr>
                <w:rStyle w:val="FormatvorlageInstructionsTabelleText"/>
                <w:rFonts w:ascii="Times New Roman" w:hAnsi="Times New Roman"/>
                <w:sz w:val="24"/>
              </w:rPr>
              <w:t>72b</w:t>
            </w:r>
            <w:proofErr w:type="gramEnd"/>
            <w:r>
              <w:rPr>
                <w:rStyle w:val="FormatvorlageInstructionsTabelleText"/>
                <w:rFonts w:ascii="Times New Roman" w:hAnsi="Times New Roman"/>
                <w:sz w:val="24"/>
              </w:rPr>
              <w:t xml:space="preserve"> odst. 2 písm. d) nařízení (EU) č. 575/2013;</w:t>
            </w:r>
          </w:p>
          <w:p w14:paraId="1483928C" w14:textId="77777777" w:rsidR="003C1F98" w:rsidRPr="00FB08AF" w:rsidRDefault="00A01D0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jsou považovány za způsobilé závazky v důsledku zachování právních účinků v souladu s čl. </w:t>
            </w:r>
            <w:proofErr w:type="gramStart"/>
            <w:r>
              <w:rPr>
                <w:rStyle w:val="FormatvorlageInstructionsTabelleText"/>
                <w:rFonts w:ascii="Times New Roman" w:hAnsi="Times New Roman"/>
                <w:sz w:val="24"/>
              </w:rPr>
              <w:t>494b</w:t>
            </w:r>
            <w:proofErr w:type="gramEnd"/>
            <w:r>
              <w:rPr>
                <w:rStyle w:val="FormatvorlageInstructionsTabelleText"/>
                <w:rFonts w:ascii="Times New Roman" w:hAnsi="Times New Roman"/>
                <w:sz w:val="24"/>
              </w:rPr>
              <w:t xml:space="preserve"> odst. 3</w:t>
            </w:r>
            <w:r>
              <w:t xml:space="preserve"> </w:t>
            </w:r>
            <w:r>
              <w:rPr>
                <w:rStyle w:val="FormatvorlageInstructionsTabelleText"/>
                <w:rFonts w:ascii="Times New Roman" w:hAnsi="Times New Roman"/>
                <w:sz w:val="24"/>
              </w:rPr>
              <w:t>nařízení (EU) č. 575/2013.</w:t>
            </w:r>
          </w:p>
          <w:p w14:paraId="48932F31" w14:textId="7F06E6C5" w:rsidR="00A827D8"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Vykazovanými částkami jsou částky před odečtením nevyužitých částek, pro něž bylo uděleno předběžné svolení, v rozsahu, v jakém se svolení vztahuje na nástroje způsobilých závazků vydané před 27. červnem 2019.</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rFonts w:ascii="Times New Roman" w:hAnsi="Times New Roman"/>
                <w:sz w:val="24"/>
              </w:rPr>
              <w:t>0130</w:t>
            </w:r>
          </w:p>
        </w:tc>
        <w:tc>
          <w:tcPr>
            <w:tcW w:w="7620" w:type="dxa"/>
            <w:vAlign w:val="center"/>
          </w:tcPr>
          <w:p w14:paraId="46569A0F" w14:textId="1545D13C" w:rsidR="003C1F98" w:rsidRPr="00FB08AF" w:rsidRDefault="003C1F9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Nástroje zahrnované do kapitálu </w:t>
            </w:r>
            <w:proofErr w:type="spellStart"/>
            <w:r>
              <w:rPr>
                <w:rStyle w:val="InstructionsTabelleberschrift"/>
                <w:rFonts w:ascii="Times New Roman" w:hAnsi="Times New Roman"/>
                <w:sz w:val="24"/>
              </w:rPr>
              <w:t>tier</w:t>
            </w:r>
            <w:proofErr w:type="spellEnd"/>
            <w:r>
              <w:rPr>
                <w:rStyle w:val="InstructionsTabelleberschrift"/>
                <w:rFonts w:ascii="Times New Roman" w:hAnsi="Times New Roman"/>
                <w:sz w:val="24"/>
              </w:rPr>
              <w:t xml:space="preserve"> 2 se zbytkovou splatností nejméně jeden rok, pokud nejsou považovány za položky kapitálu </w:t>
            </w:r>
            <w:proofErr w:type="spellStart"/>
            <w:r>
              <w:rPr>
                <w:rStyle w:val="InstructionsTabelleberschrift"/>
                <w:rFonts w:ascii="Times New Roman" w:hAnsi="Times New Roman"/>
                <w:sz w:val="24"/>
              </w:rPr>
              <w:t>tier</w:t>
            </w:r>
            <w:proofErr w:type="spellEnd"/>
            <w:r>
              <w:rPr>
                <w:rStyle w:val="InstructionsTabelleberschrift"/>
                <w:rFonts w:ascii="Times New Roman" w:hAnsi="Times New Roman"/>
                <w:sz w:val="24"/>
              </w:rPr>
              <w:t> 2</w:t>
            </w:r>
          </w:p>
          <w:p w14:paraId="7E53D3C8" w14:textId="5B2B54C5"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Ustanovení čl.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odst. 1 písm. b) nařízení (EU) č. 575/2013</w:t>
            </w:r>
          </w:p>
          <w:p w14:paraId="34EB2C71" w14:textId="026755AA" w:rsidR="003C1F98" w:rsidRPr="00FB08AF" w:rsidRDefault="003C1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Tento řádek zahrnuje umořenou část nástrojů zahrnovaných do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2 se zbývající dobou splatnosti delší než jeden rok. V tomto řádku se uvede </w:t>
            </w:r>
            <w:r>
              <w:rPr>
                <w:rStyle w:val="FormatvorlageInstructionsTabelleText"/>
                <w:rFonts w:ascii="Times New Roman" w:hAnsi="Times New Roman"/>
                <w:sz w:val="24"/>
              </w:rPr>
              <w:lastRenderedPageBreak/>
              <w:t>pouze částka, která není vykázána v rámci kapitálu, ale splňuje veškerá kritéria způsobilosti stanovená v článku 72b nařízení (EU) č. 575/2013.</w:t>
            </w:r>
          </w:p>
          <w:p w14:paraId="4D7DD40A" w14:textId="14F7E4FF" w:rsidR="00612E23" w:rsidRPr="00FB08AF" w:rsidRDefault="00DD50D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V případě MREL se nástroje, které se řídí právem třetí země, do tohoto řádku zahrnou pouze v případě, že splňují požadavky stanovené v článku 55 směrnice 2014/59/EU.</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0132</w:t>
            </w:r>
          </w:p>
        </w:tc>
        <w:tc>
          <w:tcPr>
            <w:tcW w:w="7620" w:type="dxa"/>
            <w:vAlign w:val="center"/>
          </w:tcPr>
          <w:p w14:paraId="3C34006F" w14:textId="77777777"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Vlastní nástroje způsobilých závazků podřízené vyloučeným závazkům</w:t>
            </w:r>
          </w:p>
          <w:p w14:paraId="16DB4BC1" w14:textId="77777777" w:rsidR="00017D7A" w:rsidRPr="00FB08AF" w:rsidRDefault="00017D7A"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32907F3" w14:textId="0FACFBE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 xml:space="preserve">Článek 78a nařízení (EU) č. 575/2013, čl. </w:t>
            </w:r>
            <w:proofErr w:type="gramStart"/>
            <w:r>
              <w:rPr>
                <w:rStyle w:val="FormatvorlageInstructionsTabelleText"/>
                <w:rFonts w:ascii="Times New Roman" w:hAnsi="Times New Roman"/>
                <w:sz w:val="24"/>
              </w:rPr>
              <w:t>32b</w:t>
            </w:r>
            <w:proofErr w:type="gramEnd"/>
            <w:r>
              <w:rPr>
                <w:rStyle w:val="FormatvorlageInstructionsTabelleText"/>
                <w:rFonts w:ascii="Times New Roman" w:hAnsi="Times New Roman"/>
                <w:sz w:val="24"/>
              </w:rPr>
              <w:t xml:space="preserve"> odst. 2, 3 a 5 nařízení v přenesené pravomoci (EU) č. 241/2014</w:t>
            </w:r>
          </w:p>
          <w:p w14:paraId="657C9FF4" w14:textId="261FA598" w:rsidR="00017D7A" w:rsidRPr="00FB08AF" w:rsidRDefault="00017D7A"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Tento řádek zahrnuje nevyužité částky, pro něž bylo uděleno předběžné svolení, v rozsahu, v jakém se svolení vztahuje na nástroje způsobilých závazků podřízené vyloučeným závazkům. Částka v tomto řádku se rovná částce v řádku 0135 pro MREL.</w:t>
            </w:r>
          </w:p>
          <w:p w14:paraId="290575AE" w14:textId="36721F56" w:rsidR="001D1E29" w:rsidRPr="00FB08AF" w:rsidRDefault="001D1E29"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3C7CBDF9" w14:textId="514E0218" w:rsidR="00017D7A" w:rsidRPr="00FB08AF" w:rsidRDefault="001D1E29"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 xml:space="preserve">Ustanovení čl. 72e odst. 1 písm. a) a článek 78a nařízení (EU) č. 575/2013, čl. </w:t>
            </w:r>
            <w:proofErr w:type="gramStart"/>
            <w:r>
              <w:rPr>
                <w:rStyle w:val="FormatvorlageInstructionsTabelleText"/>
                <w:rFonts w:ascii="Times New Roman" w:hAnsi="Times New Roman"/>
                <w:sz w:val="24"/>
              </w:rPr>
              <w:t>32b</w:t>
            </w:r>
            <w:proofErr w:type="gramEnd"/>
            <w:r>
              <w:rPr>
                <w:rStyle w:val="FormatvorlageInstructionsTabelleText"/>
                <w:rFonts w:ascii="Times New Roman" w:hAnsi="Times New Roman"/>
                <w:sz w:val="24"/>
              </w:rPr>
              <w:t xml:space="preserve"> odst. 2, 3 a 5 nařízení v přenesené pravomoci (EU) č. 241/2014</w:t>
            </w:r>
          </w:p>
          <w:p w14:paraId="696343EA" w14:textId="5EA84709" w:rsidR="00017D7A" w:rsidRPr="00FB08AF" w:rsidRDefault="00017D7A"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Tento řádek zahrnuje:</w:t>
            </w:r>
          </w:p>
          <w:p w14:paraId="601685A6" w14:textId="78227CDD" w:rsidR="00017D7A" w:rsidRPr="00FB08AF" w:rsidRDefault="008C19BD" w:rsidP="00017D7A">
            <w:pPr>
              <w:pStyle w:val="ListParagraph"/>
              <w:numPr>
                <w:ilvl w:val="0"/>
                <w:numId w:val="69"/>
              </w:numPr>
              <w:rPr>
                <w:rStyle w:val="FormatvorlageInstructionsTabelleText"/>
                <w:rFonts w:ascii="Times New Roman" w:hAnsi="Times New Roman"/>
                <w:bCs w:val="0"/>
                <w:sz w:val="24"/>
              </w:rPr>
            </w:pPr>
            <w:r>
              <w:rPr>
                <w:rStyle w:val="FormatvorlageInstructionsTabelleText"/>
                <w:rFonts w:ascii="Times New Roman" w:hAnsi="Times New Roman"/>
                <w:sz w:val="24"/>
              </w:rPr>
              <w:t>kapitálové investice do vlastních podřízených nástrojů způsobilých závazků, které mají být odečteny v souladu s čl. 72e odst. 1 písm. a) nařízení (EU) č. 575/2013, a</w:t>
            </w:r>
          </w:p>
          <w:p w14:paraId="2C9354B7" w14:textId="38B33A6C" w:rsidR="001D1E29" w:rsidRPr="00FB08AF" w:rsidRDefault="008C19BD" w:rsidP="009E5168">
            <w:pPr>
              <w:pStyle w:val="ListParagraph"/>
              <w:numPr>
                <w:ilvl w:val="0"/>
                <w:numId w:val="69"/>
              </w:numPr>
              <w:rPr>
                <w:rStyle w:val="InstructionsTabelleberschrift"/>
                <w:rFonts w:ascii="Times New Roman" w:hAnsi="Times New Roman"/>
                <w:b w:val="0"/>
                <w:bCs w:val="0"/>
                <w:sz w:val="24"/>
                <w:u w:val="none"/>
              </w:rPr>
            </w:pPr>
            <w:r>
              <w:rPr>
                <w:rStyle w:val="FormatvorlageInstructionsTabelleText"/>
                <w:rFonts w:ascii="Times New Roman" w:hAnsi="Times New Roman"/>
                <w:sz w:val="24"/>
              </w:rPr>
              <w:t>nevyužité částky, pro něž bylo uděleno předběžné svolení, v rozsahu, v jakém se svolení vztahuje na nástroje způsobilých závazků podřízené vyloučeným závazkům.</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0135</w:t>
            </w:r>
          </w:p>
        </w:tc>
        <w:tc>
          <w:tcPr>
            <w:tcW w:w="7620" w:type="dxa"/>
            <w:vAlign w:val="center"/>
          </w:tcPr>
          <w:p w14:paraId="4E01627F" w14:textId="69824B14" w:rsidR="001D1E29" w:rsidRPr="00FB08AF" w:rsidRDefault="001D1E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z toho: nevyužité částky, pro něž bylo uděleno předběžné svolení</w:t>
            </w:r>
          </w:p>
          <w:p w14:paraId="67B041F0" w14:textId="77777777" w:rsidR="001D1E29" w:rsidRPr="00FB08AF" w:rsidRDefault="001D1E29"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a TLAC</w:t>
            </w:r>
          </w:p>
          <w:p w14:paraId="7E150AA3" w14:textId="77777777" w:rsidR="001C3C19" w:rsidRPr="00FB08AF" w:rsidRDefault="001C3C1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V tomto řádku se uvedou následující částky: </w:t>
            </w:r>
          </w:p>
          <w:p w14:paraId="2838CD0F" w14:textId="4C01DA00" w:rsidR="001D1E29" w:rsidRPr="00FB08AF" w:rsidRDefault="001C3C19" w:rsidP="001C3C19">
            <w:pPr>
              <w:pStyle w:val="ListParagraph"/>
              <w:numPr>
                <w:ilvl w:val="0"/>
                <w:numId w:val="51"/>
              </w:numPr>
              <w:rPr>
                <w:rStyle w:val="FormatvorlageInstructionsTabelleText"/>
                <w:rFonts w:ascii="Times New Roman" w:hAnsi="Times New Roman"/>
                <w:sz w:val="24"/>
              </w:rPr>
            </w:pPr>
            <w:r>
              <w:rPr>
                <w:rStyle w:val="FormatvorlageInstructionsTabelleText"/>
                <w:rFonts w:ascii="Times New Roman" w:hAnsi="Times New Roman"/>
                <w:sz w:val="24"/>
              </w:rPr>
              <w:t xml:space="preserve">nevyužité částky, pro něž bylo uděleno svolení </w:t>
            </w:r>
            <w:r>
              <w:rPr>
                <w:rStyle w:val="FormatvorlageInstructionsTabelleText"/>
                <w:rFonts w:ascii="Times New Roman" w:hAnsi="Times New Roman"/>
                <w:i/>
                <w:iCs/>
                <w:sz w:val="24"/>
              </w:rPr>
              <w:t>ad hoc</w:t>
            </w:r>
            <w:r>
              <w:rPr>
                <w:rStyle w:val="FormatvorlageInstructionsTabelleText"/>
                <w:rFonts w:ascii="Times New Roman" w:hAnsi="Times New Roman"/>
                <w:sz w:val="24"/>
              </w:rPr>
              <w:t>, v rozsahu, v jakém se svolení vztahuje na nástroje způsobilých závazků podřízené vyloučeným závazkům;</w:t>
            </w:r>
          </w:p>
          <w:p w14:paraId="2AE5E3F7" w14:textId="2881DA46" w:rsidR="001D1E29" w:rsidRPr="00FB08AF" w:rsidRDefault="001C3C19" w:rsidP="00766C0D">
            <w:pPr>
              <w:pStyle w:val="ListParagraph"/>
              <w:numPr>
                <w:ilvl w:val="0"/>
                <w:numId w:val="51"/>
              </w:numPr>
              <w:rPr>
                <w:rStyle w:val="FormatvorlageInstructionsTabelleText"/>
                <w:rFonts w:ascii="Times New Roman" w:hAnsi="Times New Roman"/>
                <w:sz w:val="24"/>
                <w:u w:val="single"/>
              </w:rPr>
            </w:pPr>
            <w:r>
              <w:rPr>
                <w:rStyle w:val="FormatvorlageInstructionsTabelleText"/>
                <w:rFonts w:ascii="Times New Roman" w:hAnsi="Times New Roman"/>
                <w:sz w:val="24"/>
              </w:rPr>
              <w:t>nevyužité částky, pro něž bylo uděleno obecné svolení, v rozsahu, v jakém se svolení vztahuje na nástroje způsobilých závazků podřízené vyloučeným závazkům.</w:t>
            </w:r>
          </w:p>
          <w:p w14:paraId="262C6FC4" w14:textId="01A909F6" w:rsidR="008B0571" w:rsidRPr="00A0527F" w:rsidRDefault="00766C0D" w:rsidP="008B0571">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Pokud obecné předběžné svolení uvedené v bodě </w:t>
            </w:r>
            <w:proofErr w:type="spellStart"/>
            <w:r>
              <w:rPr>
                <w:rStyle w:val="InstructionsTabelleberschrift"/>
                <w:rFonts w:ascii="Times New Roman" w:hAnsi="Times New Roman"/>
                <w:b w:val="0"/>
                <w:sz w:val="24"/>
                <w:u w:val="none"/>
              </w:rPr>
              <w:t>ii</w:t>
            </w:r>
            <w:proofErr w:type="spellEnd"/>
            <w:r>
              <w:rPr>
                <w:rStyle w:val="InstructionsTabelleberschrift"/>
                <w:rFonts w:ascii="Times New Roman" w:hAnsi="Times New Roman"/>
                <w:b w:val="0"/>
                <w:sz w:val="24"/>
                <w:u w:val="none"/>
              </w:rPr>
              <w:t>) nespecifikuje pořadí nástrojů, které mohou být vypovězeny, umořeny, splaceny nebo zpětně odkoupeny, vykáže se v tomto řádku nevyužitá částka, pro niž bylo uděleno obecné svolení, v plné výši.</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rFonts w:ascii="Times New Roman" w:hAnsi="Times New Roman"/>
                <w:sz w:val="24"/>
              </w:rPr>
              <w:t>0140</w:t>
            </w:r>
          </w:p>
        </w:tc>
        <w:tc>
          <w:tcPr>
            <w:tcW w:w="7620" w:type="dxa"/>
            <w:vAlign w:val="center"/>
          </w:tcPr>
          <w:p w14:paraId="7E0332CD" w14:textId="77777777" w:rsidR="00305E50" w:rsidRPr="00FB08AF" w:rsidRDefault="00305E5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Způsobilé závazky nepodřízené vyloučeným závazkům</w:t>
            </w:r>
          </w:p>
          <w:p w14:paraId="4CA285A7" w14:textId="77777777" w:rsidR="00982A9F"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i/>
                <w:sz w:val="24"/>
                <w:u w:val="none"/>
              </w:rPr>
              <w:t>MREL</w:t>
            </w:r>
          </w:p>
          <w:p w14:paraId="1E4FE37F" w14:textId="20A59CB2" w:rsidR="001E1CA1" w:rsidRPr="00FB08AF" w:rsidRDefault="001E1CA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Závazky, které splňují podmínky stanovené v článku 45b směrnice 2014/59/EU a které nejsou plně podřízené pohledávkám vyplývajícím z vyloučených závazků uvedených v čl. </w:t>
            </w:r>
            <w:proofErr w:type="gramStart"/>
            <w:r>
              <w:rPr>
                <w:rStyle w:val="InstructionsTabelleberschrift"/>
                <w:rFonts w:ascii="Times New Roman" w:hAnsi="Times New Roman"/>
                <w:b w:val="0"/>
                <w:sz w:val="24"/>
                <w:u w:val="none"/>
              </w:rPr>
              <w:t>72a</w:t>
            </w:r>
            <w:proofErr w:type="gramEnd"/>
            <w:r>
              <w:rPr>
                <w:rStyle w:val="InstructionsTabelleberschrift"/>
                <w:rFonts w:ascii="Times New Roman" w:hAnsi="Times New Roman"/>
                <w:b w:val="0"/>
                <w:sz w:val="24"/>
                <w:u w:val="none"/>
              </w:rPr>
              <w:t xml:space="preserve"> odst. 2 nařízení (EU) č. 575/2013. </w:t>
            </w:r>
            <w:r>
              <w:rPr>
                <w:rStyle w:val="FormatvorlageInstructionsTabelleText"/>
                <w:rFonts w:ascii="Times New Roman" w:hAnsi="Times New Roman"/>
                <w:sz w:val="24"/>
              </w:rPr>
              <w:lastRenderedPageBreak/>
              <w:t>Nástroj, který se řídí právem třetí země, se do tohoto řádku zahrne pouze v případě, že splňuje požadavky stanovené v článku 55 směrnice 2014/59/EU. Vykazovanými částkami jsou částky bez nevyužitých částek, pro něž bylo uděleno předběžné svolení, v rozsahu, v jakém se svolení vztahuje na způsobilé závazky, které nejsou podřízené vyloučeným závazkům.</w:t>
            </w:r>
          </w:p>
          <w:p w14:paraId="0B2AC759" w14:textId="604E0A4C" w:rsidR="00982A9F" w:rsidRPr="00FB08AF" w:rsidRDefault="001E1CA1" w:rsidP="00E36728">
            <w:pPr>
              <w:pStyle w:val="InstructionsText"/>
              <w:rPr>
                <w:rStyle w:val="InstructionsTabelleberschrift"/>
                <w:rFonts w:ascii="Times New Roman" w:hAnsi="Times New Roman"/>
                <w:sz w:val="24"/>
                <w:u w:val="none"/>
              </w:rPr>
            </w:pPr>
            <w:r>
              <w:rPr>
                <w:rStyle w:val="InstructionsTabelleberschrift"/>
                <w:rFonts w:ascii="Times New Roman" w:hAnsi="Times New Roman"/>
                <w:b w:val="0"/>
                <w:i/>
                <w:sz w:val="24"/>
                <w:u w:val="none"/>
              </w:rPr>
              <w:t>TLAC</w:t>
            </w:r>
          </w:p>
          <w:p w14:paraId="4E8D9E69" w14:textId="28758AF0" w:rsidR="00305E50" w:rsidRPr="00FB08AF" w:rsidRDefault="00982A9F"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Způsobilé závazky, které splňují požadavky stanovené v článcích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až 72d nařízení (EU) č. 575/2013, s výjimkou čl. 72b odst. 2 písm. d) uvedeného nařízení, a které jsou považovány za způsobilé závazky v souladu s čl. 72b odst. 3 nebo 4 uvedeného nařízení. Pokud se použije čl. </w:t>
            </w:r>
            <w:proofErr w:type="gramStart"/>
            <w:r>
              <w:rPr>
                <w:rStyle w:val="FormatvorlageInstructionsTabelleText"/>
                <w:rFonts w:ascii="Times New Roman" w:hAnsi="Times New Roman"/>
                <w:sz w:val="24"/>
              </w:rPr>
              <w:t>72b</w:t>
            </w:r>
            <w:proofErr w:type="gramEnd"/>
            <w:r>
              <w:rPr>
                <w:rStyle w:val="FormatvorlageInstructionsTabelleText"/>
                <w:rFonts w:ascii="Times New Roman" w:hAnsi="Times New Roman"/>
                <w:sz w:val="24"/>
              </w:rPr>
              <w:t xml:space="preserve"> odst. 3 nařízení (EU) č. 575/2013, vykáže se</w:t>
            </w:r>
            <w:r>
              <w:rPr>
                <w:rStyle w:val="InstructionsTabelleberschrift"/>
                <w:rFonts w:ascii="Times New Roman" w:hAnsi="Times New Roman"/>
                <w:b w:val="0"/>
                <w:sz w:val="24"/>
                <w:u w:val="none"/>
              </w:rPr>
              <w:t xml:space="preserve"> částka po</w:t>
            </w:r>
            <w:r>
              <w:rPr>
                <w:rStyle w:val="FormatvorlageInstructionsTabelleText"/>
                <w:rFonts w:ascii="Times New Roman" w:hAnsi="Times New Roman"/>
                <w:sz w:val="24"/>
              </w:rPr>
              <w:t xml:space="preserve"> uplatnění horní hranice stanovené v uvedeném článku. Vykazovanými částkami jsou částky bez kapitálových investic do vlastních nástrojů způsobilých závazků a bez nevyužitých částek, pro něž bylo uděleno předběžné svolení, v rozsahu, v jakém se svolení vztahuje na nástroje způsobilých závazků nepodřízené vyloučeným závazkům.</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rFonts w:ascii="Times New Roman" w:hAnsi="Times New Roman"/>
                <w:sz w:val="24"/>
              </w:rPr>
              <w:lastRenderedPageBreak/>
              <w:t>0150</w:t>
            </w:r>
          </w:p>
        </w:tc>
        <w:tc>
          <w:tcPr>
            <w:tcW w:w="7620" w:type="dxa"/>
            <w:vAlign w:val="center"/>
          </w:tcPr>
          <w:p w14:paraId="2B3CCCA3" w14:textId="49C67F64"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Způsobilé závazky, které nejsou podřízené vyloučeným závazkům (bez zachování právních účinků, před uplatněním horní hranice)</w:t>
            </w:r>
          </w:p>
          <w:p w14:paraId="394955FE" w14:textId="77777777" w:rsidR="00982A9F" w:rsidRPr="00FB08AF" w:rsidRDefault="00604AF7"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MREL</w:t>
            </w:r>
          </w:p>
          <w:p w14:paraId="7E6B0179" w14:textId="36FBFEC4" w:rsidR="00A827D8" w:rsidRPr="00FB08AF" w:rsidRDefault="003A071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Závazky, které splňují podmínky stanovené v čl. </w:t>
            </w:r>
            <w:proofErr w:type="gramStart"/>
            <w:r>
              <w:rPr>
                <w:rStyle w:val="FormatvorlageInstructionsTabelleText"/>
                <w:rFonts w:ascii="Times New Roman" w:hAnsi="Times New Roman"/>
                <w:sz w:val="24"/>
              </w:rPr>
              <w:t>45b</w:t>
            </w:r>
            <w:proofErr w:type="gramEnd"/>
            <w:r>
              <w:rPr>
                <w:rStyle w:val="FormatvorlageInstructionsTabelleText"/>
                <w:rFonts w:ascii="Times New Roman" w:hAnsi="Times New Roman"/>
                <w:sz w:val="24"/>
              </w:rPr>
              <w:t xml:space="preserve"> odst. 1, 2 a 3 směrnice 2014/59/EU a které nejsou plně podřízené pohledávkám vyplývajícím z vyloučených závazků uvedených v čl. 72a odst. 2 nařízení (EU) č. 575/2013.</w:t>
            </w:r>
            <w:r>
              <w:rPr>
                <w:rStyle w:val="FormatvorlageInstructionsTabelleText"/>
                <w:rFonts w:ascii="Times New Roman" w:hAnsi="Times New Roman"/>
                <w:b/>
                <w:sz w:val="24"/>
              </w:rPr>
              <w:t xml:space="preserve"> </w:t>
            </w:r>
            <w:r>
              <w:rPr>
                <w:rStyle w:val="FormatvorlageInstructionsTabelleText"/>
                <w:rFonts w:ascii="Times New Roman" w:hAnsi="Times New Roman"/>
                <w:sz w:val="24"/>
              </w:rPr>
              <w:t>Nástroj, který se řídí právem třetí země, se do tohoto řádku zahrne pouze v případě, že splňuje požadavky stanovené v článku 55 směrnice 2014/59/EU. Vykazovanými částkami jsou částky před odečtením nevyužitých částek, pro něž bylo uděleno předběžné svolení, v rozsahu, v jakém se svolení vztahuje na nástroje způsobilých závazků nepodřízené vyloučeným závazkům a bez zachování právních účinků.</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0B4467BB" w14:textId="75080881" w:rsidR="00D37718"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Způsobilé závazky, které splňují požadavky stanovené v článcích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až 72d nařízení (EU) č. 575/2013, s výjimkou čl. 72b odst. 2 písm. d) uvedeného nařízení, a které by mohly být</w:t>
            </w:r>
            <w:r>
              <w:t xml:space="preserve"> </w:t>
            </w:r>
            <w:r>
              <w:rPr>
                <w:rStyle w:val="FormatvorlageInstructionsTabelleText"/>
                <w:rFonts w:ascii="Times New Roman" w:hAnsi="Times New Roman"/>
                <w:sz w:val="24"/>
              </w:rPr>
              <w:t>považovány za nástroje způsobilých závazků v souladu s čl. 72b odst. 3 uvedeného nařízení nebo mohou být považovány za nástroje způsobilých závazků v souladu s čl. 72b odst. 4 uvedeného nařízení. Vykazovanými částkami jsou částky před odečtením nevyužitých částek, pro něž bylo uděleno předběžné svolení, v rozsahu, v jakém se svolení vztahuje na nástroje způsobilých závazků nepodřízené vyloučeným závazkům a bez zachování právních účinků.</w:t>
            </w:r>
          </w:p>
          <w:p w14:paraId="0909459E" w14:textId="187AE3BC" w:rsidR="00EA28E5" w:rsidRPr="00FB08AF" w:rsidRDefault="00855A4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Pokud se použije čl. </w:t>
            </w:r>
            <w:proofErr w:type="gramStart"/>
            <w:r>
              <w:rPr>
                <w:rStyle w:val="FormatvorlageInstructionsTabelleText"/>
                <w:rFonts w:ascii="Times New Roman" w:hAnsi="Times New Roman"/>
                <w:sz w:val="24"/>
              </w:rPr>
              <w:t>72b</w:t>
            </w:r>
            <w:proofErr w:type="gramEnd"/>
            <w:r>
              <w:rPr>
                <w:rStyle w:val="FormatvorlageInstructionsTabelleText"/>
                <w:rFonts w:ascii="Times New Roman" w:hAnsi="Times New Roman"/>
                <w:sz w:val="24"/>
              </w:rPr>
              <w:t xml:space="preserve"> odst. 3 nebo čl. 494 odst. 2 nařízení (EU) č. 575/2013, uvede se v tomto řádku celá částka bez uplatnění 3,5%, případně 2,5% horní hranice.</w:t>
            </w:r>
          </w:p>
          <w:p w14:paraId="10DEA222" w14:textId="0F79DC02" w:rsidR="00A63011" w:rsidRPr="00FB08AF" w:rsidRDefault="00EA28E5"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Tento řádek nesmí zahrnovat žádnou částku přechodně uznatelnou v souladu s čl. </w:t>
            </w:r>
            <w:proofErr w:type="gramStart"/>
            <w:r>
              <w:rPr>
                <w:rStyle w:val="FormatvorlageInstructionsTabelleText"/>
                <w:rFonts w:ascii="Times New Roman" w:hAnsi="Times New Roman"/>
                <w:sz w:val="24"/>
              </w:rPr>
              <w:t>494b</w:t>
            </w:r>
            <w:proofErr w:type="gramEnd"/>
            <w:r>
              <w:rPr>
                <w:rStyle w:val="FormatvorlageInstructionsTabelleText"/>
                <w:rFonts w:ascii="Times New Roman" w:hAnsi="Times New Roman"/>
                <w:sz w:val="24"/>
              </w:rPr>
              <w:t xml:space="preserve"> odst. 3 nařízení (EU) č. 575/2013.</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rFonts w:ascii="Times New Roman" w:hAnsi="Times New Roman"/>
                <w:sz w:val="24"/>
              </w:rPr>
              <w:t>0160</w:t>
            </w:r>
          </w:p>
        </w:tc>
        <w:tc>
          <w:tcPr>
            <w:tcW w:w="7620" w:type="dxa"/>
            <w:vAlign w:val="center"/>
          </w:tcPr>
          <w:p w14:paraId="5F838AA0" w14:textId="3D7F71E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Způsobilé závazky, které nejsou podřízené vyloučeným závazkům, vydané před 27. červnem 2019 (před uplatněním horní hranice)</w:t>
            </w:r>
          </w:p>
          <w:p w14:paraId="2510BB3A" w14:textId="1AF410B0" w:rsidR="00982A9F" w:rsidRPr="00FB08AF" w:rsidRDefault="00C11CA5"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lastRenderedPageBreak/>
              <w:t>MREL</w:t>
            </w:r>
          </w:p>
          <w:p w14:paraId="18163CEC" w14:textId="2030FFF7" w:rsidR="001C6D0D" w:rsidRPr="00FB08AF" w:rsidRDefault="00982A9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Způsobilé závazky, které splňují následující podmínky:</w:t>
            </w:r>
          </w:p>
          <w:p w14:paraId="5FFD2677" w14:textId="50F9F4F8"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byly vydány před 27. červnem 2019;</w:t>
            </w:r>
          </w:p>
          <w:p w14:paraId="07403C05" w14:textId="503B2949" w:rsidR="009B0942"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 splňují podmínky stanovené v čl. </w:t>
            </w:r>
            <w:proofErr w:type="gramStart"/>
            <w:r>
              <w:rPr>
                <w:rStyle w:val="FormatvorlageInstructionsTabelleText"/>
                <w:rFonts w:ascii="Times New Roman" w:hAnsi="Times New Roman"/>
                <w:sz w:val="24"/>
              </w:rPr>
              <w:t>45b</w:t>
            </w:r>
            <w:proofErr w:type="gramEnd"/>
            <w:r>
              <w:rPr>
                <w:rStyle w:val="FormatvorlageInstructionsTabelleText"/>
                <w:rFonts w:ascii="Times New Roman" w:hAnsi="Times New Roman"/>
                <w:sz w:val="24"/>
              </w:rPr>
              <w:t xml:space="preserve"> odst. 1, 2 a 3 směrnice 2014/59/EU a nejsou zcela podřízeny pohledávkám vyplývajícím z vyloučených závazků uvedených v čl. 72a odst. 2 nařízení (EU) č. 575/2013;</w:t>
            </w:r>
          </w:p>
          <w:p w14:paraId="71564EA2" w14:textId="74C6BCA7" w:rsidR="001C6D0D"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jsou považovány za způsobilé závazky v důsledku zachování právních účinků v souladu s čl. </w:t>
            </w:r>
            <w:proofErr w:type="gramStart"/>
            <w:r>
              <w:rPr>
                <w:rStyle w:val="FormatvorlageInstructionsTabelleText"/>
                <w:rFonts w:ascii="Times New Roman" w:hAnsi="Times New Roman"/>
                <w:sz w:val="24"/>
              </w:rPr>
              <w:t>494b</w:t>
            </w:r>
            <w:proofErr w:type="gramEnd"/>
            <w:r>
              <w:rPr>
                <w:rStyle w:val="FormatvorlageInstructionsTabelleText"/>
                <w:rFonts w:ascii="Times New Roman" w:hAnsi="Times New Roman"/>
                <w:sz w:val="24"/>
              </w:rPr>
              <w:t xml:space="preserve"> odst. 3 nařízení (EU) č. 575/2013.</w:t>
            </w:r>
          </w:p>
          <w:p w14:paraId="7503510D" w14:textId="08ABA911" w:rsidR="00B1149D" w:rsidRPr="00FB08AF" w:rsidRDefault="00014A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Nástroj, který se řídí právem třetí země, se do tohoto řádku zahrne pouze v případě, že splňuje požadavky stanovené v článku 55 směrnice 2014/59/EU.</w:t>
            </w:r>
          </w:p>
          <w:p w14:paraId="32F37C9F" w14:textId="14155D73"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Vykazovanými částkami jsou částky před odečtením nevyužitých částek, pro něž bylo uděleno předběžné svolení, v rozsahu, v jakém se svolení vztahuje na nástroje způsobilých závazků, které nejsou podřízené vyloučeným závazkům a byly vydány před 27. červnem 2019.</w:t>
            </w:r>
          </w:p>
          <w:p w14:paraId="7EAB8752" w14:textId="12D859E9" w:rsidR="00982A9F" w:rsidRPr="00FB08AF" w:rsidRDefault="00C11CA5"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F8A7696" w14:textId="38C1B326" w:rsidR="000A5224" w:rsidRPr="00FB08AF" w:rsidRDefault="002055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Způsobilé závazky, které splňují následující podmínky:</w:t>
            </w:r>
          </w:p>
          <w:p w14:paraId="2927D076" w14:textId="4B7CFD54"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byly vydány před 27. červnem 2019;</w:t>
            </w:r>
          </w:p>
          <w:p w14:paraId="25193AE0" w14:textId="3C81B8F5" w:rsidR="000A5224"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splňují požadavky stanovené v článcích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až 72d nařízení (EU) č. 575/2013, s výjimkou čl. 72b odst. 2 písm. d) uvedeného nařízení, a mohly by být považovány za nástroje způsobilých závazků v souladu s čl. 72b odst. 3 uvedeného nařízení nebo mohou být považovány za nástroje způsobilých závazků v souladu s čl. 72b odst. 4 uvedeného nařízení;</w:t>
            </w:r>
          </w:p>
          <w:p w14:paraId="406887A9" w14:textId="60E275A3" w:rsidR="00C11CA5" w:rsidRPr="00FB08AF" w:rsidRDefault="00D164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c) jsou považovány za způsobilé závazky v důsledku zachování právních účinků v souladu s čl. </w:t>
            </w:r>
            <w:proofErr w:type="gramStart"/>
            <w:r>
              <w:rPr>
                <w:rStyle w:val="FormatvorlageInstructionsTabelleText"/>
                <w:rFonts w:ascii="Times New Roman" w:hAnsi="Times New Roman"/>
                <w:sz w:val="24"/>
              </w:rPr>
              <w:t>494b</w:t>
            </w:r>
            <w:proofErr w:type="gramEnd"/>
            <w:r>
              <w:rPr>
                <w:rStyle w:val="FormatvorlageInstructionsTabelleText"/>
                <w:rFonts w:ascii="Times New Roman" w:hAnsi="Times New Roman"/>
                <w:sz w:val="24"/>
              </w:rPr>
              <w:t xml:space="preserve"> odst. 3 nařízení (EU) č. 575/2013.</w:t>
            </w:r>
          </w:p>
          <w:p w14:paraId="1C129A1F" w14:textId="57A1694B" w:rsidR="00A63011" w:rsidRPr="00FB08AF" w:rsidRDefault="00A827D8"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Vykazovanými částkami jsou částky před odečtením nevyužitých částek, pro něž bylo uděleno předběžné svolení, v rozsahu, v jakém se svolení vztahuje na nástroje způsobilých závazků, které nejsou podřízené vyloučeným závazkům a byly vydány před 27. červnem 2019. Pokud se použije čl. </w:t>
            </w:r>
            <w:proofErr w:type="gramStart"/>
            <w:r>
              <w:rPr>
                <w:rStyle w:val="FormatvorlageInstructionsTabelleText"/>
                <w:rFonts w:ascii="Times New Roman" w:hAnsi="Times New Roman"/>
                <w:sz w:val="24"/>
              </w:rPr>
              <w:t>72b</w:t>
            </w:r>
            <w:proofErr w:type="gramEnd"/>
            <w:r>
              <w:rPr>
                <w:rStyle w:val="FormatvorlageInstructionsTabelleText"/>
                <w:rFonts w:ascii="Times New Roman" w:hAnsi="Times New Roman"/>
                <w:sz w:val="24"/>
              </w:rPr>
              <w:t xml:space="preserve"> odst. 3 nebo čl. 494 odst. 2 nařízení (EU) č. 575/2013, uvede se v tomto řádku celá částka bez uplatnění 3,5%, případně 2,5% horní hranice.</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0162</w:t>
            </w:r>
          </w:p>
        </w:tc>
        <w:tc>
          <w:tcPr>
            <w:tcW w:w="7620" w:type="dxa"/>
            <w:vAlign w:val="center"/>
          </w:tcPr>
          <w:p w14:paraId="341CD98D" w14:textId="7BF644C3"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Vlastní nástroje způsobilých závazků nepodřízené vyloučeným závazkům</w:t>
            </w:r>
          </w:p>
          <w:p w14:paraId="7CFF60FF" w14:textId="77777777" w:rsidR="00766C0D" w:rsidRPr="00FB08AF" w:rsidRDefault="00766C0D"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MREL</w:t>
            </w:r>
          </w:p>
          <w:p w14:paraId="5FDB3A76" w14:textId="21AD9479" w:rsidR="00766C0D" w:rsidRPr="00FB08AF" w:rsidRDefault="00766C0D"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 xml:space="preserve">Článek 78a nařízení (EU) č. 575/2013, čl. </w:t>
            </w:r>
            <w:proofErr w:type="gramStart"/>
            <w:r>
              <w:rPr>
                <w:rStyle w:val="FormatvorlageInstructionsTabelleText"/>
                <w:rFonts w:ascii="Times New Roman" w:hAnsi="Times New Roman"/>
                <w:sz w:val="24"/>
              </w:rPr>
              <w:t>32b</w:t>
            </w:r>
            <w:proofErr w:type="gramEnd"/>
            <w:r>
              <w:rPr>
                <w:rStyle w:val="FormatvorlageInstructionsTabelleText"/>
                <w:rFonts w:ascii="Times New Roman" w:hAnsi="Times New Roman"/>
                <w:sz w:val="24"/>
              </w:rPr>
              <w:t xml:space="preserve"> odst. 2, 3 a 5 nařízení v přenesené pravomoci (EU) č. 241/2014</w:t>
            </w:r>
          </w:p>
          <w:p w14:paraId="07A5D05B" w14:textId="26693921" w:rsidR="008B0571" w:rsidRPr="00FB08AF" w:rsidRDefault="008B0571" w:rsidP="00E36728">
            <w:pPr>
              <w:pStyle w:val="InstructionsText"/>
              <w:rPr>
                <w:rStyle w:val="InstructionsTabelleberschrift"/>
                <w:rFonts w:ascii="Times New Roman" w:hAnsi="Times New Roman"/>
                <w:b w:val="0"/>
                <w:bCs w:val="0"/>
                <w:i/>
                <w:sz w:val="24"/>
                <w:u w:val="none"/>
              </w:rPr>
            </w:pPr>
            <w:r>
              <w:rPr>
                <w:rStyle w:val="FormatvorlageInstructionsTabelleText"/>
                <w:rFonts w:ascii="Times New Roman" w:hAnsi="Times New Roman"/>
                <w:sz w:val="24"/>
              </w:rPr>
              <w:t>Tento řádek zahrnuje nevyužité částky, pro něž bylo uděleno předběžné svolení, v rozsahu, v jakém se svolení vztahuje na nástroje způsobilých závazků, které nejsou podřízené vyloučeným závazkům. Částka v tomto řádku se rovná částce v řádku 0165 pro MREL.</w:t>
            </w:r>
          </w:p>
          <w:p w14:paraId="267D0224" w14:textId="77777777" w:rsidR="008B0571" w:rsidRPr="00FB08AF" w:rsidRDefault="008B0571" w:rsidP="00E36728">
            <w:pPr>
              <w:pStyle w:val="InstructionsText"/>
              <w:rPr>
                <w:rStyle w:val="InstructionsTabelleberschrift"/>
                <w:rFonts w:ascii="Times New Roman" w:hAnsi="Times New Roman"/>
                <w:b w:val="0"/>
                <w:bCs w:val="0"/>
                <w:i/>
                <w:sz w:val="24"/>
                <w:u w:val="none"/>
              </w:rPr>
            </w:pPr>
            <w:r>
              <w:rPr>
                <w:rStyle w:val="InstructionsTabelleberschrift"/>
                <w:rFonts w:ascii="Times New Roman" w:hAnsi="Times New Roman"/>
                <w:b w:val="0"/>
                <w:i/>
                <w:sz w:val="24"/>
                <w:u w:val="none"/>
              </w:rPr>
              <w:t>TLAC</w:t>
            </w:r>
          </w:p>
          <w:p w14:paraId="24C7F64C" w14:textId="6651375D"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lastRenderedPageBreak/>
              <w:t xml:space="preserve">Ustanovení čl. 72e odst. 1 písm. a) a článek 78a nařízení (EU) č. 575/2013, čl. </w:t>
            </w:r>
            <w:proofErr w:type="gramStart"/>
            <w:r>
              <w:rPr>
                <w:rStyle w:val="FormatvorlageInstructionsTabelleText"/>
                <w:rFonts w:ascii="Times New Roman" w:hAnsi="Times New Roman"/>
                <w:sz w:val="24"/>
              </w:rPr>
              <w:t>32b</w:t>
            </w:r>
            <w:proofErr w:type="gramEnd"/>
            <w:r>
              <w:rPr>
                <w:rStyle w:val="FormatvorlageInstructionsTabelleText"/>
                <w:rFonts w:ascii="Times New Roman" w:hAnsi="Times New Roman"/>
                <w:sz w:val="24"/>
              </w:rPr>
              <w:t xml:space="preserve"> odst. 2, 3 a 5 nařízení v přenesené pravomoci (EU) č. 241/2014</w:t>
            </w:r>
          </w:p>
          <w:p w14:paraId="5453E8FB" w14:textId="28C75257" w:rsidR="008B0571" w:rsidRPr="00FB08AF" w:rsidRDefault="008B0571" w:rsidP="00E36728">
            <w:pPr>
              <w:pStyle w:val="InstructionsText"/>
              <w:rPr>
                <w:rStyle w:val="FormatvorlageInstructionsTabelleText"/>
                <w:rFonts w:ascii="Times New Roman" w:hAnsi="Times New Roman"/>
                <w:bCs w:val="0"/>
                <w:sz w:val="24"/>
              </w:rPr>
            </w:pPr>
            <w:r>
              <w:rPr>
                <w:rStyle w:val="FormatvorlageInstructionsTabelleText"/>
                <w:rFonts w:ascii="Times New Roman" w:hAnsi="Times New Roman"/>
                <w:sz w:val="24"/>
              </w:rPr>
              <w:t>Tento řádek zahrnuje:</w:t>
            </w:r>
          </w:p>
          <w:p w14:paraId="321DC970" w14:textId="180EDF4D" w:rsidR="008B0571" w:rsidRPr="00FB08AF" w:rsidRDefault="008C19BD" w:rsidP="008B0571">
            <w:pPr>
              <w:pStyle w:val="ListParagraph"/>
              <w:numPr>
                <w:ilvl w:val="0"/>
                <w:numId w:val="70"/>
              </w:numPr>
              <w:rPr>
                <w:rStyle w:val="FormatvorlageInstructionsTabelleText"/>
                <w:rFonts w:ascii="Times New Roman" w:hAnsi="Times New Roman"/>
                <w:bCs w:val="0"/>
                <w:sz w:val="24"/>
              </w:rPr>
            </w:pPr>
            <w:r>
              <w:rPr>
                <w:rStyle w:val="FormatvorlageInstructionsTabelleText"/>
                <w:rFonts w:ascii="Times New Roman" w:hAnsi="Times New Roman"/>
                <w:sz w:val="24"/>
              </w:rPr>
              <w:t>kapitálové investice do vlastních nepodřízených nástrojů způsobilých závazků, které mají být odečteny v souladu s čl. 72e odst. 1 písm. a) nařízení (EU) č. 575/2013, a</w:t>
            </w:r>
          </w:p>
          <w:p w14:paraId="6C390CB9" w14:textId="54C5D1D0" w:rsidR="008B0571" w:rsidRPr="00FB08AF" w:rsidRDefault="00D37B2B" w:rsidP="009E5168">
            <w:pPr>
              <w:pStyle w:val="ListParagraph"/>
              <w:numPr>
                <w:ilvl w:val="0"/>
                <w:numId w:val="70"/>
              </w:numPr>
              <w:rPr>
                <w:rStyle w:val="InstructionsTabelleberschrift"/>
                <w:rFonts w:ascii="Times New Roman" w:hAnsi="Times New Roman"/>
                <w:b w:val="0"/>
                <w:bCs w:val="0"/>
                <w:sz w:val="24"/>
              </w:rPr>
            </w:pPr>
            <w:r>
              <w:rPr>
                <w:rStyle w:val="FormatvorlageInstructionsTabelleText"/>
                <w:rFonts w:ascii="Times New Roman" w:hAnsi="Times New Roman"/>
                <w:sz w:val="24"/>
              </w:rPr>
              <w:t>nevyužité částky, pro něž bylo uděleno předběžné svolení, v rozsahu, v jakém se svolení vztahuje na nástroje způsobilých závazků, které nejsou podřízené vyloučeným závazkům.</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0165</w:t>
            </w:r>
          </w:p>
        </w:tc>
        <w:tc>
          <w:tcPr>
            <w:tcW w:w="7620" w:type="dxa"/>
            <w:vAlign w:val="center"/>
          </w:tcPr>
          <w:p w14:paraId="371C3A4C" w14:textId="440EE909" w:rsidR="00766C0D" w:rsidRPr="00FB08AF" w:rsidRDefault="00766C0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 z toho: nevyužité částky, pro něž bylo uděleno předběžné svolení</w:t>
            </w:r>
          </w:p>
          <w:p w14:paraId="50F54C4D" w14:textId="77777777" w:rsidR="00766C0D" w:rsidRPr="00FB08AF" w:rsidRDefault="00766C0D"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 a TLAC</w:t>
            </w:r>
          </w:p>
          <w:p w14:paraId="0DC13AF4" w14:textId="77777777" w:rsidR="00F81089" w:rsidRPr="00FB08AF" w:rsidRDefault="00F8108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V tomto řádku se uvedou následující částky: </w:t>
            </w:r>
          </w:p>
          <w:p w14:paraId="705775C2" w14:textId="0B0EDB42" w:rsidR="00766C0D" w:rsidRPr="00FB08AF" w:rsidRDefault="00D37B2B" w:rsidP="00766C0D">
            <w:pPr>
              <w:pStyle w:val="ListParagraph"/>
              <w:numPr>
                <w:ilvl w:val="0"/>
                <w:numId w:val="52"/>
              </w:numPr>
              <w:rPr>
                <w:rStyle w:val="FormatvorlageInstructionsTabelleText"/>
                <w:rFonts w:ascii="Times New Roman" w:hAnsi="Times New Roman"/>
                <w:sz w:val="24"/>
              </w:rPr>
            </w:pPr>
            <w:r>
              <w:rPr>
                <w:rStyle w:val="FormatvorlageInstructionsTabelleText"/>
                <w:rFonts w:ascii="Times New Roman" w:hAnsi="Times New Roman"/>
                <w:sz w:val="24"/>
              </w:rPr>
              <w:t xml:space="preserve">nevyužité částky, pro něž bylo uděleno svolení </w:t>
            </w:r>
            <w:r>
              <w:rPr>
                <w:rStyle w:val="FormatvorlageInstructionsTabelleText"/>
                <w:rFonts w:ascii="Times New Roman" w:hAnsi="Times New Roman"/>
                <w:i/>
                <w:iCs/>
                <w:sz w:val="24"/>
              </w:rPr>
              <w:t>ad hoc</w:t>
            </w:r>
            <w:r>
              <w:rPr>
                <w:rStyle w:val="FormatvorlageInstructionsTabelleText"/>
                <w:rFonts w:ascii="Times New Roman" w:hAnsi="Times New Roman"/>
                <w:sz w:val="24"/>
              </w:rPr>
              <w:t>, v rozsahu, v jakém se svolení vztahuje na nástroj způsobilých závazků, který není podřízený vyloučeným závazkům;</w:t>
            </w:r>
          </w:p>
          <w:p w14:paraId="664D7867" w14:textId="5A7A4644" w:rsidR="00766C0D" w:rsidRPr="00FB08AF" w:rsidRDefault="00D37B2B" w:rsidP="00766C0D">
            <w:pPr>
              <w:pStyle w:val="ListParagraph"/>
              <w:numPr>
                <w:ilvl w:val="0"/>
                <w:numId w:val="52"/>
              </w:numPr>
              <w:rPr>
                <w:rStyle w:val="FormatvorlageInstructionsTabelleText"/>
                <w:rFonts w:ascii="Times New Roman" w:hAnsi="Times New Roman"/>
                <w:sz w:val="24"/>
                <w:u w:val="single"/>
              </w:rPr>
            </w:pPr>
            <w:r>
              <w:rPr>
                <w:rStyle w:val="FormatvorlageInstructionsTabelleText"/>
                <w:rFonts w:ascii="Times New Roman" w:hAnsi="Times New Roman"/>
                <w:sz w:val="24"/>
              </w:rPr>
              <w:t xml:space="preserve">nevyužité částky obecného svolení v rozsahu, v jakém se svolení vztahuje na nástroje </w:t>
            </w:r>
            <w:r>
              <w:rPr>
                <w:rStyle w:val="FormatvorlageInstructionsTabelleText"/>
                <w:rFonts w:ascii="Times New Roman" w:hAnsi="Times New Roman"/>
                <w:sz w:val="24"/>
                <w:u w:val="single"/>
              </w:rPr>
              <w:t xml:space="preserve">způsobilých </w:t>
            </w:r>
            <w:r>
              <w:rPr>
                <w:rStyle w:val="FormatvorlageInstructionsTabelleText"/>
                <w:rFonts w:ascii="Times New Roman" w:hAnsi="Times New Roman"/>
                <w:sz w:val="24"/>
              </w:rPr>
              <w:t>závazků, které nejsou podřízené vyloučeným závazkům.</w:t>
            </w:r>
          </w:p>
          <w:p w14:paraId="4510FB08" w14:textId="6849570E" w:rsidR="00766C0D" w:rsidRPr="00FB08AF" w:rsidRDefault="00766C0D" w:rsidP="004464A7">
            <w:pPr>
              <w:rPr>
                <w:rStyle w:val="InstructionsTabelleberschrift"/>
                <w:rFonts w:ascii="Times New Roman" w:hAnsi="Times New Roman"/>
                <w:b w:val="0"/>
                <w:sz w:val="24"/>
              </w:rPr>
            </w:pPr>
            <w:r>
              <w:rPr>
                <w:rStyle w:val="InstructionsTabelleberschrift"/>
                <w:rFonts w:ascii="Times New Roman" w:hAnsi="Times New Roman"/>
                <w:b w:val="0"/>
                <w:sz w:val="24"/>
              </w:rPr>
              <w:t xml:space="preserve">Pokud obecné předběžné svolení uvedené v bodě </w:t>
            </w:r>
            <w:proofErr w:type="spellStart"/>
            <w:r>
              <w:rPr>
                <w:rStyle w:val="InstructionsTabelleberschrift"/>
                <w:rFonts w:ascii="Times New Roman" w:hAnsi="Times New Roman"/>
                <w:b w:val="0"/>
                <w:sz w:val="24"/>
              </w:rPr>
              <w:t>ii</w:t>
            </w:r>
            <w:proofErr w:type="spellEnd"/>
            <w:r>
              <w:rPr>
                <w:rStyle w:val="InstructionsTabelleberschrift"/>
                <w:rFonts w:ascii="Times New Roman" w:hAnsi="Times New Roman"/>
                <w:b w:val="0"/>
                <w:sz w:val="24"/>
              </w:rPr>
              <w:t>) nespecifikuje pořadí nástrojů, které mohou být vypovězeny, umořeny, splaceny nebo zpětně odkoupeny, vykáže se nevyužitá částka, pro niž bylo uděleno obecné svolení, v plné výši v řádku 0135, nikoli v tomto řádku.</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rFonts w:ascii="Times New Roman" w:hAnsi="Times New Roman"/>
                <w:sz w:val="24"/>
              </w:rPr>
              <w:t>0170</w:t>
            </w:r>
          </w:p>
        </w:tc>
        <w:tc>
          <w:tcPr>
            <w:tcW w:w="7620" w:type="dxa"/>
            <w:vAlign w:val="center"/>
          </w:tcPr>
          <w:p w14:paraId="616148D5" w14:textId="5B73B67F"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Částky způsobilé po uplatnění horní hranice uvedené v čl. </w:t>
            </w:r>
            <w:proofErr w:type="gramStart"/>
            <w:r>
              <w:rPr>
                <w:rStyle w:val="InstructionsTabelleberschrift"/>
                <w:rFonts w:ascii="Times New Roman" w:hAnsi="Times New Roman"/>
                <w:sz w:val="24"/>
              </w:rPr>
              <w:t>72b</w:t>
            </w:r>
            <w:proofErr w:type="gramEnd"/>
            <w:r>
              <w:rPr>
                <w:rStyle w:val="InstructionsTabelleberschrift"/>
                <w:rFonts w:ascii="Times New Roman" w:hAnsi="Times New Roman"/>
                <w:sz w:val="24"/>
              </w:rPr>
              <w:t xml:space="preserve"> odst. 3 nařízení (EU) č. 575/2013 (bez zachování právních účinků)</w:t>
            </w:r>
          </w:p>
          <w:p w14:paraId="13F2D135" w14:textId="77777777" w:rsidR="00FC063F" w:rsidRPr="00FB08AF" w:rsidRDefault="00F36F9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B93C9D6" w14:textId="3FE91C94" w:rsidR="00EA28E5"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Způsobilé závazky, které splňují požadavky stanovené v článcích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až 72d nařízení (EU) č. 575/2013, s výjimkou čl. 72b odst. 2 písm. d) uvedeného nařízení, po uplatnění čl. 72b odst. 3 až 5 uvedeného nařízení, s výjimkou závazků vykázaných v souladu se zachováním právních účinků podle čl. 494b odst. 3 uvedeného nařízení.</w:t>
            </w:r>
          </w:p>
          <w:p w14:paraId="305A441C" w14:textId="5D103CC3" w:rsidR="00E45961" w:rsidRPr="00FB08AF" w:rsidRDefault="00D301E1"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Pokud se použije čl. </w:t>
            </w:r>
            <w:proofErr w:type="gramStart"/>
            <w:r>
              <w:rPr>
                <w:rStyle w:val="FormatvorlageInstructionsTabelleText"/>
                <w:rFonts w:ascii="Times New Roman" w:hAnsi="Times New Roman"/>
                <w:sz w:val="24"/>
              </w:rPr>
              <w:t>72b</w:t>
            </w:r>
            <w:proofErr w:type="gramEnd"/>
            <w:r>
              <w:rPr>
                <w:rStyle w:val="FormatvorlageInstructionsTabelleText"/>
                <w:rFonts w:ascii="Times New Roman" w:hAnsi="Times New Roman"/>
                <w:sz w:val="24"/>
              </w:rPr>
              <w:t xml:space="preserve"> odst. 3</w:t>
            </w:r>
            <w:r>
              <w:t xml:space="preserve"> nařízení (EU) č. 575/2013</w:t>
            </w:r>
            <w:r>
              <w:rPr>
                <w:rStyle w:val="FormatvorlageInstructionsTabelleText"/>
                <w:rFonts w:ascii="Times New Roman" w:hAnsi="Times New Roman"/>
                <w:sz w:val="24"/>
              </w:rPr>
              <w:t>a do 31. prosince 2021, vykáže se v tomto řádku částka po uplatnění čl. 494 odst. 2 uvedeného nařízení (2,5% horní hranice).</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rFonts w:ascii="Times New Roman" w:hAnsi="Times New Roman"/>
                <w:sz w:val="24"/>
              </w:rPr>
              <w:t>0180</w:t>
            </w:r>
          </w:p>
        </w:tc>
        <w:tc>
          <w:tcPr>
            <w:tcW w:w="7620" w:type="dxa"/>
            <w:vAlign w:val="center"/>
          </w:tcPr>
          <w:p w14:paraId="17E7C796" w14:textId="1A628FF6" w:rsidR="00EA28E5"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Částky způsobilé po uplatnění horní hranice uvedené v čl. </w:t>
            </w:r>
            <w:proofErr w:type="gramStart"/>
            <w:r>
              <w:rPr>
                <w:rStyle w:val="InstructionsTabelleberschrift"/>
                <w:rFonts w:ascii="Times New Roman" w:hAnsi="Times New Roman"/>
                <w:sz w:val="24"/>
              </w:rPr>
              <w:t>72b</w:t>
            </w:r>
            <w:proofErr w:type="gramEnd"/>
            <w:r>
              <w:rPr>
                <w:rStyle w:val="InstructionsTabelleberschrift"/>
                <w:rFonts w:ascii="Times New Roman" w:hAnsi="Times New Roman"/>
                <w:sz w:val="24"/>
              </w:rPr>
              <w:t xml:space="preserve"> odst. 3 nařízení (EU) č. 575/2013, které se skládají z položek vydaných před 27. červnem 2019 </w:t>
            </w:r>
          </w:p>
          <w:p w14:paraId="53A05F4F" w14:textId="77777777" w:rsidR="00FC063F" w:rsidRPr="00FB08AF" w:rsidRDefault="000B1772"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06D6DBE" w14:textId="7F7CC175" w:rsidR="000B1772"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Způsobilé závazky, které splňují následující podmínky:</w:t>
            </w:r>
          </w:p>
          <w:p w14:paraId="3AE4F260" w14:textId="31F4952D"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byly vydány před 27. červnem 2019;</w:t>
            </w:r>
          </w:p>
          <w:p w14:paraId="59FE9F26" w14:textId="4E7CB3E4"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splňují požadavky stanovené v článcích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až 72d nařízení (EU) č. 575/2013, s výjimkou čl. 72b odst. 2 písm. d) uvedeného nařízení, po použití čl. 72b odst. 3 až 5 uvedeného nařízení;</w:t>
            </w:r>
          </w:p>
          <w:p w14:paraId="114EE1F8" w14:textId="260F9651" w:rsidR="000B1772" w:rsidRPr="00FB08AF" w:rsidRDefault="00D301E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c) jsou považovány za způsobilé závazky v důsledku zachování právních účinků v souladu s čl. </w:t>
            </w:r>
            <w:proofErr w:type="gramStart"/>
            <w:r>
              <w:rPr>
                <w:rStyle w:val="FormatvorlageInstructionsTabelleText"/>
                <w:rFonts w:ascii="Times New Roman" w:hAnsi="Times New Roman"/>
                <w:sz w:val="24"/>
              </w:rPr>
              <w:t>494b</w:t>
            </w:r>
            <w:proofErr w:type="gramEnd"/>
            <w:r>
              <w:rPr>
                <w:rStyle w:val="FormatvorlageInstructionsTabelleText"/>
                <w:rFonts w:ascii="Times New Roman" w:hAnsi="Times New Roman"/>
                <w:sz w:val="24"/>
              </w:rPr>
              <w:t xml:space="preserve"> odst. 3</w:t>
            </w:r>
            <w:r>
              <w:t xml:space="preserve"> nařízení (EU) č. 575/2013</w:t>
            </w:r>
            <w:r>
              <w:rPr>
                <w:rStyle w:val="FormatvorlageInstructionsTabelleText"/>
                <w:rFonts w:ascii="Times New Roman" w:hAnsi="Times New Roman"/>
                <w:sz w:val="24"/>
              </w:rPr>
              <w:t>.</w:t>
            </w:r>
          </w:p>
          <w:p w14:paraId="0A5DCE1F" w14:textId="40193B08" w:rsidR="00E45961" w:rsidRPr="00FB08AF" w:rsidRDefault="00D301E1"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Pokud se použije čl. </w:t>
            </w:r>
            <w:proofErr w:type="gramStart"/>
            <w:r>
              <w:rPr>
                <w:rStyle w:val="FormatvorlageInstructionsTabelleText"/>
                <w:rFonts w:ascii="Times New Roman" w:hAnsi="Times New Roman"/>
                <w:sz w:val="24"/>
              </w:rPr>
              <w:t>72b</w:t>
            </w:r>
            <w:proofErr w:type="gramEnd"/>
            <w:r>
              <w:rPr>
                <w:rStyle w:val="FormatvorlageInstructionsTabelleText"/>
                <w:rFonts w:ascii="Times New Roman" w:hAnsi="Times New Roman"/>
                <w:sz w:val="24"/>
              </w:rPr>
              <w:t xml:space="preserve"> odst. 3</w:t>
            </w:r>
            <w:r>
              <w:t xml:space="preserve"> nařízení (EU) č. 575/2013</w:t>
            </w:r>
            <w:r>
              <w:rPr>
                <w:rStyle w:val="FormatvorlageInstructionsTabelleText"/>
                <w:rFonts w:ascii="Times New Roman" w:hAnsi="Times New Roman"/>
                <w:sz w:val="24"/>
              </w:rPr>
              <w:t>a do 31. prosince 2021, vykáže se v tomto řádku částka po uplatnění čl. 494 odst. 2 uvedeného nařízení (2,5% horní hranice).</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rFonts w:ascii="Times New Roman" w:hAnsi="Times New Roman"/>
                <w:sz w:val="24"/>
              </w:rPr>
              <w:lastRenderedPageBreak/>
              <w:t>0190</w:t>
            </w:r>
          </w:p>
        </w:tc>
        <w:tc>
          <w:tcPr>
            <w:tcW w:w="7620" w:type="dxa"/>
            <w:vAlign w:val="center"/>
          </w:tcPr>
          <w:p w14:paraId="48A47BB7" w14:textId="58C2F8F9"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Odpočty</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rFonts w:ascii="Times New Roman" w:hAnsi="Times New Roman"/>
                <w:sz w:val="24"/>
              </w:rPr>
              <w:t>0200</w:t>
            </w:r>
          </w:p>
        </w:tc>
        <w:tc>
          <w:tcPr>
            <w:tcW w:w="7620" w:type="dxa"/>
            <w:vAlign w:val="center"/>
          </w:tcPr>
          <w:p w14:paraId="5A2E902B" w14:textId="2920CF5C"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Expozice mezi skupinami řešícími krizi ve více subjektech </w:t>
            </w:r>
          </w:p>
          <w:p w14:paraId="750816D8" w14:textId="45220EA8" w:rsidR="0052529D"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460C4152" w14:textId="210E085F" w:rsidR="00A63011" w:rsidRPr="00FB08AF" w:rsidRDefault="0052529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V tomto řádku se uvádí odpočty expozic mezi skupinami G-SVI řešícími krizi ve více subjektech, které odpovídají přímým, nepřímým či syntetickým kapitálovým investicím do kapitálových nástrojů nebo nástrojů způsobilých závazků jednoho či více dceřiných podniků, které </w:t>
            </w:r>
            <w:proofErr w:type="gramStart"/>
            <w:r>
              <w:rPr>
                <w:rStyle w:val="FormatvorlageInstructionsTabelleText"/>
                <w:rFonts w:ascii="Times New Roman" w:hAnsi="Times New Roman"/>
                <w:sz w:val="24"/>
              </w:rPr>
              <w:t>nepatří</w:t>
            </w:r>
            <w:proofErr w:type="gramEnd"/>
            <w:r>
              <w:rPr>
                <w:rStyle w:val="FormatvorlageInstructionsTabelleText"/>
                <w:rFonts w:ascii="Times New Roman" w:hAnsi="Times New Roman"/>
                <w:sz w:val="24"/>
              </w:rPr>
              <w:t xml:space="preserve"> do stejné skupiny řešící krizi jako subjekt řešící krizi, v souladu s čl. 72e odst. 4 nařízení (EU) č. 575/2013.</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rFonts w:ascii="Times New Roman" w:hAnsi="Times New Roman"/>
                <w:sz w:val="24"/>
              </w:rPr>
              <w:t>0211</w:t>
            </w:r>
          </w:p>
        </w:tc>
        <w:tc>
          <w:tcPr>
            <w:tcW w:w="7620" w:type="dxa"/>
            <w:vAlign w:val="center"/>
          </w:tcPr>
          <w:p w14:paraId="70CDC53F" w14:textId="6AA8C423" w:rsidR="00A63011" w:rsidRPr="00FB08AF" w:rsidRDefault="00EA28E5"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Investice do jiných nástrojů způsobilých závazků</w:t>
            </w:r>
          </w:p>
          <w:p w14:paraId="6D6E0AE5" w14:textId="7C627841" w:rsidR="00FC063F" w:rsidRPr="00FB08AF" w:rsidRDefault="00FC06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1A0BF801" w14:textId="01C0B7CC" w:rsidR="002C7835" w:rsidRPr="00FB08AF" w:rsidRDefault="00E645F5"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Subjekty vykazují odpočet investic do jiných nástrojů způsobilých závazků, jak je uvedeno v čl. 72e odst. 1 písm. b), c) a d), v čl. 72e odst. 2 a 3 a v článcích </w:t>
            </w:r>
            <w:proofErr w:type="gramStart"/>
            <w:r>
              <w:rPr>
                <w:rStyle w:val="FormatvorlageInstructionsTabelleText"/>
                <w:rFonts w:ascii="Times New Roman" w:hAnsi="Times New Roman"/>
                <w:sz w:val="24"/>
              </w:rPr>
              <w:t>72g</w:t>
            </w:r>
            <w:proofErr w:type="gramEnd"/>
            <w:r>
              <w:rPr>
                <w:rStyle w:val="FormatvorlageInstructionsTabelleText"/>
                <w:rFonts w:ascii="Times New Roman" w:hAnsi="Times New Roman"/>
                <w:sz w:val="24"/>
              </w:rPr>
              <w:t xml:space="preserve"> až 72j </w:t>
            </w:r>
            <w:r>
              <w:t>nařízení (EU) č. 575/2013,</w:t>
            </w:r>
            <w:r>
              <w:rPr>
                <w:rStyle w:val="FormatvorlageInstructionsTabelleText"/>
                <w:rFonts w:ascii="Times New Roman" w:hAnsi="Times New Roman"/>
                <w:sz w:val="24"/>
              </w:rPr>
              <w:t xml:space="preserve"> přičemž částka, která má být odečtena od položek způsobilých závazků, se určuje v souladu s částí druhou hlavou I kapitolou 5a oddílem 2 uvedeného nařízení.</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rFonts w:ascii="Times New Roman" w:hAnsi="Times New Roman"/>
                <w:sz w:val="24"/>
              </w:rPr>
              <w:t>0220</w:t>
            </w:r>
          </w:p>
        </w:tc>
        <w:tc>
          <w:tcPr>
            <w:tcW w:w="7620" w:type="dxa"/>
            <w:vAlign w:val="center"/>
          </w:tcPr>
          <w:p w14:paraId="3D31E736" w14:textId="4E1C375C" w:rsidR="00A63011" w:rsidRPr="00FB08AF" w:rsidRDefault="00A6301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Odpočty od způsobilých závazků, které přesahují výši způsobilých závazků</w:t>
            </w:r>
          </w:p>
          <w:p w14:paraId="7BA038D3" w14:textId="50DBC754" w:rsidR="00913681" w:rsidRPr="00FB08AF" w:rsidRDefault="00EA28E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Způsobilé závazky nemohou být záporné, je ale možné, že hodnota odpočtů od položek způsobilých závazků je vyšší než hodnota položek způsobilých závazků. V takovém případě se způsobilé závazky musí rovnat nule a odpočty, které přesahují hodnotu způsobilých závazků, se odečtou od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2 v souladu s čl. 66 písm. e)</w:t>
            </w:r>
            <w:r>
              <w:t xml:space="preserve"> nařízení (EU) č. 575/2013</w:t>
            </w:r>
            <w:r>
              <w:rPr>
                <w:rStyle w:val="FormatvorlageInstructionsTabelleText"/>
                <w:rFonts w:ascii="Times New Roman" w:hAnsi="Times New Roman"/>
                <w:sz w:val="24"/>
              </w:rPr>
              <w:t>.</w:t>
            </w:r>
          </w:p>
          <w:p w14:paraId="3E09EF9B" w14:textId="2F11A2BE" w:rsidR="00A63011" w:rsidRPr="00FB08AF" w:rsidRDefault="00913681"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Prostřednictvím této položky se dosáhne toho, že způsobilé závazky vykázané v řádku 0060 nejsou nikdy nižší než nula.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0400–0500</w:t>
            </w:r>
          </w:p>
        </w:tc>
        <w:tc>
          <w:tcPr>
            <w:tcW w:w="7620" w:type="dxa"/>
            <w:vAlign w:val="center"/>
          </w:tcPr>
          <w:p w14:paraId="7038FF40"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Doplňkové položky</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rFonts w:ascii="Times New Roman" w:hAnsi="Times New Roman"/>
                <w:sz w:val="24"/>
              </w:rPr>
              <w:t>0400</w:t>
            </w:r>
          </w:p>
        </w:tc>
        <w:tc>
          <w:tcPr>
            <w:tcW w:w="7620" w:type="dxa"/>
            <w:vAlign w:val="center"/>
          </w:tcPr>
          <w:p w14:paraId="0120BDD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Kmenový kapitál </w:t>
            </w:r>
            <w:proofErr w:type="spellStart"/>
            <w:r>
              <w:rPr>
                <w:rStyle w:val="InstructionsTabelleberschrift"/>
                <w:rFonts w:ascii="Times New Roman" w:hAnsi="Times New Roman"/>
                <w:sz w:val="24"/>
              </w:rPr>
              <w:t>tier</w:t>
            </w:r>
            <w:proofErr w:type="spellEnd"/>
            <w:r>
              <w:rPr>
                <w:rStyle w:val="InstructionsTabelleberschrift"/>
                <w:rFonts w:ascii="Times New Roman" w:hAnsi="Times New Roman"/>
                <w:sz w:val="24"/>
              </w:rPr>
              <w:t xml:space="preserve"> 1 (%) dostupný po splnění požadavků subjektem </w:t>
            </w:r>
          </w:p>
          <w:p w14:paraId="536CE450" w14:textId="1A7AB164"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Hodnota kmenového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1, která se rovná nule či kladnému číslu, dostupná poté, co byly splněny veškeré požadavky uvedené v čl. </w:t>
            </w:r>
            <w:proofErr w:type="gramStart"/>
            <w:r>
              <w:rPr>
                <w:rStyle w:val="FormatvorlageInstructionsTabelleText"/>
                <w:rFonts w:ascii="Times New Roman" w:hAnsi="Times New Roman"/>
                <w:sz w:val="24"/>
              </w:rPr>
              <w:t>141a</w:t>
            </w:r>
            <w:proofErr w:type="gramEnd"/>
            <w:r>
              <w:rPr>
                <w:rStyle w:val="FormatvorlageInstructionsTabelleText"/>
                <w:rFonts w:ascii="Times New Roman" w:hAnsi="Times New Roman"/>
                <w:sz w:val="24"/>
              </w:rPr>
              <w:t xml:space="preserve"> odst. 1 písm. a), b) a c) směrnice 2013/36/EU</w:t>
            </w:r>
            <w:r w:rsidR="006876BA" w:rsidRPr="00FB08AF">
              <w:rPr>
                <w:rStyle w:val="FootnoteReference"/>
              </w:rPr>
              <w:footnoteReference w:id="3"/>
            </w:r>
            <w:r>
              <w:rPr>
                <w:rStyle w:val="FormatvorlageInstructionsTabelleText"/>
                <w:rFonts w:ascii="Times New Roman" w:hAnsi="Times New Roman"/>
                <w:sz w:val="24"/>
              </w:rPr>
              <w:t>, a vyšší z následujících hodnot:</w:t>
            </w:r>
          </w:p>
          <w:p w14:paraId="1016D212" w14:textId="01D3D2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v příslušných případech požadavek na kapitál a způsobilé závazky G-SVI stanovený v článku 92a</w:t>
            </w:r>
            <w:r>
              <w:t xml:space="preserve"> nařízení (EU) č. 575/2013 (požadavek TLAC),</w:t>
            </w:r>
            <w:r>
              <w:rPr>
                <w:rStyle w:val="FormatvorlageInstructionsTabelleText"/>
                <w:rFonts w:ascii="Times New Roman" w:hAnsi="Times New Roman"/>
                <w:sz w:val="24"/>
              </w:rPr>
              <w:t xml:space="preserve"> je-li výpočet proveden v souladu s odst. 1 písm. a) uvedeného článku; </w:t>
            </w:r>
          </w:p>
          <w:p w14:paraId="78E1074D" w14:textId="364D5169"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b) minimální požadavek na kapitál a způsobilé závazky podle článku 45</w:t>
            </w:r>
            <w:r>
              <w:t xml:space="preserve"> směrnice 2014/59/EU,</w:t>
            </w:r>
            <w:r>
              <w:rPr>
                <w:rStyle w:val="FormatvorlageInstructionsTabelleText"/>
                <w:rFonts w:ascii="Times New Roman" w:hAnsi="Times New Roman"/>
                <w:sz w:val="24"/>
              </w:rPr>
              <w:t xml:space="preserve"> je-li výpočet proveden v souladu s čl. 45 odst. 2 písm. a) uvedené směrnice.</w:t>
            </w:r>
          </w:p>
          <w:p w14:paraId="4922B454" w14:textId="09574DDE"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Dostupný kmenový kapitál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1 se </w:t>
            </w:r>
            <w:proofErr w:type="gramStart"/>
            <w:r>
              <w:rPr>
                <w:rStyle w:val="FormatvorlageInstructionsTabelleText"/>
                <w:rFonts w:ascii="Times New Roman" w:hAnsi="Times New Roman"/>
                <w:sz w:val="24"/>
              </w:rPr>
              <w:t>vyjádří</w:t>
            </w:r>
            <w:proofErr w:type="gramEnd"/>
            <w:r>
              <w:rPr>
                <w:rStyle w:val="FormatvorlageInstructionsTabelleText"/>
                <w:rFonts w:ascii="Times New Roman" w:hAnsi="Times New Roman"/>
                <w:sz w:val="24"/>
              </w:rPr>
              <w:t xml:space="preserve"> jako procentní podíl celkového objemu rizikové expozice uvedeného v řádku 0100 šablony M 01.00.</w:t>
            </w:r>
          </w:p>
          <w:p w14:paraId="584E56EB" w14:textId="63B909F8"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Vykazovaný údaj musí být ve sloupcích MREL i TLAC stejný.</w:t>
            </w:r>
          </w:p>
          <w:p w14:paraId="4055321C" w14:textId="584B90B2" w:rsidR="005D755D"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Musí zohledňovat účinek přechodných opatření na kapitál a způsobilé závazky, celkový objem rizikové expozice a samotné požadavky. Pokyn k držení dodatečného kapitálu uvedený v článku 104b směrnice 2013/36/EU ani požadavek kombinovaných kapitálových rezerv stanovený v čl. 128 prvním pododstavci bodě 6 uvedené směrnice se nezohlední.</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rFonts w:ascii="Times New Roman" w:hAnsi="Times New Roman"/>
                <w:sz w:val="24"/>
              </w:rPr>
              <w:lastRenderedPageBreak/>
              <w:t>0410</w:t>
            </w:r>
          </w:p>
        </w:tc>
        <w:tc>
          <w:tcPr>
            <w:tcW w:w="7620" w:type="dxa"/>
            <w:vAlign w:val="center"/>
          </w:tcPr>
          <w:p w14:paraId="07181A26" w14:textId="13872A80"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Požadavek kombinovaných kapitálových rezerv (%)</w:t>
            </w:r>
          </w:p>
          <w:p w14:paraId="287F6D1A" w14:textId="65FAE7E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Ustanovení čl. 128</w:t>
            </w:r>
            <w:r>
              <w:rPr>
                <w:rStyle w:val="InstructionsTabelleberschrift"/>
                <w:rFonts w:ascii="Times New Roman" w:hAnsi="Times New Roman"/>
                <w:b w:val="0"/>
                <w:sz w:val="24"/>
                <w:u w:val="none"/>
              </w:rPr>
              <w:t>prvního pododstavce bodu 6</w:t>
            </w:r>
            <w:r>
              <w:rPr>
                <w:rStyle w:val="FormatvorlageInstructionsTabelleText"/>
                <w:rFonts w:ascii="Times New Roman" w:hAnsi="Times New Roman"/>
                <w:sz w:val="24"/>
              </w:rPr>
              <w:t xml:space="preserve"> </w:t>
            </w:r>
            <w:r>
              <w:t xml:space="preserve">směrnice 2013/36/EU </w:t>
            </w:r>
          </w:p>
          <w:p w14:paraId="7D299A16" w14:textId="40FF678D" w:rsidR="004B26E4" w:rsidRPr="00FB08AF" w:rsidRDefault="004B26E4"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Požadavek kombinovaných kapitálových rezerv se </w:t>
            </w:r>
            <w:proofErr w:type="gramStart"/>
            <w:r>
              <w:rPr>
                <w:rStyle w:val="FormatvorlageInstructionsTabelleText"/>
                <w:rFonts w:ascii="Times New Roman" w:hAnsi="Times New Roman"/>
                <w:sz w:val="24"/>
              </w:rPr>
              <w:t>vyjádří</w:t>
            </w:r>
            <w:proofErr w:type="gramEnd"/>
            <w:r>
              <w:rPr>
                <w:rStyle w:val="FormatvorlageInstructionsTabelleText"/>
                <w:rFonts w:ascii="Times New Roman" w:hAnsi="Times New Roman"/>
                <w:sz w:val="24"/>
              </w:rPr>
              <w:t xml:space="preserve"> jako procentní podíl celkového objemu </w:t>
            </w:r>
            <w:r>
              <w:rPr>
                <w:rStyle w:val="InstructionsTabelleberschrift"/>
                <w:rFonts w:ascii="Times New Roman" w:hAnsi="Times New Roman"/>
                <w:b w:val="0"/>
                <w:sz w:val="24"/>
                <w:u w:val="none"/>
              </w:rPr>
              <w:t>rizikové expozice</w:t>
            </w:r>
            <w:r>
              <w:rPr>
                <w:rStyle w:val="FormatvorlageInstructionsTabelleText"/>
                <w:rFonts w:ascii="Times New Roman" w:hAnsi="Times New Roman"/>
                <w:sz w:val="24"/>
              </w:rPr>
              <w:t>.</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06E9467D"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 toho: požadavek na bezpečnostní kapitálovou rezervu </w:t>
            </w:r>
          </w:p>
          <w:p w14:paraId="4EFA0A18" w14:textId="5AE605AD" w:rsidR="004B26E4" w:rsidRPr="00FB08AF" w:rsidRDefault="004B26E4" w:rsidP="00E36728">
            <w:pPr>
              <w:pStyle w:val="InstructionsText"/>
              <w:rPr>
                <w:rStyle w:val="InstructionsTabelleberschrift"/>
                <w:rFonts w:ascii="Times New Roman" w:hAnsi="Times New Roman"/>
                <w:sz w:val="24"/>
              </w:rPr>
            </w:pPr>
            <w:r>
              <w:t>Objem kombinovaných kapitálových rezerv stanovených konkrétně pro danou instituci (vyjádřený jako procentní podíl</w:t>
            </w:r>
            <w:r>
              <w:rPr>
                <w:rStyle w:val="FormatvorlageInstructionsTabelleText"/>
                <w:rFonts w:ascii="Times New Roman" w:hAnsi="Times New Roman"/>
                <w:sz w:val="24"/>
              </w:rPr>
              <w:t xml:space="preserve"> celkového objemu </w:t>
            </w:r>
            <w:r>
              <w:rPr>
                <w:rStyle w:val="InstructionsTabelleberschrift"/>
                <w:rFonts w:ascii="Times New Roman" w:hAnsi="Times New Roman"/>
                <w:b w:val="0"/>
                <w:sz w:val="24"/>
                <w:u w:val="none"/>
              </w:rPr>
              <w:t>rizikové expozice</w:t>
            </w:r>
            <w:r>
              <w:t>), který se týká požadavku na bezpečnostní kapitálovou rezervu.</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tcPr>
          <w:p w14:paraId="2C432667"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 toho: požadavek na proticyklickou kapitálovou rezervu </w:t>
            </w:r>
          </w:p>
          <w:p w14:paraId="66111F18" w14:textId="6AC08DF1" w:rsidR="004B26E4" w:rsidRPr="00FB08AF" w:rsidRDefault="004B26E4" w:rsidP="00E36728">
            <w:pPr>
              <w:pStyle w:val="InstructionsText"/>
              <w:rPr>
                <w:rStyle w:val="InstructionsTabelleberschrift"/>
                <w:rFonts w:ascii="Times New Roman" w:hAnsi="Times New Roman"/>
                <w:sz w:val="24"/>
              </w:rPr>
            </w:pPr>
            <w:r>
              <w:t xml:space="preserve">Objem kombinovaných kapitálových rezerv stanovených konkrétně pro danou instituci (vyjádřený jako procentní podíl </w:t>
            </w:r>
            <w:r>
              <w:rPr>
                <w:rStyle w:val="FormatvorlageInstructionsTabelleText"/>
                <w:rFonts w:ascii="Times New Roman" w:hAnsi="Times New Roman"/>
                <w:sz w:val="24"/>
              </w:rPr>
              <w:t>celkového objemu</w:t>
            </w:r>
            <w:r>
              <w:rPr>
                <w:rStyle w:val="InstructionsTabelleberschrift"/>
                <w:rFonts w:ascii="Times New Roman" w:hAnsi="Times New Roman"/>
                <w:b w:val="0"/>
                <w:sz w:val="24"/>
                <w:u w:val="none"/>
              </w:rPr>
              <w:t xml:space="preserve"> rizikové expozice</w:t>
            </w:r>
            <w:r>
              <w:t>), který se týká požadavku na proticyklickou kapitálovou rezervu.</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0440</w:t>
            </w:r>
          </w:p>
        </w:tc>
        <w:tc>
          <w:tcPr>
            <w:tcW w:w="7620" w:type="dxa"/>
          </w:tcPr>
          <w:p w14:paraId="519E9751"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 toho: požadavek na kapitálovou rezervu pro krytí systémového rizika </w:t>
            </w:r>
          </w:p>
          <w:p w14:paraId="6BA953BC" w14:textId="3A467DC0" w:rsidR="004B26E4" w:rsidRPr="00FB08AF" w:rsidRDefault="004B26E4" w:rsidP="00E36728">
            <w:pPr>
              <w:pStyle w:val="InstructionsText"/>
              <w:rPr>
                <w:rStyle w:val="InstructionsTabelleberschrift"/>
                <w:rFonts w:ascii="Times New Roman" w:hAnsi="Times New Roman"/>
                <w:b w:val="0"/>
                <w:sz w:val="24"/>
              </w:rPr>
            </w:pPr>
            <w:r>
              <w:t>Objem kombinovaných kapitálových rezerv stanovených konkrétně pro danou instituci (vyjádřený jako procentní podíl</w:t>
            </w:r>
            <w:r>
              <w:rPr>
                <w:rStyle w:val="FormatvorlageInstructionsTabelleText"/>
                <w:rFonts w:ascii="Times New Roman" w:hAnsi="Times New Roman"/>
                <w:sz w:val="24"/>
              </w:rPr>
              <w:t xml:space="preserve"> celkového objemu </w:t>
            </w:r>
            <w:r>
              <w:rPr>
                <w:rStyle w:val="InstructionsTabelleberschrift"/>
                <w:rFonts w:ascii="Times New Roman" w:hAnsi="Times New Roman"/>
                <w:b w:val="0"/>
                <w:sz w:val="24"/>
                <w:u w:val="none"/>
              </w:rPr>
              <w:t>rizikové expozice</w:t>
            </w:r>
            <w:r>
              <w:t>), který se týká požadavku na kapitálovou rezervu pro krytí systémového rizika.</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0450</w:t>
            </w:r>
          </w:p>
        </w:tc>
        <w:tc>
          <w:tcPr>
            <w:tcW w:w="7620" w:type="dxa"/>
          </w:tcPr>
          <w:p w14:paraId="609E7EEE"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kapitálová rezerva pro globální systémově významnou instituci (G-SVI) nebo jinou systémově významnou instituci (J-SVI)</w:t>
            </w:r>
          </w:p>
          <w:p w14:paraId="6B1FCB7D" w14:textId="7282D718" w:rsidR="004B26E4" w:rsidRPr="00FB08AF" w:rsidRDefault="004B26E4" w:rsidP="00E36728">
            <w:pPr>
              <w:pStyle w:val="InstructionsText"/>
              <w:rPr>
                <w:rStyle w:val="InstructionsTabelleberschrift"/>
                <w:rFonts w:ascii="Times New Roman" w:hAnsi="Times New Roman"/>
                <w:b w:val="0"/>
                <w:sz w:val="24"/>
              </w:rPr>
            </w:pPr>
            <w:r>
              <w:t>Objem kombinovaných kapitálových rezerv stanovených konkrétně pro danou instituci (vyjádřený jako procentní podíl celkového objemu rizikové expozice), který se týká požadavku na kapitálovou rezervu pro G-SVI nebo J-SVI.</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0460</w:t>
            </w:r>
          </w:p>
        </w:tc>
        <w:tc>
          <w:tcPr>
            <w:tcW w:w="7620" w:type="dxa"/>
          </w:tcPr>
          <w:p w14:paraId="253143B2"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Investice do podřízených způsobilých závazků jiných institucí</w:t>
            </w:r>
          </w:p>
          <w:p w14:paraId="5F3C8CAD" w14:textId="17332BCC" w:rsidR="004B26E4" w:rsidRPr="00FB08AF" w:rsidRDefault="004B26E4" w:rsidP="00E36728">
            <w:pPr>
              <w:pStyle w:val="InstructionsText"/>
            </w:pPr>
            <w:r>
              <w:t xml:space="preserve">Pozice uvedené v tomto řádku a v řádcích 0470 až 0490 se </w:t>
            </w:r>
            <w:proofErr w:type="gramStart"/>
            <w:r>
              <w:t>určí</w:t>
            </w:r>
            <w:proofErr w:type="gramEnd"/>
            <w:r>
              <w:t xml:space="preserve"> s ohledem na zásady stanovené v článku 72h nařízení (EU) č. 575/2013 (čisté dlouhé pozice, přístup se zohledněním).</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0470</w:t>
            </w:r>
          </w:p>
        </w:tc>
        <w:tc>
          <w:tcPr>
            <w:tcW w:w="7620" w:type="dxa"/>
          </w:tcPr>
          <w:p w14:paraId="642E47E4" w14:textId="20D0C8BD"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Investice do podřízených způsobilých závazků G-SVI</w:t>
            </w:r>
          </w:p>
          <w:p w14:paraId="4362DBFC" w14:textId="36173A4D"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Objem kapitálových investic do nástrojů způsobilých závazků, jak je uvedeno v čl. </w:t>
            </w:r>
            <w:proofErr w:type="gramStart"/>
            <w:r>
              <w:rPr>
                <w:rStyle w:val="InstructionsTabelleberschrift"/>
                <w:rFonts w:ascii="Times New Roman" w:hAnsi="Times New Roman"/>
                <w:b w:val="0"/>
                <w:sz w:val="24"/>
                <w:u w:val="none"/>
              </w:rPr>
              <w:t>72b</w:t>
            </w:r>
            <w:proofErr w:type="gramEnd"/>
            <w:r>
              <w:rPr>
                <w:rStyle w:val="InstructionsTabelleberschrift"/>
                <w:rFonts w:ascii="Times New Roman" w:hAnsi="Times New Roman"/>
                <w:b w:val="0"/>
                <w:sz w:val="24"/>
                <w:u w:val="none"/>
              </w:rPr>
              <w:t xml:space="preserve"> odst. 2 nařízení (EU) č. 575/2013, s výjimkou nástrojů podle </w:t>
            </w:r>
            <w:r>
              <w:rPr>
                <w:rStyle w:val="InstructionsTabelleberschrift"/>
                <w:rFonts w:ascii="Times New Roman" w:hAnsi="Times New Roman"/>
                <w:b w:val="0"/>
                <w:sz w:val="24"/>
                <w:u w:val="none"/>
              </w:rPr>
              <w:lastRenderedPageBreak/>
              <w:t>čl. 72b odst. 3 až 5 uvedeného nařízení, které jsou vydány institucemi G-SVI.</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0480</w:t>
            </w:r>
          </w:p>
        </w:tc>
        <w:tc>
          <w:tcPr>
            <w:tcW w:w="7620" w:type="dxa"/>
          </w:tcPr>
          <w:p w14:paraId="70DB94C0" w14:textId="33495A29"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Investice do podřízených způsobilých závazků J-SVI</w:t>
            </w:r>
          </w:p>
          <w:p w14:paraId="7CD464ED" w14:textId="141E401F"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Objem kapitálových investic do nástrojů způsobilých závazků, jak je uvedeno v čl. </w:t>
            </w:r>
            <w:proofErr w:type="gramStart"/>
            <w:r>
              <w:rPr>
                <w:rStyle w:val="InstructionsTabelleberschrift"/>
                <w:rFonts w:ascii="Times New Roman" w:hAnsi="Times New Roman"/>
                <w:b w:val="0"/>
                <w:sz w:val="24"/>
                <w:u w:val="none"/>
              </w:rPr>
              <w:t>72b</w:t>
            </w:r>
            <w:proofErr w:type="gramEnd"/>
            <w:r>
              <w:rPr>
                <w:rStyle w:val="InstructionsTabelleberschrift"/>
                <w:rFonts w:ascii="Times New Roman" w:hAnsi="Times New Roman"/>
                <w:b w:val="0"/>
                <w:sz w:val="24"/>
                <w:u w:val="none"/>
              </w:rPr>
              <w:t xml:space="preserve"> odst. 2</w:t>
            </w:r>
            <w:r>
              <w:t xml:space="preserve"> nařízení (EU) č. 575/2013</w:t>
            </w:r>
            <w:r>
              <w:rPr>
                <w:rStyle w:val="InstructionsTabelleberschrift"/>
                <w:rFonts w:ascii="Times New Roman" w:hAnsi="Times New Roman"/>
                <w:b w:val="0"/>
                <w:sz w:val="24"/>
                <w:u w:val="none"/>
              </w:rPr>
              <w:t>, které jsou vydány institucemi J-SVI.</w:t>
            </w:r>
          </w:p>
          <w:p w14:paraId="38FA530C" w14:textId="678EB475"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Investice do podřízených způsobilých závazků institucí J-SVI, které jsou zároveň institucemi G-SVI, se nevykazují v tomto řádku, ale výhradně v řádku 0470.</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0490</w:t>
            </w:r>
          </w:p>
        </w:tc>
        <w:tc>
          <w:tcPr>
            <w:tcW w:w="7620" w:type="dxa"/>
          </w:tcPr>
          <w:p w14:paraId="7A6FD579"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Investice do podřízených způsobilých závazků jiných institucí</w:t>
            </w:r>
          </w:p>
          <w:p w14:paraId="2E60AD38" w14:textId="475CCA51" w:rsidR="004B26E4" w:rsidRPr="00FB08AF" w:rsidRDefault="004B26E4"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Objem kapitálových investic do nástrojů způsobilých závazků, jak je uvedeno v čl. </w:t>
            </w:r>
            <w:proofErr w:type="gramStart"/>
            <w:r>
              <w:rPr>
                <w:rStyle w:val="InstructionsTabelleberschrift"/>
                <w:rFonts w:ascii="Times New Roman" w:hAnsi="Times New Roman"/>
                <w:b w:val="0"/>
                <w:sz w:val="24"/>
                <w:u w:val="none"/>
              </w:rPr>
              <w:t>72b</w:t>
            </w:r>
            <w:proofErr w:type="gramEnd"/>
            <w:r>
              <w:rPr>
                <w:rStyle w:val="InstructionsTabelleberschrift"/>
                <w:rFonts w:ascii="Times New Roman" w:hAnsi="Times New Roman"/>
                <w:b w:val="0"/>
                <w:sz w:val="24"/>
                <w:u w:val="none"/>
              </w:rPr>
              <w:t xml:space="preserve"> odst. 2</w:t>
            </w:r>
            <w:r>
              <w:t xml:space="preserve"> nařízení (EU) č. 575/2013,</w:t>
            </w:r>
            <w:r>
              <w:rPr>
                <w:rStyle w:val="InstructionsTabelleberschrift"/>
                <w:rFonts w:ascii="Times New Roman" w:hAnsi="Times New Roman"/>
                <w:b w:val="0"/>
                <w:sz w:val="24"/>
                <w:u w:val="none"/>
              </w:rPr>
              <w:t xml:space="preserve"> které jsou vydány institucemi, které nejsou ani G-SVI, ani J-SVI.</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0" w:type="dxa"/>
          </w:tcPr>
          <w:p w14:paraId="63ABFEFC" w14:textId="77777777"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Vyloučené závazky</w:t>
            </w:r>
          </w:p>
          <w:p w14:paraId="0B9817CF" w14:textId="78CE829E" w:rsidR="004B26E4" w:rsidRPr="00FB08AF" w:rsidRDefault="004B26E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Ustanovení čl. </w:t>
            </w:r>
            <w:proofErr w:type="gramStart"/>
            <w:r>
              <w:rPr>
                <w:rStyle w:val="InstructionsTabelleberschrift"/>
                <w:rFonts w:ascii="Times New Roman" w:hAnsi="Times New Roman"/>
                <w:b w:val="0"/>
                <w:sz w:val="24"/>
                <w:u w:val="none"/>
              </w:rPr>
              <w:t>72a</w:t>
            </w:r>
            <w:proofErr w:type="gramEnd"/>
            <w:r>
              <w:rPr>
                <w:rStyle w:val="InstructionsTabelleberschrift"/>
                <w:rFonts w:ascii="Times New Roman" w:hAnsi="Times New Roman"/>
                <w:b w:val="0"/>
                <w:sz w:val="24"/>
                <w:u w:val="none"/>
              </w:rPr>
              <w:t xml:space="preserve"> odst. 2</w:t>
            </w:r>
            <w:r>
              <w:t xml:space="preserve"> nařízení (EU) č. 575/2013</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0" w:type="dxa"/>
          </w:tcPr>
          <w:p w14:paraId="50A50FDB" w14:textId="14E23443" w:rsidR="006C3B88"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Svolení </w:t>
            </w:r>
            <w:r>
              <w:rPr>
                <w:rStyle w:val="InstructionsTabelleberschrift"/>
                <w:rFonts w:ascii="Times New Roman" w:hAnsi="Times New Roman"/>
                <w:i/>
                <w:iCs/>
                <w:sz w:val="24"/>
              </w:rPr>
              <w:t>ad hoc</w:t>
            </w:r>
            <w:r>
              <w:rPr>
                <w:rStyle w:val="InstructionsTabelleberschrift"/>
                <w:rFonts w:ascii="Times New Roman" w:hAnsi="Times New Roman"/>
                <w:sz w:val="24"/>
              </w:rPr>
              <w:t xml:space="preserve"> pro položky způsobilých závazků: předem daná částka</w:t>
            </w:r>
          </w:p>
          <w:p w14:paraId="677D3A8B" w14:textId="376DEED4" w:rsidR="00D62E86" w:rsidRPr="00FB08AF" w:rsidRDefault="000713BD"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V tomto řádku se vykazují částky, na které se vztahuje předběžné svolení </w:t>
            </w:r>
            <w:r>
              <w:rPr>
                <w:rStyle w:val="InstructionsTabelleberschrift"/>
                <w:rFonts w:ascii="Times New Roman" w:hAnsi="Times New Roman"/>
                <w:b w:val="0"/>
                <w:i/>
                <w:iCs/>
                <w:sz w:val="24"/>
                <w:u w:val="none"/>
              </w:rPr>
              <w:t>ad hoc</w:t>
            </w:r>
            <w:r>
              <w:rPr>
                <w:rStyle w:val="InstructionsTabelleberschrift"/>
                <w:rFonts w:ascii="Times New Roman" w:hAnsi="Times New Roman"/>
                <w:b w:val="0"/>
                <w:sz w:val="24"/>
                <w:u w:val="none"/>
              </w:rPr>
              <w:t xml:space="preserve"> k vypovězení, umoření, splacení nebo zpětnému odkupu specifických nástrojů způsobilých závazků v souladu s čl. </w:t>
            </w:r>
            <w:proofErr w:type="gramStart"/>
            <w:r>
              <w:rPr>
                <w:rStyle w:val="InstructionsTabelleberschrift"/>
                <w:rFonts w:ascii="Times New Roman" w:hAnsi="Times New Roman"/>
                <w:b w:val="0"/>
                <w:sz w:val="24"/>
                <w:u w:val="none"/>
              </w:rPr>
              <w:t>78a</w:t>
            </w:r>
            <w:proofErr w:type="gramEnd"/>
            <w:r>
              <w:rPr>
                <w:rStyle w:val="InstructionsTabelleberschrift"/>
                <w:rFonts w:ascii="Times New Roman" w:hAnsi="Times New Roman"/>
                <w:b w:val="0"/>
                <w:sz w:val="24"/>
                <w:u w:val="none"/>
              </w:rPr>
              <w:t xml:space="preserve"> odst. 1 prvním pododstavcem nařízení (EU) č. 575/2013 ve spojení s čl. 32b odst. 2 nařízení v přenesené pravomoci (EU) č. 241/2014. Zahrnují se využité i nevyužité částky.</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tcPr>
          <w:p w14:paraId="49FD9529" w14:textId="5D38E4B0" w:rsidR="000713BD" w:rsidRPr="00FB08AF" w:rsidRDefault="006C3B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Obecná předběžná svolení pro položky způsobilých závazků: předem daná částka</w:t>
            </w:r>
          </w:p>
          <w:p w14:paraId="31659376" w14:textId="0F700AE4" w:rsidR="007371FE" w:rsidRPr="00FB08AF" w:rsidRDefault="000713BD"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V tomto řádku se vykazují částky, na které se vztahuje obecné předběžné svolení k vypovězení, umoření, splacení nebo zpětnému odkupu nástrojů způsobilých závazků v souladu s čl. </w:t>
            </w:r>
            <w:proofErr w:type="gramStart"/>
            <w:r>
              <w:rPr>
                <w:rStyle w:val="InstructionsTabelleberschrift"/>
                <w:rFonts w:ascii="Times New Roman" w:hAnsi="Times New Roman"/>
                <w:b w:val="0"/>
                <w:sz w:val="24"/>
                <w:u w:val="none"/>
              </w:rPr>
              <w:t>78a</w:t>
            </w:r>
            <w:proofErr w:type="gramEnd"/>
            <w:r>
              <w:rPr>
                <w:rStyle w:val="InstructionsTabelleberschrift"/>
                <w:rFonts w:ascii="Times New Roman" w:hAnsi="Times New Roman"/>
                <w:b w:val="0"/>
                <w:sz w:val="24"/>
                <w:u w:val="none"/>
              </w:rPr>
              <w:t xml:space="preserve"> odst. 1 druhým pododstavcem nařízení (EU) č. 575/2013 ve spojení s čl. 32b odst. 3 a 5 nařízení v přenesené pravomoci (EU) č. 241/2014. Zahrnují se využité i nevyužité částky.</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5" w:name="_Toc45558486"/>
      <w:r>
        <w:t>M 03.00 – Interní MREL a interní TLAC (ILAC)</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t>Obecné poznámky</w:t>
      </w:r>
      <w:bookmarkEnd w:id="46"/>
      <w:bookmarkEnd w:id="47"/>
      <w:bookmarkEnd w:id="48"/>
    </w:p>
    <w:p w14:paraId="1C147C02" w14:textId="6DCE8FA1" w:rsidR="00B94302" w:rsidRPr="00FB08AF" w:rsidRDefault="000466F4" w:rsidP="00E36728">
      <w:pPr>
        <w:pStyle w:val="InstructionsText2"/>
      </w:pPr>
      <w:r>
        <w:t xml:space="preserve">Šablona M 03.00 zahrnuje kapitál a způsobilé závazky pro účely </w:t>
      </w:r>
    </w:p>
    <w:p w14:paraId="12678ACA" w14:textId="5474E36B" w:rsidR="00B94302" w:rsidRPr="00FB08AF" w:rsidRDefault="00B94302" w:rsidP="00E36728">
      <w:pPr>
        <w:pStyle w:val="InstructionsText2"/>
        <w:numPr>
          <w:ilvl w:val="1"/>
          <w:numId w:val="15"/>
        </w:numPr>
      </w:pPr>
      <w:r>
        <w:t xml:space="preserve">požadavku na kapitál a způsobilé závazky subjektů, které samy nejsou subjekty řešícími krizi, podle článku 45f směrnice 2014/59/EU (interní MREL), a </w:t>
      </w:r>
    </w:p>
    <w:p w14:paraId="39FE2B42" w14:textId="23457429" w:rsidR="000466F4" w:rsidRPr="00FB08AF" w:rsidRDefault="00B94302" w:rsidP="00E36728">
      <w:pPr>
        <w:pStyle w:val="InstructionsText2"/>
        <w:numPr>
          <w:ilvl w:val="1"/>
          <w:numId w:val="15"/>
        </w:numPr>
      </w:pPr>
      <w:r>
        <w:t>požadavku na kapitál a způsobilé závazky G-SVI mimo EU platného pro významné dceřiné podniky G-SVI ve třetích zemích podle článku 92b nařízení (EU) č. 575/2013 (interní TLAC).</w:t>
      </w:r>
    </w:p>
    <w:p w14:paraId="30A80998" w14:textId="585E986E" w:rsidR="00095D0D" w:rsidRPr="00FB08AF" w:rsidRDefault="00095D0D" w:rsidP="00E36728">
      <w:pPr>
        <w:pStyle w:val="InstructionsText2"/>
      </w:pPr>
      <w:r>
        <w:t xml:space="preserve">Sloupec odkazující na interní MREL vyplní subjekty, které podléhají minimálnímu požadavku na kapitál a způsobilé závazky v souladu s články 45 a 45f </w:t>
      </w:r>
      <w:r>
        <w:lastRenderedPageBreak/>
        <w:t>směrnice 2014/59/EU. Položky odkazující na požadavek na kapitál a způsobilé závazky G-SVI (TLAC) vykazují pouze ty subjekty, které jsou povinny splnit požadavek stanovený v článku 92b nařízení (EU) č. 575/2013.</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t>Pokyny týkající se konkrétních pozic</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rFonts w:ascii="Times New Roman" w:hAnsi="Times New Roman"/>
                <w:sz w:val="24"/>
              </w:rPr>
              <w:t>Sloupce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Odkazy na právní předpisy a pokyny</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Interní MREL</w:t>
            </w:r>
          </w:p>
          <w:p w14:paraId="201A3B71" w14:textId="00D90FED" w:rsidR="001B51A1" w:rsidRPr="00FB08AF" w:rsidRDefault="001B51A1" w:rsidP="00E36728">
            <w:pPr>
              <w:pStyle w:val="InstructionsText"/>
            </w:pPr>
            <w:r>
              <w:rPr>
                <w:rStyle w:val="InstructionsTabelleberschrift"/>
                <w:rFonts w:ascii="Times New Roman" w:hAnsi="Times New Roman"/>
                <w:b w:val="0"/>
                <w:sz w:val="24"/>
                <w:u w:val="none"/>
              </w:rPr>
              <w:t xml:space="preserve">Články 45 a 45f </w:t>
            </w:r>
            <w:r>
              <w:t>směrnice 2014/59/EU</w:t>
            </w:r>
            <w:r>
              <w:rPr>
                <w:rStyle w:val="InstructionsTabelleberschrift"/>
                <w:rFonts w:ascii="Times New Roman" w:hAnsi="Times New Roman"/>
                <w:b w:val="0"/>
                <w:sz w:val="24"/>
                <w:u w:val="none"/>
              </w:rPr>
              <w:t>.</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Interní TLAC</w:t>
            </w:r>
          </w:p>
          <w:p w14:paraId="4CED47A8" w14:textId="3FFFF330" w:rsidR="001B51A1" w:rsidRPr="00FB08AF" w:rsidRDefault="001B51A1"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Článek 92b nařízení (EU) č. 575/2013.</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Řádek</w:t>
            </w:r>
          </w:p>
        </w:tc>
        <w:tc>
          <w:tcPr>
            <w:tcW w:w="7624" w:type="dxa"/>
            <w:shd w:val="clear" w:color="auto" w:fill="D9D9D9"/>
          </w:tcPr>
          <w:p w14:paraId="32CBB7D3" w14:textId="77777777" w:rsidR="00482729" w:rsidRPr="00FB08AF" w:rsidRDefault="00482729"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Odkazy na právní předpisy a pokyny</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4" w:type="dxa"/>
          </w:tcPr>
          <w:p w14:paraId="13E2D408" w14:textId="6AAA9F68" w:rsidR="00482729" w:rsidRPr="00FB08AF" w:rsidRDefault="00B827D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Úroveň uplatňování</w:t>
            </w:r>
          </w:p>
          <w:p w14:paraId="7FECF1A5" w14:textId="60A40903" w:rsidR="00482729" w:rsidRPr="00FB08AF" w:rsidRDefault="00482729" w:rsidP="00482729">
            <w:pPr>
              <w:rPr>
                <w:rStyle w:val="FormatvorlageInstructionsTabelleText"/>
                <w:rFonts w:ascii="Times New Roman" w:hAnsi="Times New Roman"/>
                <w:sz w:val="24"/>
              </w:rPr>
            </w:pPr>
            <w:r>
              <w:rPr>
                <w:rStyle w:val="FormatvorlageInstructionsTabelleText"/>
                <w:rFonts w:ascii="Times New Roman" w:hAnsi="Times New Roman"/>
                <w:sz w:val="24"/>
              </w:rPr>
              <w:t>Pokud se na subjekt vztahuje interní MREL a případně interní TLAC na individuálním základě, uvede se „individuální“.</w:t>
            </w:r>
          </w:p>
          <w:p w14:paraId="3FFF56BB" w14:textId="1F40B525"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Pokud se na subjekt vztahuje interní MREL a případně interní TLAC na konsolidovaném základě, uvede se „konsolidovaná“.</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0100–0110</w:t>
            </w:r>
          </w:p>
        </w:tc>
        <w:tc>
          <w:tcPr>
            <w:tcW w:w="7624" w:type="dxa"/>
          </w:tcPr>
          <w:p w14:paraId="01851B65" w14:textId="77777777" w:rsidR="00482729" w:rsidRPr="00FB08AF" w:rsidRDefault="00482729"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Celkový objem rizikové expozice a celková míra expozic</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4" w:type="dxa"/>
          </w:tcPr>
          <w:p w14:paraId="7F50E33E" w14:textId="141734F5"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Celkový objem rizikové expozice</w:t>
            </w:r>
          </w:p>
          <w:p w14:paraId="4199D149" w14:textId="400A985D" w:rsidR="00482729"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Ustanovení čl. 45 odst. 2 písm. a) </w:t>
            </w:r>
            <w:r>
              <w:t>směrnice 2014/59/EU</w:t>
            </w:r>
            <w:r>
              <w:rPr>
                <w:rStyle w:val="FormatvorlageInstructionsTabelleText"/>
                <w:rFonts w:ascii="Times New Roman" w:hAnsi="Times New Roman"/>
                <w:sz w:val="24"/>
              </w:rPr>
              <w:t>, čl. 92 odst. 3 nařízení (EU) č. 575/2013</w:t>
            </w:r>
          </w:p>
          <w:p w14:paraId="5D2ACB04" w14:textId="718410E8" w:rsidR="00EB663A"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Celkový objem rizikové expozice vykázaný v tomto řádku je celkový objem rizikové expozice, který </w:t>
            </w:r>
            <w:proofErr w:type="gramStart"/>
            <w:r>
              <w:rPr>
                <w:rStyle w:val="FormatvorlageInstructionsTabelleText"/>
                <w:rFonts w:ascii="Times New Roman" w:hAnsi="Times New Roman"/>
                <w:sz w:val="24"/>
              </w:rPr>
              <w:t>slouží</w:t>
            </w:r>
            <w:proofErr w:type="gramEnd"/>
            <w:r>
              <w:rPr>
                <w:rStyle w:val="FormatvorlageInstructionsTabelleText"/>
                <w:rFonts w:ascii="Times New Roman" w:hAnsi="Times New Roman"/>
                <w:sz w:val="24"/>
              </w:rPr>
              <w:t xml:space="preserve"> jako základ pro splnění požadavků stanovených v článku 45</w:t>
            </w:r>
            <w:r>
              <w:t xml:space="preserve"> směrnice 2014/59/EU, </w:t>
            </w:r>
            <w:r>
              <w:rPr>
                <w:rStyle w:val="FormatvorlageInstructionsTabelleText"/>
                <w:rFonts w:ascii="Times New Roman" w:hAnsi="Times New Roman"/>
                <w:sz w:val="24"/>
              </w:rPr>
              <w:t>případně v článku 92b nařízení (EU) č. 575/2013.</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4" w:type="dxa"/>
          </w:tcPr>
          <w:p w14:paraId="7AE79743" w14:textId="7017BA08" w:rsidR="00482729" w:rsidRPr="00FB08AF" w:rsidRDefault="0048272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Celková míra expozic</w:t>
            </w:r>
          </w:p>
          <w:p w14:paraId="2E2DFC02" w14:textId="22295559" w:rsidR="00482729"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Ustanovení čl. 45 odst. 2 písm. b) </w:t>
            </w:r>
            <w:r>
              <w:t>směrnice 2014/59/EU,</w:t>
            </w:r>
            <w:r>
              <w:rPr>
                <w:rStyle w:val="FormatvorlageInstructionsTabelleText"/>
                <w:rFonts w:ascii="Times New Roman" w:hAnsi="Times New Roman"/>
                <w:sz w:val="24"/>
              </w:rPr>
              <w:t xml:space="preserve"> čl. 429 odst. 4 a článek 429a nařízení (EU) č. 575/2013</w:t>
            </w:r>
          </w:p>
          <w:p w14:paraId="21A2EF83" w14:textId="26BBECE8" w:rsidR="00EB663A" w:rsidRPr="00FB08AF" w:rsidRDefault="00EB66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Celková míra expozic vykázaná v tomto řádku je celková míra expozic, která </w:t>
            </w:r>
            <w:proofErr w:type="gramStart"/>
            <w:r>
              <w:rPr>
                <w:rStyle w:val="FormatvorlageInstructionsTabelleText"/>
                <w:rFonts w:ascii="Times New Roman" w:hAnsi="Times New Roman"/>
                <w:sz w:val="24"/>
              </w:rPr>
              <w:t>slouží</w:t>
            </w:r>
            <w:proofErr w:type="gramEnd"/>
            <w:r>
              <w:rPr>
                <w:rStyle w:val="FormatvorlageInstructionsTabelleText"/>
                <w:rFonts w:ascii="Times New Roman" w:hAnsi="Times New Roman"/>
                <w:sz w:val="24"/>
              </w:rPr>
              <w:t xml:space="preserve"> jako základ pro splnění požadavků stanovených v článku 45 </w:t>
            </w:r>
            <w:r>
              <w:t>směrnice 2014/59/EU,</w:t>
            </w:r>
            <w:r>
              <w:rPr>
                <w:rStyle w:val="FormatvorlageInstructionsTabelleText"/>
                <w:rFonts w:ascii="Times New Roman" w:hAnsi="Times New Roman"/>
                <w:sz w:val="24"/>
              </w:rPr>
              <w:t xml:space="preserve"> případně v článku 92b nařízení (EU) č. 575/2013.</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0200–0295</w:t>
            </w:r>
          </w:p>
        </w:tc>
        <w:tc>
          <w:tcPr>
            <w:tcW w:w="7624" w:type="dxa"/>
          </w:tcPr>
          <w:p w14:paraId="55E50C6B" w14:textId="10895EF1"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Způsobilý kapitál a způsobilé závazky</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4" w:type="dxa"/>
          </w:tcPr>
          <w:p w14:paraId="5C1CA237" w14:textId="3B324586"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Způsobilý kapitál a způsobilé závazky</w:t>
            </w:r>
          </w:p>
          <w:p w14:paraId="534DA971" w14:textId="4929E71C"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Interní MREL</w:t>
            </w:r>
          </w:p>
          <w:p w14:paraId="3311F538" w14:textId="46DF5157" w:rsidR="003E7AB6" w:rsidRPr="00FB08AF" w:rsidRDefault="005F18D0"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Součet způsobilého kapitálu, způsobilých závazků a záruk, které mohou být započítány do interního MREL v souladu s</w:t>
            </w:r>
            <w:r>
              <w:rPr>
                <w:rStyle w:val="InstructionsTabelleberschrift"/>
                <w:rFonts w:ascii="Times New Roman" w:hAnsi="Times New Roman"/>
                <w:b w:val="0"/>
                <w:sz w:val="24"/>
                <w:u w:val="none"/>
              </w:rPr>
              <w:t xml:space="preserve"> čl. 45f odst. 2 </w:t>
            </w:r>
            <w:r>
              <w:t xml:space="preserve">směrnice </w:t>
            </w:r>
            <w:r>
              <w:lastRenderedPageBreak/>
              <w:t>2014/59/EU,</w:t>
            </w:r>
            <w:r>
              <w:rPr>
                <w:rStyle w:val="InstructionsTabelleberschrift"/>
                <w:rFonts w:ascii="Times New Roman" w:hAnsi="Times New Roman"/>
                <w:b w:val="0"/>
                <w:sz w:val="24"/>
                <w:u w:val="none"/>
              </w:rPr>
              <w:t xml:space="preserve"> v příslušných případech taktéž s přihlédnutím k čl. 89 odst. 2 čtvrtému pododstavci uvedené směrnice.</w:t>
            </w:r>
          </w:p>
          <w:p w14:paraId="1E457A5C" w14:textId="00404F53" w:rsidR="00184B3F" w:rsidRPr="00FB08AF" w:rsidRDefault="00184B3F"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Nástroj, který se řídí právem třetí země, se do tohoto řádku zahrne pouze v případě, že splňuje požadavky stanovené v článku 55</w:t>
            </w:r>
            <w:r>
              <w:t xml:space="preserve"> směrnice 2014/59/EU</w:t>
            </w:r>
            <w:r>
              <w:rPr>
                <w:rStyle w:val="InstructionsTabelleberschrift"/>
                <w:rFonts w:ascii="Times New Roman" w:hAnsi="Times New Roman"/>
                <w:b w:val="0"/>
                <w:sz w:val="24"/>
                <w:u w:val="none"/>
              </w:rPr>
              <w:t>.</w:t>
            </w:r>
          </w:p>
          <w:p w14:paraId="186388A3" w14:textId="45C059C2" w:rsidR="009237BC" w:rsidRPr="00FB08AF" w:rsidRDefault="009237BC"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V tomto řádku se vykáže částka po odpočtech</w:t>
            </w:r>
            <w:r>
              <w:t xml:space="preserve"> </w:t>
            </w:r>
            <w:r>
              <w:rPr>
                <w:rStyle w:val="InstructionsTabelleberschrift"/>
                <w:rFonts w:ascii="Times New Roman" w:hAnsi="Times New Roman"/>
                <w:b w:val="0"/>
                <w:sz w:val="24"/>
                <w:u w:val="none"/>
              </w:rPr>
              <w:t>v souladu s čl. 72e odst. 5 nařízení (EU) č. 575/2013.</w:t>
            </w:r>
          </w:p>
          <w:p w14:paraId="6BB8F2AA" w14:textId="196F3E1F" w:rsidR="003E7AB6" w:rsidRPr="00FB08AF" w:rsidRDefault="003E7AB6" w:rsidP="00E36728">
            <w:pPr>
              <w:pStyle w:val="InstructionsText"/>
              <w:rPr>
                <w:rStyle w:val="InstructionsTabelleberschrift"/>
                <w:rFonts w:ascii="Times New Roman" w:hAnsi="Times New Roman"/>
                <w:b w:val="0"/>
                <w:i/>
                <w:sz w:val="24"/>
                <w:u w:val="none"/>
              </w:rPr>
            </w:pPr>
            <w:r>
              <w:rPr>
                <w:rStyle w:val="InstructionsTabelleberschrift"/>
                <w:rFonts w:ascii="Times New Roman" w:hAnsi="Times New Roman"/>
                <w:b w:val="0"/>
                <w:i/>
                <w:sz w:val="24"/>
                <w:u w:val="none"/>
              </w:rPr>
              <w:t>Interní TLAC</w:t>
            </w:r>
          </w:p>
          <w:p w14:paraId="2F92FA88" w14:textId="7F40432F" w:rsidR="007056F7" w:rsidRPr="00FB08AF" w:rsidRDefault="003E7AB6"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Způsobilý kapitál a způsobilé závazky, které mohou být započítány </w:t>
            </w:r>
            <w:r>
              <w:rPr>
                <w:rStyle w:val="InstructionsTabelleberschrift"/>
                <w:rFonts w:ascii="Times New Roman" w:hAnsi="Times New Roman"/>
                <w:b w:val="0"/>
                <w:sz w:val="24"/>
                <w:u w:val="none"/>
              </w:rPr>
              <w:t>do interní TLAC v souladu s čl. </w:t>
            </w:r>
            <w:proofErr w:type="gramStart"/>
            <w:r>
              <w:rPr>
                <w:rStyle w:val="InstructionsTabelleberschrift"/>
                <w:rFonts w:ascii="Times New Roman" w:hAnsi="Times New Roman"/>
                <w:b w:val="0"/>
                <w:sz w:val="24"/>
                <w:u w:val="none"/>
              </w:rPr>
              <w:t>92b</w:t>
            </w:r>
            <w:proofErr w:type="gramEnd"/>
            <w:r>
              <w:rPr>
                <w:rStyle w:val="InstructionsTabelleberschrift"/>
                <w:rFonts w:ascii="Times New Roman" w:hAnsi="Times New Roman"/>
                <w:b w:val="0"/>
                <w:sz w:val="24"/>
                <w:u w:val="none"/>
              </w:rPr>
              <w:t xml:space="preserve"> odst. 2 a 3 nařízení (EU) č. 575/2013. V tomto řádku se vykáže částka po odpočtech v souladu s čl. 72e odst. 5 nařízení (EU) č. 575/2013.</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0210</w:t>
            </w:r>
          </w:p>
        </w:tc>
        <w:tc>
          <w:tcPr>
            <w:tcW w:w="7624" w:type="dxa"/>
          </w:tcPr>
          <w:p w14:paraId="64674845"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Způsobilý kapitál</w:t>
            </w:r>
          </w:p>
          <w:p w14:paraId="5A61F12E" w14:textId="3EC25C34"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Součet kmenového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1, způsobilého vedlejšího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1 a způsobilého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2.</w:t>
            </w:r>
          </w:p>
          <w:p w14:paraId="367CC087" w14:textId="44CFF9D0" w:rsidR="00E661B2"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V případě interního MREL se do tohoto řádku a řádků 0230 a 0240 případně </w:t>
            </w:r>
            <w:r>
              <w:t>zahrnou nástroje</w:t>
            </w:r>
            <w:r>
              <w:rPr>
                <w:rStyle w:val="FormatvorlageInstructionsTabelleText"/>
                <w:rFonts w:ascii="Times New Roman" w:hAnsi="Times New Roman"/>
                <w:sz w:val="24"/>
              </w:rPr>
              <w:t xml:space="preserve"> uvedené v čl. 89 odst. 2 čtvrtém pododstavci směrnice 2014/59/EU. </w:t>
            </w:r>
          </w:p>
          <w:p w14:paraId="455E6C31" w14:textId="79AF7F1E" w:rsidR="00184B3F" w:rsidRPr="00FB08AF" w:rsidRDefault="00DD50D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Nástroje, které se řídí právem třetí země, se do tohoto řádku a řádků 0230 a 0240 zahrnou pouze v případě, že splňují požadavky stanovené v článku 55 uvedené směrnice.</w:t>
            </w:r>
            <w:r>
              <w:rPr>
                <w:rStyle w:val="FormatvorlageInstructionsTabelleText"/>
                <w:rFonts w:ascii="Times New Roman" w:hAnsi="Times New Roman"/>
                <w:sz w:val="24"/>
                <w:u w:val="single"/>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4" w:type="dxa"/>
          </w:tcPr>
          <w:p w14:paraId="192B9C81" w14:textId="77777777"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Kmenový kapitál </w:t>
            </w:r>
            <w:proofErr w:type="spellStart"/>
            <w:r>
              <w:rPr>
                <w:rStyle w:val="InstructionsTabelleberschrift"/>
                <w:rFonts w:ascii="Times New Roman" w:hAnsi="Times New Roman"/>
                <w:sz w:val="24"/>
              </w:rPr>
              <w:t>tier</w:t>
            </w:r>
            <w:proofErr w:type="spellEnd"/>
            <w:r>
              <w:rPr>
                <w:rStyle w:val="InstructionsTabelleberschrift"/>
                <w:rFonts w:ascii="Times New Roman" w:hAnsi="Times New Roman"/>
                <w:sz w:val="24"/>
              </w:rPr>
              <w:t> 1</w:t>
            </w:r>
          </w:p>
          <w:p w14:paraId="391FC0ED" w14:textId="2504BD1E"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Článek 50 nařízení (EU) č. 575/2013</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4" w:type="dxa"/>
          </w:tcPr>
          <w:p w14:paraId="1A795B5E" w14:textId="41D7EB09"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Způsobilý vedlejší kapitál </w:t>
            </w:r>
            <w:proofErr w:type="spellStart"/>
            <w:r>
              <w:rPr>
                <w:rStyle w:val="InstructionsTabelleberschrift"/>
                <w:rFonts w:ascii="Times New Roman" w:hAnsi="Times New Roman"/>
                <w:sz w:val="24"/>
              </w:rPr>
              <w:t>tier</w:t>
            </w:r>
            <w:proofErr w:type="spellEnd"/>
            <w:r>
              <w:rPr>
                <w:rStyle w:val="InstructionsTabelleberschrift"/>
                <w:rFonts w:ascii="Times New Roman" w:hAnsi="Times New Roman"/>
                <w:sz w:val="24"/>
              </w:rPr>
              <w:t xml:space="preserve"> 1</w:t>
            </w:r>
          </w:p>
          <w:p w14:paraId="3CB2E0B8" w14:textId="4021DC45"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Článek 61 nařízení (EU) č. 575/2013</w:t>
            </w:r>
          </w:p>
          <w:p w14:paraId="704BD2D0" w14:textId="77777777"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Interní MREL</w:t>
            </w:r>
          </w:p>
          <w:p w14:paraId="3563B5D5" w14:textId="54EAB442"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Zohlední se pouze nástroje, které splňují kritéria uvedená v čl. 45f odst. 2 písm. b) bodě </w:t>
            </w:r>
            <w:proofErr w:type="spellStart"/>
            <w:r>
              <w:rPr>
                <w:rStyle w:val="FormatvorlageInstructionsTabelleText"/>
                <w:rFonts w:ascii="Times New Roman" w:hAnsi="Times New Roman"/>
                <w:sz w:val="24"/>
              </w:rPr>
              <w:t>ii</w:t>
            </w:r>
            <w:proofErr w:type="spellEnd"/>
            <w:r>
              <w:rPr>
                <w:rStyle w:val="FormatvorlageInstructionsTabelleText"/>
                <w:rFonts w:ascii="Times New Roman" w:hAnsi="Times New Roman"/>
                <w:sz w:val="24"/>
              </w:rPr>
              <w:t xml:space="preserve">) směrnice 2014/59/EU. </w:t>
            </w:r>
          </w:p>
          <w:p w14:paraId="4F571476" w14:textId="60A65E40"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Interní TLAC</w:t>
            </w:r>
          </w:p>
          <w:p w14:paraId="4D436EB1" w14:textId="46C00EC9"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Zohlední se pouze nástroje, které splňují kritéria stanovená v čl. </w:t>
            </w:r>
            <w:proofErr w:type="gramStart"/>
            <w:r>
              <w:rPr>
                <w:rStyle w:val="FormatvorlageInstructionsTabelleText"/>
                <w:rFonts w:ascii="Times New Roman" w:hAnsi="Times New Roman"/>
                <w:sz w:val="24"/>
              </w:rPr>
              <w:t>92b</w:t>
            </w:r>
            <w:proofErr w:type="gramEnd"/>
            <w:r>
              <w:rPr>
                <w:rStyle w:val="FormatvorlageInstructionsTabelleText"/>
                <w:rFonts w:ascii="Times New Roman" w:hAnsi="Times New Roman"/>
                <w:sz w:val="24"/>
              </w:rPr>
              <w:t xml:space="preserve"> odst. 2 nařízení (EU) č. 575/2013.</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0240</w:t>
            </w:r>
          </w:p>
        </w:tc>
        <w:tc>
          <w:tcPr>
            <w:tcW w:w="7624" w:type="dxa"/>
          </w:tcPr>
          <w:p w14:paraId="4DE83B06" w14:textId="575598CE"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Způsobilý kapitál </w:t>
            </w:r>
            <w:proofErr w:type="spellStart"/>
            <w:r>
              <w:rPr>
                <w:rStyle w:val="InstructionsTabelleberschrift"/>
                <w:rFonts w:ascii="Times New Roman" w:hAnsi="Times New Roman"/>
                <w:sz w:val="24"/>
              </w:rPr>
              <w:t>tier</w:t>
            </w:r>
            <w:proofErr w:type="spellEnd"/>
            <w:r>
              <w:rPr>
                <w:rStyle w:val="InstructionsTabelleberschrift"/>
                <w:rFonts w:ascii="Times New Roman" w:hAnsi="Times New Roman"/>
                <w:sz w:val="24"/>
              </w:rPr>
              <w:t> 2</w:t>
            </w:r>
          </w:p>
          <w:p w14:paraId="612D408D" w14:textId="42DD45B8" w:rsidR="005F18D0" w:rsidRPr="00FB08AF" w:rsidRDefault="005F18D0" w:rsidP="00437CF3">
            <w:pPr>
              <w:rPr>
                <w:rStyle w:val="FormatvorlageInstructionsTabelleText"/>
                <w:rFonts w:ascii="Times New Roman" w:hAnsi="Times New Roman"/>
                <w:sz w:val="24"/>
              </w:rPr>
            </w:pPr>
            <w:r>
              <w:rPr>
                <w:rStyle w:val="FormatvorlageInstructionsTabelleText"/>
                <w:rFonts w:ascii="Times New Roman" w:hAnsi="Times New Roman"/>
                <w:sz w:val="24"/>
              </w:rPr>
              <w:t>Článek 71 nařízení (EU) č. 575/2013</w:t>
            </w:r>
          </w:p>
          <w:p w14:paraId="6229C6AA" w14:textId="15A67666"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Interní MREL</w:t>
            </w:r>
          </w:p>
          <w:p w14:paraId="2012463A" w14:textId="6FDCD1EA" w:rsidR="005F18D0" w:rsidRPr="00FB08AF" w:rsidRDefault="003E7AB6" w:rsidP="00437CF3">
            <w:pPr>
              <w:rPr>
                <w:rStyle w:val="FormatvorlageInstructionsTabelleText"/>
                <w:rFonts w:ascii="Times New Roman" w:hAnsi="Times New Roman"/>
                <w:sz w:val="24"/>
              </w:rPr>
            </w:pPr>
            <w:r>
              <w:rPr>
                <w:rStyle w:val="FormatvorlageInstructionsTabelleText"/>
                <w:rFonts w:ascii="Times New Roman" w:hAnsi="Times New Roman"/>
                <w:sz w:val="24"/>
              </w:rPr>
              <w:t xml:space="preserve">Zohlední se pouze nástroje, které splňují kritéria stanovená v čl. 45f odst. 2 písm. b) bodě </w:t>
            </w:r>
            <w:proofErr w:type="spellStart"/>
            <w:r>
              <w:rPr>
                <w:rStyle w:val="FormatvorlageInstructionsTabelleText"/>
                <w:rFonts w:ascii="Times New Roman" w:hAnsi="Times New Roman"/>
                <w:sz w:val="24"/>
              </w:rPr>
              <w:t>ii</w:t>
            </w:r>
            <w:proofErr w:type="spellEnd"/>
            <w:r>
              <w:rPr>
                <w:rStyle w:val="FormatvorlageInstructionsTabelleText"/>
                <w:rFonts w:ascii="Times New Roman" w:hAnsi="Times New Roman"/>
                <w:sz w:val="24"/>
              </w:rPr>
              <w:t>) směrnice 2014/59/EU.</w:t>
            </w:r>
          </w:p>
          <w:p w14:paraId="15C285E6" w14:textId="7A34A784"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Interní TLAC</w:t>
            </w:r>
          </w:p>
          <w:p w14:paraId="781CF336" w14:textId="79259FEC" w:rsidR="005F18D0" w:rsidRPr="00FB08AF" w:rsidRDefault="003E7AB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Zohlední se pouze nástroje, které splňují kritéria stanovená v čl. </w:t>
            </w:r>
            <w:proofErr w:type="gramStart"/>
            <w:r>
              <w:rPr>
                <w:rStyle w:val="FormatvorlageInstructionsTabelleText"/>
                <w:rFonts w:ascii="Times New Roman" w:hAnsi="Times New Roman"/>
                <w:sz w:val="24"/>
              </w:rPr>
              <w:t>92b</w:t>
            </w:r>
            <w:proofErr w:type="gramEnd"/>
            <w:r>
              <w:rPr>
                <w:rStyle w:val="FormatvorlageInstructionsTabelleText"/>
                <w:rFonts w:ascii="Times New Roman" w:hAnsi="Times New Roman"/>
                <w:sz w:val="24"/>
              </w:rPr>
              <w:t xml:space="preserve"> odst. 2</w:t>
            </w:r>
            <w:r>
              <w:t xml:space="preserve"> nařízení (EU) č. 575/2013</w:t>
            </w:r>
            <w:r>
              <w:rPr>
                <w:rStyle w:val="FormatvorlageInstructionsTabelleText"/>
                <w:rFonts w:ascii="Times New Roman" w:hAnsi="Times New Roman"/>
                <w:sz w:val="24"/>
              </w:rPr>
              <w:t>.</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0250</w:t>
            </w:r>
          </w:p>
        </w:tc>
        <w:tc>
          <w:tcPr>
            <w:tcW w:w="7624" w:type="dxa"/>
          </w:tcPr>
          <w:p w14:paraId="32C5AF2D" w14:textId="5E936CC4" w:rsidR="00767EA2" w:rsidRPr="00FB08AF" w:rsidRDefault="005F18D0"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Způsobilé závazky a záruky</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0260</w:t>
            </w:r>
          </w:p>
        </w:tc>
        <w:tc>
          <w:tcPr>
            <w:tcW w:w="7624" w:type="dxa"/>
          </w:tcPr>
          <w:p w14:paraId="642AC050" w14:textId="53D28D4F"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Způsobilé závazky (bez záruk)</w:t>
            </w:r>
          </w:p>
          <w:p w14:paraId="7FFDA680" w14:textId="5DD968F5" w:rsidR="003E7AB6" w:rsidRPr="00FB08AF" w:rsidRDefault="003E7AB6" w:rsidP="00E36728">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Interní MREL</w:t>
            </w:r>
          </w:p>
          <w:p w14:paraId="5366075E" w14:textId="664E3FEA" w:rsidR="00184B3F" w:rsidRPr="00FB08AF" w:rsidRDefault="003E7AB6" w:rsidP="00437CF3">
            <w:pPr>
              <w:rPr>
                <w:rStyle w:val="InstructionsTabelleberschrift"/>
                <w:rFonts w:ascii="Times New Roman" w:hAnsi="Times New Roman"/>
                <w:b w:val="0"/>
                <w:sz w:val="24"/>
                <w:u w:val="none"/>
              </w:rPr>
            </w:pPr>
            <w:r>
              <w:rPr>
                <w:rStyle w:val="FormatvorlageInstructionsTabelleText"/>
                <w:rFonts w:ascii="Times New Roman" w:hAnsi="Times New Roman"/>
                <w:sz w:val="24"/>
              </w:rPr>
              <w:t>Způsobilé závazky, které splňují podmínky stanovené v čl. 45f odst. 2 písm. a) směrnice 2014/59/EU,</w:t>
            </w:r>
            <w:r>
              <w:rPr>
                <w:rStyle w:val="InstructionsTabelleberschrift"/>
                <w:rFonts w:ascii="Times New Roman" w:hAnsi="Times New Roman"/>
                <w:b w:val="0"/>
                <w:sz w:val="24"/>
                <w:u w:val="none"/>
              </w:rPr>
              <w:t xml:space="preserve"> přičemž se případně zohlední rovněž čl. 89 odst. 2 čtvrtý pododstavec uvedené směrnice.</w:t>
            </w:r>
          </w:p>
          <w:p w14:paraId="57209D45" w14:textId="62F6F123" w:rsidR="005F18D0" w:rsidRPr="00FB08AF" w:rsidRDefault="00184B3F" w:rsidP="00437CF3">
            <w:p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Nástroj, který se řídí právem třetí země, se do tohoto řádku zahrne pouze v případě, že splňuje požadavky stanovené v článku 55 směrnice 2014/59/EU.</w:t>
            </w:r>
          </w:p>
          <w:p w14:paraId="6243972D" w14:textId="5B30D454"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Vykazovanými částkami jsou částky před odečtením nevyužitých částek, pro něž bylo uděleno předběžné svolení, v rozsahu, v jakém se svolení vztahuje na nástroje způsobilých závazků.</w:t>
            </w:r>
          </w:p>
          <w:p w14:paraId="7FC16AEF" w14:textId="6593B239" w:rsidR="003E7AB6" w:rsidRPr="00FB08AF" w:rsidRDefault="003E7AB6" w:rsidP="00437CF3">
            <w:pPr>
              <w:rPr>
                <w:rStyle w:val="FormatvorlageInstructionsTabelleText"/>
                <w:rFonts w:ascii="Times New Roman" w:hAnsi="Times New Roman"/>
                <w:sz w:val="24"/>
              </w:rPr>
            </w:pPr>
            <w:r>
              <w:rPr>
                <w:rStyle w:val="InstructionsTabelleberschrift"/>
                <w:rFonts w:ascii="Times New Roman" w:hAnsi="Times New Roman"/>
                <w:b w:val="0"/>
                <w:i/>
                <w:sz w:val="24"/>
                <w:u w:val="none"/>
              </w:rPr>
              <w:t>Interní TLAC</w:t>
            </w:r>
          </w:p>
          <w:p w14:paraId="510BD17E" w14:textId="77777777" w:rsidR="00BA24B5"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Hodnota způsobilých závazků se vypočítá v souladu s článkem 72k nařízení (EU) č. 575/2013, splňují-li tyto závazky podmínky stanovené v čl. </w:t>
            </w:r>
            <w:proofErr w:type="gramStart"/>
            <w:r>
              <w:rPr>
                <w:rStyle w:val="FormatvorlageInstructionsTabelleText"/>
                <w:rFonts w:ascii="Times New Roman" w:hAnsi="Times New Roman"/>
                <w:sz w:val="24"/>
              </w:rPr>
              <w:t>92b</w:t>
            </w:r>
            <w:proofErr w:type="gramEnd"/>
            <w:r>
              <w:rPr>
                <w:rStyle w:val="FormatvorlageInstructionsTabelleText"/>
                <w:rFonts w:ascii="Times New Roman" w:hAnsi="Times New Roman"/>
                <w:sz w:val="24"/>
              </w:rPr>
              <w:t xml:space="preserve"> odst. 3 uvedeného nařízení.</w:t>
            </w:r>
          </w:p>
          <w:p w14:paraId="193E429A" w14:textId="37505F8E" w:rsidR="00A827D8" w:rsidRPr="00FB08AF" w:rsidRDefault="00A827D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Vykazovanými částkami jsou částky před odečtením nevyužitých částek, pro něž bylo uděleno předběžné svolení, v rozsahu, v jakém se svolení vztahuje na nástroje způsobilých závazků.</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0265</w:t>
            </w:r>
          </w:p>
        </w:tc>
        <w:tc>
          <w:tcPr>
            <w:tcW w:w="7624" w:type="dxa"/>
          </w:tcPr>
          <w:p w14:paraId="0D718B54" w14:textId="77777777" w:rsidR="003909BE" w:rsidRPr="00FB08AF" w:rsidRDefault="003909B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Vlastní nástroje způsobilých závazků: nevyužité částky, pro něž bylo uděleno předběžné svolení</w:t>
            </w:r>
          </w:p>
          <w:p w14:paraId="7D07C761" w14:textId="3DF9A7B6" w:rsidR="003909BE" w:rsidRPr="00FB08AF" w:rsidRDefault="002526C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 tomto řádku se uvedou následující částky:</w:t>
            </w:r>
          </w:p>
          <w:p w14:paraId="5C2A74CE" w14:textId="368DB298" w:rsidR="003909BE" w:rsidRPr="00FB08AF" w:rsidRDefault="007F3B25" w:rsidP="003909BE">
            <w:pPr>
              <w:pStyle w:val="ListParagraph"/>
              <w:numPr>
                <w:ilvl w:val="0"/>
                <w:numId w:val="53"/>
              </w:numPr>
              <w:rPr>
                <w:rStyle w:val="FormatvorlageInstructionsTabelleText"/>
                <w:rFonts w:ascii="Times New Roman" w:hAnsi="Times New Roman"/>
                <w:sz w:val="24"/>
              </w:rPr>
            </w:pPr>
            <w:r>
              <w:rPr>
                <w:rStyle w:val="FormatvorlageInstructionsTabelleText"/>
                <w:rFonts w:ascii="Times New Roman" w:hAnsi="Times New Roman"/>
                <w:sz w:val="24"/>
              </w:rPr>
              <w:t xml:space="preserve">nevyužité částky, pro něž bylo uděleno svolení </w:t>
            </w:r>
            <w:r>
              <w:rPr>
                <w:rStyle w:val="FormatvorlageInstructionsTabelleText"/>
                <w:rFonts w:ascii="Times New Roman" w:hAnsi="Times New Roman"/>
                <w:i/>
                <w:iCs/>
                <w:sz w:val="24"/>
              </w:rPr>
              <w:t>ad hoc</w:t>
            </w:r>
            <w:r>
              <w:rPr>
                <w:rStyle w:val="FormatvorlageInstructionsTabelleText"/>
                <w:rFonts w:ascii="Times New Roman" w:hAnsi="Times New Roman"/>
                <w:sz w:val="24"/>
              </w:rPr>
              <w:t>, v rozsahu, v jakém se svolení vztahuje na nástroje způsobilých závazků;</w:t>
            </w:r>
          </w:p>
          <w:p w14:paraId="5E9090A7" w14:textId="750933C1" w:rsidR="003909BE" w:rsidRPr="00FB08AF" w:rsidRDefault="007F3B25" w:rsidP="003909BE">
            <w:pPr>
              <w:pStyle w:val="ListParagraph"/>
              <w:numPr>
                <w:ilvl w:val="0"/>
                <w:numId w:val="53"/>
              </w:numPr>
              <w:rPr>
                <w:rStyle w:val="FormatvorlageInstructionsTabelleText"/>
                <w:rFonts w:ascii="Times New Roman" w:hAnsi="Times New Roman"/>
                <w:b/>
                <w:sz w:val="24"/>
                <w:u w:val="single"/>
              </w:rPr>
            </w:pPr>
            <w:r>
              <w:rPr>
                <w:rStyle w:val="FormatvorlageInstructionsTabelleText"/>
                <w:rFonts w:ascii="Times New Roman" w:hAnsi="Times New Roman"/>
                <w:sz w:val="24"/>
              </w:rPr>
              <w:t>nevyužité částky, pro něž bylo uděleno obecné svolení, v rozsahu, v jakém se svolení vztahuje na nástroje způsobilých závazků.</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0270</w:t>
            </w:r>
          </w:p>
        </w:tc>
        <w:tc>
          <w:tcPr>
            <w:tcW w:w="7624" w:type="dxa"/>
          </w:tcPr>
          <w:p w14:paraId="0A6DF4A8" w14:textId="56570D04" w:rsidR="005F18D0" w:rsidRPr="00FB08AF" w:rsidRDefault="005F18D0"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Záruky poskytované subjektem řešícím krizi a povolené orgánem příslušným k řešení krize</w:t>
            </w:r>
          </w:p>
          <w:p w14:paraId="374F83E9" w14:textId="0086AE55" w:rsidR="00B253EA" w:rsidRPr="00FB08AF" w:rsidRDefault="00BA3D2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Pokud orgán dceřiného podniku příslušný k řešení krize povolí vykazujícímu subjektu splnit interní MREL prostřednictvím záruk, vykáže se výše záruk, které jsou poskytnuty subjektem řešícím krizi a splňují všechny podmínky stanovené v čl. 45f odst. 5 </w:t>
            </w:r>
            <w:r>
              <w:t>směrnice</w:t>
            </w:r>
            <w:r>
              <w:rPr>
                <w:rStyle w:val="FormatvorlageInstructionsTabelleText"/>
                <w:rFonts w:ascii="Times New Roman" w:hAnsi="Times New Roman"/>
                <w:sz w:val="24"/>
              </w:rPr>
              <w:t> 2014/59/EU.</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0280</w:t>
            </w:r>
          </w:p>
        </w:tc>
        <w:tc>
          <w:tcPr>
            <w:tcW w:w="7624" w:type="dxa"/>
          </w:tcPr>
          <w:p w14:paraId="5CE64777" w14:textId="7777777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Doplňková položka: zajištěná část záruky</w:t>
            </w:r>
          </w:p>
          <w:p w14:paraId="38A673BD" w14:textId="7D135857" w:rsidR="00585408" w:rsidRPr="00FB08AF" w:rsidRDefault="00585408" w:rsidP="00E36728">
            <w:pPr>
              <w:pStyle w:val="InstructionsText"/>
              <w:rPr>
                <w:rStyle w:val="InstructionsTabelleberschrift"/>
                <w:rFonts w:ascii="Times New Roman" w:hAnsi="Times New Roman"/>
                <w:b w:val="0"/>
                <w:sz w:val="24"/>
              </w:rPr>
            </w:pPr>
            <w:r>
              <w:rPr>
                <w:rStyle w:val="FormatvorlageInstructionsTabelleText"/>
                <w:rFonts w:ascii="Times New Roman" w:hAnsi="Times New Roman"/>
                <w:sz w:val="24"/>
              </w:rPr>
              <w:t xml:space="preserve">Část záruky vykázané v řádku 0270, která je zajištěna prostřednictvím dohody o finančním zajištění, jak je uvedeno v čl. 45f odst. 5 písm. c) </w:t>
            </w:r>
            <w:r>
              <w:t>směrnice 2014/59/EU</w:t>
            </w:r>
            <w:r>
              <w:rPr>
                <w:rStyle w:val="FormatvorlageInstructionsTabelleText"/>
                <w:rFonts w:ascii="Times New Roman" w:hAnsi="Times New Roman"/>
                <w:sz w:val="24"/>
              </w:rPr>
              <w:t>.</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0290</w:t>
            </w:r>
          </w:p>
        </w:tc>
        <w:tc>
          <w:tcPr>
            <w:tcW w:w="7624" w:type="dxa"/>
          </w:tcPr>
          <w:p w14:paraId="303D6E75" w14:textId="71A9DBC7" w:rsidR="00585408" w:rsidRPr="00FB08AF" w:rsidRDefault="0058540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Kapitálové nástroje a nástroje způsobilých závazků vydané subjekty neřešícími krizi v rámci stejné skupiny řešící krizi</w:t>
            </w:r>
          </w:p>
          <w:p w14:paraId="61784284" w14:textId="5986961E" w:rsidR="00CA5793" w:rsidRPr="00FB08AF" w:rsidRDefault="00CA579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V tomto řádku se vykazují kapitálové investice do kapitálových nástrojů a nástrojů způsobilých závazků, které mají být odečteny v souladu s čl. 72e </w:t>
            </w:r>
            <w:r>
              <w:rPr>
                <w:rStyle w:val="FormatvorlageInstructionsTabelleText"/>
                <w:rFonts w:ascii="Times New Roman" w:hAnsi="Times New Roman"/>
                <w:sz w:val="24"/>
              </w:rPr>
              <w:lastRenderedPageBreak/>
              <w:t>odst. 5 nařízení (EU) č. 575/2013 a čl. 45c odst. </w:t>
            </w:r>
            <w:proofErr w:type="gramStart"/>
            <w:r>
              <w:rPr>
                <w:rStyle w:val="FormatvorlageInstructionsTabelleText"/>
                <w:rFonts w:ascii="Times New Roman" w:hAnsi="Times New Roman"/>
                <w:sz w:val="24"/>
              </w:rPr>
              <w:t>2a</w:t>
            </w:r>
            <w:proofErr w:type="gramEnd"/>
            <w:r>
              <w:rPr>
                <w:rStyle w:val="FormatvorlageInstructionsTabelleText"/>
                <w:rFonts w:ascii="Times New Roman" w:hAnsi="Times New Roman"/>
                <w:sz w:val="24"/>
              </w:rPr>
              <w:t xml:space="preserve"> pátým pododstavcem směrnice 2014/59/EU.</w:t>
            </w:r>
          </w:p>
          <w:p w14:paraId="5DF1D2B8" w14:textId="03C99A20" w:rsidR="0051480C" w:rsidRPr="00FB08AF" w:rsidRDefault="001C1DD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Pro výpočet odpočtů podle čl. 45c odst. 2a směrnice 2014/59/EU se použije poměr vykázaný v řádku 0630.</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rFonts w:ascii="Times New Roman" w:hAnsi="Times New Roman"/>
                <w:strike/>
                <w:sz w:val="24"/>
              </w:rPr>
            </w:pPr>
            <w:r>
              <w:rPr>
                <w:rStyle w:val="FormatvorlageInstructionsTabelleText"/>
                <w:rFonts w:ascii="Times New Roman" w:hAnsi="Times New Roman"/>
                <w:sz w:val="24"/>
              </w:rPr>
              <w:lastRenderedPageBreak/>
              <w:t>0293</w:t>
            </w:r>
          </w:p>
        </w:tc>
        <w:tc>
          <w:tcPr>
            <w:tcW w:w="7624" w:type="dxa"/>
          </w:tcPr>
          <w:p w14:paraId="11F35912" w14:textId="6640C3B7" w:rsidR="004912BF" w:rsidRPr="00FB08AF" w:rsidRDefault="004912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z toho: kapitálové nástroje vydané subjekty v likvidaci</w:t>
            </w:r>
          </w:p>
          <w:p w14:paraId="383BADED" w14:textId="317127AA" w:rsidR="004912BF" w:rsidRPr="00FB08AF" w:rsidRDefault="004912B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Vykazují se investice do kapitálových nástrojů vydaných subjekty v likvidaci v rámci stejné skupiny řešící krizi, pro které orgán příslušný k řešení krize nestanovil minimální požadavek na kapitál a způsobilé závazky v souladu s článkem 45 směrnice 2014/59/EU, které mají být odečteny v souladu s čl. 45c odst. </w:t>
            </w:r>
            <w:proofErr w:type="gramStart"/>
            <w:r>
              <w:rPr>
                <w:rStyle w:val="FormatvorlageInstructionsTabelleText"/>
                <w:rFonts w:ascii="Times New Roman" w:hAnsi="Times New Roman"/>
                <w:sz w:val="24"/>
              </w:rPr>
              <w:t>2a</w:t>
            </w:r>
            <w:proofErr w:type="gramEnd"/>
            <w:r>
              <w:rPr>
                <w:rStyle w:val="FormatvorlageInstructionsTabelleText"/>
                <w:rFonts w:ascii="Times New Roman" w:hAnsi="Times New Roman"/>
                <w:sz w:val="24"/>
              </w:rPr>
              <w:t xml:space="preserve"> pátým pododstavcem směrnice 2014/59/EU.</w:t>
            </w:r>
          </w:p>
          <w:p w14:paraId="3FACB9D1" w14:textId="4C3C03F6" w:rsidR="00D825FB" w:rsidRPr="00FB08AF" w:rsidRDefault="00D825FB"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Pro výpočet odpočtů podle čl. 45c odst. 2a směrnice 2014/59/EU se použije poměr vykázaný v řádku 0630.</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0295</w:t>
            </w:r>
          </w:p>
        </w:tc>
        <w:tc>
          <w:tcPr>
            <w:tcW w:w="7624" w:type="dxa"/>
          </w:tcPr>
          <w:p w14:paraId="5E70B663" w14:textId="77777777" w:rsidR="002952FA" w:rsidRPr="00FB08AF" w:rsidRDefault="002952F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Odpočty od způsobilých závazků, které přesahují výši způsobilých závazků</w:t>
            </w:r>
          </w:p>
          <w:p w14:paraId="2511E64F" w14:textId="5D0B7587" w:rsidR="002952FA" w:rsidRPr="00FB08AF" w:rsidRDefault="002952F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Způsobilé závazky nemohou být záporné, je ale možné, že hodnota odpočtů od položek způsobilých závazků je vyšší než hodnota položek způsobilých závazků. V takovém případě se způsobilé závazky musí rovnat nule a odpočty, které přesahují hodnotu způsobilých závazků, se odečtou od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2 v souladu s čl. 66 písm. e)</w:t>
            </w:r>
            <w:r>
              <w:t xml:space="preserve"> nařízení (EU) č. 575/2013</w:t>
            </w:r>
            <w:r>
              <w:rPr>
                <w:rStyle w:val="FormatvorlageInstructionsTabelleText"/>
                <w:rFonts w:ascii="Times New Roman" w:hAnsi="Times New Roman"/>
                <w:sz w:val="24"/>
              </w:rPr>
              <w:t>.</w:t>
            </w:r>
          </w:p>
          <w:p w14:paraId="64C79667" w14:textId="29EA8140" w:rsidR="00EB22CD" w:rsidRPr="00FB08AF" w:rsidRDefault="002952F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Prostřednictvím této položky se dosáhne toho, že způsobilé závazky vykázané v řádku 0251 nejsou nikdy nižší než nula.</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0400–0440</w:t>
            </w:r>
          </w:p>
        </w:tc>
        <w:tc>
          <w:tcPr>
            <w:tcW w:w="7624" w:type="dxa"/>
          </w:tcPr>
          <w:p w14:paraId="0D31D956" w14:textId="68870AD9" w:rsidR="00BE557E" w:rsidRPr="00FB08AF" w:rsidRDefault="00BE557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Poměry způsobilého kapitálu a způsobilých závazků</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4" w:type="dxa"/>
          </w:tcPr>
          <w:p w14:paraId="54F4D6AB" w14:textId="3BCDF32E"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Kapitál a způsobilé závazky jako procentní podíl celkového objemu rizikové expozice</w:t>
            </w:r>
          </w:p>
          <w:p w14:paraId="638A2511" w14:textId="34438C9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Výše způsobilého kapitálu, způsobilých závazků a povolených záruk vykazujícího subjektu, která se započítává do interního MREL, resp. interní TLAC, vyjádřená jako procentní podíl celkového objemu rizikové expozice vypočítaného v souladu s čl. 92 odst. 3</w:t>
            </w:r>
            <w:r>
              <w:t xml:space="preserve"> </w:t>
            </w:r>
            <w:r>
              <w:rPr>
                <w:rStyle w:val="FormatvorlageInstructionsTabelleText"/>
                <w:rFonts w:ascii="Times New Roman" w:hAnsi="Times New Roman"/>
                <w:sz w:val="24"/>
              </w:rPr>
              <w:t>nařízení (EU) č. 575/2013.</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4" w:type="dxa"/>
          </w:tcPr>
          <w:p w14:paraId="76B8F18F" w14:textId="34485D4A"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povolené záruky</w:t>
            </w:r>
          </w:p>
          <w:p w14:paraId="6E0BA424" w14:textId="75A3DA62" w:rsidR="00CC432E" w:rsidRPr="00FB08AF" w:rsidRDefault="00CC432E"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Výše způsobilého kapitálu, způsobilých závazků a povolených záruk vykazujícího subjektu, které představují záruky poskytnuté subjektem řešícím krizi a které jsou uznány orgánem příslušným k řešení krize v souladu s čl. 45f odst. 5 </w:t>
            </w:r>
            <w:r>
              <w:t>směrnice 2014/59/EU,</w:t>
            </w:r>
            <w:r>
              <w:rPr>
                <w:rStyle w:val="FormatvorlageInstructionsTabelleText"/>
                <w:rFonts w:ascii="Times New Roman" w:hAnsi="Times New Roman"/>
                <w:sz w:val="24"/>
              </w:rPr>
              <w:t xml:space="preserve"> která se započítává do interního MREL, vyjádřená jako procentní podíl celkového objemu rizikové expozice vypočítaného v souladu s čl. 92 odst. 3</w:t>
            </w:r>
            <w:r>
              <w:t xml:space="preserve"> nařízení (EU) č. 575/2013</w:t>
            </w:r>
            <w:r>
              <w:rPr>
                <w:rStyle w:val="FormatvorlageInstructionsTabelleText"/>
                <w:rFonts w:ascii="Times New Roman" w:hAnsi="Times New Roman"/>
                <w:sz w:val="24"/>
              </w:rPr>
              <w:t>.</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4" w:type="dxa"/>
          </w:tcPr>
          <w:p w14:paraId="58A4D821" w14:textId="66F6ECF9"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Kapitál a způsobilé závazky jako procentní podíl celkové míry expozic</w:t>
            </w:r>
          </w:p>
          <w:p w14:paraId="2DE6FA49" w14:textId="1BA8B4E8"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Výše způsobilého kapitálu a způsobilých závazků vykazujícího subjektu, která se započítává do interního MREL, resp. interní TLAC, vyjádřená jako procentní podíl celkové míry expozic vypočítané v souladu s čl. 429 odst. 4 a článkem </w:t>
            </w:r>
            <w:proofErr w:type="gramStart"/>
            <w:r>
              <w:rPr>
                <w:rStyle w:val="FormatvorlageInstructionsTabelleText"/>
                <w:rFonts w:ascii="Times New Roman" w:hAnsi="Times New Roman"/>
                <w:sz w:val="24"/>
              </w:rPr>
              <w:t>429a</w:t>
            </w:r>
            <w:proofErr w:type="gramEnd"/>
            <w:r>
              <w:rPr>
                <w:rStyle w:val="FormatvorlageInstructionsTabelleText"/>
                <w:rFonts w:ascii="Times New Roman" w:hAnsi="Times New Roman"/>
                <w:sz w:val="24"/>
              </w:rPr>
              <w:t xml:space="preserve"> uvedeného nařízení.</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4" w:type="dxa"/>
          </w:tcPr>
          <w:p w14:paraId="58EA40B5" w14:textId="34FD1BA0" w:rsidR="00CC432E"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povolené záruky</w:t>
            </w:r>
          </w:p>
          <w:p w14:paraId="5D4BEBD4" w14:textId="3230DB3C" w:rsidR="00CC432E" w:rsidRPr="00FB08AF" w:rsidRDefault="00CC432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Výše způsobilého kapitálu a způsobilých závazků vykazujícího subjektu, které představují záruky poskytnuté subjektem řešícím krizi a které jsou uznány orgánem příslušným k řešení krize v souladu s čl. 45f odst. 5</w:t>
            </w:r>
            <w:r>
              <w:t xml:space="preserve"> směrnice 2014/59/EU,</w:t>
            </w:r>
            <w:r>
              <w:rPr>
                <w:rStyle w:val="FormatvorlageInstructionsTabelleText"/>
                <w:rFonts w:ascii="Times New Roman" w:hAnsi="Times New Roman"/>
                <w:sz w:val="24"/>
              </w:rPr>
              <w:t xml:space="preserve"> která se započítává do interního MREL, vyjádřená jako procentní podíl celkové míry expozic vypočítané v souladu s čl. 429 odst. 4 a článkem 429a</w:t>
            </w:r>
            <w:r>
              <w:t xml:space="preserve"> nařízení (EU) č. 575/2013</w:t>
            </w:r>
            <w:r>
              <w:rPr>
                <w:rStyle w:val="FormatvorlageInstructionsTabelleText"/>
                <w:rFonts w:ascii="Times New Roman" w:hAnsi="Times New Roman"/>
                <w:sz w:val="24"/>
              </w:rPr>
              <w:t>.</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0440</w:t>
            </w:r>
          </w:p>
        </w:tc>
        <w:tc>
          <w:tcPr>
            <w:tcW w:w="7624" w:type="dxa"/>
          </w:tcPr>
          <w:p w14:paraId="7658B11D" w14:textId="05E4D2E9" w:rsidR="00A612E2" w:rsidRPr="00FB08AF" w:rsidRDefault="00CC432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Kmenový kapitál </w:t>
            </w:r>
            <w:proofErr w:type="spellStart"/>
            <w:r>
              <w:rPr>
                <w:rStyle w:val="InstructionsTabelleberschrift"/>
                <w:rFonts w:ascii="Times New Roman" w:hAnsi="Times New Roman"/>
                <w:sz w:val="24"/>
              </w:rPr>
              <w:t>tier</w:t>
            </w:r>
            <w:proofErr w:type="spellEnd"/>
            <w:r>
              <w:rPr>
                <w:rStyle w:val="InstructionsTabelleberschrift"/>
                <w:rFonts w:ascii="Times New Roman" w:hAnsi="Times New Roman"/>
                <w:sz w:val="24"/>
              </w:rPr>
              <w:t xml:space="preserve"> 1 (%) dostupný po splnění požadavků subjektem</w:t>
            </w:r>
          </w:p>
          <w:p w14:paraId="58C29D7C" w14:textId="1757540E"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Výše kmenového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1, která se rovná nule či kladnému číslu, dostupná poté, co byly splněny veškeré požadavky uvedené v čl. </w:t>
            </w:r>
            <w:proofErr w:type="gramStart"/>
            <w:r>
              <w:rPr>
                <w:rStyle w:val="FormatvorlageInstructionsTabelleText"/>
                <w:rFonts w:ascii="Times New Roman" w:hAnsi="Times New Roman"/>
                <w:sz w:val="24"/>
              </w:rPr>
              <w:t>141a</w:t>
            </w:r>
            <w:proofErr w:type="gramEnd"/>
            <w:r>
              <w:rPr>
                <w:rStyle w:val="FormatvorlageInstructionsTabelleText"/>
                <w:rFonts w:ascii="Times New Roman" w:hAnsi="Times New Roman"/>
                <w:sz w:val="24"/>
              </w:rPr>
              <w:t xml:space="preserve"> odst. 1 písm. a), b) a c) </w:t>
            </w:r>
            <w:r>
              <w:t>směrnice 2013/36/EU,</w:t>
            </w:r>
            <w:r>
              <w:rPr>
                <w:rStyle w:val="FormatvorlageInstructionsTabelleText"/>
                <w:rFonts w:ascii="Times New Roman" w:hAnsi="Times New Roman"/>
                <w:sz w:val="24"/>
              </w:rPr>
              <w:t xml:space="preserve"> a vyšší z následujících hodnot:</w:t>
            </w:r>
          </w:p>
          <w:p w14:paraId="57381FCD" w14:textId="1EA0E4F9"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a) v příslušných případech interní požadavek TLAC podle článku 92b</w:t>
            </w:r>
            <w:r>
              <w:t xml:space="preserve"> nařízení (EU) č. 575/2013,</w:t>
            </w:r>
            <w:r>
              <w:rPr>
                <w:rStyle w:val="FormatvorlageInstructionsTabelleText"/>
                <w:rFonts w:ascii="Times New Roman" w:hAnsi="Times New Roman"/>
                <w:sz w:val="24"/>
              </w:rPr>
              <w:t xml:space="preserve"> pokud je vypočítán v souladu s čl. </w:t>
            </w:r>
            <w:proofErr w:type="gramStart"/>
            <w:r>
              <w:rPr>
                <w:rStyle w:val="FormatvorlageInstructionsTabelleText"/>
                <w:rFonts w:ascii="Times New Roman" w:hAnsi="Times New Roman"/>
                <w:sz w:val="24"/>
              </w:rPr>
              <w:t>92b</w:t>
            </w:r>
            <w:proofErr w:type="gramEnd"/>
            <w:r>
              <w:rPr>
                <w:rStyle w:val="FormatvorlageInstructionsTabelleText"/>
                <w:rFonts w:ascii="Times New Roman" w:hAnsi="Times New Roman"/>
                <w:sz w:val="24"/>
              </w:rPr>
              <w:t xml:space="preserve"> odst. 1 uvedeného nařízení jako 90 % požadavku stanoveného v čl. 92a odst. 1 písm. a) uvedeného nařízení;</w:t>
            </w:r>
          </w:p>
          <w:p w14:paraId="1F28DC82" w14:textId="1D7CE280" w:rsidR="008561CE" w:rsidRPr="00FB08AF" w:rsidRDefault="008561C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b) interní požadavek MREL podle článku 45f </w:t>
            </w:r>
            <w:r>
              <w:t>směrnice 2014/59/EU,</w:t>
            </w:r>
            <w:r>
              <w:rPr>
                <w:rStyle w:val="FormatvorlageInstructionsTabelleText"/>
                <w:rFonts w:ascii="Times New Roman" w:hAnsi="Times New Roman"/>
                <w:sz w:val="24"/>
              </w:rPr>
              <w:t xml:space="preserve"> pokud je vypočítán v souladu s čl. 45 odst. 2 písm. a) uvedené směrnice.</w:t>
            </w:r>
          </w:p>
          <w:p w14:paraId="39B4A403" w14:textId="7A71894C" w:rsidR="00B012C5" w:rsidRPr="00FB08AF" w:rsidRDefault="00B012C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Dostupný kmenový kapitál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1 se </w:t>
            </w:r>
            <w:proofErr w:type="gramStart"/>
            <w:r>
              <w:rPr>
                <w:rStyle w:val="FormatvorlageInstructionsTabelleText"/>
                <w:rFonts w:ascii="Times New Roman" w:hAnsi="Times New Roman"/>
                <w:sz w:val="24"/>
              </w:rPr>
              <w:t>vyjádří</w:t>
            </w:r>
            <w:proofErr w:type="gramEnd"/>
            <w:r>
              <w:rPr>
                <w:rStyle w:val="FormatvorlageInstructionsTabelleText"/>
                <w:rFonts w:ascii="Times New Roman" w:hAnsi="Times New Roman"/>
                <w:sz w:val="24"/>
              </w:rPr>
              <w:t xml:space="preserve"> jako procentní podíl celkového objemu rizikové expozice uvedeného v řádku 0100.</w:t>
            </w:r>
          </w:p>
          <w:p w14:paraId="64F956E6" w14:textId="77777777" w:rsidR="00B012C5" w:rsidRPr="00FB08AF" w:rsidRDefault="008561CE"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Vykazovaný údaj musí být ve sloupcích interního MREL i interní TLAC stejný. </w:t>
            </w:r>
          </w:p>
          <w:p w14:paraId="5B370C0A" w14:textId="715557DB" w:rsidR="00CC432E" w:rsidRPr="00FB08AF" w:rsidRDefault="008561CE"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Musí zohledňovat účinek přechodných opatření na kapitál a způsobilé závazky, celkový objem rizikové expozice a samotné požadavky. Pokyn k držení dodatečného kapitálu uvedený v článku 104b</w:t>
            </w:r>
            <w:r>
              <w:t xml:space="preserve"> směrnice 2013/36/EU</w:t>
            </w:r>
            <w:r>
              <w:rPr>
                <w:rStyle w:val="InstructionsTabelleberschrift"/>
                <w:rFonts w:ascii="Times New Roman" w:hAnsi="Times New Roman"/>
                <w:b w:val="0"/>
                <w:sz w:val="24"/>
                <w:u w:val="none"/>
              </w:rPr>
              <w:t xml:space="preserve"> ani požadavek kombinovaných kapitálových rezerv stanovený v čl. 128 prvním pododstavci bodě 6 uvedené směrnice se nezohlední.</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0500–0550</w:t>
            </w:r>
          </w:p>
        </w:tc>
        <w:tc>
          <w:tcPr>
            <w:tcW w:w="7624" w:type="dxa"/>
          </w:tcPr>
          <w:p w14:paraId="11D95EDB" w14:textId="1E3A12BE" w:rsidR="00CC432E" w:rsidRPr="00FB08AF" w:rsidRDefault="007C3317"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Doplňkové položky</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0500</w:t>
            </w:r>
          </w:p>
        </w:tc>
        <w:tc>
          <w:tcPr>
            <w:tcW w:w="7624" w:type="dxa"/>
          </w:tcPr>
          <w:p w14:paraId="3AECC7AA" w14:textId="24E34A7D" w:rsidR="00437CF3" w:rsidRPr="00FB08AF" w:rsidRDefault="00437CF3"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Požadavek kombinovaných kapitálových rezerv (%)</w:t>
            </w:r>
          </w:p>
          <w:p w14:paraId="6C2996F7" w14:textId="721860D8" w:rsidR="00437CF3" w:rsidRPr="00FB08AF" w:rsidRDefault="00437CF3"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Ustanovení čl. 128</w:t>
            </w:r>
            <w:r>
              <w:rPr>
                <w:rStyle w:val="InstructionsTabelleberschrift"/>
                <w:rFonts w:ascii="Times New Roman" w:hAnsi="Times New Roman"/>
                <w:b w:val="0"/>
                <w:sz w:val="24"/>
                <w:u w:val="none"/>
              </w:rPr>
              <w:t>prvního pododstavce bodu 6</w:t>
            </w:r>
            <w:r>
              <w:rPr>
                <w:rStyle w:val="FormatvorlageInstructionsTabelleText"/>
                <w:rFonts w:ascii="Times New Roman" w:hAnsi="Times New Roman"/>
                <w:sz w:val="24"/>
              </w:rPr>
              <w:t xml:space="preserve"> </w:t>
            </w:r>
            <w:r>
              <w:t xml:space="preserve">směrnice 2013/36/EU </w:t>
            </w:r>
          </w:p>
          <w:p w14:paraId="2113C95F" w14:textId="74DBE512" w:rsidR="00437CF3" w:rsidRPr="00FB08AF" w:rsidRDefault="00437CF3"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Požadavek kombinovaných kapitálových rezerv se </w:t>
            </w:r>
            <w:proofErr w:type="gramStart"/>
            <w:r>
              <w:rPr>
                <w:rStyle w:val="FormatvorlageInstructionsTabelleText"/>
                <w:rFonts w:ascii="Times New Roman" w:hAnsi="Times New Roman"/>
                <w:sz w:val="24"/>
              </w:rPr>
              <w:t>vyjádří</w:t>
            </w:r>
            <w:proofErr w:type="gramEnd"/>
            <w:r>
              <w:rPr>
                <w:rStyle w:val="FormatvorlageInstructionsTabelleText"/>
                <w:rFonts w:ascii="Times New Roman" w:hAnsi="Times New Roman"/>
                <w:sz w:val="24"/>
              </w:rPr>
              <w:t xml:space="preserve"> jako procentní podíl celkového objemu rizikové expozice.</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4" w:type="dxa"/>
            <w:vAlign w:val="center"/>
          </w:tcPr>
          <w:p w14:paraId="5FDCA6A3"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 toho: požadavek na bezpečnostní kapitálovou rezervu </w:t>
            </w:r>
          </w:p>
          <w:p w14:paraId="2EF1B114" w14:textId="1AE53AED" w:rsidR="008C1E88" w:rsidRPr="00FB08AF" w:rsidRDefault="008C1E88" w:rsidP="00E36728">
            <w:pPr>
              <w:pStyle w:val="InstructionsText"/>
              <w:rPr>
                <w:rStyle w:val="InstructionsTabelleberschrift"/>
                <w:rFonts w:ascii="Times New Roman" w:hAnsi="Times New Roman"/>
                <w:sz w:val="24"/>
              </w:rPr>
            </w:pPr>
            <w:r>
              <w:t>Objem kombinovaných kapitálových rezerv stanovených konkrétně pro danou instituci (vyjádřený jako procentní podíl</w:t>
            </w:r>
            <w:r>
              <w:rPr>
                <w:rStyle w:val="FormatvorlageInstructionsTabelleText"/>
                <w:rFonts w:ascii="Times New Roman" w:hAnsi="Times New Roman"/>
                <w:sz w:val="24"/>
              </w:rPr>
              <w:t xml:space="preserve"> celkového objemu rizikové expozice</w:t>
            </w:r>
            <w:r>
              <w:t>), který se týká požadavku na bezpečnostní kapitálovou rezervu.</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4" w:type="dxa"/>
          </w:tcPr>
          <w:p w14:paraId="515F40B5"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 toho: požadavek na proticyklickou kapitálovou rezervu </w:t>
            </w:r>
          </w:p>
          <w:p w14:paraId="4E424522" w14:textId="1A5077C0" w:rsidR="008C1E88" w:rsidRPr="00FB08AF" w:rsidRDefault="008C1E88" w:rsidP="00E36728">
            <w:pPr>
              <w:pStyle w:val="InstructionsText"/>
              <w:rPr>
                <w:rStyle w:val="InstructionsTabelleberschrift"/>
                <w:rFonts w:ascii="Times New Roman" w:hAnsi="Times New Roman"/>
                <w:sz w:val="24"/>
              </w:rPr>
            </w:pPr>
            <w:r>
              <w:t xml:space="preserve">Objem kombinovaných kapitálových rezerv stanovených konkrétně pro danou instituci (vyjádřený jako procentní podíl </w:t>
            </w:r>
            <w:r>
              <w:rPr>
                <w:rStyle w:val="FormatvorlageInstructionsTabelleText"/>
                <w:rFonts w:ascii="Times New Roman" w:hAnsi="Times New Roman"/>
                <w:sz w:val="24"/>
              </w:rPr>
              <w:t>celkového objemu rizikové expozice</w:t>
            </w:r>
            <w:r>
              <w:t>), který se týká požadavku na proticyklickou kapitálovou rezervu.</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0530</w:t>
            </w:r>
          </w:p>
        </w:tc>
        <w:tc>
          <w:tcPr>
            <w:tcW w:w="7624" w:type="dxa"/>
          </w:tcPr>
          <w:p w14:paraId="2EA75ACC" w14:textId="77777777"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 toho: požadavek na kapitálovou rezervu pro krytí systémového rizika </w:t>
            </w:r>
          </w:p>
          <w:p w14:paraId="65530AC4" w14:textId="655A20A0" w:rsidR="008C1E88" w:rsidRPr="00FB08AF" w:rsidRDefault="008C1E88" w:rsidP="00E36728">
            <w:pPr>
              <w:pStyle w:val="InstructionsText"/>
              <w:rPr>
                <w:rStyle w:val="InstructionsTabelleberschrift"/>
                <w:rFonts w:ascii="Times New Roman" w:hAnsi="Times New Roman"/>
                <w:b w:val="0"/>
                <w:sz w:val="24"/>
              </w:rPr>
            </w:pPr>
            <w:r>
              <w:lastRenderedPageBreak/>
              <w:t xml:space="preserve">Objem kombinovaných kapitálových rezerv stanovených konkrétně pro danou instituci (vyjádřený jako procentní podíl </w:t>
            </w:r>
            <w:r>
              <w:rPr>
                <w:rStyle w:val="FormatvorlageInstructionsTabelleText"/>
                <w:rFonts w:ascii="Times New Roman" w:hAnsi="Times New Roman"/>
                <w:sz w:val="24"/>
              </w:rPr>
              <w:t>celkového objemu rizikové expozice</w:t>
            </w:r>
            <w:r>
              <w:t>), který se týká požadavku na kapitálovou rezervu pro krytí systémového rizika.</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0540</w:t>
            </w:r>
          </w:p>
        </w:tc>
        <w:tc>
          <w:tcPr>
            <w:tcW w:w="7624" w:type="dxa"/>
          </w:tcPr>
          <w:p w14:paraId="072B7571" w14:textId="3758ED59" w:rsidR="008C1E88" w:rsidRPr="00FB08AF" w:rsidRDefault="008C1E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kapitálová rezerva pro globální systémově významnou instituci (G-SVI) nebo jinou systémově významnou instituci (J-SVI)</w:t>
            </w:r>
          </w:p>
          <w:p w14:paraId="294528A0" w14:textId="78EBD6C0" w:rsidR="008C1E88" w:rsidRPr="00FB08AF" w:rsidRDefault="008C1E88" w:rsidP="00E36728">
            <w:pPr>
              <w:pStyle w:val="InstructionsText"/>
              <w:rPr>
                <w:rStyle w:val="InstructionsTabelleberschrift"/>
                <w:rFonts w:ascii="Times New Roman" w:hAnsi="Times New Roman"/>
                <w:b w:val="0"/>
                <w:sz w:val="24"/>
              </w:rPr>
            </w:pPr>
            <w:r>
              <w:t xml:space="preserve">Objem kombinovaných kapitálových rezerv stanovených konkrétně pro danou instituci (vyjádřený jako procentní podíl </w:t>
            </w:r>
            <w:r>
              <w:rPr>
                <w:rStyle w:val="FormatvorlageInstructionsTabelleText"/>
                <w:rFonts w:ascii="Times New Roman" w:hAnsi="Times New Roman"/>
                <w:sz w:val="24"/>
              </w:rPr>
              <w:t>celkového objemu rizikové expozice</w:t>
            </w:r>
            <w:r>
              <w:t>), který se týká požadavku na kapitálovou rezervu pro G-SVI nebo J-SVI.</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0550–0600</w:t>
            </w:r>
          </w:p>
        </w:tc>
        <w:tc>
          <w:tcPr>
            <w:tcW w:w="7624" w:type="dxa"/>
          </w:tcPr>
          <w:p w14:paraId="5B988009"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Jiné závazky použitelné k rekapitalizaci z vnitřních zdrojů</w:t>
            </w:r>
          </w:p>
          <w:p w14:paraId="119B8728" w14:textId="77777777" w:rsidR="003D419A" w:rsidRPr="00FB08AF" w:rsidRDefault="00093411"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Subjekty, které ke dni podání této informace </w:t>
            </w:r>
            <w:proofErr w:type="gramStart"/>
            <w:r>
              <w:rPr>
                <w:rStyle w:val="InstructionsTabelleberschrift"/>
                <w:rFonts w:ascii="Times New Roman" w:hAnsi="Times New Roman"/>
                <w:b w:val="0"/>
                <w:sz w:val="24"/>
                <w:u w:val="none"/>
              </w:rPr>
              <w:t>drží</w:t>
            </w:r>
            <w:proofErr w:type="gramEnd"/>
            <w:r>
              <w:rPr>
                <w:rStyle w:val="InstructionsTabelleberschrift"/>
                <w:rFonts w:ascii="Times New Roman" w:hAnsi="Times New Roman"/>
                <w:b w:val="0"/>
                <w:sz w:val="24"/>
                <w:u w:val="none"/>
              </w:rPr>
              <w:t xml:space="preserve"> kapitál a způsobilé závazky ve výši alespoň 150 % požadavku stanoveného v čl. 45 odst. 1 </w:t>
            </w:r>
            <w:r>
              <w:rPr>
                <w:rStyle w:val="FormatvorlageInstructionsTabelleText"/>
                <w:rFonts w:ascii="Times New Roman" w:hAnsi="Times New Roman"/>
                <w:sz w:val="24"/>
              </w:rPr>
              <w:t>směrnice 2014/59/EU, jsou osvobozeny od vykazování údajů v</w:t>
            </w:r>
            <w:r>
              <w:rPr>
                <w:rStyle w:val="InstructionsTabelleberschrift"/>
                <w:rFonts w:ascii="Times New Roman" w:hAnsi="Times New Roman"/>
                <w:b w:val="0"/>
                <w:sz w:val="24"/>
                <w:u w:val="none"/>
              </w:rPr>
              <w:t> řádcích 0550 až 0600. Takové subjekty mohou předmětné údaje v této šabloně vykazovat dobrovolně.</w:t>
            </w:r>
          </w:p>
          <w:p w14:paraId="7F1DE3D2" w14:textId="77777777" w:rsidR="00D95EC1" w:rsidRPr="00FB08AF" w:rsidRDefault="002F47F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Nevyužité částky, pro něž bylo uděleno předběžné svolení, v rozsahu, v jakém se svolení vztahuje na nástroj způsobilých závazků, se pro účely těchto řádků považují za jiné závazky použitelné k rekapitalizaci z vnitřních zdrojů.</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0550</w:t>
            </w:r>
          </w:p>
        </w:tc>
        <w:tc>
          <w:tcPr>
            <w:tcW w:w="7624" w:type="dxa"/>
          </w:tcPr>
          <w:p w14:paraId="642F28EA"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Jiné závazky použitelné k rekapitalizaci z vnitřních zdrojů</w:t>
            </w:r>
          </w:p>
          <w:p w14:paraId="6D9455D3" w14:textId="6A0F2470" w:rsidR="003D419A" w:rsidRPr="00FB08AF" w:rsidRDefault="003D419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Hodnota závazků použitelných k rekapitalizaci z vnitřních zdrojů ve smyslu čl. 2 odst. 1 bodu 71</w:t>
            </w:r>
            <w:r>
              <w:rPr>
                <w:rStyle w:val="FormatvorlageInstructionsTabelleText"/>
                <w:rFonts w:ascii="Times New Roman" w:hAnsi="Times New Roman"/>
                <w:sz w:val="24"/>
              </w:rPr>
              <w:t xml:space="preserve"> směrnice 2014/59/EU,</w:t>
            </w:r>
            <w:r>
              <w:rPr>
                <w:rStyle w:val="InstructionsTabelleberschrift"/>
                <w:rFonts w:ascii="Times New Roman" w:hAnsi="Times New Roman"/>
                <w:b w:val="0"/>
                <w:sz w:val="24"/>
                <w:u w:val="none"/>
              </w:rPr>
              <w:t xml:space="preserve"> které nejsou způsobilé ke splnění požadavků stanovených v článcích 45 a 45f </w:t>
            </w:r>
            <w:r>
              <w:rPr>
                <w:rStyle w:val="FormatvorlageInstructionsTabelleText"/>
                <w:rFonts w:ascii="Times New Roman" w:hAnsi="Times New Roman"/>
                <w:sz w:val="24"/>
              </w:rPr>
              <w:t>uvedené směrnice</w:t>
            </w:r>
            <w:r>
              <w:t>.</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0560</w:t>
            </w:r>
          </w:p>
        </w:tc>
        <w:tc>
          <w:tcPr>
            <w:tcW w:w="7624" w:type="dxa"/>
          </w:tcPr>
          <w:p w14:paraId="5818C7BE" w14:textId="4EA3C64A"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se řídí právem třetí země</w:t>
            </w:r>
          </w:p>
          <w:p w14:paraId="49B397CB" w14:textId="77777777" w:rsidR="003D419A" w:rsidRPr="00FB08AF" w:rsidRDefault="003D419A"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Hodnota jiných závazků použitelných k rekapitalizaci z vnitřních zdrojů, které se řídí právem třetí země, jak je uvedeno v článku 55</w:t>
            </w:r>
            <w:r>
              <w:t xml:space="preserve"> směrnice 2014/59/EU</w:t>
            </w:r>
            <w:r>
              <w:rPr>
                <w:rStyle w:val="InstructionsTabelleberschrift"/>
                <w:rFonts w:ascii="Times New Roman" w:hAnsi="Times New Roman"/>
                <w:b w:val="0"/>
                <w:sz w:val="24"/>
                <w:u w:val="none"/>
              </w:rPr>
              <w:t>.</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0570</w:t>
            </w:r>
          </w:p>
        </w:tc>
        <w:tc>
          <w:tcPr>
            <w:tcW w:w="7624" w:type="dxa"/>
          </w:tcPr>
          <w:p w14:paraId="0805987F" w14:textId="46360A96"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obsahující ustanovení o odpisu a konverzi uvedené v článku 55 směrnice 2014/59/EU</w:t>
            </w:r>
          </w:p>
          <w:p w14:paraId="59B7F63C"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Hodnota jiných závazků použitelných k rekapitalizaci z vnitřních zdrojů, které se řídí právem třetí země a obsahují ustanovení o odpisu a konverzi, jak je uvedeno v článku 55 směrnice 2014/59/EU.</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0580–0600</w:t>
            </w:r>
          </w:p>
        </w:tc>
        <w:tc>
          <w:tcPr>
            <w:tcW w:w="7624" w:type="dxa"/>
          </w:tcPr>
          <w:p w14:paraId="66ED9CC3" w14:textId="77777777" w:rsidR="003D419A" w:rsidRPr="00FB08AF" w:rsidRDefault="003D419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Rozčlenění jiných závazků použitelných k rekapitalizaci z vnitřních zdrojů podle zbytkové splatnosti</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0580</w:t>
            </w:r>
          </w:p>
        </w:tc>
        <w:tc>
          <w:tcPr>
            <w:tcW w:w="7624" w:type="dxa"/>
          </w:tcPr>
          <w:p w14:paraId="29C2C50A" w14:textId="77777777" w:rsidR="003D419A" w:rsidRPr="00FB08AF" w:rsidRDefault="003D419A" w:rsidP="00E36728">
            <w:pPr>
              <w:pStyle w:val="InstructionsText"/>
              <w:rPr>
                <w:rStyle w:val="InstructionsTabelleberschrift"/>
                <w:rFonts w:ascii="Times New Roman" w:hAnsi="Times New Roman"/>
                <w:b w:val="0"/>
                <w:sz w:val="24"/>
              </w:rPr>
            </w:pPr>
            <w:r>
              <w:t xml:space="preserve">zbytková splatnost </w:t>
            </w:r>
            <w:proofErr w:type="gramStart"/>
            <w:r>
              <w:t>&lt; 1</w:t>
            </w:r>
            <w:proofErr w:type="gramEnd"/>
            <w:r>
              <w:t xml:space="preserve"> rok</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0590</w:t>
            </w:r>
          </w:p>
        </w:tc>
        <w:tc>
          <w:tcPr>
            <w:tcW w:w="7624" w:type="dxa"/>
          </w:tcPr>
          <w:p w14:paraId="150BF77A" w14:textId="77777777" w:rsidR="003D419A" w:rsidRPr="00FB08AF" w:rsidRDefault="003D419A" w:rsidP="00E36728">
            <w:pPr>
              <w:pStyle w:val="InstructionsText"/>
              <w:rPr>
                <w:rStyle w:val="InstructionsTabelleberschrift"/>
                <w:rFonts w:ascii="Times New Roman" w:hAnsi="Times New Roman"/>
                <w:b w:val="0"/>
                <w:sz w:val="24"/>
              </w:rPr>
            </w:pPr>
            <w:r>
              <w:t xml:space="preserve">zbytková </w:t>
            </w:r>
            <w:proofErr w:type="gramStart"/>
            <w:r>
              <w:t>splatnost &gt;</w:t>
            </w:r>
            <w:proofErr w:type="gramEnd"/>
            <w:r>
              <w:t>= 1 rok a &lt; 2 roky</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0600</w:t>
            </w:r>
          </w:p>
        </w:tc>
        <w:tc>
          <w:tcPr>
            <w:tcW w:w="7624" w:type="dxa"/>
          </w:tcPr>
          <w:p w14:paraId="54AAA10D" w14:textId="77777777" w:rsidR="003D419A" w:rsidRPr="00FB08AF" w:rsidRDefault="003D419A" w:rsidP="00E36728">
            <w:pPr>
              <w:pStyle w:val="InstructionsText"/>
              <w:rPr>
                <w:rStyle w:val="InstructionsTabelleberschrift"/>
                <w:rFonts w:ascii="Times New Roman" w:hAnsi="Times New Roman"/>
                <w:b w:val="0"/>
                <w:sz w:val="24"/>
              </w:rPr>
            </w:pPr>
            <w:r>
              <w:t xml:space="preserve">zbytková </w:t>
            </w:r>
            <w:proofErr w:type="gramStart"/>
            <w:r>
              <w:t>splatnost &gt;</w:t>
            </w:r>
            <w:proofErr w:type="gramEnd"/>
            <w:r>
              <w:t>= 2 roky</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4" w:type="dxa"/>
          </w:tcPr>
          <w:p w14:paraId="16FA0669" w14:textId="77777777"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Vyloučené závazky</w:t>
            </w:r>
          </w:p>
          <w:p w14:paraId="70A8E546" w14:textId="429FC290" w:rsidR="00DC4984" w:rsidRPr="00FB08AF" w:rsidRDefault="00DC4984" w:rsidP="00E36728">
            <w:pPr>
              <w:pStyle w:val="InstructionsText"/>
              <w:rPr>
                <w:rStyle w:val="InstructionsTabelleberschrift"/>
                <w:rFonts w:ascii="Times New Roman" w:hAnsi="Times New Roman"/>
                <w:sz w:val="24"/>
              </w:rPr>
            </w:pPr>
            <w:r>
              <w:rPr>
                <w:rStyle w:val="InstructionsTabelleberschrift"/>
                <w:rFonts w:ascii="Times New Roman" w:hAnsi="Times New Roman"/>
                <w:b w:val="0"/>
                <w:sz w:val="24"/>
                <w:u w:val="none"/>
              </w:rPr>
              <w:t xml:space="preserve">Ustanovení čl. </w:t>
            </w:r>
            <w:proofErr w:type="gramStart"/>
            <w:r>
              <w:rPr>
                <w:rStyle w:val="InstructionsTabelleberschrift"/>
                <w:rFonts w:ascii="Times New Roman" w:hAnsi="Times New Roman"/>
                <w:b w:val="0"/>
                <w:sz w:val="24"/>
                <w:u w:val="none"/>
              </w:rPr>
              <w:t>72a</w:t>
            </w:r>
            <w:proofErr w:type="gramEnd"/>
            <w:r>
              <w:rPr>
                <w:rStyle w:val="InstructionsTabelleberschrift"/>
                <w:rFonts w:ascii="Times New Roman" w:hAnsi="Times New Roman"/>
                <w:b w:val="0"/>
                <w:sz w:val="24"/>
                <w:u w:val="none"/>
              </w:rPr>
              <w:t xml:space="preserve"> odst. 2 </w:t>
            </w:r>
            <w:r>
              <w:t>nařízení (EU) č. 575/2013</w:t>
            </w:r>
            <w:r>
              <w:rPr>
                <w:rStyle w:val="InstructionsTabelleberschrift"/>
                <w:rFonts w:ascii="Times New Roman" w:hAnsi="Times New Roman"/>
                <w:b w:val="0"/>
                <w:sz w:val="24"/>
                <w:u w:val="none"/>
              </w:rPr>
              <w:t>.</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Kapitálové nástroje vydané subjekty v likvidaci v rámci stejné skupiny řešící krizi</w:t>
            </w:r>
          </w:p>
          <w:p w14:paraId="35DA2E89" w14:textId="0741A503"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Kapitálové investice do kapitálových nástrojů vydaných subjekty neřešícími krizi, které jsou subjekty v likvidaci v rámci stejné skupiny řešící krizi, pro které orgán příslušný k řešení krize nestanovil minimální požadavek na kapitál a způsobilé závazky v souladu s článkem 45 směrnice 2014/59/EU.</w:t>
            </w:r>
          </w:p>
          <w:p w14:paraId="7D6540B2" w14:textId="0E3804A8" w:rsidR="00B73E12" w:rsidRPr="00FB08AF" w:rsidRDefault="00B73E12"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Předmětná částka se v tomto řádku vykazuje bez ohledu na to, zda jsou splněny podmínky stanovené v čl. 45c odst. </w:t>
            </w:r>
            <w:proofErr w:type="gramStart"/>
            <w:r>
              <w:rPr>
                <w:rStyle w:val="FormatvorlageInstructionsTabelleText"/>
                <w:rFonts w:ascii="Times New Roman" w:hAnsi="Times New Roman"/>
                <w:sz w:val="24"/>
              </w:rPr>
              <w:t>2a</w:t>
            </w:r>
            <w:proofErr w:type="gramEnd"/>
            <w:r>
              <w:rPr>
                <w:rStyle w:val="FormatvorlageInstructionsTabelleText"/>
                <w:rFonts w:ascii="Times New Roman" w:hAnsi="Times New Roman"/>
                <w:sz w:val="24"/>
              </w:rPr>
              <w:t xml:space="preserve"> pátém pododstavci směrnice 2014/59/EU.</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Poměr držených kapitálových nástrojů vydaných subjekty v likvidaci ke způsobilému kapitálu a způsobilým závazkům</w:t>
            </w:r>
          </w:p>
          <w:p w14:paraId="72E04E58"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 xml:space="preserve">Ustanovení čl. 45c odst. 2a směrnice 2014/59/EU. </w:t>
            </w:r>
          </w:p>
          <w:p w14:paraId="222A80B4"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Poměr se vypočítává jen k referenčnímu datu 31. prosince. V případě ostatních referenčních dat se vykazuje poměr vypočtený k 31. prosinci předchozího roku.</w:t>
            </w:r>
          </w:p>
          <w:p w14:paraId="5398413F" w14:textId="77777777" w:rsidR="00B73E12" w:rsidRPr="00FB08AF" w:rsidRDefault="00B73E12" w:rsidP="00E36728">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Poměr se vykazuje následovně:</w:t>
            </w:r>
          </w:p>
          <w:p w14:paraId="130BEF26" w14:textId="12CD6EAE" w:rsidR="00B73E12" w:rsidRPr="00FB08AF" w:rsidRDefault="00B73E12" w:rsidP="00F14E33">
            <w:pPr>
              <w:pStyle w:val="InstructionsText"/>
              <w:numPr>
                <w:ilvl w:val="0"/>
                <w:numId w:val="76"/>
              </w:numPr>
              <w:ind w:left="343" w:hanging="284"/>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Čitatel: Průměr dvanácti měsíčních hodnot v příslušném kalendářním roce u kapitálových investic do kapitálových nástrojů vydaných subjekty neřešícími krizi, které jsou subjekty v likvidaci v rámci stejné skupiny řešící krizi, pro které orgán příslušný k řešení krize nestanovil minimální požadavek na kapitál a způsobilé závazky v souladu s článkem 45 směrnice 2014/59/EU.</w:t>
            </w:r>
          </w:p>
          <w:p w14:paraId="78E1880F" w14:textId="05939301" w:rsidR="00B73E12" w:rsidRPr="00FB08AF" w:rsidRDefault="00B73E12" w:rsidP="00F14E33">
            <w:pPr>
              <w:pStyle w:val="InstructionsText"/>
              <w:numPr>
                <w:ilvl w:val="0"/>
                <w:numId w:val="76"/>
              </w:numPr>
              <w:ind w:left="343" w:hanging="284"/>
              <w:rPr>
                <w:rStyle w:val="InstructionsTabelleberschrift"/>
                <w:rFonts w:ascii="Times New Roman" w:hAnsi="Times New Roman"/>
                <w:sz w:val="24"/>
              </w:rPr>
            </w:pPr>
            <w:r>
              <w:rPr>
                <w:rStyle w:val="InstructionsTabelleberschrift"/>
                <w:rFonts w:ascii="Times New Roman" w:hAnsi="Times New Roman"/>
                <w:b w:val="0"/>
                <w:sz w:val="24"/>
                <w:u w:val="none"/>
              </w:rPr>
              <w:t>Jmenovatel: Průměr dvanácti měsíčních hodnot v příslušném kalendářním roce u kapitálu a způsobilých závazků vykazujícího subjektu vypočtený bez zohlednění odpočtů kapitálových investic do kapitálových nástrojů podle čl. 45c odst. </w:t>
            </w:r>
            <w:proofErr w:type="gramStart"/>
            <w:r>
              <w:rPr>
                <w:rStyle w:val="InstructionsTabelleberschrift"/>
                <w:rFonts w:ascii="Times New Roman" w:hAnsi="Times New Roman"/>
                <w:b w:val="0"/>
                <w:sz w:val="24"/>
                <w:u w:val="none"/>
              </w:rPr>
              <w:t>2a</w:t>
            </w:r>
            <w:proofErr w:type="gramEnd"/>
            <w:r>
              <w:rPr>
                <w:rStyle w:val="InstructionsTabelleberschrift"/>
                <w:rFonts w:ascii="Times New Roman" w:hAnsi="Times New Roman"/>
                <w:b w:val="0"/>
                <w:sz w:val="24"/>
                <w:u w:val="none"/>
              </w:rPr>
              <w:t xml:space="preserve"> pátého pododstavce směrnice 2014/59/EU.</w:t>
            </w:r>
          </w:p>
        </w:tc>
      </w:tr>
    </w:tbl>
    <w:p w14:paraId="18144D67" w14:textId="61C583E0" w:rsidR="00762AE8" w:rsidRPr="00FB08AF" w:rsidRDefault="00762AE8" w:rsidP="00873459">
      <w:pPr>
        <w:pStyle w:val="Numberedtilelevel1"/>
        <w:numPr>
          <w:ilvl w:val="1"/>
          <w:numId w:val="30"/>
        </w:numPr>
      </w:pPr>
      <w:bookmarkStart w:id="54" w:name="_Toc45558490"/>
      <w:r>
        <w:t>M 04.00 – Struktura financování způsobilých závazků (LIAB – MREL)</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t>Obecné poznámky</w:t>
      </w:r>
      <w:bookmarkEnd w:id="55"/>
      <w:bookmarkEnd w:id="56"/>
      <w:bookmarkEnd w:id="57"/>
    </w:p>
    <w:p w14:paraId="3591A4DC" w14:textId="13176F8B" w:rsidR="00AD2DA9" w:rsidRPr="00FB08AF" w:rsidRDefault="00762AE8" w:rsidP="00E36728">
      <w:pPr>
        <w:pStyle w:val="InstructionsText2"/>
      </w:pPr>
      <w:r>
        <w:t>Do této šablony se vyplňují informace o struktuře financování způsobilých závazků subjektů, které podléhají MREL. Způsobilé závazky se rozčleňují podle druhu závazku a splatnosti.</w:t>
      </w:r>
    </w:p>
    <w:p w14:paraId="051EEF6E" w14:textId="11A35C94" w:rsidR="00E645F5" w:rsidRPr="00FB08AF" w:rsidRDefault="00E645F5" w:rsidP="00E36728">
      <w:pPr>
        <w:pStyle w:val="InstructionsText2"/>
      </w:pPr>
      <w:r>
        <w:t>Subjekty v této šabloně vykazují pouze závazky způsobilé ke splnění minimálního požadavku na kapitál a způsobilé závazky stanoveného ve směrnici 2014/59/EU (MREL / interní MREL).</w:t>
      </w:r>
    </w:p>
    <w:p w14:paraId="5A88828B" w14:textId="2C48351E" w:rsidR="00095D0D" w:rsidRPr="00FB08AF" w:rsidRDefault="00AD2DA9" w:rsidP="00E36728">
      <w:pPr>
        <w:pStyle w:val="InstructionsText2"/>
      </w:pPr>
      <w:r>
        <w:t>Je-li vykazujícím subjektem subjekt řešící krizi, vykazují se způsobilé závazky ve smyslu čl. 2 odst. 1 bodu 71a směrnice 2014/59/EU před odečtením nevyužitých částek, pro něž bylo uděleno předběžné svolení. Způsobilé závazky, které se řídí právem třetí země, se zahrnou pouze v případě, že splňují požadavky stanovené v článku 55 uvedené směrnice.</w:t>
      </w:r>
    </w:p>
    <w:p w14:paraId="1A4BEB0E" w14:textId="13462232" w:rsidR="00762AE8" w:rsidRPr="00FB08AF" w:rsidRDefault="00AD2DA9" w:rsidP="00E36728">
      <w:pPr>
        <w:pStyle w:val="InstructionsText2"/>
      </w:pPr>
      <w:r>
        <w:t xml:space="preserve">Pokud je vykazujícím subjektem jiný subjekt než subjekt řešící krizi, vykazují se v této šabloně způsobilé závazky podle čl. 45f odst. 2 písm. a) směrnice </w:t>
      </w:r>
      <w:r>
        <w:lastRenderedPageBreak/>
        <w:t xml:space="preserve">2014/59/EU, v příslušných případech též s přihlédnutím k čl. 89 odst. 2 čtvrtému pododstavci uvedené směrnice, před odečtením nevyužitých částek, pro něž bylo uděleno předběžné svolení. </w:t>
      </w:r>
      <w:r>
        <w:rPr>
          <w:rStyle w:val="InstructionsTabelleberschrift"/>
          <w:rFonts w:ascii="Times New Roman" w:hAnsi="Times New Roman"/>
          <w:b w:val="0"/>
          <w:sz w:val="24"/>
          <w:u w:val="none"/>
        </w:rPr>
        <w:t>Nástroj, který se řídí právem třetí země, se do tohoto řádku zahrne pouze v případě, že splňuje požadavky stanovené v článku 55 uvedené směrnice</w:t>
      </w:r>
      <w:r>
        <w:t>.</w:t>
      </w:r>
    </w:p>
    <w:p w14:paraId="2C1B2000" w14:textId="677FC435" w:rsidR="00762AE8" w:rsidRPr="00FB08AF" w:rsidRDefault="00762AE8" w:rsidP="00E36728">
      <w:pPr>
        <w:pStyle w:val="InstructionsText2"/>
      </w:pPr>
      <w:r>
        <w:t xml:space="preserve">Rozčlenění podle druhu závazku vychází ze stejného souboru druhů závazků, které se používají při vykazování pro účely plánování řešení krize v souladu s prováděcím nařízením (EU) 2018/1624. Různé druhy závazků jsou definovány pomocí odkazů na uvedené prováděcí nařízení. </w:t>
      </w:r>
    </w:p>
    <w:p w14:paraId="27A75DAB" w14:textId="209C08EF" w:rsidR="00762AE8" w:rsidRPr="00FB08AF" w:rsidRDefault="00762AE8" w:rsidP="00E36728">
      <w:pPr>
        <w:pStyle w:val="InstructionsText2"/>
      </w:pPr>
      <w:r>
        <w:t>Je-li požadováno rozčlenění podle splatnosti, je zbytkovou splatností doba zbývající do smluvní splatnosti nebo v souladu s podmínkami uvedenými v čl. 72c odst. 2 nebo 3 nařízení (EU) č. 575/2013 první možný den, kdy lze opci uskutečnit. V případě průběžných plateb jistiny se jistina rozdělí a přidělí do příslušných košů splatnosti. V příslušných případech se splatnost uvažuje samostatně pro částku jistiny a pro vzniklý úrok.</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t>Pokyny týkající se konkrétních pozic</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rFonts w:ascii="Times New Roman" w:eastAsia="Arial" w:hAnsi="Times New Roman"/>
                <w:bCs/>
                <w:sz w:val="24"/>
              </w:rPr>
            </w:pPr>
            <w:r>
              <w:rPr>
                <w:rStyle w:val="InstructionsTabelleText"/>
                <w:rFonts w:ascii="Times New Roman" w:hAnsi="Times New Roman"/>
                <w:sz w:val="24"/>
              </w:rPr>
              <w:t>Řádek</w:t>
            </w:r>
          </w:p>
        </w:tc>
        <w:tc>
          <w:tcPr>
            <w:tcW w:w="7620" w:type="dxa"/>
            <w:shd w:val="clear" w:color="auto" w:fill="D9D9D9"/>
          </w:tcPr>
          <w:p w14:paraId="21D1603A" w14:textId="77777777" w:rsidR="00762AE8" w:rsidRPr="00FB08AF" w:rsidRDefault="00762AE8" w:rsidP="00E36728">
            <w:pPr>
              <w:pStyle w:val="InstructionsText"/>
              <w:rPr>
                <w:rStyle w:val="InstructionsTabelleText"/>
                <w:rFonts w:ascii="Times New Roman" w:hAnsi="Times New Roman"/>
                <w:bCs/>
                <w:sz w:val="24"/>
              </w:rPr>
            </w:pPr>
            <w:r>
              <w:rPr>
                <w:rStyle w:val="InstructionsTabelleText"/>
                <w:rFonts w:ascii="Times New Roman" w:hAnsi="Times New Roman"/>
                <w:sz w:val="24"/>
              </w:rPr>
              <w:t>Odkazy na právní předpisy a pokyny</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0100</w:t>
            </w:r>
          </w:p>
        </w:tc>
        <w:tc>
          <w:tcPr>
            <w:tcW w:w="7620" w:type="dxa"/>
            <w:vAlign w:val="center"/>
          </w:tcPr>
          <w:p w14:paraId="26061C97" w14:textId="5585D273" w:rsidR="00F07E87" w:rsidRPr="00FB08AF" w:rsidRDefault="00762AE8" w:rsidP="00E36728">
            <w:pPr>
              <w:pStyle w:val="InstructionsText"/>
              <w:rPr>
                <w:rStyle w:val="FormatvorlageInstructionsTabelleText"/>
                <w:rFonts w:ascii="Times New Roman" w:hAnsi="Times New Roman"/>
                <w:b/>
                <w:sz w:val="24"/>
                <w:u w:val="single"/>
              </w:rPr>
            </w:pPr>
            <w:r>
              <w:rPr>
                <w:rStyle w:val="InstructionsTabelleberschrift"/>
                <w:rFonts w:ascii="Times New Roman" w:hAnsi="Times New Roman"/>
                <w:sz w:val="24"/>
              </w:rPr>
              <w:t>ZPŮSOBILÉ ZÁVAZKY</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0200</w:t>
            </w:r>
          </w:p>
        </w:tc>
        <w:tc>
          <w:tcPr>
            <w:tcW w:w="7620" w:type="dxa"/>
            <w:vAlign w:val="center"/>
          </w:tcPr>
          <w:p w14:paraId="4492AB5A"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Vklady, které nejsou pojištěné a nejsou </w:t>
            </w:r>
            <w:proofErr w:type="gramStart"/>
            <w:r>
              <w:rPr>
                <w:rStyle w:val="InstructionsTabelleberschrift"/>
                <w:rFonts w:ascii="Times New Roman" w:hAnsi="Times New Roman"/>
                <w:sz w:val="24"/>
              </w:rPr>
              <w:t>přednostní &gt;</w:t>
            </w:r>
            <w:proofErr w:type="gramEnd"/>
            <w:r>
              <w:rPr>
                <w:rStyle w:val="InstructionsTabelleberschrift"/>
                <w:rFonts w:ascii="Times New Roman" w:hAnsi="Times New Roman"/>
                <w:sz w:val="24"/>
              </w:rPr>
              <w:t>= 1 rok</w:t>
            </w:r>
          </w:p>
          <w:p w14:paraId="49C46A25" w14:textId="3811070C"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Vklady, které nejsou pojištěné a nejsou přednostní, dle jejich definice pro účely řádku 0320 vzoru Z 02.00 přílohy I </w:t>
            </w:r>
            <w:r>
              <w:t>prováděcího</w:t>
            </w:r>
            <w:r>
              <w:rPr>
                <w:rStyle w:val="FormatvorlageInstructionsTabelleText"/>
                <w:rFonts w:ascii="Times New Roman" w:hAnsi="Times New Roman"/>
                <w:sz w:val="24"/>
              </w:rPr>
              <w:t xml:space="preserve"> nařízení (EU) 2018/1624, jež jsou způsobilé pro účely článku 45</w:t>
            </w:r>
            <w:r>
              <w:t xml:space="preserve"> směrnice 2014/59/EU</w:t>
            </w:r>
            <w:r>
              <w:rPr>
                <w:rStyle w:val="FormatvorlageInstructionsTabelleText"/>
                <w:rFonts w:ascii="Times New Roman" w:hAnsi="Times New Roman"/>
                <w:sz w:val="24"/>
              </w:rPr>
              <w:t>.</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0210</w:t>
            </w:r>
          </w:p>
        </w:tc>
        <w:tc>
          <w:tcPr>
            <w:tcW w:w="7620" w:type="dxa"/>
            <w:vAlign w:val="center"/>
          </w:tcPr>
          <w:p w14:paraId="1971F075"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1 rok a &lt; 2 roky</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0220</w:t>
            </w:r>
          </w:p>
        </w:tc>
        <w:tc>
          <w:tcPr>
            <w:tcW w:w="7620" w:type="dxa"/>
            <w:vAlign w:val="center"/>
          </w:tcPr>
          <w:p w14:paraId="275CBB26"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2 roky</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0230</w:t>
            </w:r>
          </w:p>
        </w:tc>
        <w:tc>
          <w:tcPr>
            <w:tcW w:w="7620" w:type="dxa"/>
            <w:vAlign w:val="center"/>
          </w:tcPr>
          <w:p w14:paraId="42F6A8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Z toho: vydané dceřinými podniky</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0300</w:t>
            </w:r>
          </w:p>
        </w:tc>
        <w:tc>
          <w:tcPr>
            <w:tcW w:w="7620" w:type="dxa"/>
            <w:vAlign w:val="center"/>
          </w:tcPr>
          <w:p w14:paraId="2DECC0A1" w14:textId="77777777" w:rsidR="00762AE8" w:rsidRPr="00FB08AF" w:rsidRDefault="00762AE8" w:rsidP="00E36728">
            <w:pPr>
              <w:pStyle w:val="InstructionsText"/>
              <w:rPr>
                <w:rStyle w:val="FormatvorlageInstructionsTabelleText"/>
                <w:rFonts w:ascii="Times New Roman" w:hAnsi="Times New Roman"/>
                <w:bCs w:val="0"/>
                <w:sz w:val="24"/>
              </w:rPr>
            </w:pPr>
            <w:proofErr w:type="spellStart"/>
            <w:r>
              <w:rPr>
                <w:rStyle w:val="InstructionsTabelleberschrift"/>
                <w:rFonts w:ascii="Times New Roman" w:hAnsi="Times New Roman"/>
                <w:sz w:val="24"/>
              </w:rPr>
              <w:t>Nekolateralizované</w:t>
            </w:r>
            <w:proofErr w:type="spellEnd"/>
            <w:r>
              <w:rPr>
                <w:rStyle w:val="InstructionsTabelleberschrift"/>
                <w:rFonts w:ascii="Times New Roman" w:hAnsi="Times New Roman"/>
                <w:sz w:val="24"/>
              </w:rPr>
              <w:t xml:space="preserve"> zajištěné </w:t>
            </w:r>
            <w:proofErr w:type="gramStart"/>
            <w:r>
              <w:rPr>
                <w:rStyle w:val="InstructionsTabelleberschrift"/>
                <w:rFonts w:ascii="Times New Roman" w:hAnsi="Times New Roman"/>
                <w:sz w:val="24"/>
              </w:rPr>
              <w:t>závazky &gt;</w:t>
            </w:r>
            <w:proofErr w:type="gramEnd"/>
            <w:r>
              <w:rPr>
                <w:rStyle w:val="InstructionsTabelleberschrift"/>
                <w:rFonts w:ascii="Times New Roman" w:hAnsi="Times New Roman"/>
                <w:sz w:val="24"/>
              </w:rPr>
              <w:t xml:space="preserve">= 1 rok </w:t>
            </w:r>
          </w:p>
          <w:p w14:paraId="6EA6B4DB" w14:textId="03EDC0BC" w:rsidR="00762AE8" w:rsidRPr="00FB08AF" w:rsidRDefault="00762AE8" w:rsidP="00E36728">
            <w:pPr>
              <w:pStyle w:val="InstructionsText"/>
              <w:rPr>
                <w:rStyle w:val="FormatvorlageInstructionsTabelleText"/>
                <w:rFonts w:ascii="Times New Roman" w:hAnsi="Times New Roman"/>
                <w:b/>
                <w:sz w:val="24"/>
              </w:rPr>
            </w:pPr>
            <w:proofErr w:type="spellStart"/>
            <w:r>
              <w:rPr>
                <w:rStyle w:val="FormatvorlageInstructionsTabelleText"/>
                <w:rFonts w:ascii="Times New Roman" w:hAnsi="Times New Roman"/>
                <w:sz w:val="24"/>
              </w:rPr>
              <w:t>Nekolateralizované</w:t>
            </w:r>
            <w:proofErr w:type="spellEnd"/>
            <w:r>
              <w:rPr>
                <w:rStyle w:val="FormatvorlageInstructionsTabelleText"/>
                <w:rFonts w:ascii="Times New Roman" w:hAnsi="Times New Roman"/>
                <w:sz w:val="24"/>
              </w:rPr>
              <w:t xml:space="preserve"> zajištěné závazky dle jejich definice pro účely řádku 0340 vzoru Z 02.00 přílohy I</w:t>
            </w:r>
            <w:r>
              <w:t> prováděcího</w:t>
            </w:r>
            <w:r>
              <w:rPr>
                <w:rStyle w:val="FormatvorlageInstructionsTabelleText"/>
                <w:rFonts w:ascii="Times New Roman" w:hAnsi="Times New Roman"/>
                <w:sz w:val="24"/>
              </w:rPr>
              <w:t xml:space="preserve"> nařízení (EU) 2018/1624, jež jsou způsobilé pro účely článku 45</w:t>
            </w:r>
            <w:r>
              <w:t xml:space="preserve"> směrnice 2014/59/EU</w:t>
            </w:r>
            <w:r>
              <w:rPr>
                <w:rStyle w:val="FormatvorlageInstructionsTabelleText"/>
                <w:rFonts w:ascii="Times New Roman" w:hAnsi="Times New Roman"/>
                <w:sz w:val="24"/>
              </w:rPr>
              <w:t>.</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0310</w:t>
            </w:r>
          </w:p>
        </w:tc>
        <w:tc>
          <w:tcPr>
            <w:tcW w:w="7620" w:type="dxa"/>
            <w:vAlign w:val="center"/>
          </w:tcPr>
          <w:p w14:paraId="537C804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1 rok a &lt; 2 roky</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0320</w:t>
            </w:r>
          </w:p>
        </w:tc>
        <w:tc>
          <w:tcPr>
            <w:tcW w:w="7620" w:type="dxa"/>
            <w:vAlign w:val="center"/>
          </w:tcPr>
          <w:p w14:paraId="1CD9868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2 roky</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0330</w:t>
            </w:r>
          </w:p>
        </w:tc>
        <w:tc>
          <w:tcPr>
            <w:tcW w:w="7620" w:type="dxa"/>
            <w:vAlign w:val="center"/>
          </w:tcPr>
          <w:p w14:paraId="3A278DE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Z toho: vydané dceřinými podniky</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0400</w:t>
            </w:r>
          </w:p>
        </w:tc>
        <w:tc>
          <w:tcPr>
            <w:tcW w:w="7620" w:type="dxa"/>
            <w:vAlign w:val="center"/>
          </w:tcPr>
          <w:p w14:paraId="1D62DBC4"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Strukturované </w:t>
            </w:r>
            <w:proofErr w:type="gramStart"/>
            <w:r>
              <w:rPr>
                <w:rStyle w:val="InstructionsTabelleberschrift"/>
                <w:rFonts w:ascii="Times New Roman" w:hAnsi="Times New Roman"/>
                <w:sz w:val="24"/>
              </w:rPr>
              <w:t>dluhopisy &gt;</w:t>
            </w:r>
            <w:proofErr w:type="gramEnd"/>
            <w:r>
              <w:rPr>
                <w:rStyle w:val="InstructionsTabelleberschrift"/>
                <w:rFonts w:ascii="Times New Roman" w:hAnsi="Times New Roman"/>
                <w:sz w:val="24"/>
              </w:rPr>
              <w:t>= 1 rok</w:t>
            </w:r>
          </w:p>
          <w:p w14:paraId="74959F34" w14:textId="50937CF0"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Strukturované dluhopisy dle jejich definice pro účely řádku 0350 vzoru Z 02.00 přílohy I </w:t>
            </w:r>
            <w:r>
              <w:t>prováděcího</w:t>
            </w:r>
            <w:r>
              <w:rPr>
                <w:rStyle w:val="FormatvorlageInstructionsTabelleText"/>
                <w:rFonts w:ascii="Times New Roman" w:hAnsi="Times New Roman"/>
                <w:sz w:val="24"/>
              </w:rPr>
              <w:t xml:space="preserve"> nařízení (EU) 2018/1624, jež jsou způsobilé pro účely článku 45</w:t>
            </w:r>
            <w:r>
              <w:t xml:space="preserve"> směrnice 2014/59/EU</w:t>
            </w:r>
            <w:r>
              <w:rPr>
                <w:rStyle w:val="FormatvorlageInstructionsTabelleText"/>
                <w:rFonts w:ascii="Times New Roman" w:hAnsi="Times New Roman"/>
                <w:sz w:val="24"/>
              </w:rPr>
              <w:t>.</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0410</w:t>
            </w:r>
          </w:p>
        </w:tc>
        <w:tc>
          <w:tcPr>
            <w:tcW w:w="7620" w:type="dxa"/>
            <w:vAlign w:val="center"/>
          </w:tcPr>
          <w:p w14:paraId="00FFDD2F"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1 rok a &lt; 2 roky</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0420</w:t>
            </w:r>
          </w:p>
        </w:tc>
        <w:tc>
          <w:tcPr>
            <w:tcW w:w="7620" w:type="dxa"/>
            <w:vAlign w:val="center"/>
          </w:tcPr>
          <w:p w14:paraId="7227500C"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2 roky</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0430</w:t>
            </w:r>
          </w:p>
        </w:tc>
        <w:tc>
          <w:tcPr>
            <w:tcW w:w="7620" w:type="dxa"/>
            <w:vAlign w:val="center"/>
          </w:tcPr>
          <w:p w14:paraId="7C1370DB"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Z toho: vydané dceřinými podniky</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0500</w:t>
            </w:r>
          </w:p>
        </w:tc>
        <w:tc>
          <w:tcPr>
            <w:tcW w:w="7620" w:type="dxa"/>
            <w:vAlign w:val="center"/>
          </w:tcPr>
          <w:p w14:paraId="1ABE37E9"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 xml:space="preserve">Prioritní nezajištěné </w:t>
            </w:r>
            <w:proofErr w:type="gramStart"/>
            <w:r>
              <w:rPr>
                <w:rStyle w:val="InstructionsTabelleberschrift"/>
                <w:rFonts w:ascii="Times New Roman" w:hAnsi="Times New Roman"/>
                <w:sz w:val="24"/>
              </w:rPr>
              <w:t>závazky &gt;</w:t>
            </w:r>
            <w:proofErr w:type="gramEnd"/>
            <w:r>
              <w:rPr>
                <w:rStyle w:val="InstructionsTabelleberschrift"/>
                <w:rFonts w:ascii="Times New Roman" w:hAnsi="Times New Roman"/>
                <w:sz w:val="24"/>
              </w:rPr>
              <w:t>= 1 rok</w:t>
            </w:r>
          </w:p>
          <w:p w14:paraId="0E73B3A6" w14:textId="66B8722E"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Prioritní nezajištěné závazky dle jejich definice pro účely řádku 0360 vzoru Z 02.00 přílohy I</w:t>
            </w:r>
            <w:r>
              <w:t> prováděcího</w:t>
            </w:r>
            <w:r>
              <w:rPr>
                <w:rStyle w:val="FormatvorlageInstructionsTabelleText"/>
                <w:rFonts w:ascii="Times New Roman" w:hAnsi="Times New Roman"/>
                <w:sz w:val="24"/>
              </w:rPr>
              <w:t xml:space="preserve"> nařízení (EU) 2018/1624, jež jsou způsobilé pro účely článku 45</w:t>
            </w:r>
            <w:r>
              <w:t xml:space="preserve"> směrnice 2014/59/EU</w:t>
            </w:r>
            <w:r>
              <w:rPr>
                <w:rStyle w:val="FormatvorlageInstructionsTabelleText"/>
                <w:rFonts w:ascii="Times New Roman" w:hAnsi="Times New Roman"/>
                <w:sz w:val="24"/>
              </w:rPr>
              <w:t>.</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0510</w:t>
            </w:r>
          </w:p>
        </w:tc>
        <w:tc>
          <w:tcPr>
            <w:tcW w:w="7620" w:type="dxa"/>
            <w:vAlign w:val="center"/>
          </w:tcPr>
          <w:p w14:paraId="262358FD"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1 rok a &lt; 2 roky</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0520</w:t>
            </w:r>
          </w:p>
        </w:tc>
        <w:tc>
          <w:tcPr>
            <w:tcW w:w="7620" w:type="dxa"/>
            <w:vAlign w:val="center"/>
          </w:tcPr>
          <w:p w14:paraId="7552E2F3"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2 roky</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0530 </w:t>
            </w:r>
          </w:p>
        </w:tc>
        <w:tc>
          <w:tcPr>
            <w:tcW w:w="7620" w:type="dxa"/>
            <w:vAlign w:val="center"/>
          </w:tcPr>
          <w:p w14:paraId="480600D9"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Z toho: vydané dceřinými podniky</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0600 </w:t>
            </w:r>
          </w:p>
        </w:tc>
        <w:tc>
          <w:tcPr>
            <w:tcW w:w="7620" w:type="dxa"/>
            <w:vAlign w:val="center"/>
          </w:tcPr>
          <w:p w14:paraId="0C40C447" w14:textId="77777777" w:rsidR="00762AE8" w:rsidRPr="00FB08AF" w:rsidRDefault="00762AE8" w:rsidP="00E36728">
            <w:pPr>
              <w:pStyle w:val="InstructionsText"/>
              <w:rPr>
                <w:rStyle w:val="InstructionsTabelleberschrift"/>
                <w:rFonts w:ascii="Times New Roman" w:eastAsia="Cambria" w:hAnsi="Times New Roman"/>
                <w:sz w:val="24"/>
              </w:rPr>
            </w:pPr>
            <w:r>
              <w:rPr>
                <w:rStyle w:val="InstructionsTabelleberschrift"/>
                <w:rFonts w:ascii="Times New Roman" w:hAnsi="Times New Roman"/>
                <w:sz w:val="24"/>
              </w:rPr>
              <w:t xml:space="preserve">Prioritní nepreferenční </w:t>
            </w:r>
            <w:proofErr w:type="gramStart"/>
            <w:r>
              <w:rPr>
                <w:rStyle w:val="InstructionsTabelleberschrift"/>
                <w:rFonts w:ascii="Times New Roman" w:hAnsi="Times New Roman"/>
                <w:sz w:val="24"/>
              </w:rPr>
              <w:t>závazky &gt;</w:t>
            </w:r>
            <w:proofErr w:type="gramEnd"/>
            <w:r>
              <w:rPr>
                <w:rStyle w:val="InstructionsTabelleberschrift"/>
                <w:rFonts w:ascii="Times New Roman" w:hAnsi="Times New Roman"/>
                <w:sz w:val="24"/>
              </w:rPr>
              <w:t>= 1 rok</w:t>
            </w:r>
          </w:p>
          <w:p w14:paraId="2BB67D1C" w14:textId="651E9DC0" w:rsidR="00762AE8" w:rsidRPr="00FB08AF" w:rsidRDefault="00762AE8" w:rsidP="00E36728">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Prioritní nepreferenční závazky dle jejich definice pro účely řádku 0365 vzoru Z 02.00 přílohy I </w:t>
            </w:r>
            <w:r>
              <w:t>prováděcího</w:t>
            </w:r>
            <w:r>
              <w:rPr>
                <w:rStyle w:val="FormatvorlageInstructionsTabelleText"/>
                <w:rFonts w:ascii="Times New Roman" w:hAnsi="Times New Roman"/>
                <w:sz w:val="24"/>
              </w:rPr>
              <w:t> nařízení (EU) 2018/1624, jež jsou způsobilé pro účely článku 45</w:t>
            </w:r>
            <w:r>
              <w:t xml:space="preserve"> směrnice 2014/59/EU</w:t>
            </w:r>
            <w:r>
              <w:rPr>
                <w:rStyle w:val="FormatvorlageInstructionsTabelleText"/>
                <w:rFonts w:ascii="Times New Roman" w:hAnsi="Times New Roman"/>
                <w:sz w:val="24"/>
              </w:rPr>
              <w:t>.</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0610</w:t>
            </w:r>
          </w:p>
        </w:tc>
        <w:tc>
          <w:tcPr>
            <w:tcW w:w="7620" w:type="dxa"/>
            <w:vAlign w:val="center"/>
          </w:tcPr>
          <w:p w14:paraId="6413A5A0"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1 rok a &lt; 2 roky</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0620</w:t>
            </w:r>
          </w:p>
        </w:tc>
        <w:tc>
          <w:tcPr>
            <w:tcW w:w="7620" w:type="dxa"/>
            <w:vAlign w:val="center"/>
          </w:tcPr>
          <w:p w14:paraId="3A55D4CB" w14:textId="77777777" w:rsidR="00762AE8" w:rsidRPr="00FB08AF" w:rsidRDefault="00762AE8" w:rsidP="00E36728">
            <w:pPr>
              <w:pStyle w:val="InstructionsText"/>
              <w:rPr>
                <w:rStyle w:val="FormatvorlageInstructionsTabelleText"/>
                <w:rFonts w:ascii="Times New Roman" w:hAnsi="Times New Roman"/>
                <w:b/>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2 roky</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0630</w:t>
            </w:r>
          </w:p>
        </w:tc>
        <w:tc>
          <w:tcPr>
            <w:tcW w:w="7620" w:type="dxa"/>
            <w:vAlign w:val="center"/>
          </w:tcPr>
          <w:p w14:paraId="3C62578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Z toho: vydané dceřinými podniky</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0700</w:t>
            </w:r>
          </w:p>
        </w:tc>
        <w:tc>
          <w:tcPr>
            <w:tcW w:w="7620" w:type="dxa"/>
            <w:vAlign w:val="center"/>
          </w:tcPr>
          <w:p w14:paraId="3036F796" w14:textId="77777777"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Podřízené závazky (nevykazované jako kapitál</w:t>
            </w:r>
            <w:proofErr w:type="gramStart"/>
            <w:r>
              <w:rPr>
                <w:rStyle w:val="InstructionsTabelleberschrift"/>
                <w:rFonts w:ascii="Times New Roman" w:hAnsi="Times New Roman"/>
                <w:sz w:val="24"/>
              </w:rPr>
              <w:t>) &gt;</w:t>
            </w:r>
            <w:proofErr w:type="gramEnd"/>
            <w:r>
              <w:rPr>
                <w:rStyle w:val="InstructionsTabelleberschrift"/>
                <w:rFonts w:ascii="Times New Roman" w:hAnsi="Times New Roman"/>
                <w:sz w:val="24"/>
              </w:rPr>
              <w:t>= 1 rok</w:t>
            </w:r>
          </w:p>
          <w:p w14:paraId="47C4F901" w14:textId="4780C2C4" w:rsidR="00762AE8" w:rsidRPr="00FB08AF" w:rsidRDefault="00F94369"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Podřízené závazky dle jejich definice pro účely řádku 0370 vzoru Z 02.00 přílohy I</w:t>
            </w:r>
            <w:r>
              <w:t> prováděcího</w:t>
            </w:r>
            <w:r>
              <w:rPr>
                <w:rStyle w:val="FormatvorlageInstructionsTabelleText"/>
                <w:rFonts w:ascii="Times New Roman" w:hAnsi="Times New Roman"/>
                <w:sz w:val="24"/>
              </w:rPr>
              <w:t xml:space="preserve"> nařízení (EU) 2018/1624, jež jsou způsobilé pro účely článku 45</w:t>
            </w:r>
            <w:r>
              <w:t xml:space="preserve"> směrnice 2014/59/EU</w:t>
            </w:r>
            <w:r>
              <w:rPr>
                <w:rStyle w:val="FormatvorlageInstructionsTabelleText"/>
                <w:rFonts w:ascii="Times New Roman" w:hAnsi="Times New Roman"/>
                <w:sz w:val="24"/>
              </w:rPr>
              <w:t>.</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0710</w:t>
            </w:r>
          </w:p>
        </w:tc>
        <w:tc>
          <w:tcPr>
            <w:tcW w:w="7620" w:type="dxa"/>
            <w:vAlign w:val="center"/>
          </w:tcPr>
          <w:p w14:paraId="793A93D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1 rok a &lt; 2 roky</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0720</w:t>
            </w:r>
          </w:p>
        </w:tc>
        <w:tc>
          <w:tcPr>
            <w:tcW w:w="7620" w:type="dxa"/>
            <w:vAlign w:val="center"/>
          </w:tcPr>
          <w:p w14:paraId="378AC96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2 roky</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0730</w:t>
            </w:r>
          </w:p>
        </w:tc>
        <w:tc>
          <w:tcPr>
            <w:tcW w:w="7620" w:type="dxa"/>
            <w:vAlign w:val="center"/>
          </w:tcPr>
          <w:p w14:paraId="189D1AE1" w14:textId="77777777" w:rsidR="00762AE8" w:rsidRPr="00FB08AF" w:rsidRDefault="00762AE8" w:rsidP="00E36728">
            <w:pPr>
              <w:pStyle w:val="InstructionsText"/>
              <w:rPr>
                <w:rStyle w:val="FormatvorlageInstructionsTabelleText"/>
                <w:rFonts w:ascii="Times New Roman" w:eastAsiaTheme="minorHAnsi" w:hAnsi="Times New Roman"/>
                <w:sz w:val="24"/>
                <w:szCs w:val="22"/>
              </w:rPr>
            </w:pPr>
            <w:r>
              <w:rPr>
                <w:rStyle w:val="InstructionsTabelleberschrift"/>
                <w:rFonts w:ascii="Times New Roman" w:hAnsi="Times New Roman"/>
                <w:sz w:val="24"/>
              </w:rPr>
              <w:t xml:space="preserve">Z </w:t>
            </w:r>
            <w:r>
              <w:rPr>
                <w:rStyle w:val="FormatvorlageInstructionsTabelleText"/>
                <w:rFonts w:ascii="Times New Roman" w:hAnsi="Times New Roman"/>
                <w:b/>
                <w:sz w:val="24"/>
                <w:u w:val="single"/>
              </w:rPr>
              <w:t>toho</w:t>
            </w:r>
            <w:r>
              <w:rPr>
                <w:rStyle w:val="InstructionsTabelleberschrift"/>
                <w:rFonts w:ascii="Times New Roman" w:hAnsi="Times New Roman"/>
                <w:sz w:val="24"/>
              </w:rPr>
              <w:t>: vydané dceřinými podniky</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0800</w:t>
            </w:r>
          </w:p>
        </w:tc>
        <w:tc>
          <w:tcPr>
            <w:tcW w:w="7620" w:type="dxa"/>
            <w:vAlign w:val="center"/>
          </w:tcPr>
          <w:p w14:paraId="20A1B645" w14:textId="1172CBDD" w:rsidR="00762AE8" w:rsidRPr="00FB08AF" w:rsidRDefault="00762AE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Jiné způsobilé závazky pro účely </w:t>
            </w:r>
            <w:proofErr w:type="gramStart"/>
            <w:r>
              <w:rPr>
                <w:rStyle w:val="InstructionsTabelleberschrift"/>
                <w:rFonts w:ascii="Times New Roman" w:hAnsi="Times New Roman"/>
                <w:sz w:val="24"/>
              </w:rPr>
              <w:t>MREL&gt;=</w:t>
            </w:r>
            <w:proofErr w:type="gramEnd"/>
            <w:r>
              <w:rPr>
                <w:rStyle w:val="InstructionsTabelleberschrift"/>
                <w:rFonts w:ascii="Times New Roman" w:hAnsi="Times New Roman"/>
                <w:sz w:val="24"/>
              </w:rPr>
              <w:t xml:space="preserve"> 1 rok</w:t>
            </w:r>
          </w:p>
          <w:p w14:paraId="76DA3A5F" w14:textId="4DF75699"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Jakýkoli jiný nástroj, který je způsobilý pro účely článku 45 </w:t>
            </w:r>
            <w:r>
              <w:t>směrnice 2014/59/EU</w:t>
            </w:r>
            <w:r>
              <w:rPr>
                <w:rStyle w:val="FormatvorlageInstructionsTabelleText"/>
                <w:rFonts w:ascii="Times New Roman" w:hAnsi="Times New Roman"/>
                <w:sz w:val="24"/>
              </w:rPr>
              <w:t>.</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0810</w:t>
            </w:r>
          </w:p>
        </w:tc>
        <w:tc>
          <w:tcPr>
            <w:tcW w:w="7620" w:type="dxa"/>
            <w:vAlign w:val="center"/>
          </w:tcPr>
          <w:p w14:paraId="17A02E94"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1 rok a &lt; 2 roky</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0820</w:t>
            </w:r>
          </w:p>
        </w:tc>
        <w:tc>
          <w:tcPr>
            <w:tcW w:w="7620" w:type="dxa"/>
            <w:vAlign w:val="center"/>
          </w:tcPr>
          <w:p w14:paraId="49939295"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Z toho: zbytková </w:t>
            </w:r>
            <w:proofErr w:type="gramStart"/>
            <w:r>
              <w:rPr>
                <w:rStyle w:val="InstructionsTabelleberschrift"/>
                <w:rFonts w:ascii="Times New Roman" w:hAnsi="Times New Roman"/>
                <w:sz w:val="24"/>
              </w:rPr>
              <w:t>splatnost &gt;</w:t>
            </w:r>
            <w:proofErr w:type="gramEnd"/>
            <w:r>
              <w:rPr>
                <w:rStyle w:val="InstructionsTabelleberschrift"/>
                <w:rFonts w:ascii="Times New Roman" w:hAnsi="Times New Roman"/>
                <w:sz w:val="24"/>
              </w:rPr>
              <w:t>= 2 roky</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0830</w:t>
            </w:r>
          </w:p>
        </w:tc>
        <w:tc>
          <w:tcPr>
            <w:tcW w:w="7620" w:type="dxa"/>
            <w:vAlign w:val="center"/>
          </w:tcPr>
          <w:p w14:paraId="2E47C1B2" w14:textId="77777777" w:rsidR="00762AE8" w:rsidRPr="00FB08AF" w:rsidRDefault="00762AE8"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Z toho: vydané dceřinými podniky</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t>Pořadí věřitelů</w:t>
      </w:r>
      <w:bookmarkEnd w:id="62"/>
    </w:p>
    <w:p w14:paraId="2625F207" w14:textId="7E2342CE" w:rsidR="00C91ACB" w:rsidRPr="00FB08AF" w:rsidRDefault="00C91ACB" w:rsidP="00E36728">
      <w:pPr>
        <w:pStyle w:val="InstructionsText2"/>
      </w:pPr>
      <w:r>
        <w:t>Šablony M 05.00 a M 06.00 zachycují pořadí způsobilých závazků v hierarchii věřitelů. Obě šablony se vždy vykazují na individuální úrovni.</w:t>
      </w:r>
    </w:p>
    <w:p w14:paraId="18C2B303" w14:textId="229D9162" w:rsidR="00C91ACB" w:rsidRPr="00FB08AF" w:rsidRDefault="00C91ACB" w:rsidP="00E36728">
      <w:pPr>
        <w:pStyle w:val="InstructionsText2"/>
      </w:pPr>
      <w:r>
        <w:t>V případě subjektů, které samy nejsou subjekty řešícími krizi, se v příslušných případech částka připadající na každé pořadí dále rozčlení na částky dlužné subjektu řešícímu krizi a další částky, které nejsou dlužné subjektu řešícímu krizi.</w:t>
      </w:r>
    </w:p>
    <w:p w14:paraId="21EE5EAE" w14:textId="77777777" w:rsidR="00C91ACB" w:rsidRPr="00FB08AF" w:rsidRDefault="00C91ACB" w:rsidP="00E36728">
      <w:pPr>
        <w:pStyle w:val="InstructionsText2"/>
      </w:pPr>
      <w:r>
        <w:t>Pořadí je uspořádáno od nejméně prioritních po nejvíce prioritní. Řádky pořadí se přidávají, dokud není vykázán nejvíce prioritní způsobilý nástroj a všechny závazky, které jsou na stejné úrovni jako tento nástroj.</w:t>
      </w:r>
    </w:p>
    <w:p w14:paraId="50B30E08" w14:textId="117FE293" w:rsidR="00C91ACB" w:rsidRPr="00FB08AF" w:rsidRDefault="00C91ACB" w:rsidP="00873459">
      <w:pPr>
        <w:pStyle w:val="Numberedtilelevel1"/>
        <w:numPr>
          <w:ilvl w:val="1"/>
          <w:numId w:val="30"/>
        </w:numPr>
      </w:pPr>
      <w:bookmarkStart w:id="63" w:name="_Toc45558494"/>
      <w:r>
        <w:lastRenderedPageBreak/>
        <w:t>M 05.00 – Pořadí věřitelů (subjekt, který není subjektem řešícím krizi)</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t>Obecné poznámky</w:t>
      </w:r>
      <w:bookmarkEnd w:id="64"/>
      <w:bookmarkEnd w:id="65"/>
      <w:bookmarkEnd w:id="66"/>
    </w:p>
    <w:p w14:paraId="627C4E67" w14:textId="13CBE53A" w:rsidR="005B59C9" w:rsidRPr="00FB08AF" w:rsidRDefault="00BD1023" w:rsidP="00E36728">
      <w:pPr>
        <w:pStyle w:val="InstructionsText2"/>
      </w:pPr>
      <w:r>
        <w:t>Subjekty, na které se vztahuje povinnost splnit požadavek stanovený v článku 92b nařízení (EU) č. 575/2013, vykazují v této šabloně:</w:t>
      </w:r>
    </w:p>
    <w:p w14:paraId="1ED4982B" w14:textId="10259DA4" w:rsidR="005B59C9" w:rsidRPr="00FB08AF" w:rsidRDefault="005B59C9" w:rsidP="00E36728">
      <w:pPr>
        <w:pStyle w:val="InstructionsText2"/>
        <w:numPr>
          <w:ilvl w:val="1"/>
          <w:numId w:val="15"/>
        </w:numPr>
      </w:pPr>
      <w:r>
        <w:t xml:space="preserve">položky kmenového kapitálu </w:t>
      </w:r>
      <w:proofErr w:type="spellStart"/>
      <w:r>
        <w:t>tier</w:t>
      </w:r>
      <w:proofErr w:type="spellEnd"/>
      <w:r>
        <w:t xml:space="preserve"> 1 uvedené v článku 26 nařízení (EU) č. 575/2013;</w:t>
      </w:r>
    </w:p>
    <w:p w14:paraId="5BDB8BA9" w14:textId="0E1D5F91" w:rsidR="005B59C9" w:rsidRPr="00FB08AF" w:rsidRDefault="005B59C9" w:rsidP="00E36728">
      <w:pPr>
        <w:pStyle w:val="InstructionsText2"/>
        <w:numPr>
          <w:ilvl w:val="1"/>
          <w:numId w:val="15"/>
        </w:numPr>
      </w:pPr>
      <w:r>
        <w:t xml:space="preserve">položky vedlejšího kapitálu </w:t>
      </w:r>
      <w:proofErr w:type="spellStart"/>
      <w:r>
        <w:t>tier</w:t>
      </w:r>
      <w:proofErr w:type="spellEnd"/>
      <w:r>
        <w:t xml:space="preserve"> 1 uvedené v článku 51 nařízení (EU) č. 575/2013;</w:t>
      </w:r>
    </w:p>
    <w:p w14:paraId="2BC0BBDC" w14:textId="777D7399" w:rsidR="005B59C9" w:rsidRPr="00FB08AF" w:rsidRDefault="005B59C9" w:rsidP="00E36728">
      <w:pPr>
        <w:pStyle w:val="InstructionsText2"/>
        <w:numPr>
          <w:ilvl w:val="1"/>
          <w:numId w:val="15"/>
        </w:numPr>
      </w:pPr>
      <w:r>
        <w:t xml:space="preserve">nástroje zahrnované do kapitálu </w:t>
      </w:r>
      <w:proofErr w:type="spellStart"/>
      <w:r>
        <w:t>tier</w:t>
      </w:r>
      <w:proofErr w:type="spellEnd"/>
      <w:r>
        <w:t xml:space="preserve"> 2 a související emisní ážio podle čl. 62 písm. a) a b) nařízení (EU) č. 575/2013, včetně umořené části nástroje, která není uznána pro účely splnění požadavků stanovených v článcích 92 nebo </w:t>
      </w:r>
      <w:proofErr w:type="gramStart"/>
      <w:r>
        <w:t>92b</w:t>
      </w:r>
      <w:proofErr w:type="gramEnd"/>
      <w:r>
        <w:t xml:space="preserve"> uvedeného nařízení nebo v článku 45 směrnice 2014/59/EU, a</w:t>
      </w:r>
    </w:p>
    <w:p w14:paraId="3C2101A2" w14:textId="4BF53639" w:rsidR="005B59C9" w:rsidRPr="00FB08AF" w:rsidRDefault="001D0B80" w:rsidP="00E36728">
      <w:pPr>
        <w:pStyle w:val="InstructionsText2"/>
        <w:numPr>
          <w:ilvl w:val="1"/>
          <w:numId w:val="15"/>
        </w:numPr>
      </w:pPr>
      <w:r>
        <w:t xml:space="preserve">nástroje závazků způsobilé ke splnění interního MREL; </w:t>
      </w:r>
    </w:p>
    <w:p w14:paraId="3AB7FC53" w14:textId="1519070D" w:rsidR="00F07E87" w:rsidRPr="00FB08AF" w:rsidRDefault="002854B5" w:rsidP="00E36728">
      <w:pPr>
        <w:pStyle w:val="InstructionsText2"/>
        <w:numPr>
          <w:ilvl w:val="1"/>
          <w:numId w:val="15"/>
        </w:numPr>
      </w:pPr>
      <w:r>
        <w:t xml:space="preserve">jiné závazky použitelné k rekapitalizaci z vnitřních zdrojů; </w:t>
      </w:r>
    </w:p>
    <w:p w14:paraId="4B50C36D" w14:textId="1C6214FE" w:rsidR="00BD1023" w:rsidRPr="00FB08AF" w:rsidRDefault="00F07E87" w:rsidP="00E36728">
      <w:pPr>
        <w:pStyle w:val="InstructionsText2"/>
        <w:numPr>
          <w:ilvl w:val="1"/>
          <w:numId w:val="15"/>
        </w:numPr>
      </w:pPr>
      <w:r>
        <w:t xml:space="preserve">závazky vyloučené z rekapitalizace z vnitřních zdrojů; uvedené závazky se zahrnou v rozsahu, v jakém jsou na stejné úrovni jako jakýkoli nástroj zahrnutý do výše způsobilých závazků pro účely interního MREL nebo jsou mu podřízené. </w:t>
      </w:r>
    </w:p>
    <w:p w14:paraId="3B9B66AD" w14:textId="79CC074C" w:rsidR="00F07E87" w:rsidRPr="00FB08AF" w:rsidRDefault="004938DD" w:rsidP="00E36728">
      <w:pPr>
        <w:pStyle w:val="InstructionsText2"/>
      </w:pPr>
      <w:r>
        <w:t>V rámci nástrojů a položek uvedených v odstavci 20 se rovněž zohledňují částky nástrojů, které splňují požadavky stanovené v článcích 92 nebo 92b nařízení (EU) č. 575/2013 nebo v článku 45 směrnice 2014/59/EU v souladu s použitelnými přechodnými ustanoveními.</w:t>
      </w:r>
    </w:p>
    <w:p w14:paraId="53BEC45A" w14:textId="0B58E749" w:rsidR="00F07E87" w:rsidRPr="00FB08AF" w:rsidRDefault="00F07E87" w:rsidP="00E36728">
      <w:pPr>
        <w:pStyle w:val="InstructionsText2"/>
      </w:pPr>
      <w:r>
        <w:t xml:space="preserve">Částky nástrojů uvedených v odst. 20 písm. a), b) a c) se vykazují po odečtení kapitálových investic do vlastních nástrojů podle čl. 36 odst. 1 písm. f), čl. 56 písm. a) a čl. 66 písm. a) nařízení (EU) č. 575/2013. </w:t>
      </w:r>
    </w:p>
    <w:p w14:paraId="587F91CD" w14:textId="329A01DA" w:rsidR="00F07E87" w:rsidRPr="00FB08AF" w:rsidRDefault="00F07E87" w:rsidP="00E36728">
      <w:pPr>
        <w:pStyle w:val="InstructionsText2"/>
      </w:pPr>
      <w:r>
        <w:t>Částky nástrojů uvedených v odst. 20 písm. a) až d) se vykazují před odečtením nevyužitých částek, pro něž bylo uděleno předběžné svolení.</w:t>
      </w:r>
    </w:p>
    <w:p w14:paraId="275B2F72" w14:textId="5ED34F87" w:rsidR="00C91BDF" w:rsidRPr="00FB08AF" w:rsidRDefault="00F942C9" w:rsidP="00E36728">
      <w:pPr>
        <w:pStyle w:val="InstructionsText2"/>
      </w:pPr>
      <w:r>
        <w:t>Subjekty, na které se nevztahuje povinnost splnit požadavek stanovený v článku 92b nařízení (EU) č. 575/2013, ale vztahuje se na ně povinnost splnit požadavek stanovený v článku 45 směrnice 2014/59/EU v souladu s článkem 45f uvedené směrnice, vykazují v této šabloně nástroje a položky uvedené v odstavci 20 tohoto oddílu, s výjimkou závazků vyloučených z rekapitalizace z vnitřních zdrojů uvedených v písmenu f) uvedeného odstavce.</w:t>
      </w:r>
    </w:p>
    <w:p w14:paraId="3C363ACA" w14:textId="4AF65FDD" w:rsidR="00F942C9" w:rsidRPr="00FB08AF" w:rsidRDefault="00586927" w:rsidP="00E36728">
      <w:pPr>
        <w:pStyle w:val="InstructionsText2"/>
      </w:pPr>
      <w:r>
        <w:t>Odchylně od odstavce 24 se uvedené subjekty mohou rozhodnout, že budou vykazovat stejný rozsah kapitálu a závazků, jaký je uveden v odstavci 20.</w:t>
      </w:r>
    </w:p>
    <w:p w14:paraId="2D11E02F" w14:textId="211DD7F3" w:rsidR="00453B42" w:rsidRPr="00FB08AF" w:rsidRDefault="00FC1379" w:rsidP="00E36728">
      <w:pPr>
        <w:pStyle w:val="InstructionsText2"/>
      </w:pPr>
      <w:r>
        <w:t xml:space="preserve">Subjekty, které ke dni podání této informace </w:t>
      </w:r>
      <w:proofErr w:type="gramStart"/>
      <w:r>
        <w:t>drží</w:t>
      </w:r>
      <w:proofErr w:type="gramEnd"/>
      <w:r>
        <w:t xml:space="preserve"> kapitál a způsobilé závazky ve výši alespoň 150 % požadavku uvedeného v čl. 45 odst. 1 směrnice </w:t>
      </w:r>
      <w:r>
        <w:lastRenderedPageBreak/>
        <w:t>2014/59/EU, jsou osvobozeny od vykazování údajů o jiných závazcích použitelných k rekapitalizaci z vnitřních zdrojů. Takové subjekty mohou předmětné údaje o jiných závazcích použitelných k rekapitalizaci z vnitřních zdrojů v této šabloně vykazovat dobrovolně.</w:t>
      </w:r>
    </w:p>
    <w:p w14:paraId="04EC4B94" w14:textId="2CAEDC93" w:rsidR="00C91ACB" w:rsidRPr="00FB08AF" w:rsidRDefault="00C91ACB" w:rsidP="00E36728">
      <w:pPr>
        <w:pStyle w:val="InstructionsText2"/>
      </w:pPr>
      <w:r>
        <w:t>Kombinace sloupců 0010 a 0020 je identifikátorem řádku, který je pro všechny řádky v šabloně jedinečný.</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t>Pokyny týkající se konkrétních pozic</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Sloupce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Odkazy na právní předpisy a pokyny</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Pořadí v úpadkovém řízení </w:t>
            </w:r>
          </w:p>
          <w:p w14:paraId="257C933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Uvede se pořadí v úpadkovém řízení v hierarchii věřitelů vykazujícího subjektu, počínaje nejméně prioritním pořadím.</w:t>
            </w:r>
          </w:p>
          <w:p w14:paraId="37284C2B" w14:textId="5590BC0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Pořadím v úpadkovém řízení se rozumí jedno z pořadí dle pořadí uspokojování pohledávek v úpadkovém řízení zveřejněného orgánem příslušným k řešení krize v dané jurisdikci.</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Druh věřitele </w:t>
            </w:r>
          </w:p>
          <w:p w14:paraId="65F1A0B3"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Druhem věřitele může být:</w:t>
            </w:r>
          </w:p>
          <w:p w14:paraId="01AEE8AB" w14:textId="77777777" w:rsidR="00C91ACB" w:rsidRPr="00FB08AF" w:rsidRDefault="00C91ACB"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„Subjekt řešící krizi“</w:t>
            </w:r>
            <w:r>
              <w:rPr>
                <w:rStyle w:val="FormatvorlageInstructionsTabelleText"/>
                <w:rFonts w:ascii="Times New Roman" w:hAnsi="Times New Roman"/>
                <w:sz w:val="24"/>
              </w:rPr>
              <w:br/>
              <w:t>Tato položka se v příslušných případech zvolí pro vykázání částek vlastněných přímo nebo nepřímo subjektem řešícím krizi prostřednictvím subjektů v rámci řetězce vlastnictví.</w:t>
            </w:r>
          </w:p>
          <w:p w14:paraId="2E20A258" w14:textId="77777777" w:rsidR="00C91ACB" w:rsidRPr="00FB08AF" w:rsidRDefault="00C91ACB" w:rsidP="00E36728">
            <w:pPr>
              <w:pStyle w:val="InstructionsText"/>
              <w:numPr>
                <w:ilvl w:val="0"/>
                <w:numId w:val="25"/>
              </w:numPr>
              <w:rPr>
                <w:rStyle w:val="InstructionsTabelleberschrift"/>
                <w:rFonts w:ascii="Times New Roman" w:hAnsi="Times New Roman"/>
                <w:sz w:val="24"/>
              </w:rPr>
            </w:pPr>
            <w:r>
              <w:rPr>
                <w:rStyle w:val="FormatvorlageInstructionsTabelleText"/>
                <w:rFonts w:ascii="Times New Roman" w:hAnsi="Times New Roman"/>
                <w:sz w:val="24"/>
              </w:rPr>
              <w:t>„Jiný subjekt než subjekt řešící krizi“</w:t>
            </w:r>
            <w:r>
              <w:rPr>
                <w:rStyle w:val="FormatvorlageInstructionsTabelleText"/>
                <w:rFonts w:ascii="Times New Roman" w:hAnsi="Times New Roman"/>
                <w:sz w:val="24"/>
              </w:rPr>
              <w:br/>
              <w:t>Tato položka se v příslušných případech zvolí pro vykázání částek vlastněných jinými věřiteli.</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Popis pořadí v úpadkovém řízení</w:t>
            </w:r>
          </w:p>
          <w:p w14:paraId="122A9954" w14:textId="50727B0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Popis obsažený v pořadí uspokojování pohledávek v úpadkovém řízení zveřejněném orgánem příslušným k řešení krize v dané jurisdikci, pokud je standardizovaný seznam včetně tohoto popisu k dispozici. V opačném případě vlastní popis pořadí v úpadkovém řízení vypracovaný institucí s uvedením alespoň hlavního druhu nástroje v příslušném pořadí v úpadkovém řízení.</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Závazky a kapitál</w:t>
            </w:r>
          </w:p>
          <w:p w14:paraId="03660D92" w14:textId="490D18A6" w:rsidR="00CA73FF"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Vykazuje se výše kapitálu, způsobilých závazků a v příslušných případech jiných závazků použitelných k rekapitalizaci z vnitřních zdrojů, která je přiřazena k příslušnému pořadí v úpadkovém řízení uvedenému ve sloupci 0010.</w:t>
            </w:r>
          </w:p>
          <w:p w14:paraId="3EAF0BAC" w14:textId="7A1FF05A" w:rsidR="00C91ACB" w:rsidRPr="00FB08AF" w:rsidRDefault="00CA73FF"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Tento sloupec v příslušných případech zahrnuje rovněž závazky vyloučené z rekapitalizace z vnitřních zdrojů v rozsahu, v jakém jsou na stejné úrovni jako kapitál a způsobilé závazky nebo jsou jim podřízené. </w:t>
            </w:r>
          </w:p>
          <w:p w14:paraId="7816F63A" w14:textId="75FF0FBE" w:rsidR="00586927" w:rsidRPr="00FB08AF" w:rsidRDefault="00586927" w:rsidP="00E36728">
            <w:pPr>
              <w:pStyle w:val="InstructionsText"/>
              <w:rPr>
                <w:rStyle w:val="FormatvorlageInstructionsTabelleText"/>
                <w:rFonts w:ascii="Times New Roman" w:hAnsi="Times New Roman"/>
                <w:sz w:val="24"/>
              </w:rPr>
            </w:pPr>
            <w:r>
              <w:t>V případě subjektů uvedených v odstavci 24 zůstane tento sloupec prázdný, pokud se tyto subjekty nerozhodnou, že použijí odchylku podle odstavce 25.</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lastRenderedPageBreak/>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vyloučené závazky</w:t>
            </w:r>
          </w:p>
          <w:p w14:paraId="6FB0E40C" w14:textId="550BD034"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Výše závazků vyloučených v souladu s čl.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odst. 2 nařízení (EU) č. 575/2013 nebo čl. 44 odst. 2 </w:t>
            </w:r>
            <w:r>
              <w:t>směrnice 2014/59/EU</w:t>
            </w:r>
            <w:r>
              <w:rPr>
                <w:rStyle w:val="FormatvorlageInstructionsTabelleText"/>
                <w:rFonts w:ascii="Times New Roman" w:hAnsi="Times New Roman"/>
                <w:sz w:val="24"/>
              </w:rPr>
              <w:t xml:space="preserve">. Pokud se orgán příslušný k řešení krize rozhodl, že vyloučí závazky v souladu s čl. 44 odst. 3 uvedené směrnice, </w:t>
            </w:r>
            <w:proofErr w:type="gramStart"/>
            <w:r>
              <w:rPr>
                <w:rStyle w:val="FormatvorlageInstructionsTabelleText"/>
                <w:rFonts w:ascii="Times New Roman" w:hAnsi="Times New Roman"/>
                <w:sz w:val="24"/>
              </w:rPr>
              <w:t>vykáží</w:t>
            </w:r>
            <w:proofErr w:type="gramEnd"/>
            <w:r>
              <w:rPr>
                <w:rStyle w:val="FormatvorlageInstructionsTabelleText"/>
                <w:rFonts w:ascii="Times New Roman" w:hAnsi="Times New Roman"/>
                <w:sz w:val="24"/>
              </w:rPr>
              <w:t xml:space="preserve"> se v tomto sloupci i tyto vyloučené závazky.</w:t>
            </w:r>
          </w:p>
          <w:p w14:paraId="2571716C" w14:textId="535D396F" w:rsidR="00586927" w:rsidRPr="00FB08AF" w:rsidRDefault="00586927" w:rsidP="00E36728">
            <w:pPr>
              <w:pStyle w:val="InstructionsText"/>
              <w:rPr>
                <w:rStyle w:val="FormatvorlageInstructionsTabelleText"/>
                <w:rFonts w:ascii="Times New Roman" w:hAnsi="Times New Roman"/>
                <w:sz w:val="24"/>
              </w:rPr>
            </w:pPr>
            <w:r>
              <w:t>V případě subjektů uvedených v odstavci 24 zůstane tento sloupec prázdný, pokud se tyto subjekty nerozhodnou, že použijí odchylku podle odstavce 25.</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Závazky a kapitál bez vyloučených závazků</w:t>
            </w:r>
          </w:p>
          <w:p w14:paraId="7EBBC66A" w14:textId="270A00CE" w:rsidR="00C91ACB" w:rsidRPr="00FB08AF" w:rsidRDefault="006B1D21"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Pokud subjekty vyplní sloupec 0040, vykáže se výše závazků a kapitálu uvedená ve sloupci 0040 snížená o výši vyloučených závazků vykázanou ve sloupci 0050.</w:t>
            </w:r>
          </w:p>
          <w:p w14:paraId="5A6ACD32" w14:textId="010EC8FF" w:rsidR="006B1D21" w:rsidRPr="00FB08AF" w:rsidRDefault="00B7734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Pokud subjekty nevyplní sloupec 0040, </w:t>
            </w:r>
            <w:proofErr w:type="gramStart"/>
            <w:r>
              <w:rPr>
                <w:rStyle w:val="FormatvorlageInstructionsTabelleText"/>
                <w:rFonts w:ascii="Times New Roman" w:hAnsi="Times New Roman"/>
                <w:sz w:val="24"/>
              </w:rPr>
              <w:t>vykáží</w:t>
            </w:r>
            <w:proofErr w:type="gramEnd"/>
            <w:r>
              <w:t xml:space="preserve"> v tomto sloupci kapitál a závazky způsobilé pro účely interního MREL. Jiné závazky použitelné k rekapitalizaci z vnitřních zdrojů se v tomto sloupci vykazují za podmínek uvedených v odstavci 26.</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kapitál a způsobilé závazky pro účely interního MREL</w:t>
            </w:r>
          </w:p>
          <w:p w14:paraId="61B28CDA" w14:textId="2F99546E"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Vykazuje se výše kapitálu a způsobilých závazků započítávaných do interního MREL v souladu s čl. 45f odst. 2</w:t>
            </w:r>
            <w:r>
              <w:t xml:space="preserve"> směrnice 2014/59/EU</w:t>
            </w:r>
            <w:r>
              <w:rPr>
                <w:rStyle w:val="FormatvorlageInstructionsTabelleText"/>
                <w:rFonts w:ascii="Times New Roman" w:hAnsi="Times New Roman"/>
                <w:sz w:val="24"/>
              </w:rPr>
              <w:t>.</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0080–0110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Z toho: se zbytkovou splatností</w:t>
            </w:r>
          </w:p>
          <w:p w14:paraId="747045F9" w14:textId="55F8A8A2"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Výše kapitálu a způsobilých závazků započítávaných do interního MREL uvedená ve sloupci 0070 se rozčlení podle zbytkové splatnosti jednotlivých nástrojů a položek. Nástroje a položky věčné povahy se do tohoto rozčlenění nezahrnou, ale </w:t>
            </w:r>
            <w:proofErr w:type="gramStart"/>
            <w:r>
              <w:rPr>
                <w:rStyle w:val="FormatvorlageInstructionsTabelleText"/>
                <w:rFonts w:ascii="Times New Roman" w:hAnsi="Times New Roman"/>
                <w:sz w:val="24"/>
              </w:rPr>
              <w:t>vykáží</w:t>
            </w:r>
            <w:proofErr w:type="gramEnd"/>
            <w:r>
              <w:rPr>
                <w:rStyle w:val="FormatvorlageInstructionsTabelleText"/>
                <w:rFonts w:ascii="Times New Roman" w:hAnsi="Times New Roman"/>
                <w:sz w:val="24"/>
              </w:rPr>
              <w:t xml:space="preserve"> se samostatně ve sloupci 0120.</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rok </w:t>
            </w:r>
            <w:proofErr w:type="gramStart"/>
            <w:r>
              <w:rPr>
                <w:rStyle w:val="InstructionsTabelleberschrift"/>
                <w:rFonts w:ascii="Times New Roman" w:hAnsi="Times New Roman"/>
                <w:sz w:val="24"/>
              </w:rPr>
              <w:t>&lt; 2</w:t>
            </w:r>
            <w:proofErr w:type="gramEnd"/>
            <w:r>
              <w:rPr>
                <w:rStyle w:val="InstructionsTabelleberschrift"/>
                <w:rFonts w:ascii="Times New Roman" w:hAnsi="Times New Roman"/>
                <w:sz w:val="24"/>
              </w:rPr>
              <w:t xml:space="preserve"> roky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2 roky </w:t>
            </w:r>
            <w:proofErr w:type="gramStart"/>
            <w:r>
              <w:rPr>
                <w:rStyle w:val="InstructionsTabelleberschrift"/>
                <w:rFonts w:ascii="Times New Roman" w:hAnsi="Times New Roman"/>
                <w:sz w:val="24"/>
              </w:rPr>
              <w:t>&lt; 5</w:t>
            </w:r>
            <w:proofErr w:type="gramEnd"/>
            <w:r>
              <w:rPr>
                <w:rStyle w:val="InstructionsTabelleberschrift"/>
                <w:rFonts w:ascii="Times New Roman" w:hAnsi="Times New Roman"/>
                <w:sz w:val="24"/>
              </w:rPr>
              <w:t xml:space="preserve"> let</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5 let </w:t>
            </w:r>
            <w:proofErr w:type="gramStart"/>
            <w:r>
              <w:rPr>
                <w:rStyle w:val="InstructionsTabelleberschrift"/>
                <w:rFonts w:ascii="Times New Roman" w:hAnsi="Times New Roman"/>
                <w:sz w:val="24"/>
              </w:rPr>
              <w:t>&lt; 10</w:t>
            </w:r>
            <w:proofErr w:type="gramEnd"/>
            <w:r>
              <w:rPr>
                <w:rStyle w:val="InstructionsTabelleberschrift"/>
                <w:rFonts w:ascii="Times New Roman" w:hAnsi="Times New Roman"/>
                <w:sz w:val="24"/>
              </w:rPr>
              <w:t xml:space="preserve"> let</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10 let</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věčné cenné papíry</w:t>
            </w:r>
          </w:p>
          <w:p w14:paraId="1526BF49" w14:textId="314313E1" w:rsidR="004B37F2" w:rsidRPr="00FB08AF" w:rsidRDefault="00B45720"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Do tohoto sloupce se zařadí věčné cenné papíry a všechny položky kmenového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1, jakož i emisní ážio u nástrojů zahrnovaných do vedlejšího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1 a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2 zahrnutých do rozsahu této šablony.</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t>M 06.00 – Pořadí věřitelů (subjekty řešící krizi) (RANK)</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t>Obecné poznámky</w:t>
      </w:r>
      <w:bookmarkEnd w:id="71"/>
      <w:bookmarkEnd w:id="72"/>
      <w:bookmarkEnd w:id="73"/>
    </w:p>
    <w:p w14:paraId="5542EFDB" w14:textId="45CDB215" w:rsidR="00322A0F" w:rsidRPr="00FB08AF" w:rsidRDefault="00586927" w:rsidP="00E36728">
      <w:pPr>
        <w:pStyle w:val="InstructionsText2"/>
      </w:pPr>
      <w:r>
        <w:t xml:space="preserve">Subjekty, na které se vztahuje povinnost splnit požadavek stanovený v článku 92a nařízení (EU) č. 575/2013, vykazují v této šabloně: </w:t>
      </w:r>
    </w:p>
    <w:p w14:paraId="6279EFD7" w14:textId="7F35A1E6" w:rsidR="00322A0F" w:rsidRPr="00FB08AF" w:rsidRDefault="00322A0F" w:rsidP="00E36728">
      <w:pPr>
        <w:pStyle w:val="InstructionsText2"/>
        <w:numPr>
          <w:ilvl w:val="1"/>
          <w:numId w:val="15"/>
        </w:numPr>
      </w:pPr>
      <w:r>
        <w:t xml:space="preserve">položky kmenového kapitálu </w:t>
      </w:r>
      <w:proofErr w:type="spellStart"/>
      <w:r>
        <w:t>tier</w:t>
      </w:r>
      <w:proofErr w:type="spellEnd"/>
      <w:r>
        <w:t xml:space="preserve"> 1 uvedené v článku 26 nařízení (EU) č. 575/2013;</w:t>
      </w:r>
    </w:p>
    <w:p w14:paraId="7AF30828" w14:textId="4790DF54" w:rsidR="00322A0F" w:rsidRPr="00FB08AF" w:rsidRDefault="00322A0F" w:rsidP="00E36728">
      <w:pPr>
        <w:pStyle w:val="InstructionsText2"/>
        <w:numPr>
          <w:ilvl w:val="1"/>
          <w:numId w:val="15"/>
        </w:numPr>
      </w:pPr>
      <w:r>
        <w:lastRenderedPageBreak/>
        <w:t xml:space="preserve">položky vedlejšího kapitálu </w:t>
      </w:r>
      <w:proofErr w:type="spellStart"/>
      <w:r>
        <w:t>tier</w:t>
      </w:r>
      <w:proofErr w:type="spellEnd"/>
      <w:r>
        <w:t xml:space="preserve"> 1 uvedené v článku 51 nařízení (EU) č. 575/2013;</w:t>
      </w:r>
    </w:p>
    <w:p w14:paraId="7BBA0777" w14:textId="77DA25EB" w:rsidR="001C4D81" w:rsidRPr="00FB08AF" w:rsidRDefault="00322A0F" w:rsidP="00E36728">
      <w:pPr>
        <w:pStyle w:val="InstructionsText2"/>
        <w:numPr>
          <w:ilvl w:val="1"/>
          <w:numId w:val="15"/>
        </w:numPr>
      </w:pPr>
      <w:r>
        <w:t xml:space="preserve">nástroje zahrnované do kapitálu </w:t>
      </w:r>
      <w:proofErr w:type="spellStart"/>
      <w:r>
        <w:t>tier</w:t>
      </w:r>
      <w:proofErr w:type="spellEnd"/>
      <w:r>
        <w:t xml:space="preserve"> 2 a související emisní ážio podle čl. 62 písm. a) a b) nařízení (EU) č. 575/2013, včetně umořené části nástroje, která není uznána pro účely splnění požadavků stanovených v článcích 92 nebo 92a nařízení (EU) č. 575/2013 nebo v článku 45 směrnice 2014/59/EU; </w:t>
      </w:r>
    </w:p>
    <w:p w14:paraId="66755AB2" w14:textId="7027C9DC" w:rsidR="001C4D81" w:rsidRPr="00FB08AF" w:rsidRDefault="001C4D81" w:rsidP="00E36728">
      <w:pPr>
        <w:pStyle w:val="InstructionsText2"/>
        <w:numPr>
          <w:ilvl w:val="1"/>
          <w:numId w:val="15"/>
        </w:numPr>
      </w:pPr>
      <w:r>
        <w:t xml:space="preserve">nástroje závazků způsobilé ke splnění MREL; </w:t>
      </w:r>
    </w:p>
    <w:p w14:paraId="3F253CA0" w14:textId="4177F2DC" w:rsidR="001C4D81" w:rsidRPr="00FB08AF" w:rsidRDefault="001C4D81" w:rsidP="00E36728">
      <w:pPr>
        <w:pStyle w:val="InstructionsText2"/>
        <w:numPr>
          <w:ilvl w:val="1"/>
          <w:numId w:val="15"/>
        </w:numPr>
      </w:pPr>
      <w:r>
        <w:t>jiné závazky použitelné k rekapitalizaci z vnitřních zdrojů;</w:t>
      </w:r>
    </w:p>
    <w:p w14:paraId="5A6C0462" w14:textId="4A21FFB8" w:rsidR="00586927" w:rsidRPr="00FB08AF" w:rsidRDefault="001C4D81" w:rsidP="00E36728">
      <w:pPr>
        <w:pStyle w:val="InstructionsText2"/>
        <w:numPr>
          <w:ilvl w:val="1"/>
          <w:numId w:val="15"/>
        </w:numPr>
      </w:pPr>
      <w:r>
        <w:t xml:space="preserve">závazky vyloučené z rekapitalizace z vnitřních zdrojů; uvedené závazky se zahrnou v rozsahu, v jakém jsou na stejné úrovni jako jakýkoli nástroj zahrnutý do výše způsobilých závazků pro účely MREL nebo jsou mu podřízené. </w:t>
      </w:r>
    </w:p>
    <w:p w14:paraId="00E6E45F" w14:textId="155C153B" w:rsidR="001C4D81" w:rsidRPr="00FB08AF" w:rsidRDefault="00B45720" w:rsidP="00E36728">
      <w:pPr>
        <w:pStyle w:val="InstructionsText2"/>
      </w:pPr>
      <w:r>
        <w:t>V rámci nástrojů a položek uvedených v odstavci 28 se rovněž zohledňují částky nástrojů, které splňují požadavky stanovené v článcích 92 nebo 92a nařízení (EU) č. 575/2013 nebo v článku 45 směrnice 2014/59/EU v souladu s použitelnými přechodnými ustanoveními.</w:t>
      </w:r>
    </w:p>
    <w:p w14:paraId="13BF79C7" w14:textId="449C5518" w:rsidR="00322A0F" w:rsidRPr="00FB08AF" w:rsidRDefault="00586927" w:rsidP="00E36728">
      <w:pPr>
        <w:pStyle w:val="InstructionsText2"/>
      </w:pPr>
      <w:r>
        <w:t xml:space="preserve">Subjekty, na které se nevztahuje povinnost splnit požadavek stanovený v článku 92a nařízení (EU) č. 575/2013, ale vztahuje se na ně povinnost splnit požadavek stanovený v článku 45 směrnice 2014/59/EU v souladu s článkem 45e uvedené směrnice, vykazují v této šabloně nástroje a položky uvedené v odstavci 28 tohoto oddílu, s výjimkou závazků vyloučených z rekapitalizace z vnitřních zdrojů uvedených v písmenu f) uvedeného odstavce. </w:t>
      </w:r>
    </w:p>
    <w:p w14:paraId="7CF10E5F" w14:textId="23B22620" w:rsidR="00586927" w:rsidRPr="00FB08AF" w:rsidRDefault="00322A0F" w:rsidP="00E36728">
      <w:pPr>
        <w:pStyle w:val="InstructionsText2"/>
      </w:pPr>
      <w:r>
        <w:t>Odchylně od odstavce 30 se uvedené subjekty mohou rozhodnout, že budou vykazovat stejný rozsah kapitálu a závazků, jaký je uveden v odstavci 28.</w:t>
      </w:r>
    </w:p>
    <w:p w14:paraId="42EA1386" w14:textId="70CEE922" w:rsidR="00904685" w:rsidRPr="00FB08AF" w:rsidRDefault="00904685" w:rsidP="00E36728">
      <w:pPr>
        <w:pStyle w:val="InstructionsText2"/>
      </w:pPr>
      <w:r>
        <w:t xml:space="preserve">Částky nástrojů uvedených v odst. 28 písm. a), b) a c) se vykazují po odečtení kapitálových investic do vlastních nástrojů podle čl. 36 odst. 1 písm. f), čl. 56 písm. a) a čl. 66 písm. a) nařízení (EU) č. 575/2013. </w:t>
      </w:r>
    </w:p>
    <w:p w14:paraId="28FBE016" w14:textId="3E3D56AA" w:rsidR="00904685" w:rsidRPr="00FB08AF" w:rsidRDefault="00904685" w:rsidP="00E36728">
      <w:pPr>
        <w:pStyle w:val="InstructionsText2"/>
      </w:pPr>
      <w:r>
        <w:t>Částky nástrojů uvedených v odst. 28 písm. a) až d) se vykazují před odečtením nevyužitých částek, pro něž bylo uděleno předběžné svolení.</w:t>
      </w:r>
    </w:p>
    <w:p w14:paraId="56113AA6" w14:textId="51BD8668" w:rsidR="00453B42" w:rsidRPr="00FB08AF" w:rsidRDefault="00FC1379" w:rsidP="00E36728">
      <w:pPr>
        <w:pStyle w:val="InstructionsText2"/>
      </w:pPr>
      <w:r>
        <w:t xml:space="preserve">Subjekty, které ke dni podání této informace </w:t>
      </w:r>
      <w:proofErr w:type="gramStart"/>
      <w:r>
        <w:t>drží</w:t>
      </w:r>
      <w:proofErr w:type="gramEnd"/>
      <w:r>
        <w:t xml:space="preserve"> kapitál a způsobilé závazky ve výši alespoň 150 % požadavku uvedeného v čl. 45 odst. 1 směrnice 2014/59/EU, jsou osvobozeny od vykazování údajů o jiných závazcích použitelných k rekapitalizaci z vnitřních zdrojů. Takové subjekty mohou předmětné údaje o jiných závazcích použitelných k rekapitalizaci z vnitřních zdrojů v této šabloně vykazovat dobrovolně.</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t>Pokyny týkající se konkrétních pozic</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Sloupce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Odkazy na právní předpisy a pokyny</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Pořadí v úpadkovém řízení</w:t>
            </w:r>
          </w:p>
          <w:p w14:paraId="7434ED16" w14:textId="77777777" w:rsidR="00C91ACB" w:rsidRPr="00FB08AF" w:rsidRDefault="00C91ACB" w:rsidP="00762AE8">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Viz pokyny ke sloupci 0010 šablony M 05.00</w:t>
            </w:r>
          </w:p>
          <w:p w14:paraId="4BDEE699" w14:textId="2E13107A" w:rsidR="002D5E59" w:rsidRPr="00FB08AF" w:rsidRDefault="002D5E59" w:rsidP="00C271AC">
            <w:r>
              <w:rPr>
                <w:rStyle w:val="FormatvorlageInstructionsTabelleText"/>
                <w:rFonts w:ascii="Times New Roman" w:hAnsi="Times New Roman"/>
                <w:sz w:val="24"/>
              </w:rPr>
              <w:lastRenderedPageBreak/>
              <w:t>Tento sloupec je identifikátorem řádku, který je pro všechny řádky v šabloně jedinečný.</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Popis pořadí v úpadkovém řízení</w:t>
            </w:r>
          </w:p>
          <w:p w14:paraId="307D484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Viz pokyny ke sloupci 0030 šablony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Závazky a kapitál </w:t>
            </w:r>
          </w:p>
          <w:p w14:paraId="1EB9D7FE" w14:textId="2BE7FDA6"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Vykazuje se výše kapitálu, způsobilých závazků a v příslušných případech jiných závazků použitelných k rekapitalizaci z vnitřních zdrojů, která je přiřazena k příslušnému pořadí v úpadkovém řízení uvedenému ve sloupci 0010.</w:t>
            </w:r>
          </w:p>
          <w:p w14:paraId="0FCAB71E" w14:textId="124EF6C2" w:rsidR="00C91ACB" w:rsidRPr="00FB08AF" w:rsidRDefault="0036208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Tento sloupec v příslušných případech zahrnuje rovněž závazky vyloučené z rekapitalizace z vnitřních zdrojů v rozsahu, v jakém jsou na stejné úrovni jako způsobilé závazky nebo jsou jim podřízené.</w:t>
            </w:r>
          </w:p>
          <w:p w14:paraId="43425123" w14:textId="125BD30B" w:rsidR="00586927" w:rsidRPr="00FB08AF" w:rsidRDefault="00586927" w:rsidP="00E36728">
            <w:pPr>
              <w:pStyle w:val="InstructionsText"/>
              <w:rPr>
                <w:rStyle w:val="FormatvorlageInstructionsTabelleText"/>
                <w:rFonts w:ascii="Times New Roman" w:hAnsi="Times New Roman"/>
                <w:sz w:val="24"/>
              </w:rPr>
            </w:pPr>
            <w:r>
              <w:t>V případě subjektů uvedených v odstavci 30 zůstane tento sloupec prázdný, pokud se tyto subjekty nerozhodnou, že použijí odchylku podle odstavce 31.</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vyloučené závazky</w:t>
            </w:r>
          </w:p>
          <w:p w14:paraId="26F592C4" w14:textId="0CB68218" w:rsidR="00586927" w:rsidRPr="00FB08AF" w:rsidRDefault="0058692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Výše závazků vyloučených podle čl. </w:t>
            </w:r>
            <w:proofErr w:type="gramStart"/>
            <w:r>
              <w:rPr>
                <w:rStyle w:val="FormatvorlageInstructionsTabelleText"/>
                <w:rFonts w:ascii="Times New Roman" w:hAnsi="Times New Roman"/>
                <w:sz w:val="24"/>
              </w:rPr>
              <w:t>72a</w:t>
            </w:r>
            <w:proofErr w:type="gramEnd"/>
            <w:r>
              <w:rPr>
                <w:rStyle w:val="FormatvorlageInstructionsTabelleText"/>
                <w:rFonts w:ascii="Times New Roman" w:hAnsi="Times New Roman"/>
                <w:sz w:val="24"/>
              </w:rPr>
              <w:t xml:space="preserve"> odst. 2 </w:t>
            </w:r>
            <w:r>
              <w:t>nařízení (EU) č. 575/2013</w:t>
            </w:r>
            <w:r>
              <w:rPr>
                <w:rStyle w:val="FormatvorlageInstructionsTabelleText"/>
                <w:rFonts w:ascii="Times New Roman" w:hAnsi="Times New Roman"/>
                <w:sz w:val="24"/>
              </w:rPr>
              <w:t xml:space="preserve"> nebo čl. 44 odst. 2 </w:t>
            </w:r>
            <w:r>
              <w:t>směrnice 2014/59/EU</w:t>
            </w:r>
            <w:r>
              <w:rPr>
                <w:rStyle w:val="FormatvorlageInstructionsTabelleText"/>
                <w:rFonts w:ascii="Times New Roman" w:hAnsi="Times New Roman"/>
                <w:sz w:val="24"/>
              </w:rPr>
              <w:t>.</w:t>
            </w:r>
          </w:p>
          <w:p w14:paraId="2F6500DE" w14:textId="50FC43DE" w:rsidR="00586927" w:rsidRPr="00FB08AF" w:rsidRDefault="00586927" w:rsidP="00E36728">
            <w:pPr>
              <w:pStyle w:val="InstructionsText"/>
              <w:rPr>
                <w:rStyle w:val="FormatvorlageInstructionsTabelleText"/>
                <w:rFonts w:ascii="Times New Roman" w:hAnsi="Times New Roman"/>
                <w:sz w:val="24"/>
              </w:rPr>
            </w:pPr>
            <w:r>
              <w:t>V případě subjektů uvedených v odstavci 30 zůstane tento sloupec prázdný, pokud se tyto subjekty nerozhodnou, že použijí odchylku podle odstavce 31.</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Závazky a kapitál bez vyloučených závazků</w:t>
            </w:r>
          </w:p>
          <w:p w14:paraId="45F28248" w14:textId="78C48931" w:rsidR="00C91ACB" w:rsidRPr="00FB08AF" w:rsidRDefault="0000147E" w:rsidP="00CA73FF">
            <w:pPr>
              <w:pStyle w:val="Applicationdirecte"/>
              <w:spacing w:before="120"/>
              <w:rPr>
                <w:rStyle w:val="FormatvorlageInstructionsTabelleText"/>
                <w:rFonts w:ascii="Times New Roman" w:hAnsi="Times New Roman"/>
                <w:sz w:val="24"/>
              </w:rPr>
            </w:pPr>
            <w:r>
              <w:rPr>
                <w:rStyle w:val="FormatvorlageInstructionsTabelleText"/>
                <w:rFonts w:ascii="Times New Roman" w:hAnsi="Times New Roman"/>
                <w:sz w:val="24"/>
              </w:rPr>
              <w:t>Pokud subjekty vyplní sloupec 0030, vykáže se výše závazků a kapitálu uvedená ve sloupci 0030 snížená o výši vyloučených závazků vykázanou ve sloupci 0040.</w:t>
            </w:r>
          </w:p>
          <w:p w14:paraId="0B40F998" w14:textId="26D00C12" w:rsidR="0000147E" w:rsidRPr="00FB08AF" w:rsidRDefault="0000147E" w:rsidP="0000147E">
            <w:r>
              <w:rPr>
                <w:rStyle w:val="FormatvorlageInstructionsTabelleText"/>
                <w:rFonts w:ascii="Times New Roman" w:hAnsi="Times New Roman"/>
                <w:sz w:val="24"/>
              </w:rPr>
              <w:t xml:space="preserve">Pokud subjekty nevyplní sloupec 0030, </w:t>
            </w:r>
            <w:proofErr w:type="gramStart"/>
            <w:r>
              <w:rPr>
                <w:rStyle w:val="FormatvorlageInstructionsTabelleText"/>
                <w:rFonts w:ascii="Times New Roman" w:hAnsi="Times New Roman"/>
                <w:sz w:val="24"/>
              </w:rPr>
              <w:t>vykáží</w:t>
            </w:r>
            <w:proofErr w:type="gramEnd"/>
            <w:r>
              <w:rPr>
                <w:rStyle w:val="FormatvorlageInstructionsTabelleText"/>
                <w:rFonts w:ascii="Times New Roman" w:hAnsi="Times New Roman"/>
                <w:sz w:val="24"/>
              </w:rPr>
              <w:t xml:space="preserve"> v tomto sloupci kapitál a závazky způsobilé pro účely MREL. Jiné závazky použitelné k rekapitalizaci z vnitřních zdrojů se v tomto sloupci vykazují za podmínek uvedených v odstavci 34.</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kapitál a závazky potenciálně způsobilé ke splnění MREL</w:t>
            </w:r>
          </w:p>
          <w:p w14:paraId="6B93C8A8" w14:textId="166BDE57" w:rsidR="00C91ACB" w:rsidRPr="00FB08AF" w:rsidRDefault="00C91ACB" w:rsidP="00FC6662">
            <w:pPr>
              <w:rPr>
                <w:rStyle w:val="FormatvorlageInstructionsTabelleText"/>
                <w:rFonts w:ascii="Times New Roman" w:hAnsi="Times New Roman"/>
                <w:sz w:val="24"/>
              </w:rPr>
            </w:pPr>
            <w:r>
              <w:rPr>
                <w:rStyle w:val="FormatvorlageInstructionsTabelleText"/>
                <w:rFonts w:ascii="Times New Roman" w:hAnsi="Times New Roman"/>
                <w:sz w:val="24"/>
              </w:rPr>
              <w:t>Výše kapitálu a závazků způsobilých pro účely splnění požadavků stanovených v článku 45 směrnice 2014/59/EU v souladu s článkem 45e uvedené směrnice.</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rFonts w:ascii="Times New Roman" w:hAnsi="Times New Roman"/>
                <w:sz w:val="24"/>
              </w:rPr>
            </w:pPr>
            <w:r>
              <w:t>0070–0100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rFonts w:ascii="Times New Roman" w:hAnsi="Times New Roman"/>
                <w:b/>
                <w:sz w:val="24"/>
                <w:u w:val="single"/>
              </w:rPr>
            </w:pPr>
            <w:r>
              <w:rPr>
                <w:rStyle w:val="FormatvorlageInstructionsTabelleText"/>
                <w:rFonts w:ascii="Times New Roman" w:hAnsi="Times New Roman"/>
                <w:b/>
                <w:sz w:val="24"/>
                <w:u w:val="single"/>
              </w:rPr>
              <w:t>Z toho: se zbytkovou splatností</w:t>
            </w:r>
          </w:p>
          <w:p w14:paraId="4B3D0A8C" w14:textId="433D743D" w:rsidR="00C91ACB" w:rsidRPr="00FB08AF" w:rsidDel="001B3CDA" w:rsidRDefault="00C91ACB"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Výše kapitálu a závazků způsobilých pro účely splnění požadavku stanoveného v článku 45 směrnice 2014/59/EU v souladu s článkem 45e uvedené směrnice, která je uvedena ve sloupci 0060, se rozčlení podle zbytkové splatnosti jednotlivých nástrojů a položek. Nástroje a položky věčné povahy se do tohoto rozčlenění nezahrnou, ale </w:t>
            </w:r>
            <w:proofErr w:type="gramStart"/>
            <w:r>
              <w:rPr>
                <w:rStyle w:val="FormatvorlageInstructionsTabelleText"/>
                <w:rFonts w:ascii="Times New Roman" w:hAnsi="Times New Roman"/>
                <w:sz w:val="24"/>
              </w:rPr>
              <w:t>vykáží</w:t>
            </w:r>
            <w:proofErr w:type="gramEnd"/>
            <w:r>
              <w:rPr>
                <w:rStyle w:val="FormatvorlageInstructionsTabelleText"/>
                <w:rFonts w:ascii="Times New Roman" w:hAnsi="Times New Roman"/>
                <w:sz w:val="24"/>
              </w:rPr>
              <w:t xml:space="preserve"> se samostatně ve sloupci 0110.</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rFonts w:ascii="Times New Roman" w:hAnsi="Times New Roman"/>
                <w:sz w:val="24"/>
              </w:rPr>
            </w:pPr>
            <w:r>
              <w:rPr>
                <w:rStyle w:val="InstructionsTabelleberschrift"/>
                <w:rFonts w:ascii="Times New Roman" w:hAnsi="Times New Roman"/>
                <w:sz w:val="24"/>
              </w:rPr>
              <w:t xml:space="preserve">≥ 1 rok </w:t>
            </w:r>
            <w:proofErr w:type="gramStart"/>
            <w:r>
              <w:rPr>
                <w:rStyle w:val="InstructionsTabelleberschrift"/>
                <w:rFonts w:ascii="Times New Roman" w:hAnsi="Times New Roman"/>
                <w:sz w:val="24"/>
              </w:rPr>
              <w:t>&lt; 2</w:t>
            </w:r>
            <w:proofErr w:type="gramEnd"/>
            <w:r>
              <w:rPr>
                <w:rStyle w:val="InstructionsTabelleberschrift"/>
                <w:rFonts w:ascii="Times New Roman" w:hAnsi="Times New Roman"/>
                <w:sz w:val="24"/>
              </w:rPr>
              <w:t xml:space="preserve"> roky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2 roky </w:t>
            </w:r>
            <w:proofErr w:type="gramStart"/>
            <w:r>
              <w:rPr>
                <w:rStyle w:val="InstructionsTabelleberschrift"/>
                <w:rFonts w:ascii="Times New Roman" w:hAnsi="Times New Roman"/>
                <w:sz w:val="24"/>
              </w:rPr>
              <w:t>&lt; 5</w:t>
            </w:r>
            <w:proofErr w:type="gramEnd"/>
            <w:r>
              <w:rPr>
                <w:rStyle w:val="InstructionsTabelleberschrift"/>
                <w:rFonts w:ascii="Times New Roman" w:hAnsi="Times New Roman"/>
                <w:sz w:val="24"/>
              </w:rPr>
              <w:t xml:space="preserve"> let</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 5 let </w:t>
            </w:r>
            <w:proofErr w:type="gramStart"/>
            <w:r>
              <w:rPr>
                <w:rStyle w:val="InstructionsTabelleberschrift"/>
                <w:rFonts w:ascii="Times New Roman" w:hAnsi="Times New Roman"/>
                <w:sz w:val="24"/>
              </w:rPr>
              <w:t>&lt; 10</w:t>
            </w:r>
            <w:proofErr w:type="gramEnd"/>
            <w:r>
              <w:rPr>
                <w:rStyle w:val="InstructionsTabelleberschrift"/>
                <w:rFonts w:ascii="Times New Roman" w:hAnsi="Times New Roman"/>
                <w:sz w:val="24"/>
              </w:rPr>
              <w:t xml:space="preserve"> let</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 10 let</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Z toho: věčné cenné papíry</w:t>
            </w:r>
          </w:p>
          <w:p w14:paraId="19006E90" w14:textId="474EA0B1" w:rsidR="00322A0F" w:rsidRPr="00FB08AF" w:rsidRDefault="007C224A"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Do tohoto sloupce se zařadí věčné cenné papíry a všechny položky kmenového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1, jakož i emisní ážio u nástrojů zahrnovaných do vedlejšího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1 a kapitálu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2 zahrnutých do rozsahu této šablony.</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t>M 07.00 – Nástroje, které se řídí právem třetí země (MTCI)</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t>Obecné poznámky</w:t>
      </w:r>
      <w:bookmarkEnd w:id="81"/>
      <w:bookmarkEnd w:id="82"/>
    </w:p>
    <w:p w14:paraId="38DE6937" w14:textId="1FE5439B" w:rsidR="00ED05AC" w:rsidRPr="00FB08AF" w:rsidRDefault="00962059" w:rsidP="00E36728">
      <w:pPr>
        <w:pStyle w:val="InstructionsText2"/>
      </w:pPr>
      <w:r>
        <w:t>Šablona M 07.00 rozčleňuje podle smluv nástroje, které se považují za kapitál a způsobilé závazky pro účely MREL. V této šabloně se uvádí pouze nástroje, které se řídí právem třetí země.</w:t>
      </w:r>
    </w:p>
    <w:p w14:paraId="058C983F" w14:textId="395F6621" w:rsidR="00810663" w:rsidRPr="00FB08AF" w:rsidRDefault="003677E2" w:rsidP="00E36728">
      <w:pPr>
        <w:pStyle w:val="InstructionsText2"/>
      </w:pPr>
      <w:r>
        <w:t>V souvislosti se způsobilými závazky, které nejsou podřízené vyloučeným závazkům, vykazují subjekty pouze cenné papíry, které jsou zastupitelnými obchodovatelnými finančními nástroji, s výjimkou úvěrů a vkladů.</w:t>
      </w:r>
    </w:p>
    <w:p w14:paraId="7F675B40" w14:textId="6125AF03" w:rsidR="00FC1379" w:rsidRPr="00FB08AF" w:rsidRDefault="00B40AC1" w:rsidP="00E36728">
      <w:pPr>
        <w:pStyle w:val="InstructionsText2"/>
      </w:pPr>
      <w:r>
        <w:t xml:space="preserve">Pokud nástroj částečně splňuje podmínky dvou různých tříd kapitálu nebo způsobilých závazků, vykáže se dvakrát, aby byly reflektovány částky, které jsou jednotlivě přiřazeny různým kapitálovým třídám. </w:t>
      </w:r>
    </w:p>
    <w:p w14:paraId="4D79951A" w14:textId="26C7050A" w:rsidR="00043DC2" w:rsidRPr="00FB08AF" w:rsidRDefault="00ED05AC" w:rsidP="00E36728">
      <w:pPr>
        <w:pStyle w:val="InstructionsText2"/>
      </w:pPr>
      <w:r>
        <w:t>Kombinací sloupců 0020 (kód emitenta), 0040 (identifikační kód smlouvy) a 0070 (druh kapitálu nebo způsobilých závazků) se získá identifikátor řádku, který je pro každý vykázaný řádek v šabloně jedinečný.</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t>Pokyny týkající se konkrétních pozic</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Sloupce</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Odkazy na právní předpisy a pokyny</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rFonts w:ascii="Times New Roman" w:hAnsi="Times New Roman"/>
                <w:sz w:val="24"/>
              </w:rPr>
              <w:t>0010–0030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Emitent</w:t>
            </w:r>
          </w:p>
          <w:p w14:paraId="05F6543E" w14:textId="28A11EDA" w:rsidR="00043DC2" w:rsidRPr="00FB08AF" w:rsidRDefault="00DA4A88" w:rsidP="00E36728">
            <w:pPr>
              <w:pStyle w:val="InstructionsText"/>
            </w:pPr>
            <w:r>
              <w:rPr>
                <w:rStyle w:val="FormatvorlageInstructionsTabelleText"/>
                <w:rFonts w:ascii="Times New Roman" w:hAnsi="Times New Roman"/>
                <w:sz w:val="24"/>
              </w:rPr>
              <w:t>Pokud jsou informace vykazovány za skupinu řešící krizi, uvede se subjekt skupiny, který příslušný nástroj vydal. Pokud jsou informace vykazovány za jediný subjekt řešící krizi, je emitentem vykazující subjekt.</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rFonts w:ascii="Times New Roman" w:hAnsi="Times New Roman"/>
                <w:sz w:val="24"/>
              </w:rPr>
              <w:t>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Název</w:t>
            </w:r>
          </w:p>
          <w:p w14:paraId="2FB63179" w14:textId="5B49BA2B" w:rsidR="00ED05AC" w:rsidRPr="00FB08AF" w:rsidRDefault="00ED05AC" w:rsidP="00E36728">
            <w:pPr>
              <w:pStyle w:val="InstructionsText"/>
              <w:rPr>
                <w:b/>
              </w:rPr>
            </w:pPr>
            <w:r>
              <w:rPr>
                <w:rStyle w:val="FormatvorlageInstructionsTabelleText"/>
                <w:rFonts w:ascii="Times New Roman" w:hAnsi="Times New Roman"/>
                <w:sz w:val="24"/>
              </w:rPr>
              <w:t>Název subjektu, který kapitálový nástroj nebo nástroj způsobilých závazků vydal.</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rFonts w:ascii="Times New Roman" w:hAnsi="Times New Roman"/>
                <w:sz w:val="24"/>
              </w:rPr>
              <w:t>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Kód</w:t>
            </w:r>
          </w:p>
          <w:p w14:paraId="2EE9B378" w14:textId="77777777" w:rsidR="00ED05AC" w:rsidRPr="00FB08AF" w:rsidRDefault="00ED05AC"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Kód subjektu, který kapitálový nástroj nebo nástroj způsobilých závazků vydal.</w:t>
            </w:r>
          </w:p>
          <w:p w14:paraId="5C534D19" w14:textId="03170FCB" w:rsidR="00ED05AC" w:rsidRPr="00FB08AF" w:rsidRDefault="0047023B" w:rsidP="00E36728">
            <w:pPr>
              <w:pStyle w:val="InstructionsText"/>
            </w:pPr>
            <w:r>
              <w:t>Tento kód je součástí identifikátoru řádku a musí být pro každý vykazovaný subjekt jedinečný. U institucí se jako kód použije identifikační kód právnické osoby (kód LEI). U ostatních subjektů je kódem kód LEI, nebo pokud není k dispozici, vnitrostátní kód. Kód je jedinečný a používá se ve všech šablonách a v průběhu času konzistentně. Kód má vždy hodnotu.</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rFonts w:ascii="Times New Roman" w:hAnsi="Times New Roman"/>
                <w:sz w:val="24"/>
              </w:rPr>
              <w:lastRenderedPageBreak/>
              <w:t>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Typ kódu</w:t>
            </w:r>
          </w:p>
          <w:p w14:paraId="435D7AD5" w14:textId="3FA7BE57" w:rsidR="00ED05AC" w:rsidRPr="00FB08AF" w:rsidRDefault="0047023B" w:rsidP="00E36728">
            <w:pPr>
              <w:pStyle w:val="InstructionsText"/>
            </w:pPr>
            <w:r>
              <w:t xml:space="preserve">Instituce </w:t>
            </w:r>
            <w:proofErr w:type="gramStart"/>
            <w:r>
              <w:t>určí</w:t>
            </w:r>
            <w:proofErr w:type="gramEnd"/>
            <w:r>
              <w:t xml:space="preserve"> typ kódu uvedeného v sloupci 0020 jako „LEI“ nebo „jiný než LEI“. Typ kódu se vykazuje vždy.</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rFonts w:ascii="Times New Roman" w:hAnsi="Times New Roman"/>
                <w:sz w:val="24"/>
              </w:rPr>
              <w:t>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Identifikační kód smlouvy</w:t>
            </w:r>
          </w:p>
          <w:p w14:paraId="326C4E21" w14:textId="0DEE61DF" w:rsidR="00BA682D" w:rsidRPr="00FB08AF" w:rsidRDefault="009B0274"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Uvede se identifikační kód smlouvy nástroje, například CUSIP, ISIN nebo </w:t>
            </w:r>
            <w:proofErr w:type="spellStart"/>
            <w:r>
              <w:rPr>
                <w:rStyle w:val="FormatvorlageInstructionsTabelleText"/>
                <w:rFonts w:ascii="Times New Roman" w:hAnsi="Times New Roman"/>
                <w:sz w:val="24"/>
              </w:rPr>
              <w:t>Bloomberg</w:t>
            </w:r>
            <w:proofErr w:type="spellEnd"/>
            <w:r>
              <w:rPr>
                <w:rStyle w:val="FormatvorlageInstructionsTabelleText"/>
                <w:rFonts w:ascii="Times New Roman" w:hAnsi="Times New Roman"/>
                <w:sz w:val="24"/>
              </w:rPr>
              <w:t xml:space="preserve"> v případě soukromé emise.</w:t>
            </w:r>
          </w:p>
          <w:p w14:paraId="00632D1C" w14:textId="24ADD3E6" w:rsidR="00ED05AC" w:rsidRPr="00FB08AF" w:rsidRDefault="00ED05AC"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Tato položka je součástí identifikátoru řádku.</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rFonts w:ascii="Times New Roman" w:hAnsi="Times New Roman"/>
                <w:sz w:val="24"/>
              </w:rPr>
              <w:t>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Rozhodné právo (třetí země)</w:t>
            </w:r>
          </w:p>
          <w:p w14:paraId="163E775F" w14:textId="518162A9" w:rsidR="00ED05AC" w:rsidRPr="00FB08AF" w:rsidRDefault="007F0EF4"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Uvede se třetí země (jiná země než země EHP), jejímž právem se smlouva nebo její části řídí.</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rFonts w:ascii="Times New Roman" w:hAnsi="Times New Roman"/>
                <w:sz w:val="24"/>
              </w:rPr>
              <w:t>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Smluvní uznání pravomocí k odpisu nebo konverzi</w:t>
            </w:r>
          </w:p>
          <w:p w14:paraId="613A9113" w14:textId="6DD59252" w:rsidR="00ED05AC" w:rsidRPr="00FB08AF" w:rsidRDefault="00851D10"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Uvede se, zda smlouva obsahuje smluvní podmínky uvedené v čl. 55 odst. 1 směrnice 2014/59/EU, čl. 52 odst. 1 písm. p) a q) a čl. 63 písm. n) a o)</w:t>
            </w:r>
            <w:r>
              <w:t xml:space="preserve"> nařízení (EU) č. 575/2013</w:t>
            </w:r>
            <w:r>
              <w:rPr>
                <w:rStyle w:val="FormatvorlageInstructionsTabelleText"/>
                <w:rFonts w:ascii="Times New Roman" w:hAnsi="Times New Roman"/>
                <w:sz w:val="24"/>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rFonts w:ascii="Times New Roman" w:hAnsi="Times New Roman"/>
                <w:sz w:val="24"/>
              </w:rPr>
              <w:t>0070–0080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sz w:val="24"/>
              </w:rPr>
              <w:t>Regulační zacházení</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rFonts w:ascii="Times New Roman" w:hAnsi="Times New Roman"/>
                <w:sz w:val="24"/>
              </w:rPr>
              <w:t>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Druh kapitálu nebo způsobilých závazků</w:t>
            </w:r>
          </w:p>
          <w:p w14:paraId="779CE017" w14:textId="78E30545" w:rsidR="00D90C26"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Druh kapitálu nebo způsobilých závazků, jejichž podmínky nástroj splňuje k referenčnímu dni. Zohlední se přechodná ustanovení o způsobilosti nástrojů. Nástroje, které splňují podmínky více kapitálových tříd, se vykazují v každé příslušné kapitálové třídě.</w:t>
            </w:r>
          </w:p>
          <w:p w14:paraId="4891BE29" w14:textId="77777777" w:rsidR="00C55DCC" w:rsidRPr="00FB08AF" w:rsidRDefault="00D90C26"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Druhem kapitálu nebo způsobilých závazků může být:</w:t>
            </w:r>
          </w:p>
          <w:p w14:paraId="1630B549" w14:textId="45078CC0"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 xml:space="preserve">kmenový kapitál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1,</w:t>
            </w:r>
          </w:p>
          <w:p w14:paraId="65A77421" w14:textId="4DAF7FA2"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 xml:space="preserve">vedlejší kapitál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1,</w:t>
            </w:r>
          </w:p>
          <w:p w14:paraId="641F022F" w14:textId="60C05A8B" w:rsidR="00D90C26" w:rsidRPr="00FB08AF" w:rsidRDefault="00D90C26" w:rsidP="00E36728">
            <w:pPr>
              <w:pStyle w:val="InstructionsText"/>
              <w:numPr>
                <w:ilvl w:val="0"/>
                <w:numId w:val="25"/>
              </w:numPr>
              <w:rPr>
                <w:rStyle w:val="FormatvorlageInstructionsTabelleText"/>
                <w:rFonts w:ascii="Times New Roman" w:hAnsi="Times New Roman"/>
                <w:sz w:val="24"/>
              </w:rPr>
            </w:pPr>
            <w:r>
              <w:rPr>
                <w:rStyle w:val="FormatvorlageInstructionsTabelleText"/>
                <w:rFonts w:ascii="Times New Roman" w:hAnsi="Times New Roman"/>
                <w:sz w:val="24"/>
              </w:rPr>
              <w:t xml:space="preserve">kapitál </w:t>
            </w:r>
            <w:proofErr w:type="spellStart"/>
            <w:r>
              <w:rPr>
                <w:rStyle w:val="FormatvorlageInstructionsTabelleText"/>
                <w:rFonts w:ascii="Times New Roman" w:hAnsi="Times New Roman"/>
                <w:sz w:val="24"/>
              </w:rPr>
              <w:t>tier</w:t>
            </w:r>
            <w:proofErr w:type="spellEnd"/>
            <w:r>
              <w:rPr>
                <w:rStyle w:val="FormatvorlageInstructionsTabelleText"/>
                <w:rFonts w:ascii="Times New Roman" w:hAnsi="Times New Roman"/>
                <w:sz w:val="24"/>
              </w:rPr>
              <w:t xml:space="preserve"> 2,</w:t>
            </w:r>
          </w:p>
          <w:p w14:paraId="362D821A" w14:textId="06BF6F83" w:rsidR="00E97A21" w:rsidRPr="00FB08AF" w:rsidRDefault="00D90C26" w:rsidP="00E36728">
            <w:pPr>
              <w:pStyle w:val="InstructionsText"/>
              <w:numPr>
                <w:ilvl w:val="0"/>
                <w:numId w:val="26"/>
              </w:numPr>
              <w:rPr>
                <w:rStyle w:val="InstructionsTabelleberschrift"/>
                <w:rFonts w:ascii="Times New Roman" w:hAnsi="Times New Roman"/>
                <w:sz w:val="24"/>
              </w:rPr>
            </w:pPr>
            <w:r>
              <w:rPr>
                <w:rStyle w:val="FormatvorlageInstructionsTabelleText"/>
                <w:rFonts w:ascii="Times New Roman" w:hAnsi="Times New Roman"/>
                <w:sz w:val="24"/>
              </w:rPr>
              <w:t>způsobilé závazky.</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rFonts w:ascii="Times New Roman" w:hAnsi="Times New Roman"/>
                <w:sz w:val="24"/>
              </w:rPr>
              <w:t>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Druh nástroje</w:t>
            </w:r>
          </w:p>
          <w:p w14:paraId="4DDA8CAD" w14:textId="77777777" w:rsidR="00BA7DE2" w:rsidRPr="00FB08AF" w:rsidRDefault="000B7865"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Druh nástroje, který má být specifikován, závisí na rozhodném právu, podle kterého je vydán.</w:t>
            </w:r>
          </w:p>
          <w:p w14:paraId="24055387" w14:textId="305E1E7C" w:rsidR="00D90C26"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V případě nástrojů kmenového kapitálu </w:t>
            </w:r>
            <w:proofErr w:type="spellStart"/>
            <w:r>
              <w:rPr>
                <w:rStyle w:val="InstructionsTabelleberschrift"/>
                <w:rFonts w:ascii="Times New Roman" w:hAnsi="Times New Roman"/>
                <w:b w:val="0"/>
                <w:sz w:val="24"/>
                <w:u w:val="none"/>
              </w:rPr>
              <w:t>tier</w:t>
            </w:r>
            <w:proofErr w:type="spellEnd"/>
            <w:r>
              <w:rPr>
                <w:rStyle w:val="InstructionsTabelleberschrift"/>
                <w:rFonts w:ascii="Times New Roman" w:hAnsi="Times New Roman"/>
                <w:b w:val="0"/>
                <w:sz w:val="24"/>
                <w:u w:val="none"/>
              </w:rPr>
              <w:t xml:space="preserve"> 1 se druh nástroje vybere ze seznamu nástrojů kmenového kapitálu </w:t>
            </w:r>
            <w:proofErr w:type="spellStart"/>
            <w:r>
              <w:rPr>
                <w:rStyle w:val="InstructionsTabelleberschrift"/>
                <w:rFonts w:ascii="Times New Roman" w:hAnsi="Times New Roman"/>
                <w:b w:val="0"/>
                <w:sz w:val="24"/>
                <w:u w:val="none"/>
              </w:rPr>
              <w:t>tier</w:t>
            </w:r>
            <w:proofErr w:type="spellEnd"/>
            <w:r>
              <w:rPr>
                <w:rStyle w:val="InstructionsTabelleberschrift"/>
                <w:rFonts w:ascii="Times New Roman" w:hAnsi="Times New Roman"/>
                <w:b w:val="0"/>
                <w:sz w:val="24"/>
                <w:u w:val="none"/>
              </w:rPr>
              <w:t xml:space="preserve"> 1 zveřejněného orgánem EBA podle čl. 26 odst. 3 </w:t>
            </w:r>
            <w:r>
              <w:t>nařízení (EU) č. 575/2013</w:t>
            </w:r>
            <w:r>
              <w:rPr>
                <w:rStyle w:val="InstructionsTabelleberschrift"/>
                <w:rFonts w:ascii="Times New Roman" w:hAnsi="Times New Roman"/>
                <w:b w:val="0"/>
                <w:sz w:val="24"/>
                <w:u w:val="none"/>
              </w:rPr>
              <w:t xml:space="preserve">. </w:t>
            </w:r>
          </w:p>
          <w:p w14:paraId="01B312D1" w14:textId="355B5172" w:rsidR="00E97A21" w:rsidRPr="00FB08AF" w:rsidRDefault="000B7865"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V případě kapitálu jiného než kmenového kapitálu </w:t>
            </w:r>
            <w:proofErr w:type="spellStart"/>
            <w:r>
              <w:rPr>
                <w:rStyle w:val="InstructionsTabelleberschrift"/>
                <w:rFonts w:ascii="Times New Roman" w:hAnsi="Times New Roman"/>
                <w:b w:val="0"/>
                <w:sz w:val="24"/>
                <w:u w:val="none"/>
              </w:rPr>
              <w:t>tier</w:t>
            </w:r>
            <w:proofErr w:type="spellEnd"/>
            <w:r>
              <w:rPr>
                <w:rStyle w:val="InstructionsTabelleberschrift"/>
                <w:rFonts w:ascii="Times New Roman" w:hAnsi="Times New Roman"/>
                <w:b w:val="0"/>
                <w:sz w:val="24"/>
                <w:u w:val="none"/>
              </w:rPr>
              <w:t xml:space="preserve"> 1 a způsobilých závazků se druh nástroje vybere ze seznamu odpovídajících nástrojů zveřejněného orgánem EBA, příslušnými orgány nebo orgány příslušnými k řešení krize, je-li takový seznam k dispozici. Pokud žádný seznam k dispozici není, </w:t>
            </w:r>
            <w:proofErr w:type="gramStart"/>
            <w:r>
              <w:rPr>
                <w:rStyle w:val="InstructionsTabelleberschrift"/>
                <w:rFonts w:ascii="Times New Roman" w:hAnsi="Times New Roman"/>
                <w:b w:val="0"/>
                <w:sz w:val="24"/>
                <w:u w:val="none"/>
              </w:rPr>
              <w:t>určí</w:t>
            </w:r>
            <w:proofErr w:type="gramEnd"/>
            <w:r>
              <w:rPr>
                <w:rStyle w:val="InstructionsTabelleberschrift"/>
                <w:rFonts w:ascii="Times New Roman" w:hAnsi="Times New Roman"/>
                <w:b w:val="0"/>
                <w:sz w:val="24"/>
                <w:u w:val="none"/>
              </w:rPr>
              <w:t xml:space="preserve"> druh nástrojů vykazující subjekt.</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rFonts w:ascii="Times New Roman" w:hAnsi="Times New Roman"/>
                <w:sz w:val="24"/>
              </w:rPr>
              <w:t>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Částka</w:t>
            </w:r>
          </w:p>
          <w:p w14:paraId="157078AA" w14:textId="77810698" w:rsidR="00E97A21" w:rsidRPr="00FB08AF" w:rsidRDefault="00C55DCC"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lastRenderedPageBreak/>
              <w:t xml:space="preserve">V případě nástrojů zahrnutých na více úrovních se částka uznaná jako kapitál nebo způsobilé závazky vykazuje s ohledem na úroveň, ke které se vykazování vztahuje. Částkou se rozumí příslušná částka k referenčnímu dni s přihlédnutím k účinku přechodných ustanovení.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rFonts w:ascii="Times New Roman" w:hAnsi="Times New Roman"/>
                <w:sz w:val="24"/>
              </w:rPr>
              <w:lastRenderedPageBreak/>
              <w:t>0100–0110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Pořadí v běžném úpadkovém řízení</w:t>
            </w:r>
          </w:p>
          <w:p w14:paraId="00049CE6" w14:textId="77777777" w:rsidR="0015243E"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Upřesní se pořadí nástroje v běžném úpadkovém řízení. </w:t>
            </w:r>
          </w:p>
          <w:p w14:paraId="41FD6A13" w14:textId="77777777" w:rsidR="00722C11" w:rsidRPr="00FB08AF" w:rsidRDefault="0015243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Skládá se z dvoupísmenného kódu ISO země, jejímž právem se pořadí smlouvy řídí (sloupec 0100), tedy právem členského státu, a čísla příslušného pořadí v úpadkovém řízení (sloupec 0110). </w:t>
            </w:r>
          </w:p>
          <w:p w14:paraId="1F24E301" w14:textId="06E1D9AE" w:rsidR="00C23169" w:rsidRPr="00FB08AF" w:rsidRDefault="0015243E" w:rsidP="00E36728">
            <w:pPr>
              <w:pStyle w:val="InstructionsText"/>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Příslušné pořadí v úpadkovém řízení se </w:t>
            </w:r>
            <w:proofErr w:type="gramStart"/>
            <w:r>
              <w:rPr>
                <w:rStyle w:val="FormatvorlageInstructionsTabelleText"/>
                <w:rFonts w:ascii="Times New Roman" w:hAnsi="Times New Roman"/>
                <w:sz w:val="24"/>
              </w:rPr>
              <w:t>určí</w:t>
            </w:r>
            <w:proofErr w:type="gramEnd"/>
            <w:r>
              <w:rPr>
                <w:rStyle w:val="FormatvorlageInstructionsTabelleText"/>
                <w:rFonts w:ascii="Times New Roman" w:hAnsi="Times New Roman"/>
                <w:sz w:val="24"/>
              </w:rPr>
              <w:t xml:space="preserve"> na základě pořadí uspokojování pohledávek v úpadkovém řízení zveřejněného orgánem příslušným k řešení krize nebo jinými orgány, je-li takový standardizovaný seznam k dispozici.</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rFonts w:ascii="Times New Roman" w:hAnsi="Times New Roman"/>
                <w:sz w:val="24"/>
              </w:rPr>
              <w:t>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Splatnost</w:t>
            </w:r>
          </w:p>
          <w:p w14:paraId="5BC18DE0" w14:textId="111D094F" w:rsidR="00C814BF" w:rsidRPr="00FB08AF" w:rsidRDefault="00C814BF"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 xml:space="preserve">Splatnost nástroje se uvádí ve formátu: </w:t>
            </w:r>
            <w:proofErr w:type="spellStart"/>
            <w:r>
              <w:rPr>
                <w:rStyle w:val="FormatvorlageInstructionsTabelleText"/>
                <w:rFonts w:ascii="Times New Roman" w:hAnsi="Times New Roman"/>
                <w:sz w:val="24"/>
              </w:rPr>
              <w:t>dd</w:t>
            </w:r>
            <w:proofErr w:type="spellEnd"/>
            <w:r>
              <w:rPr>
                <w:rStyle w:val="FormatvorlageInstructionsTabelleText"/>
                <w:rFonts w:ascii="Times New Roman" w:hAnsi="Times New Roman"/>
                <w:sz w:val="24"/>
              </w:rPr>
              <w:t>/mm/</w:t>
            </w:r>
            <w:proofErr w:type="spellStart"/>
            <w:r>
              <w:rPr>
                <w:rStyle w:val="FormatvorlageInstructionsTabelleText"/>
                <w:rFonts w:ascii="Times New Roman" w:hAnsi="Times New Roman"/>
                <w:sz w:val="24"/>
              </w:rPr>
              <w:t>rrrr</w:t>
            </w:r>
            <w:proofErr w:type="spellEnd"/>
            <w:r>
              <w:rPr>
                <w:rStyle w:val="FormatvorlageInstructionsTabelleText"/>
                <w:rFonts w:ascii="Times New Roman" w:hAnsi="Times New Roman"/>
                <w:sz w:val="24"/>
              </w:rPr>
              <w:t>. U věčných nástrojů zůstane buňka nevyplněna.</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rFonts w:ascii="Times New Roman" w:hAnsi="Times New Roman"/>
                <w:sz w:val="24"/>
              </w:rPr>
              <w:t>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(První) vypověditelná lhůta</w:t>
            </w:r>
          </w:p>
          <w:p w14:paraId="6C93237B" w14:textId="044F8666" w:rsidR="00F65BB7"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Pokud má emitent kupní opci, uvede se první den, kdy lze tuto opci uplatnit.</w:t>
            </w:r>
          </w:p>
          <w:p w14:paraId="1F0D3195" w14:textId="0EC677E5" w:rsidR="00F65BB7" w:rsidRPr="00FB08AF" w:rsidRDefault="00F65BB7"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Pokud první den uplatnění opce nastane před referenčním dnem, tento den se uvede, pokud lze opci nadále uplatnit. Pokud ji již nelze uplatnit, uvede se další den, kdy lze opci uplatnit.</w:t>
            </w:r>
          </w:p>
          <w:p w14:paraId="180F0F72" w14:textId="0990A68B" w:rsidR="00C814BF" w:rsidRPr="00FB08AF" w:rsidRDefault="0090259E"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 případě kupních opcí emitenta s neurčeným dnem uplatnění nebo kupních opcí, které jsou vázány na určité události, se uvede konzervativně odhadovaný pravděpodobný den uplatnění opce.</w:t>
            </w:r>
          </w:p>
          <w:p w14:paraId="171C2174" w14:textId="43DB211C" w:rsidR="00C23169" w:rsidRPr="00FB08AF" w:rsidRDefault="00FC7E0D" w:rsidP="00E36728">
            <w:pPr>
              <w:pStyle w:val="InstructionsText"/>
              <w:rPr>
                <w:rStyle w:val="InstructionsTabelleberschrift"/>
                <w:rFonts w:ascii="Times New Roman" w:hAnsi="Times New Roman"/>
                <w:sz w:val="24"/>
              </w:rPr>
            </w:pPr>
            <w:r>
              <w:rPr>
                <w:rStyle w:val="FormatvorlageInstructionsTabelleText"/>
                <w:rFonts w:ascii="Times New Roman" w:hAnsi="Times New Roman"/>
                <w:sz w:val="24"/>
              </w:rPr>
              <w:t>Pro účely tohoto sloupce se nezohledňují regulační nebo daňové kupní opce.</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rFonts w:ascii="Times New Roman" w:hAnsi="Times New Roman"/>
                <w:sz w:val="24"/>
              </w:rPr>
            </w:pPr>
            <w:r>
              <w:rPr>
                <w:rStyle w:val="InstructionsTabelleberschrift"/>
                <w:rFonts w:ascii="Times New Roman" w:hAnsi="Times New Roman"/>
                <w:sz w:val="24"/>
              </w:rPr>
              <w:t>Regulační opce (A/N)</w:t>
            </w:r>
          </w:p>
          <w:p w14:paraId="2DB12A69" w14:textId="0ACA0878" w:rsidR="00C23169" w:rsidRPr="00FB08AF" w:rsidRDefault="0087315C" w:rsidP="00E36728">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Uvede se, zda</w:t>
            </w:r>
            <w:r>
              <w:rPr>
                <w:rStyle w:val="FormatvorlageInstructionsTabelleText"/>
                <w:rFonts w:ascii="Times New Roman" w:hAnsi="Times New Roman"/>
                <w:sz w:val="24"/>
              </w:rPr>
              <w:t xml:space="preserve"> má emitent kupní opci, kterou lze uplatnit v případě, že nastane regulační událost ovlivňující způsobilost smlouvy ve vztahu k MREL.</w:t>
            </w:r>
          </w:p>
        </w:tc>
      </w:tr>
    </w:tbl>
    <w:p w14:paraId="283DBBE4" w14:textId="71DC2E17" w:rsidR="007C10D9" w:rsidRPr="00FB08AF" w:rsidRDefault="00367B3A" w:rsidP="004A66E8">
      <w:pPr>
        <w:rPr>
          <w:rStyle w:val="InstructionsTabelleText"/>
          <w:rFonts w:ascii="Times New Roman" w:hAnsi="Times New Roman"/>
          <w:sz w:val="24"/>
        </w:rPr>
      </w:pPr>
      <w:r>
        <w:rPr>
          <w:rStyle w:val="InstructionsTabelleText"/>
          <w:rFonts w:ascii="Times New Roman" w:hAnsi="Times New Roman"/>
          <w:sz w:val="24"/>
        </w:rPr>
        <w:t>“</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rFonts w:ascii="Times New Roman" w:hAnsi="Times New Roman"/>
            <w:sz w:val="20"/>
            <w:szCs w:val="20"/>
          </w:rPr>
        </w:pPr>
        <w:r w:rsidRPr="00EC5B2A">
          <w:rPr>
            <w:rFonts w:ascii="Times New Roman" w:hAnsi="Times New Roman"/>
            <w:sz w:val="20"/>
          </w:rPr>
          <w:fldChar w:fldCharType="begin"/>
        </w:r>
        <w:r w:rsidRPr="00EC5B2A">
          <w:rPr>
            <w:rFonts w:ascii="Times New Roman" w:hAnsi="Times New Roman"/>
            <w:sz w:val="20"/>
          </w:rPr>
          <w:instrText xml:space="preserve"> PAGE   \* MERGEFORMAT </w:instrText>
        </w:r>
        <w:r w:rsidRPr="00EC5B2A">
          <w:rPr>
            <w:rFonts w:ascii="Times New Roman" w:hAnsi="Times New Roman"/>
            <w:sz w:val="20"/>
          </w:rPr>
          <w:fldChar w:fldCharType="separate"/>
        </w:r>
        <w:r w:rsidR="00D5004A" w:rsidRPr="00EC5B2A">
          <w:rPr>
            <w:rFonts w:ascii="Times New Roman" w:hAnsi="Times New Roman"/>
            <w:sz w:val="20"/>
          </w:rPr>
          <w:t>1</w:t>
        </w:r>
        <w:r w:rsidRPr="00EC5B2A">
          <w:rPr>
            <w:rFonts w:ascii="Times New Roman" w:hAnsi="Times New Roman"/>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rFonts w:ascii="Times New Roman" w:hAnsi="Times New Roman"/>
        <w:sz w:val="20"/>
        <w:szCs w:val="20"/>
      </w:rPr>
    </w:pPr>
    <w:r w:rsidRPr="00ED1956">
      <w:rPr>
        <w:rFonts w:ascii="Times New Roman" w:hAnsi="Times New Roman"/>
        <w:sz w:val="20"/>
      </w:rPr>
      <w:fldChar w:fldCharType="begin"/>
    </w:r>
    <w:r w:rsidRPr="00ED1956">
      <w:rPr>
        <w:rFonts w:ascii="Times New Roman" w:hAnsi="Times New Roman"/>
        <w:sz w:val="20"/>
      </w:rPr>
      <w:instrText xml:space="preserve"> PAGE   \* MERGEFORMAT </w:instrText>
    </w:r>
    <w:r w:rsidRPr="00ED1956">
      <w:rPr>
        <w:rFonts w:ascii="Times New Roman" w:hAnsi="Times New Roman"/>
        <w:sz w:val="20"/>
      </w:rPr>
      <w:fldChar w:fldCharType="separate"/>
    </w:r>
    <w:r w:rsidR="00D5004A">
      <w:rPr>
        <w:rFonts w:ascii="Times New Roman" w:hAnsi="Times New Roman"/>
        <w:sz w:val="20"/>
      </w:rPr>
      <w:t>21</w:t>
    </w:r>
    <w:r w:rsidRPr="00ED1956">
      <w:rPr>
        <w:rFonts w:ascii="Times New Roman" w:hAnsi="Times New Roman"/>
        <w:sz w:val="20"/>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rPr>
        <w:t>Nařízení Komise v přenesené pravomoci (EU) č. 241/2014 ze dne 7. ledna 2014, kterým se doplňuje nařízení Evropského parlamentu a Rady (EU) č. 575/2013, pokud jde o regulační technické normy pro kapitálové požadavky na instituce (</w:t>
      </w:r>
      <w:proofErr w:type="spellStart"/>
      <w:r>
        <w:rPr>
          <w:rFonts w:ascii="Times New Roman" w:hAnsi="Times New Roman"/>
          <w:sz w:val="20"/>
        </w:rPr>
        <w:t>Úř</w:t>
      </w:r>
      <w:proofErr w:type="spellEnd"/>
      <w:r>
        <w:rPr>
          <w:rFonts w:ascii="Times New Roman" w:hAnsi="Times New Roman"/>
          <w:sz w:val="20"/>
        </w:rPr>
        <w:t xml:space="preserve">. </w:t>
      </w:r>
      <w:proofErr w:type="spellStart"/>
      <w:r>
        <w:rPr>
          <w:rFonts w:ascii="Times New Roman" w:hAnsi="Times New Roman"/>
          <w:sz w:val="20"/>
        </w:rPr>
        <w:t>věst</w:t>
      </w:r>
      <w:proofErr w:type="spellEnd"/>
      <w:r>
        <w:rPr>
          <w:rFonts w:ascii="Times New Roman" w:hAnsi="Times New Roman"/>
          <w:sz w:val="20"/>
        </w:rPr>
        <w:t xml:space="preserve">. L 74, 14.3.2014, s. 8, ELI: </w:t>
      </w:r>
      <w:hyperlink r:id="rId1" w:history="1">
        <w:r>
          <w:rPr>
            <w:rStyle w:val="Hyperlink"/>
            <w:rFonts w:ascii="Times New Roman" w:hAnsi="Times New Roman"/>
            <w:sz w:val="20"/>
          </w:rPr>
          <w:t>http://data.europa.eu/eli/reg_del/2014/241/oj</w:t>
        </w:r>
      </w:hyperlink>
      <w:r>
        <w:rPr>
          <w:rFonts w:ascii="Times New Roman" w:hAnsi="Times New Roman"/>
          <w:sz w:val="20"/>
        </w:rPr>
        <w:t>).</w:t>
      </w:r>
    </w:p>
  </w:footnote>
  <w:footnote w:id="3">
    <w:p w14:paraId="692FB9C1" w14:textId="3603876F" w:rsidR="00551E8E" w:rsidRPr="00EC5B2A" w:rsidRDefault="00551E8E" w:rsidP="006876BA">
      <w:pPr>
        <w:pStyle w:val="FootnoteText"/>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rPr>
        <w:t>Směrnice Evropského parlamentu a Rady 2013/36/EU ze dne 26. června 2013 o přístupu k činnosti úvěrových institucí a o obezřetnostním dohledu nad úvěrovými institucemi a investičními podniky, o změně směrnice 2002/87/ES a zrušení směrnic 2006/48/ES a 2006/49/ES (</w:t>
      </w:r>
      <w:proofErr w:type="spellStart"/>
      <w:r>
        <w:rPr>
          <w:rFonts w:ascii="Times New Roman" w:hAnsi="Times New Roman"/>
          <w:sz w:val="20"/>
        </w:rPr>
        <w:t>Úř</w:t>
      </w:r>
      <w:proofErr w:type="spellEnd"/>
      <w:r>
        <w:rPr>
          <w:rFonts w:ascii="Times New Roman" w:hAnsi="Times New Roman"/>
          <w:sz w:val="20"/>
        </w:rPr>
        <w:t xml:space="preserve">. </w:t>
      </w:r>
      <w:proofErr w:type="spellStart"/>
      <w:r>
        <w:rPr>
          <w:rFonts w:ascii="Times New Roman" w:hAnsi="Times New Roman"/>
          <w:sz w:val="20"/>
        </w:rPr>
        <w:t>věst</w:t>
      </w:r>
      <w:proofErr w:type="spellEnd"/>
      <w:r>
        <w:rPr>
          <w:rFonts w:ascii="Times New Roman" w:hAnsi="Times New Roman"/>
          <w:sz w:val="20"/>
        </w:rPr>
        <w:t>. L 176, 27.6.2013, s. 338, ELI: 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w:rPr>
        <w:noProof/>
      </w:rP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EBA Regular Use"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w:rPr>
        <w:noProof/>
      </w:rP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w:rPr>
        <w:noProof/>
      </w:rP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EBA Regular Use"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noProof/>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EBA Regular Use"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rFonts w:ascii="Calibri" w:eastAsia="Calibri" w:hAnsi="Calibri" w:cs="Calibri"/>
                        <w:noProof/>
                        <w:color w:val="000000"/>
                        <w:sz w:val="24"/>
                      </w:rPr>
                    </w:pPr>
                    <w:r>
                      <w:rPr>
                        <w:rFonts w:ascii="Calibri" w:hAnsi="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97D2ED7E"/>
    <w:lvl w:ilvl="0" w:tplc="E11EE9C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BED6A264"/>
    <w:lvl w:ilvl="0" w:tplc="E11EE9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66E27194"/>
    <w:lvl w:ilvl="0">
      <w:start w:val="1"/>
      <w:numFmt w:val="decimal"/>
      <w:pStyle w:val="Numberedtilelevel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CE55C8"/>
    <w:multiLevelType w:val="hybridMultilevel"/>
    <w:tmpl w:val="B6FA2262"/>
    <w:lvl w:ilvl="0" w:tplc="E11EE9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0388EC92"/>
    <w:lvl w:ilvl="0" w:tplc="E11EE9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0FD4819A"/>
    <w:lvl w:ilvl="0" w:tplc="E11EE9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93CEDDCE"/>
    <w:lvl w:ilvl="0" w:tplc="E11EE9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4E8A84DC"/>
    <w:lvl w:ilvl="0" w:tplc="E11EE9C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E2DEECD6"/>
    <w:lvl w:ilvl="0" w:tplc="E11EE9C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5F5E03B0"/>
    <w:lvl w:ilvl="0" w:tplc="236EA62C">
      <w:start w:val="1"/>
      <w:numFmt w:val="decimal"/>
      <w:pStyle w:val="InstructionsText2"/>
      <w:lvlText w:val="%1."/>
      <w:lvlJc w:val="left"/>
      <w:pPr>
        <w:ind w:left="1353" w:hanging="360"/>
      </w:pPr>
      <w:rPr>
        <w:rFonts w:cs="Times New Roman"/>
      </w:rPr>
    </w:lvl>
    <w:lvl w:ilvl="1" w:tplc="18090017">
      <w:start w:val="1"/>
      <w:numFmt w:val="lowerLetter"/>
      <w:lvlText w:val="%2)"/>
      <w:lvlJc w:val="left"/>
      <w:pPr>
        <w:ind w:left="1440" w:hanging="360"/>
      </w:p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F5509652"/>
    <w:lvl w:ilvl="0" w:tplc="E11EE9C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677426E4"/>
    <w:lvl w:ilvl="0" w:tplc="E11EE9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8C2CF928"/>
    <w:lvl w:ilvl="0" w:tplc="E11EE9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266EAD86"/>
    <w:lvl w:ilvl="0" w:tplc="E11EE9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CC78B320"/>
    <w:lvl w:ilvl="0" w:tplc="E11EE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A1221C38"/>
    <w:lvl w:ilvl="0" w:tplc="E11EE9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cs-CZ"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3AAD"/>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cs-CZ"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cs-CZ"/>
    </w:rPr>
  </w:style>
  <w:style w:type="character" w:customStyle="1" w:styleId="Heading2Char">
    <w:name w:val="Heading 2 Char"/>
    <w:link w:val="Heading2"/>
    <w:uiPriority w:val="99"/>
    <w:locked/>
    <w:rsid w:val="00EC5046"/>
    <w:rPr>
      <w:rFonts w:ascii="Verdana" w:hAnsi="Verdana" w:cs="Times New Roman"/>
      <w:b/>
      <w:sz w:val="24"/>
      <w:szCs w:val="24"/>
      <w:u w:val="single"/>
      <w:lang w:val="cs-CZ"/>
    </w:rPr>
  </w:style>
  <w:style w:type="character" w:customStyle="1" w:styleId="Heading3Char">
    <w:name w:val="Heading 3 Char"/>
    <w:uiPriority w:val="99"/>
    <w:locked/>
    <w:rsid w:val="00884FEB"/>
    <w:rPr>
      <w:rFonts w:cs="Times New Roman"/>
      <w:sz w:val="24"/>
      <w:szCs w:val="24"/>
      <w:lang w:val="cs-CZ"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eastAsia="x-none"/>
    </w:rPr>
  </w:style>
  <w:style w:type="character" w:customStyle="1" w:styleId="CommentTextChar">
    <w:name w:val="Comment Text Char"/>
    <w:link w:val="CommentText"/>
    <w:locked/>
    <w:rsid w:val="00884FEB"/>
    <w:rPr>
      <w:rFonts w:ascii="Verdana" w:hAnsi="Verdana" w:cs="Times New Roman"/>
      <w:sz w:val="20"/>
      <w:szCs w:val="20"/>
      <w:lang w:val="cs-CZ"/>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cs-CZ"/>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cs-CZ"/>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cs-CZ"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cs-CZ"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cs-CZ"/>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cs-CZ"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cs-CZ"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cs-CZ"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12307</Words>
  <Characters>67964</Characters>
  <Application>Microsoft Office Word</Application>
  <DocSecurity>0</DocSecurity>
  <Lines>1657</Lines>
  <Paragraphs>967</Paragraphs>
  <ScaleCrop>false</ScaleCrop>
  <Company/>
  <LinksUpToDate>false</LinksUpToDate>
  <CharactersWithSpaces>79304</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2024-05-13T13:51:00Z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