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9C03" w14:textId="77777777" w:rsidR="004E6C70" w:rsidRPr="00A72949" w:rsidRDefault="004E6C70" w:rsidP="004E6C70">
      <w:pPr>
        <w:pStyle w:val="Heading9"/>
        <w:suppressAutoHyphens/>
        <w:jc w:val="center"/>
        <w:rPr>
          <w:rFonts w:ascii="Times New Roman" w:hAnsi="Times New Roman"/>
          <w:sz w:val="24"/>
          <w:szCs w:val="24"/>
        </w:rPr>
      </w:pPr>
      <w:r w:rsidRPr="00A72949">
        <w:rPr>
          <w:rFonts w:ascii="Times New Roman" w:hAnsi="Times New Roman"/>
          <w:sz w:val="24"/>
        </w:rPr>
        <w:t>PRÍLOHA XXIX</w:t>
      </w:r>
    </w:p>
    <w:p w14:paraId="28185890" w14:textId="77777777" w:rsidR="00A72949" w:rsidRDefault="004E6C70" w:rsidP="004E6C70">
      <w:pPr>
        <w:suppressAutoHyphens/>
        <w:jc w:val="center"/>
        <w:rPr>
          <w:rFonts w:ascii="Times New Roman" w:hAnsi="Times New Roman"/>
          <w:b/>
          <w:sz w:val="24"/>
        </w:rPr>
      </w:pPr>
      <w:r w:rsidRPr="00A72949">
        <w:rPr>
          <w:rFonts w:ascii="Times New Roman" w:hAnsi="Times New Roman"/>
          <w:b/>
          <w:sz w:val="24"/>
        </w:rPr>
        <w:t>POKYNY NA VYKAZOVANIE NA ÚČELY ÚROKOVÉHO RIZIKA</w:t>
      </w:r>
      <w:r w:rsidR="00A72949">
        <w:rPr>
          <w:rFonts w:ascii="Times New Roman" w:hAnsi="Times New Roman"/>
          <w:b/>
          <w:sz w:val="24"/>
        </w:rPr>
        <w:t xml:space="preserve"> V </w:t>
      </w:r>
      <w:r w:rsidRPr="00A72949">
        <w:rPr>
          <w:rFonts w:ascii="Times New Roman" w:hAnsi="Times New Roman"/>
          <w:b/>
          <w:sz w:val="24"/>
        </w:rPr>
        <w:t>BANKOVEJ KNIHE</w:t>
      </w:r>
    </w:p>
    <w:p w14:paraId="3E4D37C5" w14:textId="6CAC4678" w:rsidR="004E6C70" w:rsidRPr="00A72949" w:rsidRDefault="004E6C70" w:rsidP="004E6C70">
      <w:pPr>
        <w:suppressAutoHyphens/>
        <w:jc w:val="center"/>
        <w:rPr>
          <w:rFonts w:ascii="Times New Roman" w:hAnsi="Times New Roman"/>
          <w:b/>
          <w:sz w:val="24"/>
          <w:lang w:eastAsia="de-DE"/>
        </w:rPr>
      </w:pPr>
    </w:p>
    <w:p w14:paraId="33616100" w14:textId="77777777" w:rsidR="004E6C70" w:rsidRPr="00A72949" w:rsidRDefault="004E6C70" w:rsidP="004E6C70">
      <w:pPr>
        <w:pStyle w:val="InstructionsText"/>
      </w:pPr>
      <w:r w:rsidRPr="00A72949">
        <w:t>Obsah</w:t>
      </w:r>
    </w:p>
    <w:p w14:paraId="5306928E" w14:textId="3D823E33"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r>
        <w:rPr>
          <w:color w:val="2B579A"/>
          <w:shd w:val="clear" w:color="auto" w:fill="E6E6E6"/>
        </w:rPr>
        <w:fldChar w:fldCharType="begin"/>
      </w:r>
      <w:r>
        <w:rPr>
          <w:color w:val="2B579A"/>
          <w:shd w:val="clear" w:color="auto" w:fill="E6E6E6"/>
        </w:rPr>
        <w:instrText xml:space="preserve"> TOC \o "1-3" \h \z \u </w:instrText>
      </w:r>
      <w:r>
        <w:rPr>
          <w:color w:val="2B579A"/>
          <w:shd w:val="clear" w:color="auto" w:fill="E6E6E6"/>
        </w:rPr>
        <w:fldChar w:fldCharType="separate"/>
      </w:r>
      <w:hyperlink w:anchor="_Toc188859491" w:history="1">
        <w:r w:rsidRPr="00C81B81">
          <w:rPr>
            <w:rStyle w:val="Hyperlink"/>
          </w:rPr>
          <w:t>ČASŤ I: VŠEOBECNÉ POKYNY</w:t>
        </w:r>
        <w:r>
          <w:rPr>
            <w:webHidden/>
          </w:rPr>
          <w:tab/>
        </w:r>
        <w:r>
          <w:rPr>
            <w:webHidden/>
          </w:rPr>
          <w:fldChar w:fldCharType="begin"/>
        </w:r>
        <w:r>
          <w:rPr>
            <w:webHidden/>
          </w:rPr>
          <w:instrText xml:space="preserve"> PAGEREF _Toc188859491 \h </w:instrText>
        </w:r>
        <w:r>
          <w:rPr>
            <w:webHidden/>
          </w:rPr>
        </w:r>
        <w:r>
          <w:rPr>
            <w:webHidden/>
          </w:rPr>
          <w:fldChar w:fldCharType="separate"/>
        </w:r>
        <w:r w:rsidR="00A17D70">
          <w:rPr>
            <w:webHidden/>
          </w:rPr>
          <w:t>2</w:t>
        </w:r>
        <w:r>
          <w:rPr>
            <w:webHidden/>
          </w:rPr>
          <w:fldChar w:fldCharType="end"/>
        </w:r>
      </w:hyperlink>
    </w:p>
    <w:p w14:paraId="3E312DE6" w14:textId="2FB6EDED"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2" w:history="1">
        <w:r w:rsidRPr="00C81B81">
          <w:rPr>
            <w:rStyle w:val="Hyperlink"/>
            <w:bCs/>
          </w:rPr>
          <w:t>1.</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Štruktúra</w:t>
        </w:r>
        <w:r>
          <w:rPr>
            <w:webHidden/>
          </w:rPr>
          <w:tab/>
        </w:r>
        <w:r>
          <w:rPr>
            <w:webHidden/>
          </w:rPr>
          <w:fldChar w:fldCharType="begin"/>
        </w:r>
        <w:r>
          <w:rPr>
            <w:webHidden/>
          </w:rPr>
          <w:instrText xml:space="preserve"> PAGEREF _Toc188859492 \h </w:instrText>
        </w:r>
        <w:r>
          <w:rPr>
            <w:webHidden/>
          </w:rPr>
        </w:r>
        <w:r>
          <w:rPr>
            <w:webHidden/>
          </w:rPr>
          <w:fldChar w:fldCharType="separate"/>
        </w:r>
        <w:r w:rsidR="00A17D70">
          <w:rPr>
            <w:webHidden/>
          </w:rPr>
          <w:t>2</w:t>
        </w:r>
        <w:r>
          <w:rPr>
            <w:webHidden/>
          </w:rPr>
          <w:fldChar w:fldCharType="end"/>
        </w:r>
      </w:hyperlink>
    </w:p>
    <w:p w14:paraId="7FBAA200" w14:textId="0051E50E"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3" w:history="1">
        <w:r w:rsidRPr="00C81B81">
          <w:rPr>
            <w:rStyle w:val="Hyperlink"/>
            <w:bCs/>
          </w:rPr>
          <w:t>2.</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Rozsah vykazovania</w:t>
        </w:r>
        <w:r>
          <w:rPr>
            <w:webHidden/>
          </w:rPr>
          <w:tab/>
        </w:r>
        <w:r>
          <w:rPr>
            <w:webHidden/>
          </w:rPr>
          <w:fldChar w:fldCharType="begin"/>
        </w:r>
        <w:r>
          <w:rPr>
            <w:webHidden/>
          </w:rPr>
          <w:instrText xml:space="preserve"> PAGEREF _Toc188859493 \h </w:instrText>
        </w:r>
        <w:r>
          <w:rPr>
            <w:webHidden/>
          </w:rPr>
        </w:r>
        <w:r>
          <w:rPr>
            <w:webHidden/>
          </w:rPr>
          <w:fldChar w:fldCharType="separate"/>
        </w:r>
        <w:r w:rsidR="00A17D70">
          <w:rPr>
            <w:webHidden/>
          </w:rPr>
          <w:t>2</w:t>
        </w:r>
        <w:r>
          <w:rPr>
            <w:webHidden/>
          </w:rPr>
          <w:fldChar w:fldCharType="end"/>
        </w:r>
      </w:hyperlink>
    </w:p>
    <w:p w14:paraId="35E5C4D9" w14:textId="30317121"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4" w:history="1">
        <w:r w:rsidRPr="00C81B81">
          <w:rPr>
            <w:rStyle w:val="Hyperlink"/>
            <w:bCs/>
          </w:rPr>
          <w:t>3.</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Zaobchádzanie s nástrojmi s pevnou/pohyblivou úrokovou sadzbou</w:t>
        </w:r>
        <w:r>
          <w:rPr>
            <w:webHidden/>
          </w:rPr>
          <w:tab/>
        </w:r>
        <w:r>
          <w:rPr>
            <w:webHidden/>
          </w:rPr>
          <w:fldChar w:fldCharType="begin"/>
        </w:r>
        <w:r>
          <w:rPr>
            <w:webHidden/>
          </w:rPr>
          <w:instrText xml:space="preserve"> PAGEREF _Toc188859494 \h </w:instrText>
        </w:r>
        <w:r>
          <w:rPr>
            <w:webHidden/>
          </w:rPr>
        </w:r>
        <w:r>
          <w:rPr>
            <w:webHidden/>
          </w:rPr>
          <w:fldChar w:fldCharType="separate"/>
        </w:r>
        <w:r w:rsidR="00A17D70">
          <w:rPr>
            <w:webHidden/>
          </w:rPr>
          <w:t>2</w:t>
        </w:r>
        <w:r>
          <w:rPr>
            <w:webHidden/>
          </w:rPr>
          <w:fldChar w:fldCharType="end"/>
        </w:r>
      </w:hyperlink>
    </w:p>
    <w:p w14:paraId="4ABD9392" w14:textId="396BE10D"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5" w:history="1">
        <w:r w:rsidRPr="00C81B81">
          <w:rPr>
            <w:rStyle w:val="Hyperlink"/>
            <w:bCs/>
          </w:rPr>
          <w:t>4.</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Zaobchádzanie s opciami</w:t>
        </w:r>
        <w:r>
          <w:rPr>
            <w:webHidden/>
          </w:rPr>
          <w:tab/>
        </w:r>
        <w:r>
          <w:rPr>
            <w:webHidden/>
          </w:rPr>
          <w:fldChar w:fldCharType="begin"/>
        </w:r>
        <w:r>
          <w:rPr>
            <w:webHidden/>
          </w:rPr>
          <w:instrText xml:space="preserve"> PAGEREF _Toc188859495 \h </w:instrText>
        </w:r>
        <w:r>
          <w:rPr>
            <w:webHidden/>
          </w:rPr>
        </w:r>
        <w:r>
          <w:rPr>
            <w:webHidden/>
          </w:rPr>
          <w:fldChar w:fldCharType="separate"/>
        </w:r>
        <w:r w:rsidR="00A17D70">
          <w:rPr>
            <w:webHidden/>
          </w:rPr>
          <w:t>3</w:t>
        </w:r>
        <w:r>
          <w:rPr>
            <w:webHidden/>
          </w:rPr>
          <w:fldChar w:fldCharType="end"/>
        </w:r>
      </w:hyperlink>
    </w:p>
    <w:p w14:paraId="65D3209A" w14:textId="3CFF9AF3"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6" w:history="1">
        <w:r w:rsidRPr="00C81B81">
          <w:rPr>
            <w:rStyle w:val="Hyperlink"/>
            <w:bCs/>
          </w:rPr>
          <w:t>5.</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Pravidlá používania znamienok</w:t>
        </w:r>
        <w:r>
          <w:rPr>
            <w:webHidden/>
          </w:rPr>
          <w:tab/>
        </w:r>
        <w:r>
          <w:rPr>
            <w:webHidden/>
          </w:rPr>
          <w:fldChar w:fldCharType="begin"/>
        </w:r>
        <w:r>
          <w:rPr>
            <w:webHidden/>
          </w:rPr>
          <w:instrText xml:space="preserve"> PAGEREF _Toc188859496 \h </w:instrText>
        </w:r>
        <w:r>
          <w:rPr>
            <w:webHidden/>
          </w:rPr>
        </w:r>
        <w:r>
          <w:rPr>
            <w:webHidden/>
          </w:rPr>
          <w:fldChar w:fldCharType="separate"/>
        </w:r>
        <w:r w:rsidR="00A17D70">
          <w:rPr>
            <w:webHidden/>
          </w:rPr>
          <w:t>3</w:t>
        </w:r>
        <w:r>
          <w:rPr>
            <w:webHidden/>
          </w:rPr>
          <w:fldChar w:fldCharType="end"/>
        </w:r>
      </w:hyperlink>
    </w:p>
    <w:p w14:paraId="6F96A89B" w14:textId="498E044C"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7" w:history="1">
        <w:r w:rsidRPr="00C81B81">
          <w:rPr>
            <w:rStyle w:val="Hyperlink"/>
            <w:bCs/>
          </w:rPr>
          <w:t>6.</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Skratky</w:t>
        </w:r>
        <w:r>
          <w:rPr>
            <w:webHidden/>
          </w:rPr>
          <w:tab/>
        </w:r>
        <w:r>
          <w:rPr>
            <w:webHidden/>
          </w:rPr>
          <w:fldChar w:fldCharType="begin"/>
        </w:r>
        <w:r>
          <w:rPr>
            <w:webHidden/>
          </w:rPr>
          <w:instrText xml:space="preserve"> PAGEREF _Toc188859497 \h </w:instrText>
        </w:r>
        <w:r>
          <w:rPr>
            <w:webHidden/>
          </w:rPr>
        </w:r>
        <w:r>
          <w:rPr>
            <w:webHidden/>
          </w:rPr>
          <w:fldChar w:fldCharType="separate"/>
        </w:r>
        <w:r w:rsidR="00A17D70">
          <w:rPr>
            <w:webHidden/>
          </w:rPr>
          <w:t>4</w:t>
        </w:r>
        <w:r>
          <w:rPr>
            <w:webHidden/>
          </w:rPr>
          <w:fldChar w:fldCharType="end"/>
        </w:r>
      </w:hyperlink>
    </w:p>
    <w:p w14:paraId="01CF3B66" w14:textId="21A31820"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8" w:history="1">
        <w:r w:rsidRPr="00C81B81">
          <w:rPr>
            <w:rStyle w:val="Hyperlink"/>
          </w:rPr>
          <w:t>7.</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Ďalšie konvencie</w:t>
        </w:r>
        <w:r>
          <w:rPr>
            <w:webHidden/>
          </w:rPr>
          <w:tab/>
        </w:r>
        <w:r>
          <w:rPr>
            <w:webHidden/>
          </w:rPr>
          <w:fldChar w:fldCharType="begin"/>
        </w:r>
        <w:r>
          <w:rPr>
            <w:webHidden/>
          </w:rPr>
          <w:instrText xml:space="preserve"> PAGEREF _Toc188859498 \h </w:instrText>
        </w:r>
        <w:r>
          <w:rPr>
            <w:webHidden/>
          </w:rPr>
        </w:r>
        <w:r>
          <w:rPr>
            <w:webHidden/>
          </w:rPr>
          <w:fldChar w:fldCharType="separate"/>
        </w:r>
        <w:r w:rsidR="00A17D70">
          <w:rPr>
            <w:webHidden/>
          </w:rPr>
          <w:t>4</w:t>
        </w:r>
        <w:r>
          <w:rPr>
            <w:webHidden/>
          </w:rPr>
          <w:fldChar w:fldCharType="end"/>
        </w:r>
      </w:hyperlink>
    </w:p>
    <w:p w14:paraId="0626598D" w14:textId="435C2E7F"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499" w:history="1">
        <w:r w:rsidRPr="00C81B81">
          <w:rPr>
            <w:rStyle w:val="Hyperlink"/>
          </w:rPr>
          <w:t>ČASŤ II: HODNOTENIE IRRBB: SOT V SÚVISLOSTI S EVE/NII a ZMENY MV (J 01.00)</w:t>
        </w:r>
        <w:r>
          <w:rPr>
            <w:webHidden/>
          </w:rPr>
          <w:tab/>
        </w:r>
        <w:r>
          <w:rPr>
            <w:webHidden/>
          </w:rPr>
          <w:fldChar w:fldCharType="begin"/>
        </w:r>
        <w:r>
          <w:rPr>
            <w:webHidden/>
          </w:rPr>
          <w:instrText xml:space="preserve"> PAGEREF _Toc188859499 \h </w:instrText>
        </w:r>
        <w:r>
          <w:rPr>
            <w:webHidden/>
          </w:rPr>
        </w:r>
        <w:r>
          <w:rPr>
            <w:webHidden/>
          </w:rPr>
          <w:fldChar w:fldCharType="separate"/>
        </w:r>
        <w:r w:rsidR="00A17D70">
          <w:rPr>
            <w:webHidden/>
          </w:rPr>
          <w:t>5</w:t>
        </w:r>
        <w:r>
          <w:rPr>
            <w:webHidden/>
          </w:rPr>
          <w:fldChar w:fldCharType="end"/>
        </w:r>
      </w:hyperlink>
    </w:p>
    <w:p w14:paraId="0846311F" w14:textId="746664C8"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0" w:history="1">
        <w:r w:rsidRPr="00C81B81">
          <w:rPr>
            <w:rStyle w:val="Hyperlink"/>
          </w:rPr>
          <w:t>1.</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Všeobecné poznámky</w:t>
        </w:r>
        <w:r>
          <w:rPr>
            <w:webHidden/>
          </w:rPr>
          <w:tab/>
        </w:r>
        <w:r>
          <w:rPr>
            <w:webHidden/>
          </w:rPr>
          <w:fldChar w:fldCharType="begin"/>
        </w:r>
        <w:r>
          <w:rPr>
            <w:webHidden/>
          </w:rPr>
          <w:instrText xml:space="preserve"> PAGEREF _Toc188859500 \h </w:instrText>
        </w:r>
        <w:r>
          <w:rPr>
            <w:webHidden/>
          </w:rPr>
        </w:r>
        <w:r>
          <w:rPr>
            <w:webHidden/>
          </w:rPr>
          <w:fldChar w:fldCharType="separate"/>
        </w:r>
        <w:r w:rsidR="00A17D70">
          <w:rPr>
            <w:webHidden/>
          </w:rPr>
          <w:t>5</w:t>
        </w:r>
        <w:r>
          <w:rPr>
            <w:webHidden/>
          </w:rPr>
          <w:fldChar w:fldCharType="end"/>
        </w:r>
      </w:hyperlink>
    </w:p>
    <w:p w14:paraId="07D733E5" w14:textId="732E6187"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1" w:history="1">
        <w:r w:rsidRPr="00C81B81">
          <w:rPr>
            <w:rStyle w:val="Hyperlink"/>
          </w:rPr>
          <w:t>2.</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Pokyny týkajúce sa konkrétnych pozícií</w:t>
        </w:r>
        <w:r>
          <w:rPr>
            <w:webHidden/>
          </w:rPr>
          <w:tab/>
        </w:r>
        <w:r>
          <w:rPr>
            <w:webHidden/>
          </w:rPr>
          <w:fldChar w:fldCharType="begin"/>
        </w:r>
        <w:r>
          <w:rPr>
            <w:webHidden/>
          </w:rPr>
          <w:instrText xml:space="preserve"> PAGEREF _Toc188859501 \h </w:instrText>
        </w:r>
        <w:r>
          <w:rPr>
            <w:webHidden/>
          </w:rPr>
        </w:r>
        <w:r>
          <w:rPr>
            <w:webHidden/>
          </w:rPr>
          <w:fldChar w:fldCharType="separate"/>
        </w:r>
        <w:r w:rsidR="00A17D70">
          <w:rPr>
            <w:webHidden/>
          </w:rPr>
          <w:t>5</w:t>
        </w:r>
        <w:r>
          <w:rPr>
            <w:webHidden/>
          </w:rPr>
          <w:fldChar w:fldCharType="end"/>
        </w:r>
      </w:hyperlink>
    </w:p>
    <w:p w14:paraId="65EE80E7" w14:textId="6F680C6C"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2" w:history="1">
        <w:r w:rsidRPr="00C81B81">
          <w:rPr>
            <w:rStyle w:val="Hyperlink"/>
          </w:rPr>
          <w:t>ČASŤ III: ROZČLENENIE ODHADOV CITLIVOSTI (J 02.00, J 03.00 a J 04.00)</w:t>
        </w:r>
        <w:r>
          <w:rPr>
            <w:webHidden/>
          </w:rPr>
          <w:tab/>
        </w:r>
        <w:r>
          <w:rPr>
            <w:webHidden/>
          </w:rPr>
          <w:fldChar w:fldCharType="begin"/>
        </w:r>
        <w:r>
          <w:rPr>
            <w:webHidden/>
          </w:rPr>
          <w:instrText xml:space="preserve"> PAGEREF _Toc188859502 \h </w:instrText>
        </w:r>
        <w:r>
          <w:rPr>
            <w:webHidden/>
          </w:rPr>
        </w:r>
        <w:r>
          <w:rPr>
            <w:webHidden/>
          </w:rPr>
          <w:fldChar w:fldCharType="separate"/>
        </w:r>
        <w:r w:rsidR="00A17D70">
          <w:rPr>
            <w:webHidden/>
          </w:rPr>
          <w:t>10</w:t>
        </w:r>
        <w:r>
          <w:rPr>
            <w:webHidden/>
          </w:rPr>
          <w:fldChar w:fldCharType="end"/>
        </w:r>
      </w:hyperlink>
    </w:p>
    <w:p w14:paraId="09D4175F" w14:textId="07A3B4FD"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3" w:history="1">
        <w:r w:rsidRPr="00C81B81">
          <w:rPr>
            <w:rStyle w:val="Hyperlink"/>
          </w:rPr>
          <w:t>1.</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Všeobecné poznámky</w:t>
        </w:r>
        <w:r>
          <w:rPr>
            <w:webHidden/>
          </w:rPr>
          <w:tab/>
        </w:r>
        <w:r>
          <w:rPr>
            <w:webHidden/>
          </w:rPr>
          <w:fldChar w:fldCharType="begin"/>
        </w:r>
        <w:r>
          <w:rPr>
            <w:webHidden/>
          </w:rPr>
          <w:instrText xml:space="preserve"> PAGEREF _Toc188859503 \h </w:instrText>
        </w:r>
        <w:r>
          <w:rPr>
            <w:webHidden/>
          </w:rPr>
        </w:r>
        <w:r>
          <w:rPr>
            <w:webHidden/>
          </w:rPr>
          <w:fldChar w:fldCharType="separate"/>
        </w:r>
        <w:r w:rsidR="00A17D70">
          <w:rPr>
            <w:webHidden/>
          </w:rPr>
          <w:t>10</w:t>
        </w:r>
        <w:r>
          <w:rPr>
            <w:webHidden/>
          </w:rPr>
          <w:fldChar w:fldCharType="end"/>
        </w:r>
      </w:hyperlink>
    </w:p>
    <w:p w14:paraId="28914C90" w14:textId="24E03FAB"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4" w:history="1">
        <w:r w:rsidRPr="00C81B81">
          <w:rPr>
            <w:rStyle w:val="Hyperlink"/>
          </w:rPr>
          <w:t>2.</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Pokyny týkajúce sa konkrétnych pozícií</w:t>
        </w:r>
        <w:r>
          <w:rPr>
            <w:webHidden/>
          </w:rPr>
          <w:tab/>
        </w:r>
        <w:r>
          <w:rPr>
            <w:webHidden/>
          </w:rPr>
          <w:fldChar w:fldCharType="begin"/>
        </w:r>
        <w:r>
          <w:rPr>
            <w:webHidden/>
          </w:rPr>
          <w:instrText xml:space="preserve"> PAGEREF _Toc188859504 \h </w:instrText>
        </w:r>
        <w:r>
          <w:rPr>
            <w:webHidden/>
          </w:rPr>
        </w:r>
        <w:r>
          <w:rPr>
            <w:webHidden/>
          </w:rPr>
          <w:fldChar w:fldCharType="separate"/>
        </w:r>
        <w:r w:rsidR="00A17D70">
          <w:rPr>
            <w:webHidden/>
          </w:rPr>
          <w:t>10</w:t>
        </w:r>
        <w:r>
          <w:rPr>
            <w:webHidden/>
          </w:rPr>
          <w:fldChar w:fldCharType="end"/>
        </w:r>
      </w:hyperlink>
    </w:p>
    <w:p w14:paraId="6932FADD" w14:textId="2E7D2028"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5" w:history="1">
        <w:r w:rsidRPr="00C81B81">
          <w:rPr>
            <w:rStyle w:val="Hyperlink"/>
          </w:rPr>
          <w:t>ČASŤ IV: PEŇAŽNÉ TOKY Z PRECENENIA (J 05.00, J 06.00 a J 07.00)</w:t>
        </w:r>
        <w:r>
          <w:rPr>
            <w:webHidden/>
          </w:rPr>
          <w:tab/>
        </w:r>
        <w:r>
          <w:rPr>
            <w:webHidden/>
          </w:rPr>
          <w:fldChar w:fldCharType="begin"/>
        </w:r>
        <w:r>
          <w:rPr>
            <w:webHidden/>
          </w:rPr>
          <w:instrText xml:space="preserve"> PAGEREF _Toc188859505 \h </w:instrText>
        </w:r>
        <w:r>
          <w:rPr>
            <w:webHidden/>
          </w:rPr>
        </w:r>
        <w:r>
          <w:rPr>
            <w:webHidden/>
          </w:rPr>
          <w:fldChar w:fldCharType="separate"/>
        </w:r>
        <w:r w:rsidR="00A17D70">
          <w:rPr>
            <w:webHidden/>
          </w:rPr>
          <w:t>20</w:t>
        </w:r>
        <w:r>
          <w:rPr>
            <w:webHidden/>
          </w:rPr>
          <w:fldChar w:fldCharType="end"/>
        </w:r>
      </w:hyperlink>
    </w:p>
    <w:p w14:paraId="63CEE638" w14:textId="7CD65235"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6" w:history="1">
        <w:r w:rsidRPr="00C81B81">
          <w:rPr>
            <w:rStyle w:val="Hyperlink"/>
          </w:rPr>
          <w:t>1.</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Všeobecné poznámky</w:t>
        </w:r>
        <w:r>
          <w:rPr>
            <w:webHidden/>
          </w:rPr>
          <w:tab/>
        </w:r>
        <w:r>
          <w:rPr>
            <w:webHidden/>
          </w:rPr>
          <w:fldChar w:fldCharType="begin"/>
        </w:r>
        <w:r>
          <w:rPr>
            <w:webHidden/>
          </w:rPr>
          <w:instrText xml:space="preserve"> PAGEREF _Toc188859506 \h </w:instrText>
        </w:r>
        <w:r>
          <w:rPr>
            <w:webHidden/>
          </w:rPr>
        </w:r>
        <w:r>
          <w:rPr>
            <w:webHidden/>
          </w:rPr>
          <w:fldChar w:fldCharType="separate"/>
        </w:r>
        <w:r w:rsidR="00A17D70">
          <w:rPr>
            <w:webHidden/>
          </w:rPr>
          <w:t>20</w:t>
        </w:r>
        <w:r>
          <w:rPr>
            <w:webHidden/>
          </w:rPr>
          <w:fldChar w:fldCharType="end"/>
        </w:r>
      </w:hyperlink>
    </w:p>
    <w:p w14:paraId="1362EECD" w14:textId="7A30AA98"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7" w:history="1">
        <w:r w:rsidRPr="00C81B81">
          <w:rPr>
            <w:rStyle w:val="Hyperlink"/>
          </w:rPr>
          <w:t>2.</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Pokyny týkajúce sa konkrétnych pozícií:</w:t>
        </w:r>
        <w:r>
          <w:rPr>
            <w:webHidden/>
          </w:rPr>
          <w:tab/>
        </w:r>
        <w:r>
          <w:rPr>
            <w:webHidden/>
          </w:rPr>
          <w:fldChar w:fldCharType="begin"/>
        </w:r>
        <w:r>
          <w:rPr>
            <w:webHidden/>
          </w:rPr>
          <w:instrText xml:space="preserve"> PAGEREF _Toc188859507 \h </w:instrText>
        </w:r>
        <w:r>
          <w:rPr>
            <w:webHidden/>
          </w:rPr>
        </w:r>
        <w:r>
          <w:rPr>
            <w:webHidden/>
          </w:rPr>
          <w:fldChar w:fldCharType="separate"/>
        </w:r>
        <w:r w:rsidR="00A17D70">
          <w:rPr>
            <w:webHidden/>
          </w:rPr>
          <w:t>21</w:t>
        </w:r>
        <w:r>
          <w:rPr>
            <w:webHidden/>
          </w:rPr>
          <w:fldChar w:fldCharType="end"/>
        </w:r>
      </w:hyperlink>
    </w:p>
    <w:p w14:paraId="556FFCFF" w14:textId="7B57DACD"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8" w:history="1">
        <w:r w:rsidRPr="00C81B81">
          <w:rPr>
            <w:rStyle w:val="Hyperlink"/>
          </w:rPr>
          <w:t>ČASŤ V: RELEVANTNÉ PARAMETRE (J 08.00 a J 09.00)</w:t>
        </w:r>
        <w:r>
          <w:rPr>
            <w:webHidden/>
          </w:rPr>
          <w:tab/>
        </w:r>
        <w:r>
          <w:rPr>
            <w:webHidden/>
          </w:rPr>
          <w:fldChar w:fldCharType="begin"/>
        </w:r>
        <w:r>
          <w:rPr>
            <w:webHidden/>
          </w:rPr>
          <w:instrText xml:space="preserve"> PAGEREF _Toc188859508 \h </w:instrText>
        </w:r>
        <w:r>
          <w:rPr>
            <w:webHidden/>
          </w:rPr>
        </w:r>
        <w:r>
          <w:rPr>
            <w:webHidden/>
          </w:rPr>
          <w:fldChar w:fldCharType="separate"/>
        </w:r>
        <w:r w:rsidR="00A17D70">
          <w:rPr>
            <w:webHidden/>
          </w:rPr>
          <w:t>24</w:t>
        </w:r>
        <w:r>
          <w:rPr>
            <w:webHidden/>
          </w:rPr>
          <w:fldChar w:fldCharType="end"/>
        </w:r>
      </w:hyperlink>
    </w:p>
    <w:p w14:paraId="4449AA43" w14:textId="514D6048"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09" w:history="1">
        <w:r w:rsidRPr="00C81B81">
          <w:rPr>
            <w:rStyle w:val="Hyperlink"/>
          </w:rPr>
          <w:t>1.</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Všeobecné poznámky</w:t>
        </w:r>
        <w:r>
          <w:rPr>
            <w:webHidden/>
          </w:rPr>
          <w:tab/>
        </w:r>
        <w:r>
          <w:rPr>
            <w:webHidden/>
          </w:rPr>
          <w:fldChar w:fldCharType="begin"/>
        </w:r>
        <w:r>
          <w:rPr>
            <w:webHidden/>
          </w:rPr>
          <w:instrText xml:space="preserve"> PAGEREF _Toc188859509 \h </w:instrText>
        </w:r>
        <w:r>
          <w:rPr>
            <w:webHidden/>
          </w:rPr>
        </w:r>
        <w:r>
          <w:rPr>
            <w:webHidden/>
          </w:rPr>
          <w:fldChar w:fldCharType="separate"/>
        </w:r>
        <w:r w:rsidR="00A17D70">
          <w:rPr>
            <w:webHidden/>
          </w:rPr>
          <w:t>24</w:t>
        </w:r>
        <w:r>
          <w:rPr>
            <w:webHidden/>
          </w:rPr>
          <w:fldChar w:fldCharType="end"/>
        </w:r>
      </w:hyperlink>
    </w:p>
    <w:p w14:paraId="5915AE32" w14:textId="0AC99D3E"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10" w:history="1">
        <w:r w:rsidRPr="00C81B81">
          <w:rPr>
            <w:rStyle w:val="Hyperlink"/>
          </w:rPr>
          <w:t>2.</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Pokyny týkajúce sa konkrétnych pozícií</w:t>
        </w:r>
        <w:r>
          <w:rPr>
            <w:webHidden/>
          </w:rPr>
          <w:tab/>
        </w:r>
        <w:r>
          <w:rPr>
            <w:webHidden/>
          </w:rPr>
          <w:fldChar w:fldCharType="begin"/>
        </w:r>
        <w:r>
          <w:rPr>
            <w:webHidden/>
          </w:rPr>
          <w:instrText xml:space="preserve"> PAGEREF _Toc188859510 \h </w:instrText>
        </w:r>
        <w:r>
          <w:rPr>
            <w:webHidden/>
          </w:rPr>
        </w:r>
        <w:r>
          <w:rPr>
            <w:webHidden/>
          </w:rPr>
          <w:fldChar w:fldCharType="separate"/>
        </w:r>
        <w:r w:rsidR="00A17D70">
          <w:rPr>
            <w:webHidden/>
          </w:rPr>
          <w:t>24</w:t>
        </w:r>
        <w:r>
          <w:rPr>
            <w:webHidden/>
          </w:rPr>
          <w:fldChar w:fldCharType="end"/>
        </w:r>
      </w:hyperlink>
    </w:p>
    <w:p w14:paraId="2FC8968C" w14:textId="2B800AD4"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11" w:history="1">
        <w:r w:rsidRPr="00C81B81">
          <w:rPr>
            <w:rStyle w:val="Hyperlink"/>
          </w:rPr>
          <w:t>ČASŤ VI: KVALITATÍVNE INFORMÁCIE (J 10.00 a J 11.00)</w:t>
        </w:r>
        <w:r>
          <w:rPr>
            <w:webHidden/>
          </w:rPr>
          <w:tab/>
        </w:r>
        <w:r>
          <w:rPr>
            <w:webHidden/>
          </w:rPr>
          <w:fldChar w:fldCharType="begin"/>
        </w:r>
        <w:r>
          <w:rPr>
            <w:webHidden/>
          </w:rPr>
          <w:instrText xml:space="preserve"> PAGEREF _Toc188859511 \h </w:instrText>
        </w:r>
        <w:r>
          <w:rPr>
            <w:webHidden/>
          </w:rPr>
        </w:r>
        <w:r>
          <w:rPr>
            <w:webHidden/>
          </w:rPr>
          <w:fldChar w:fldCharType="separate"/>
        </w:r>
        <w:r w:rsidR="00A17D70">
          <w:rPr>
            <w:webHidden/>
          </w:rPr>
          <w:t>28</w:t>
        </w:r>
        <w:r>
          <w:rPr>
            <w:webHidden/>
          </w:rPr>
          <w:fldChar w:fldCharType="end"/>
        </w:r>
      </w:hyperlink>
    </w:p>
    <w:p w14:paraId="3D443F4B" w14:textId="39F29A95"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12" w:history="1">
        <w:r w:rsidRPr="00C81B81">
          <w:rPr>
            <w:rStyle w:val="Hyperlink"/>
          </w:rPr>
          <w:t>1.</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Všeobecné poznámky</w:t>
        </w:r>
        <w:r>
          <w:rPr>
            <w:webHidden/>
          </w:rPr>
          <w:tab/>
        </w:r>
        <w:r>
          <w:rPr>
            <w:webHidden/>
          </w:rPr>
          <w:fldChar w:fldCharType="begin"/>
        </w:r>
        <w:r>
          <w:rPr>
            <w:webHidden/>
          </w:rPr>
          <w:instrText xml:space="preserve"> PAGEREF _Toc188859512 \h </w:instrText>
        </w:r>
        <w:r>
          <w:rPr>
            <w:webHidden/>
          </w:rPr>
        </w:r>
        <w:r>
          <w:rPr>
            <w:webHidden/>
          </w:rPr>
          <w:fldChar w:fldCharType="separate"/>
        </w:r>
        <w:r w:rsidR="00A17D70">
          <w:rPr>
            <w:webHidden/>
          </w:rPr>
          <w:t>28</w:t>
        </w:r>
        <w:r>
          <w:rPr>
            <w:webHidden/>
          </w:rPr>
          <w:fldChar w:fldCharType="end"/>
        </w:r>
      </w:hyperlink>
    </w:p>
    <w:p w14:paraId="7E3CF031" w14:textId="30A08118" w:rsidR="00A72949" w:rsidRDefault="00A72949">
      <w:pPr>
        <w:pStyle w:val="TOC2"/>
        <w:rPr>
          <w:rFonts w:asciiTheme="minorHAnsi" w:eastAsiaTheme="minorEastAsia" w:hAnsiTheme="minorHAnsi" w:cstheme="minorBidi"/>
          <w:b w:val="0"/>
          <w:smallCaps w:val="0"/>
          <w:kern w:val="2"/>
          <w:szCs w:val="24"/>
          <w:lang w:val="en-IE" w:eastAsia="en-IE"/>
          <w14:ligatures w14:val="standardContextual"/>
        </w:rPr>
      </w:pPr>
      <w:hyperlink w:anchor="_Toc188859513" w:history="1">
        <w:r w:rsidRPr="00C81B81">
          <w:rPr>
            <w:rStyle w:val="Hyperlink"/>
          </w:rPr>
          <w:t>2.</w:t>
        </w:r>
        <w:r>
          <w:rPr>
            <w:rFonts w:asciiTheme="minorHAnsi" w:eastAsiaTheme="minorEastAsia" w:hAnsiTheme="minorHAnsi" w:cstheme="minorBidi"/>
            <w:b w:val="0"/>
            <w:smallCaps w:val="0"/>
            <w:kern w:val="2"/>
            <w:szCs w:val="24"/>
            <w:lang w:val="en-IE" w:eastAsia="en-IE"/>
            <w14:ligatures w14:val="standardContextual"/>
          </w:rPr>
          <w:tab/>
        </w:r>
        <w:r w:rsidRPr="00C81B81">
          <w:rPr>
            <w:rStyle w:val="Hyperlink"/>
          </w:rPr>
          <w:t>Pokyny týkajúce sa konkrétnych pozícií</w:t>
        </w:r>
        <w:r>
          <w:rPr>
            <w:webHidden/>
          </w:rPr>
          <w:tab/>
        </w:r>
        <w:r>
          <w:rPr>
            <w:webHidden/>
          </w:rPr>
          <w:fldChar w:fldCharType="begin"/>
        </w:r>
        <w:r>
          <w:rPr>
            <w:webHidden/>
          </w:rPr>
          <w:instrText xml:space="preserve"> PAGEREF _Toc188859513 \h </w:instrText>
        </w:r>
        <w:r>
          <w:rPr>
            <w:webHidden/>
          </w:rPr>
        </w:r>
        <w:r>
          <w:rPr>
            <w:webHidden/>
          </w:rPr>
          <w:fldChar w:fldCharType="separate"/>
        </w:r>
        <w:r w:rsidR="00A17D70">
          <w:rPr>
            <w:webHidden/>
          </w:rPr>
          <w:t>28</w:t>
        </w:r>
        <w:r>
          <w:rPr>
            <w:webHidden/>
          </w:rPr>
          <w:fldChar w:fldCharType="end"/>
        </w:r>
      </w:hyperlink>
    </w:p>
    <w:p w14:paraId="66CB94C4" w14:textId="02D780BD" w:rsidR="004E6C70" w:rsidRPr="00A72949" w:rsidRDefault="00A72949" w:rsidP="004E6C70">
      <w:pPr>
        <w:suppressAutoHyphens/>
        <w:rPr>
          <w:rFonts w:ascii="Times New Roman" w:hAnsi="Times New Roman"/>
          <w:sz w:val="24"/>
        </w:rPr>
        <w:sectPr w:rsidR="004E6C70" w:rsidRPr="00A72949" w:rsidSect="00D8241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20"/>
          <w:titlePg/>
          <w:docGrid w:linePitch="360"/>
        </w:sectPr>
      </w:pPr>
      <w:r>
        <w:rPr>
          <w:rFonts w:ascii="Times New Roman" w:hAnsi="Times New Roman"/>
          <w:color w:val="2B579A"/>
          <w:sz w:val="24"/>
          <w:szCs w:val="22"/>
          <w:shd w:val="clear" w:color="auto" w:fill="E6E6E6"/>
        </w:rPr>
        <w:fldChar w:fldCharType="end"/>
      </w:r>
    </w:p>
    <w:p w14:paraId="2B170297" w14:textId="77777777" w:rsidR="004E6C70" w:rsidRPr="00A72949" w:rsidRDefault="004E6C70" w:rsidP="004E6C70">
      <w:pPr>
        <w:pStyle w:val="Heading2"/>
        <w:suppressAutoHyphens/>
      </w:pPr>
      <w:bookmarkStart w:id="0" w:name="_Toc264038394"/>
      <w:bookmarkStart w:id="1" w:name="_Toc360188317"/>
      <w:bookmarkStart w:id="2" w:name="_Toc473560865"/>
      <w:bookmarkStart w:id="3" w:name="_Toc188859491"/>
      <w:r w:rsidRPr="00A72949">
        <w:lastRenderedPageBreak/>
        <w:t>ČASŤ I:</w:t>
      </w:r>
      <w:bookmarkEnd w:id="0"/>
      <w:r w:rsidRPr="00A72949">
        <w:t xml:space="preserve"> VŠEOBECNÉ POKYNY</w:t>
      </w:r>
      <w:bookmarkEnd w:id="1"/>
      <w:bookmarkEnd w:id="2"/>
      <w:bookmarkEnd w:id="3"/>
    </w:p>
    <w:p w14:paraId="2CCB1719" w14:textId="77777777" w:rsidR="004E6C70" w:rsidRPr="00A72949" w:rsidRDefault="004E6C70" w:rsidP="004E6C70">
      <w:pPr>
        <w:pStyle w:val="Instructionsberschrift2"/>
        <w:tabs>
          <w:tab w:val="left" w:pos="567"/>
        </w:tabs>
        <w:suppressAutoHyphens/>
        <w:ind w:left="0" w:firstLine="0"/>
        <w:rPr>
          <w:rFonts w:cs="Times New Roman"/>
          <w:b/>
          <w:bCs/>
          <w:sz w:val="24"/>
        </w:rPr>
      </w:pPr>
      <w:bookmarkStart w:id="4" w:name="_Toc360188319"/>
      <w:bookmarkStart w:id="5" w:name="_Toc473560867"/>
      <w:bookmarkStart w:id="6" w:name="_Toc188859492"/>
      <w:r w:rsidRPr="00A72949">
        <w:rPr>
          <w:b/>
          <w:sz w:val="24"/>
        </w:rPr>
        <w:t>Štruktúra</w:t>
      </w:r>
      <w:bookmarkEnd w:id="4"/>
      <w:bookmarkEnd w:id="5"/>
      <w:bookmarkEnd w:id="6"/>
    </w:p>
    <w:p w14:paraId="0641F56C" w14:textId="3F8A0D27"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1.1.</w:t>
      </w:r>
      <w:r w:rsidRPr="00A72949">
        <w:tab/>
      </w:r>
      <w:r w:rsidRPr="00A72949">
        <w:rPr>
          <w:rFonts w:ascii="Times New Roman" w:hAnsi="Times New Roman"/>
          <w:sz w:val="24"/>
        </w:rPr>
        <w:t>Táto príloha obsahuje pokyny na vykazovanie vzorov týkajúcich sa úrokového rizika</w:t>
      </w:r>
      <w:r w:rsidR="00A72949">
        <w:rPr>
          <w:rFonts w:ascii="Times New Roman" w:hAnsi="Times New Roman"/>
          <w:sz w:val="24"/>
        </w:rPr>
        <w:t xml:space="preserve"> v </w:t>
      </w:r>
      <w:r w:rsidRPr="00A72949">
        <w:rPr>
          <w:rFonts w:ascii="Times New Roman" w:hAnsi="Times New Roman"/>
          <w:sz w:val="24"/>
        </w:rPr>
        <w:t>bankovej knihe (IRRBB).</w:t>
      </w:r>
    </w:p>
    <w:p w14:paraId="2B70F3D2" w14:textId="668B0EAD"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1.2.</w:t>
      </w:r>
      <w:r w:rsidRPr="00A72949">
        <w:tab/>
      </w:r>
      <w:r w:rsidRPr="00A72949">
        <w:rPr>
          <w:rFonts w:ascii="Times New Roman" w:hAnsi="Times New Roman"/>
          <w:sz w:val="24"/>
        </w:rPr>
        <w:t>Táto príloha pozostáva</w:t>
      </w:r>
      <w:r w:rsidR="00A72949">
        <w:rPr>
          <w:rFonts w:ascii="Times New Roman" w:hAnsi="Times New Roman"/>
          <w:sz w:val="24"/>
        </w:rPr>
        <w:t xml:space="preserve"> z </w:t>
      </w:r>
      <w:r w:rsidRPr="00A72949">
        <w:rPr>
          <w:rFonts w:ascii="Times New Roman" w:hAnsi="Times New Roman"/>
          <w:sz w:val="24"/>
        </w:rPr>
        <w:t>piatich rôznych súborov vzorov:</w:t>
      </w:r>
    </w:p>
    <w:p w14:paraId="274692FC" w14:textId="6E3C849B"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a)</w:t>
      </w:r>
      <w:r w:rsidRPr="00A72949">
        <w:tab/>
      </w:r>
      <w:r w:rsidRPr="00A72949">
        <w:rPr>
          <w:rFonts w:ascii="Times New Roman" w:hAnsi="Times New Roman"/>
          <w:sz w:val="24"/>
        </w:rPr>
        <w:t>hodnotenie IRRBB: testy na odľahlé hodnoty na účely dohľadu (SOT)</w:t>
      </w:r>
      <w:r w:rsidR="00A72949">
        <w:rPr>
          <w:rFonts w:ascii="Times New Roman" w:hAnsi="Times New Roman"/>
          <w:sz w:val="24"/>
        </w:rPr>
        <w:t xml:space="preserve"> v </w:t>
      </w:r>
      <w:r w:rsidRPr="00A72949">
        <w:rPr>
          <w:rFonts w:ascii="Times New Roman" w:hAnsi="Times New Roman"/>
          <w:sz w:val="24"/>
        </w:rPr>
        <w:t>súvislosti</w:t>
      </w:r>
      <w:r w:rsidR="00A72949">
        <w:rPr>
          <w:rFonts w:ascii="Times New Roman" w:hAnsi="Times New Roman"/>
          <w:sz w:val="24"/>
        </w:rPr>
        <w:t xml:space="preserve"> s </w:t>
      </w:r>
      <w:r w:rsidRPr="00A72949">
        <w:rPr>
          <w:rFonts w:ascii="Times New Roman" w:hAnsi="Times New Roman"/>
          <w:sz w:val="24"/>
        </w:rPr>
        <w:t>ekonomickou hodnotou vlastného imania (EVE)</w:t>
      </w:r>
      <w:r w:rsidR="00A72949">
        <w:rPr>
          <w:rFonts w:ascii="Times New Roman" w:hAnsi="Times New Roman"/>
          <w:sz w:val="24"/>
        </w:rPr>
        <w:t xml:space="preserve"> a </w:t>
      </w:r>
      <w:r w:rsidRPr="00A72949">
        <w:rPr>
          <w:rFonts w:ascii="Times New Roman" w:hAnsi="Times New Roman"/>
          <w:sz w:val="24"/>
        </w:rPr>
        <w:t>čistými úrokovými výnosmi (NII)</w:t>
      </w:r>
      <w:r w:rsidR="00A72949">
        <w:rPr>
          <w:rFonts w:ascii="Times New Roman" w:hAnsi="Times New Roman"/>
          <w:sz w:val="24"/>
        </w:rPr>
        <w:t xml:space="preserve"> a </w:t>
      </w:r>
      <w:r w:rsidRPr="00A72949">
        <w:rPr>
          <w:rFonts w:ascii="Times New Roman" w:hAnsi="Times New Roman"/>
          <w:sz w:val="24"/>
        </w:rPr>
        <w:t>zmeny trhovej hodnoty (MV) (J 01.00);</w:t>
      </w:r>
    </w:p>
    <w:p w14:paraId="5981A343" w14:textId="0D61BA69"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b)</w:t>
      </w:r>
      <w:r w:rsidRPr="00A72949">
        <w:tab/>
      </w:r>
      <w:r w:rsidRPr="00A72949">
        <w:rPr>
          <w:rFonts w:ascii="Times New Roman" w:hAnsi="Times New Roman"/>
          <w:sz w:val="24"/>
        </w:rPr>
        <w:t>rozčlenenie odhadov citlivosti IRRBB (J 02.00, J 03.00</w:t>
      </w:r>
      <w:r w:rsidR="00A72949">
        <w:rPr>
          <w:rFonts w:ascii="Times New Roman" w:hAnsi="Times New Roman"/>
          <w:sz w:val="24"/>
        </w:rPr>
        <w:t xml:space="preserve"> a </w:t>
      </w:r>
      <w:r w:rsidRPr="00A72949">
        <w:rPr>
          <w:rFonts w:ascii="Times New Roman" w:hAnsi="Times New Roman"/>
          <w:sz w:val="24"/>
        </w:rPr>
        <w:t>J 04.00);</w:t>
      </w:r>
    </w:p>
    <w:p w14:paraId="5D6139C0" w14:textId="1D028B49"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c)</w:t>
      </w:r>
      <w:r w:rsidRPr="00A72949">
        <w:tab/>
      </w:r>
      <w:r w:rsidRPr="00A72949">
        <w:rPr>
          <w:rFonts w:ascii="Times New Roman" w:hAnsi="Times New Roman"/>
          <w:sz w:val="24"/>
        </w:rPr>
        <w:t>peňažné toky</w:t>
      </w:r>
      <w:r w:rsidR="00A72949">
        <w:rPr>
          <w:rFonts w:ascii="Times New Roman" w:hAnsi="Times New Roman"/>
          <w:sz w:val="24"/>
        </w:rPr>
        <w:t xml:space="preserve"> z </w:t>
      </w:r>
      <w:r w:rsidRPr="00A72949">
        <w:rPr>
          <w:rFonts w:ascii="Times New Roman" w:hAnsi="Times New Roman"/>
          <w:sz w:val="24"/>
        </w:rPr>
        <w:t>precenenia IRRBB (J 05.00, J 06.00</w:t>
      </w:r>
      <w:r w:rsidR="00A72949">
        <w:rPr>
          <w:rFonts w:ascii="Times New Roman" w:hAnsi="Times New Roman"/>
          <w:sz w:val="24"/>
        </w:rPr>
        <w:t xml:space="preserve"> a </w:t>
      </w:r>
      <w:r w:rsidRPr="00A72949">
        <w:rPr>
          <w:rFonts w:ascii="Times New Roman" w:hAnsi="Times New Roman"/>
          <w:sz w:val="24"/>
        </w:rPr>
        <w:t>J 07.00);</w:t>
      </w:r>
    </w:p>
    <w:p w14:paraId="48E73D46" w14:textId="55FA6FDF" w:rsidR="00A72949" w:rsidRDefault="004E6C70" w:rsidP="004E6C70">
      <w:pPr>
        <w:suppressAutoHyphens/>
        <w:ind w:left="567" w:hanging="567"/>
        <w:rPr>
          <w:rFonts w:ascii="Times New Roman" w:hAnsi="Times New Roman"/>
          <w:sz w:val="24"/>
        </w:rPr>
      </w:pPr>
      <w:r w:rsidRPr="00A72949">
        <w:rPr>
          <w:rFonts w:ascii="Times New Roman" w:hAnsi="Times New Roman"/>
          <w:sz w:val="24"/>
        </w:rPr>
        <w:t>d)</w:t>
      </w:r>
      <w:r w:rsidRPr="00A72949">
        <w:tab/>
      </w:r>
      <w:r w:rsidRPr="00A72949">
        <w:rPr>
          <w:rFonts w:ascii="Times New Roman" w:hAnsi="Times New Roman"/>
          <w:sz w:val="24"/>
        </w:rPr>
        <w:t>relevantné parametre behaviorálneho modelovania (J 08.00</w:t>
      </w:r>
      <w:r w:rsidR="00A72949">
        <w:rPr>
          <w:rFonts w:ascii="Times New Roman" w:hAnsi="Times New Roman"/>
          <w:sz w:val="24"/>
        </w:rPr>
        <w:t xml:space="preserve"> a </w:t>
      </w:r>
      <w:r w:rsidRPr="00A72949">
        <w:rPr>
          <w:rFonts w:ascii="Times New Roman" w:hAnsi="Times New Roman"/>
          <w:sz w:val="24"/>
        </w:rPr>
        <w:t>J 09.00)</w:t>
      </w:r>
      <w:r w:rsidR="00A72949">
        <w:rPr>
          <w:rFonts w:ascii="Times New Roman" w:hAnsi="Times New Roman"/>
          <w:sz w:val="24"/>
        </w:rPr>
        <w:t>;</w:t>
      </w:r>
    </w:p>
    <w:p w14:paraId="45AE9D62" w14:textId="103251AA"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e)</w:t>
      </w:r>
      <w:r w:rsidRPr="00A72949">
        <w:tab/>
      </w:r>
      <w:r w:rsidRPr="00A72949">
        <w:rPr>
          <w:rFonts w:ascii="Times New Roman" w:hAnsi="Times New Roman"/>
          <w:sz w:val="24"/>
        </w:rPr>
        <w:t>kvalitatívne informácie (J 10.00</w:t>
      </w:r>
      <w:r w:rsidR="00A72949">
        <w:rPr>
          <w:rFonts w:ascii="Times New Roman" w:hAnsi="Times New Roman"/>
          <w:sz w:val="24"/>
        </w:rPr>
        <w:t xml:space="preserve"> a </w:t>
      </w:r>
      <w:r w:rsidRPr="00A72949">
        <w:rPr>
          <w:rFonts w:ascii="Times New Roman" w:hAnsi="Times New Roman"/>
          <w:sz w:val="24"/>
        </w:rPr>
        <w:t>J 11.00);</w:t>
      </w:r>
    </w:p>
    <w:p w14:paraId="56D8864D" w14:textId="6DF98C97" w:rsidR="004E6C70" w:rsidRPr="00A72949" w:rsidRDefault="004E6C70" w:rsidP="004E6C70">
      <w:pPr>
        <w:tabs>
          <w:tab w:val="left" w:pos="567"/>
        </w:tabs>
        <w:suppressAutoHyphens/>
        <w:rPr>
          <w:rFonts w:ascii="Times New Roman" w:hAnsi="Times New Roman"/>
          <w:sz w:val="24"/>
        </w:rPr>
      </w:pPr>
      <w:bookmarkStart w:id="7" w:name="_Toc360188320"/>
      <w:bookmarkStart w:id="8" w:name="_Toc473560868"/>
      <w:r w:rsidRPr="00A72949">
        <w:rPr>
          <w:rFonts w:ascii="Times New Roman" w:hAnsi="Times New Roman"/>
          <w:sz w:val="24"/>
        </w:rPr>
        <w:t>1.3.</w:t>
      </w:r>
      <w:r w:rsidRPr="00A72949">
        <w:tab/>
      </w:r>
      <w:r w:rsidRPr="00A72949">
        <w:rPr>
          <w:rFonts w:ascii="Times New Roman" w:hAnsi="Times New Roman"/>
          <w:sz w:val="24"/>
        </w:rPr>
        <w:t>Pre každý vzor sa uvádzajú odkazy na právne predpisy.</w:t>
      </w:r>
      <w:r w:rsidR="00A72949">
        <w:rPr>
          <w:rFonts w:ascii="Times New Roman" w:hAnsi="Times New Roman"/>
          <w:sz w:val="24"/>
        </w:rPr>
        <w:t xml:space="preserve"> V </w:t>
      </w:r>
      <w:r w:rsidRPr="00A72949">
        <w:rPr>
          <w:rFonts w:ascii="Times New Roman" w:hAnsi="Times New Roman"/>
          <w:sz w:val="24"/>
        </w:rPr>
        <w:t>tejto prílohe sú zahrnuté ďalšie podrobné informácie týkajúce sa všeobecnejších aspektov vykazovania pre každý blok vzorov</w:t>
      </w:r>
      <w:r w:rsidR="00A72949">
        <w:rPr>
          <w:rFonts w:ascii="Times New Roman" w:hAnsi="Times New Roman"/>
          <w:sz w:val="24"/>
        </w:rPr>
        <w:t xml:space="preserve"> a </w:t>
      </w:r>
      <w:r w:rsidRPr="00A72949">
        <w:rPr>
          <w:rFonts w:ascii="Times New Roman" w:hAnsi="Times New Roman"/>
          <w:sz w:val="24"/>
        </w:rPr>
        <w:t>pokyny týkajúce sa konkrétnych pozícií.</w:t>
      </w:r>
    </w:p>
    <w:p w14:paraId="4BA51FAC" w14:textId="45BF2D69"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1.4.</w:t>
      </w:r>
      <w:r w:rsidRPr="00A72949">
        <w:tab/>
      </w:r>
      <w:r w:rsidRPr="00A72949">
        <w:rPr>
          <w:rFonts w:ascii="Times New Roman" w:hAnsi="Times New Roman"/>
          <w:sz w:val="24"/>
        </w:rPr>
        <w:t>Inštitúcie vykazujú vzory</w:t>
      </w:r>
      <w:r w:rsidR="00A72949">
        <w:rPr>
          <w:rFonts w:ascii="Times New Roman" w:hAnsi="Times New Roman"/>
          <w:sz w:val="24"/>
        </w:rPr>
        <w:t xml:space="preserve"> v </w:t>
      </w:r>
      <w:r w:rsidRPr="00A72949">
        <w:rPr>
          <w:rFonts w:ascii="Times New Roman" w:hAnsi="Times New Roman"/>
          <w:sz w:val="24"/>
        </w:rPr>
        <w:t>mene vykazovania bez ohľadu na to,</w:t>
      </w:r>
      <w:r w:rsidR="00A72949">
        <w:rPr>
          <w:rFonts w:ascii="Times New Roman" w:hAnsi="Times New Roman"/>
          <w:sz w:val="24"/>
        </w:rPr>
        <w:t xml:space="preserve"> v </w:t>
      </w:r>
      <w:r w:rsidRPr="00A72949">
        <w:rPr>
          <w:rFonts w:ascii="Times New Roman" w:hAnsi="Times New Roman"/>
          <w:sz w:val="24"/>
        </w:rPr>
        <w:t>akej mene sú aktíva, záväzky</w:t>
      </w:r>
      <w:r w:rsidR="00A72949">
        <w:rPr>
          <w:rFonts w:ascii="Times New Roman" w:hAnsi="Times New Roman"/>
          <w:sz w:val="24"/>
        </w:rPr>
        <w:t xml:space="preserve"> a </w:t>
      </w:r>
      <w:r w:rsidRPr="00A72949">
        <w:rPr>
          <w:rFonts w:ascii="Times New Roman" w:hAnsi="Times New Roman"/>
          <w:sz w:val="24"/>
        </w:rPr>
        <w:t>podsúvahové položky skutočne denominované. Meny iné ako mena vykazovania sa prepočítavajú na menu vykazovania, pričom sa použije referenčný výmenný kurz ECB platný</w:t>
      </w:r>
      <w:r w:rsidR="00A72949">
        <w:rPr>
          <w:rFonts w:ascii="Times New Roman" w:hAnsi="Times New Roman"/>
          <w:sz w:val="24"/>
        </w:rPr>
        <w:t xml:space="preserve"> k </w:t>
      </w:r>
      <w:r w:rsidRPr="00A72949">
        <w:rPr>
          <w:rFonts w:ascii="Times New Roman" w:hAnsi="Times New Roman"/>
          <w:sz w:val="24"/>
        </w:rPr>
        <w:t>referenčnému dátumu. Inštitúcie vykazujú oddelene vzory</w:t>
      </w:r>
      <w:r w:rsidR="00A72949">
        <w:rPr>
          <w:rFonts w:ascii="Times New Roman" w:hAnsi="Times New Roman"/>
          <w:sz w:val="24"/>
        </w:rPr>
        <w:t xml:space="preserve"> v </w:t>
      </w:r>
      <w:r w:rsidRPr="00A72949">
        <w:rPr>
          <w:rFonts w:ascii="Times New Roman" w:hAnsi="Times New Roman"/>
          <w:sz w:val="24"/>
        </w:rPr>
        <w:t>rozčlenení podľa príslušných mien</w:t>
      </w:r>
      <w:r w:rsidR="00A72949">
        <w:rPr>
          <w:rFonts w:ascii="Times New Roman" w:hAnsi="Times New Roman"/>
          <w:sz w:val="24"/>
        </w:rPr>
        <w:t xml:space="preserve"> v </w:t>
      </w:r>
      <w:r w:rsidRPr="00A72949">
        <w:rPr>
          <w:rFonts w:ascii="Times New Roman" w:hAnsi="Times New Roman"/>
          <w:sz w:val="24"/>
        </w:rPr>
        <w:t>súlade</w:t>
      </w:r>
      <w:r w:rsidR="00A72949">
        <w:rPr>
          <w:rFonts w:ascii="Times New Roman" w:hAnsi="Times New Roman"/>
          <w:sz w:val="24"/>
        </w:rPr>
        <w:t xml:space="preserve"> s </w:t>
      </w:r>
      <w:r w:rsidRPr="00A72949">
        <w:rPr>
          <w:rFonts w:ascii="Times New Roman" w:hAnsi="Times New Roman"/>
          <w:sz w:val="24"/>
        </w:rPr>
        <w:t>delegovaným nariadením Komisie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bookmarkStart w:id="9" w:name="_@_8F13D57BB9CD4FF0A0FE7B37689B022CZ"/>
      <w:bookmarkEnd w:id="9"/>
    </w:p>
    <w:p w14:paraId="18BCF250" w14:textId="2B59BE7D"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1.5.</w:t>
      </w:r>
      <w:r w:rsidRPr="00A72949">
        <w:tab/>
      </w:r>
      <w:r w:rsidRPr="00A72949">
        <w:rPr>
          <w:rFonts w:ascii="Times New Roman" w:hAnsi="Times New Roman"/>
          <w:sz w:val="24"/>
        </w:rPr>
        <w:t>V súlade</w:t>
      </w:r>
      <w:r w:rsidR="00A72949">
        <w:rPr>
          <w:rFonts w:ascii="Times New Roman" w:hAnsi="Times New Roman"/>
          <w:sz w:val="24"/>
        </w:rPr>
        <w:t xml:space="preserve"> s </w:t>
      </w:r>
      <w:r w:rsidRPr="00A72949">
        <w:rPr>
          <w:rFonts w:ascii="Times New Roman" w:hAnsi="Times New Roman"/>
          <w:sz w:val="24"/>
        </w:rPr>
        <w:t>článkom 3 ods. 2 písm. c)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 inštitúcie vo svojich výpočtoch zohľadňujú automatické</w:t>
      </w:r>
      <w:r w:rsidR="00A72949">
        <w:rPr>
          <w:rFonts w:ascii="Times New Roman" w:hAnsi="Times New Roman"/>
          <w:sz w:val="24"/>
        </w:rPr>
        <w:t xml:space="preserve"> a </w:t>
      </w:r>
      <w:r w:rsidRPr="00A72949">
        <w:rPr>
          <w:rFonts w:ascii="Times New Roman" w:hAnsi="Times New Roman"/>
          <w:sz w:val="24"/>
        </w:rPr>
        <w:t>behaviorálne opcie, ak je to relevantné,</w:t>
      </w:r>
      <w:r w:rsidR="00A72949">
        <w:rPr>
          <w:rFonts w:ascii="Times New Roman" w:hAnsi="Times New Roman"/>
          <w:sz w:val="24"/>
        </w:rPr>
        <w:t xml:space="preserve"> s </w:t>
      </w:r>
      <w:r w:rsidRPr="00A72949">
        <w:rPr>
          <w:rFonts w:ascii="Times New Roman" w:hAnsi="Times New Roman"/>
          <w:sz w:val="24"/>
        </w:rPr>
        <w:t>výnimkou prípadov, keď je uvedené inak.</w:t>
      </w:r>
    </w:p>
    <w:p w14:paraId="23A89EF6" w14:textId="77777777" w:rsidR="004E6C70" w:rsidRPr="00A72949" w:rsidRDefault="004E6C70" w:rsidP="004E6C70">
      <w:pPr>
        <w:pStyle w:val="Instructionsberschrift2"/>
        <w:tabs>
          <w:tab w:val="left" w:pos="567"/>
        </w:tabs>
        <w:suppressAutoHyphens/>
        <w:ind w:left="0" w:firstLine="0"/>
        <w:rPr>
          <w:rFonts w:cs="Times New Roman"/>
          <w:b/>
          <w:bCs/>
          <w:sz w:val="24"/>
        </w:rPr>
      </w:pPr>
      <w:bookmarkStart w:id="10" w:name="_Toc188859493"/>
      <w:r w:rsidRPr="00A72949">
        <w:rPr>
          <w:b/>
          <w:sz w:val="24"/>
        </w:rPr>
        <w:t>Rozsah vykazovania</w:t>
      </w:r>
      <w:bookmarkEnd w:id="10"/>
    </w:p>
    <w:p w14:paraId="16E70A2D" w14:textId="5B27A2E3" w:rsidR="004E6C70" w:rsidRPr="00A72949" w:rsidRDefault="004E6C70" w:rsidP="004E6C70">
      <w:pPr>
        <w:suppressAutoHyphens/>
        <w:rPr>
          <w:rFonts w:ascii="Times New Roman" w:hAnsi="Times New Roman"/>
          <w:sz w:val="24"/>
        </w:rPr>
      </w:pPr>
      <w:r w:rsidRPr="00A72949">
        <w:rPr>
          <w:rFonts w:ascii="Times New Roman" w:hAnsi="Times New Roman"/>
          <w:sz w:val="24"/>
        </w:rPr>
        <w:t>Inštitúcie prognózujú svoje odhady IRRBB</w:t>
      </w:r>
      <w:r w:rsidR="00A72949">
        <w:rPr>
          <w:rFonts w:ascii="Times New Roman" w:hAnsi="Times New Roman"/>
          <w:sz w:val="24"/>
        </w:rPr>
        <w:t xml:space="preserve"> a </w:t>
      </w:r>
      <w:r w:rsidRPr="00A72949">
        <w:rPr>
          <w:rFonts w:ascii="Times New Roman" w:hAnsi="Times New Roman"/>
          <w:sz w:val="24"/>
        </w:rPr>
        <w:t>poskytujú informácie</w:t>
      </w:r>
      <w:r w:rsidR="00A72949">
        <w:rPr>
          <w:rFonts w:ascii="Times New Roman" w:hAnsi="Times New Roman"/>
          <w:sz w:val="24"/>
        </w:rPr>
        <w:t xml:space="preserve"> o </w:t>
      </w:r>
      <w:r w:rsidRPr="00A72949">
        <w:rPr>
          <w:rFonts w:ascii="Times New Roman" w:hAnsi="Times New Roman"/>
          <w:sz w:val="24"/>
        </w:rPr>
        <w:t>svojich úrokových expozíciách vyplývajúcich</w:t>
      </w:r>
      <w:r w:rsidR="00A72949">
        <w:rPr>
          <w:rFonts w:ascii="Times New Roman" w:hAnsi="Times New Roman"/>
          <w:sz w:val="24"/>
        </w:rPr>
        <w:t xml:space="preserve"> z </w:t>
      </w:r>
      <w:r w:rsidRPr="00A72949">
        <w:rPr>
          <w:rFonts w:ascii="Times New Roman" w:hAnsi="Times New Roman"/>
          <w:sz w:val="24"/>
        </w:rPr>
        <w:t>pozícií citlivých na úrokové sadzby</w:t>
      </w:r>
      <w:r w:rsidR="00A72949">
        <w:rPr>
          <w:rFonts w:ascii="Times New Roman" w:hAnsi="Times New Roman"/>
          <w:sz w:val="24"/>
        </w:rPr>
        <w:t xml:space="preserve"> v </w:t>
      </w:r>
      <w:r w:rsidRPr="00A72949">
        <w:rPr>
          <w:rFonts w:ascii="Times New Roman" w:hAnsi="Times New Roman"/>
          <w:sz w:val="24"/>
        </w:rPr>
        <w:t>bankovej knihe</w:t>
      </w:r>
      <w:r w:rsidR="00A72949">
        <w:rPr>
          <w:rFonts w:ascii="Times New Roman" w:hAnsi="Times New Roman"/>
          <w:sz w:val="24"/>
        </w:rPr>
        <w:t xml:space="preserve"> v </w:t>
      </w:r>
      <w:r w:rsidRPr="00A72949">
        <w:rPr>
          <w:rFonts w:ascii="Times New Roman" w:hAnsi="Times New Roman"/>
          <w:sz w:val="24"/>
        </w:rPr>
        <w:t>rozsahu pôsobnosti SOT [články 3</w:t>
      </w:r>
      <w:r w:rsidR="00A72949">
        <w:rPr>
          <w:rFonts w:ascii="Times New Roman" w:hAnsi="Times New Roman"/>
          <w:sz w:val="24"/>
        </w:rPr>
        <w:t xml:space="preserve"> a </w:t>
      </w:r>
      <w:r w:rsidRPr="00A72949">
        <w:rPr>
          <w:rFonts w:ascii="Times New Roman" w:hAnsi="Times New Roman"/>
          <w:sz w:val="24"/>
        </w:rPr>
        <w:t>4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 Inštitúcie zohľadňujú najmä všetky nástroje</w:t>
      </w:r>
      <w:r w:rsidR="00A72949">
        <w:rPr>
          <w:rFonts w:ascii="Times New Roman" w:hAnsi="Times New Roman"/>
          <w:sz w:val="24"/>
        </w:rPr>
        <w:t xml:space="preserve"> v </w:t>
      </w:r>
      <w:r w:rsidRPr="00A72949">
        <w:rPr>
          <w:rFonts w:ascii="Times New Roman" w:hAnsi="Times New Roman"/>
          <w:sz w:val="24"/>
        </w:rPr>
        <w:t>súlade</w:t>
      </w:r>
      <w:r w:rsidR="00A72949">
        <w:rPr>
          <w:rFonts w:ascii="Times New Roman" w:hAnsi="Times New Roman"/>
          <w:sz w:val="24"/>
        </w:rPr>
        <w:t xml:space="preserve"> s </w:t>
      </w:r>
      <w:r w:rsidRPr="00A72949">
        <w:rPr>
          <w:rFonts w:ascii="Times New Roman" w:hAnsi="Times New Roman"/>
          <w:sz w:val="24"/>
        </w:rPr>
        <w:t>článkom 4 ods. 2 písm. a) až f)</w:t>
      </w:r>
      <w:r w:rsidR="00A72949">
        <w:rPr>
          <w:rFonts w:ascii="Times New Roman" w:hAnsi="Times New Roman"/>
          <w:sz w:val="24"/>
        </w:rPr>
        <w:t xml:space="preserve"> a </w:t>
      </w:r>
      <w:r w:rsidRPr="00A72949">
        <w:rPr>
          <w:rFonts w:ascii="Times New Roman" w:hAnsi="Times New Roman"/>
          <w:sz w:val="24"/>
        </w:rPr>
        <w:t>článkom 4 ods. 3, 4</w:t>
      </w:r>
      <w:r w:rsidR="00A72949">
        <w:rPr>
          <w:rFonts w:ascii="Times New Roman" w:hAnsi="Times New Roman"/>
          <w:sz w:val="24"/>
        </w:rPr>
        <w:t xml:space="preserve"> a </w:t>
      </w:r>
      <w:r w:rsidRPr="00A72949">
        <w:rPr>
          <w:rFonts w:ascii="Times New Roman" w:hAnsi="Times New Roman"/>
          <w:sz w:val="24"/>
        </w:rPr>
        <w:t>5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p>
    <w:p w14:paraId="387E2CC6" w14:textId="59661539" w:rsidR="004E6C70" w:rsidRPr="00A72949" w:rsidRDefault="004E6C70" w:rsidP="004E6C70">
      <w:pPr>
        <w:pStyle w:val="Instructionsberschrift2"/>
        <w:tabs>
          <w:tab w:val="left" w:pos="567"/>
        </w:tabs>
        <w:suppressAutoHyphens/>
        <w:ind w:left="0" w:firstLine="0"/>
        <w:rPr>
          <w:rFonts w:cs="Times New Roman"/>
          <w:b/>
          <w:bCs/>
          <w:sz w:val="24"/>
        </w:rPr>
      </w:pPr>
      <w:bookmarkStart w:id="11" w:name="_Ref125115357"/>
      <w:bookmarkStart w:id="12" w:name="_Ref122265153"/>
      <w:bookmarkStart w:id="13" w:name="_Toc188859494"/>
      <w:r w:rsidRPr="00A72949">
        <w:rPr>
          <w:b/>
          <w:sz w:val="24"/>
        </w:rPr>
        <w:t>Zaobchádzanie</w:t>
      </w:r>
      <w:r w:rsidR="00A72949">
        <w:rPr>
          <w:b/>
          <w:sz w:val="24"/>
        </w:rPr>
        <w:t xml:space="preserve"> s </w:t>
      </w:r>
      <w:r w:rsidRPr="00A72949">
        <w:rPr>
          <w:b/>
          <w:sz w:val="24"/>
        </w:rPr>
        <w:t>nástrojmi</w:t>
      </w:r>
      <w:r w:rsidR="00A72949">
        <w:rPr>
          <w:b/>
          <w:sz w:val="24"/>
        </w:rPr>
        <w:t xml:space="preserve"> s </w:t>
      </w:r>
      <w:r w:rsidRPr="00A72949">
        <w:rPr>
          <w:b/>
          <w:sz w:val="24"/>
        </w:rPr>
        <w:t>pevnou/pohyblivou úrokovou sadzbou</w:t>
      </w:r>
      <w:bookmarkEnd w:id="11"/>
      <w:bookmarkEnd w:id="12"/>
      <w:bookmarkEnd w:id="13"/>
    </w:p>
    <w:p w14:paraId="0570E95E" w14:textId="5B68FADF" w:rsidR="00A72949" w:rsidRDefault="004E6C70" w:rsidP="004E6C70">
      <w:pPr>
        <w:suppressAutoHyphens/>
        <w:rPr>
          <w:rFonts w:ascii="Times New Roman" w:hAnsi="Times New Roman"/>
          <w:sz w:val="24"/>
        </w:rPr>
      </w:pPr>
      <w:r w:rsidRPr="00A72949">
        <w:rPr>
          <w:rFonts w:ascii="Times New Roman" w:hAnsi="Times New Roman"/>
          <w:sz w:val="24"/>
        </w:rPr>
        <w:t>Ak sa pri nástrojoch</w:t>
      </w:r>
      <w:r w:rsidR="00A72949">
        <w:rPr>
          <w:rFonts w:ascii="Times New Roman" w:hAnsi="Times New Roman"/>
          <w:sz w:val="24"/>
        </w:rPr>
        <w:t xml:space="preserve"> s </w:t>
      </w:r>
      <w:r w:rsidRPr="00A72949">
        <w:rPr>
          <w:rFonts w:ascii="Times New Roman" w:hAnsi="Times New Roman"/>
          <w:sz w:val="24"/>
        </w:rPr>
        <w:t>pevnou alebo pohyblivou úrokovou sadzbou požadujú samostatné informácie, uplatňuje sa toto vymedzenie pojmov</w:t>
      </w:r>
      <w:r w:rsidR="00A72949">
        <w:rPr>
          <w:rFonts w:ascii="Times New Roman" w:hAnsi="Times New Roman"/>
          <w:sz w:val="24"/>
        </w:rPr>
        <w:t>:</w:t>
      </w:r>
    </w:p>
    <w:p w14:paraId="2079A223" w14:textId="6E322B41"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lastRenderedPageBreak/>
        <w:t>a)</w:t>
      </w:r>
      <w:r w:rsidRPr="00A72949">
        <w:tab/>
      </w:r>
      <w:r w:rsidRPr="00A72949">
        <w:rPr>
          <w:rFonts w:ascii="Times New Roman" w:hAnsi="Times New Roman"/>
          <w:sz w:val="24"/>
        </w:rPr>
        <w:t>„nástroj</w:t>
      </w:r>
      <w:r w:rsidR="00A72949">
        <w:rPr>
          <w:rFonts w:ascii="Times New Roman" w:hAnsi="Times New Roman"/>
          <w:sz w:val="24"/>
        </w:rPr>
        <w:t xml:space="preserve"> s </w:t>
      </w:r>
      <w:r w:rsidRPr="00A72949">
        <w:rPr>
          <w:rFonts w:ascii="Times New Roman" w:hAnsi="Times New Roman"/>
          <w:sz w:val="24"/>
        </w:rPr>
        <w:t>pevnou úrokovou sadzbou“ je „nástroj</w:t>
      </w:r>
      <w:r w:rsidR="00A72949">
        <w:rPr>
          <w:rFonts w:ascii="Times New Roman" w:hAnsi="Times New Roman"/>
          <w:sz w:val="24"/>
        </w:rPr>
        <w:t xml:space="preserve"> s </w:t>
      </w:r>
      <w:r w:rsidRPr="00A72949">
        <w:rPr>
          <w:rFonts w:ascii="Times New Roman" w:hAnsi="Times New Roman"/>
          <w:sz w:val="24"/>
        </w:rPr>
        <w:t>pevnou úrokovou sadzbou“</w:t>
      </w:r>
      <w:r w:rsidR="00A72949">
        <w:rPr>
          <w:rFonts w:ascii="Times New Roman" w:hAnsi="Times New Roman"/>
          <w:sz w:val="24"/>
        </w:rPr>
        <w:t xml:space="preserve"> v </w:t>
      </w:r>
      <w:r w:rsidRPr="00A72949">
        <w:rPr>
          <w:rFonts w:ascii="Times New Roman" w:hAnsi="Times New Roman"/>
          <w:sz w:val="24"/>
        </w:rPr>
        <w:t>zmysle vymedzenia</w:t>
      </w:r>
      <w:r w:rsidR="00A72949">
        <w:rPr>
          <w:rFonts w:ascii="Times New Roman" w:hAnsi="Times New Roman"/>
          <w:sz w:val="24"/>
        </w:rPr>
        <w:t xml:space="preserve"> v </w:t>
      </w:r>
      <w:r w:rsidRPr="00A72949">
        <w:rPr>
          <w:rFonts w:ascii="Times New Roman" w:hAnsi="Times New Roman"/>
          <w:sz w:val="24"/>
        </w:rPr>
        <w:t>článku 1 bode 4 delegovaného nariadenia Komisie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w:t>
      </w:r>
      <w:r w:rsidRPr="00A72949">
        <w:rPr>
          <w:rFonts w:ascii="Times New Roman" w:eastAsia="Arial" w:hAnsi="Times New Roman"/>
          <w:sz w:val="24"/>
          <w:vertAlign w:val="superscript"/>
        </w:rPr>
        <w:footnoteReference w:id="1"/>
      </w:r>
      <w:r w:rsidRPr="00A72949">
        <w:rPr>
          <w:rFonts w:ascii="Times New Roman" w:hAnsi="Times New Roman"/>
          <w:sz w:val="24"/>
        </w:rPr>
        <w:t>. Konkrétne:</w:t>
      </w:r>
    </w:p>
    <w:p w14:paraId="754DCA3D" w14:textId="77777777" w:rsidR="004E6C70" w:rsidRPr="00A72949" w:rsidRDefault="004E6C70" w:rsidP="004E6C70">
      <w:pPr>
        <w:suppressAutoHyphens/>
        <w:ind w:left="1134" w:hanging="567"/>
        <w:rPr>
          <w:rFonts w:ascii="Times New Roman" w:hAnsi="Times New Roman"/>
          <w:sz w:val="24"/>
        </w:rPr>
      </w:pPr>
      <w:r w:rsidRPr="00A72949">
        <w:rPr>
          <w:rFonts w:ascii="Times New Roman" w:hAnsi="Times New Roman"/>
          <w:sz w:val="24"/>
        </w:rPr>
        <w:t>i)</w:t>
      </w:r>
      <w:r w:rsidRPr="00A72949">
        <w:tab/>
      </w:r>
      <w:r w:rsidRPr="00A72949">
        <w:rPr>
          <w:rFonts w:ascii="Times New Roman" w:hAnsi="Times New Roman"/>
          <w:sz w:val="24"/>
        </w:rPr>
        <w:t>nástroje bez konkrétnej zmluvnej splatnosti (t. j. produkty splatné na požiadanie), ktorých peňažné toky úrokových platieb sa zmluvne ani právne neviažu na pohyby externej referenčnej hodnoty alebo interne spravovaného indexu inštitúcie, no ktoré sú predmetom voľného uváženia danej inštitúcie alebo vládnej agentúry;</w:t>
      </w:r>
    </w:p>
    <w:p w14:paraId="445488D6" w14:textId="747A884C" w:rsidR="004E6C70" w:rsidRPr="00A72949" w:rsidRDefault="004E6C70" w:rsidP="004E6C70">
      <w:pPr>
        <w:suppressAutoHyphens/>
        <w:ind w:left="1134" w:hanging="567"/>
        <w:rPr>
          <w:rFonts w:ascii="Times New Roman" w:hAnsi="Times New Roman"/>
          <w:sz w:val="24"/>
        </w:rPr>
      </w:pPr>
      <w:r w:rsidRPr="00A72949">
        <w:rPr>
          <w:rFonts w:ascii="Times New Roman" w:hAnsi="Times New Roman"/>
          <w:sz w:val="24"/>
        </w:rPr>
        <w:t>ii)</w:t>
      </w:r>
      <w:r w:rsidRPr="00A72949">
        <w:tab/>
      </w:r>
      <w:r w:rsidRPr="00A72949">
        <w:rPr>
          <w:rFonts w:ascii="Times New Roman" w:hAnsi="Times New Roman"/>
          <w:sz w:val="24"/>
        </w:rPr>
        <w:t>nástroje</w:t>
      </w:r>
      <w:r w:rsidR="00A72949">
        <w:rPr>
          <w:rFonts w:ascii="Times New Roman" w:hAnsi="Times New Roman"/>
          <w:sz w:val="24"/>
        </w:rPr>
        <w:t xml:space="preserve"> s </w:t>
      </w:r>
      <w:r w:rsidRPr="00A72949">
        <w:rPr>
          <w:rFonts w:ascii="Times New Roman" w:hAnsi="Times New Roman"/>
          <w:sz w:val="24"/>
        </w:rPr>
        <w:t>konkrétnou zmluvnou splatnosťou, ktorých peňažné toky úrokových platieb sú pevne stanovené od vzniku až do splatnosti nástroja, alebo ak je zmluvné precenenie dlhšie ako 1 rok; alebo ak zmeny</w:t>
      </w:r>
      <w:r w:rsidR="00A72949">
        <w:rPr>
          <w:rFonts w:ascii="Times New Roman" w:hAnsi="Times New Roman"/>
          <w:sz w:val="24"/>
        </w:rPr>
        <w:t xml:space="preserve"> v </w:t>
      </w:r>
      <w:r w:rsidRPr="00A72949">
        <w:rPr>
          <w:rFonts w:ascii="Times New Roman" w:hAnsi="Times New Roman"/>
          <w:sz w:val="24"/>
        </w:rPr>
        <w:t>jej odmeňovaní – kedykoľvek počas trvania zmluvy – sú predmetom voľného uváženia danej inštitúcie alebo vládnej agentúry;</w:t>
      </w:r>
    </w:p>
    <w:p w14:paraId="7A124B30" w14:textId="6EF4474B"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b)</w:t>
      </w:r>
      <w:r w:rsidRPr="00A72949">
        <w:tab/>
      </w:r>
      <w:r w:rsidRPr="00A72949">
        <w:rPr>
          <w:rFonts w:ascii="Times New Roman" w:hAnsi="Times New Roman"/>
          <w:sz w:val="24"/>
        </w:rPr>
        <w:t>„nástroj</w:t>
      </w:r>
      <w:r w:rsidR="00A72949">
        <w:rPr>
          <w:rFonts w:ascii="Times New Roman" w:hAnsi="Times New Roman"/>
          <w:sz w:val="24"/>
        </w:rPr>
        <w:t xml:space="preserve"> s </w:t>
      </w:r>
      <w:r w:rsidRPr="00A72949">
        <w:rPr>
          <w:rFonts w:ascii="Times New Roman" w:hAnsi="Times New Roman"/>
          <w:sz w:val="24"/>
        </w:rPr>
        <w:t>pohyblivou úrokovou sadzbou“ je „nástroj</w:t>
      </w:r>
      <w:r w:rsidR="00A72949">
        <w:rPr>
          <w:rFonts w:ascii="Times New Roman" w:hAnsi="Times New Roman"/>
          <w:sz w:val="24"/>
        </w:rPr>
        <w:t xml:space="preserve"> s </w:t>
      </w:r>
      <w:r w:rsidRPr="00A72949">
        <w:rPr>
          <w:rFonts w:ascii="Times New Roman" w:hAnsi="Times New Roman"/>
          <w:sz w:val="24"/>
        </w:rPr>
        <w:t>pohyblivou úrokovou sadzbou“</w:t>
      </w:r>
      <w:r w:rsidR="00A72949">
        <w:rPr>
          <w:rFonts w:ascii="Times New Roman" w:hAnsi="Times New Roman"/>
          <w:sz w:val="24"/>
        </w:rPr>
        <w:t xml:space="preserve"> v </w:t>
      </w:r>
      <w:r w:rsidRPr="00A72949">
        <w:rPr>
          <w:rFonts w:ascii="Times New Roman" w:hAnsi="Times New Roman"/>
          <w:sz w:val="24"/>
        </w:rPr>
        <w:t>zmysle vymedzenia</w:t>
      </w:r>
      <w:r w:rsidR="00A72949">
        <w:rPr>
          <w:rFonts w:ascii="Times New Roman" w:hAnsi="Times New Roman"/>
          <w:sz w:val="24"/>
        </w:rPr>
        <w:t xml:space="preserve"> v </w:t>
      </w:r>
      <w:r w:rsidRPr="00A72949">
        <w:rPr>
          <w:rFonts w:ascii="Times New Roman" w:hAnsi="Times New Roman"/>
          <w:sz w:val="24"/>
        </w:rPr>
        <w:t>článku 1 bode 5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 Konkrétne:</w:t>
      </w:r>
    </w:p>
    <w:p w14:paraId="2ADB5B49" w14:textId="77777777" w:rsidR="004E6C70" w:rsidRPr="00A72949" w:rsidRDefault="004E6C70" w:rsidP="004E6C70">
      <w:pPr>
        <w:suppressAutoHyphens/>
        <w:ind w:left="1134" w:hanging="567"/>
        <w:rPr>
          <w:rFonts w:ascii="Times New Roman" w:hAnsi="Times New Roman"/>
          <w:sz w:val="24"/>
        </w:rPr>
      </w:pPr>
      <w:r w:rsidRPr="00A72949">
        <w:rPr>
          <w:rFonts w:ascii="Times New Roman" w:hAnsi="Times New Roman"/>
          <w:sz w:val="24"/>
        </w:rPr>
        <w:t>i)</w:t>
      </w:r>
      <w:r w:rsidRPr="00A72949">
        <w:tab/>
      </w:r>
      <w:r w:rsidRPr="00A72949">
        <w:rPr>
          <w:rFonts w:ascii="Times New Roman" w:hAnsi="Times New Roman"/>
          <w:sz w:val="24"/>
        </w:rPr>
        <w:t>nástroje bez konkrétnej zmluvnej splatnosti (t. j. produkty splatné na požiadanie), pri ktorých peňažné toky úrokových platieb nie sú pre inštitúciu alebo vládnu agentúru predmetom voľného uváženia, ale namiesto toho sa zmluvne alebo právne viažu na pohyby externej referenčnej hodnoty alebo interne spravovaného indexu inštitúcie;</w:t>
      </w:r>
    </w:p>
    <w:p w14:paraId="3C49DA42" w14:textId="227DBD80" w:rsidR="004E6C70" w:rsidRPr="00A72949" w:rsidRDefault="004E6C70" w:rsidP="004E6C70">
      <w:pPr>
        <w:suppressAutoHyphens/>
        <w:ind w:left="1134" w:hanging="567"/>
        <w:rPr>
          <w:rFonts w:ascii="Times New Roman" w:hAnsi="Times New Roman"/>
          <w:sz w:val="24"/>
        </w:rPr>
      </w:pPr>
      <w:r w:rsidRPr="00A72949">
        <w:rPr>
          <w:rFonts w:ascii="Times New Roman" w:hAnsi="Times New Roman"/>
          <w:sz w:val="24"/>
        </w:rPr>
        <w:t>ii)</w:t>
      </w:r>
      <w:r w:rsidRPr="00A72949">
        <w:tab/>
      </w:r>
      <w:r w:rsidRPr="00A72949">
        <w:rPr>
          <w:rFonts w:ascii="Times New Roman" w:hAnsi="Times New Roman"/>
          <w:sz w:val="24"/>
        </w:rPr>
        <w:t>nástroje</w:t>
      </w:r>
      <w:r w:rsidR="00A72949">
        <w:rPr>
          <w:rFonts w:ascii="Times New Roman" w:hAnsi="Times New Roman"/>
          <w:sz w:val="24"/>
        </w:rPr>
        <w:t xml:space="preserve"> s </w:t>
      </w:r>
      <w:r w:rsidRPr="00A72949">
        <w:rPr>
          <w:rFonts w:ascii="Times New Roman" w:hAnsi="Times New Roman"/>
          <w:sz w:val="24"/>
        </w:rPr>
        <w:t>konkrétnou zmluvnou splatnosťou, ktorých peňažné toky úrokových platieb nie sú pevne stanovené od vzniku nástroja až do jeho splatnosti, ak je jeho zmluvné precenenie kratšie alebo sa rovná jednému roku</w:t>
      </w:r>
      <w:r w:rsidR="00A72949">
        <w:rPr>
          <w:rFonts w:ascii="Times New Roman" w:hAnsi="Times New Roman"/>
          <w:sz w:val="24"/>
        </w:rPr>
        <w:t xml:space="preserve"> a </w:t>
      </w:r>
      <w:r w:rsidRPr="00A72949">
        <w:rPr>
          <w:rFonts w:ascii="Times New Roman" w:hAnsi="Times New Roman"/>
          <w:sz w:val="24"/>
        </w:rPr>
        <w:t>ak zmeny</w:t>
      </w:r>
      <w:r w:rsidR="00A72949">
        <w:rPr>
          <w:rFonts w:ascii="Times New Roman" w:hAnsi="Times New Roman"/>
          <w:sz w:val="24"/>
        </w:rPr>
        <w:t xml:space="preserve"> v </w:t>
      </w:r>
      <w:r w:rsidRPr="00A72949">
        <w:rPr>
          <w:rFonts w:ascii="Times New Roman" w:hAnsi="Times New Roman"/>
          <w:sz w:val="24"/>
        </w:rPr>
        <w:t>jeho odmeňovaní počas trvania zmluvy nie sú predmetom voľného uváženia inštitúcie ani vládnej agentúry.</w:t>
      </w:r>
    </w:p>
    <w:p w14:paraId="7846EE8A" w14:textId="76F676C1" w:rsidR="004E6C70" w:rsidRPr="00A72949" w:rsidRDefault="004E6C70" w:rsidP="004E6C70">
      <w:pPr>
        <w:pStyle w:val="Instructionsberschrift2"/>
        <w:suppressAutoHyphens/>
        <w:ind w:left="0" w:firstLine="0"/>
        <w:rPr>
          <w:rFonts w:cs="Times New Roman"/>
          <w:b/>
          <w:bCs/>
          <w:sz w:val="24"/>
        </w:rPr>
      </w:pPr>
      <w:bookmarkStart w:id="14" w:name="_Toc188859495"/>
      <w:r w:rsidRPr="00A72949">
        <w:rPr>
          <w:b/>
          <w:sz w:val="24"/>
        </w:rPr>
        <w:t>Zaobchádzanie</w:t>
      </w:r>
      <w:r w:rsidR="00A72949">
        <w:rPr>
          <w:b/>
          <w:sz w:val="24"/>
        </w:rPr>
        <w:t xml:space="preserve"> s </w:t>
      </w:r>
      <w:r w:rsidRPr="00A72949">
        <w:rPr>
          <w:b/>
          <w:sz w:val="24"/>
        </w:rPr>
        <w:t>opciami</w:t>
      </w:r>
      <w:bookmarkEnd w:id="14"/>
    </w:p>
    <w:p w14:paraId="543A18CC" w14:textId="732409D5" w:rsidR="004E6C70" w:rsidRPr="00A72949" w:rsidRDefault="004E6C70" w:rsidP="004E6C70">
      <w:pPr>
        <w:suppressAutoHyphens/>
        <w:rPr>
          <w:rFonts w:ascii="Times New Roman" w:hAnsi="Times New Roman"/>
          <w:sz w:val="24"/>
        </w:rPr>
      </w:pPr>
      <w:r w:rsidRPr="00A72949">
        <w:rPr>
          <w:rFonts w:ascii="Times New Roman" w:hAnsi="Times New Roman"/>
          <w:sz w:val="24"/>
        </w:rPr>
        <w:t>Ak sa</w:t>
      </w:r>
      <w:r w:rsidR="00A72949">
        <w:rPr>
          <w:rFonts w:ascii="Times New Roman" w:hAnsi="Times New Roman"/>
          <w:sz w:val="24"/>
        </w:rPr>
        <w:t xml:space="preserve"> o </w:t>
      </w:r>
      <w:r w:rsidRPr="00A72949">
        <w:rPr>
          <w:rFonts w:ascii="Times New Roman" w:hAnsi="Times New Roman"/>
          <w:sz w:val="24"/>
        </w:rPr>
        <w:t>opciách požadujú samostatné informácie, inštitúcie vykazujú:</w:t>
      </w:r>
    </w:p>
    <w:p w14:paraId="53D61CE7" w14:textId="150B7008"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a)</w:t>
      </w:r>
      <w:r w:rsidRPr="00A72949">
        <w:tab/>
      </w:r>
      <w:r w:rsidRPr="00A72949">
        <w:rPr>
          <w:rFonts w:ascii="Times New Roman" w:hAnsi="Times New Roman"/>
          <w:sz w:val="24"/>
        </w:rPr>
        <w:t>vložené opcie spolu</w:t>
      </w:r>
      <w:r w:rsidR="00A72949">
        <w:rPr>
          <w:rFonts w:ascii="Times New Roman" w:hAnsi="Times New Roman"/>
          <w:sz w:val="24"/>
        </w:rPr>
        <w:t xml:space="preserve"> s </w:t>
      </w:r>
      <w:r w:rsidRPr="00A72949">
        <w:rPr>
          <w:rFonts w:ascii="Times New Roman" w:hAnsi="Times New Roman"/>
          <w:sz w:val="24"/>
        </w:rPr>
        <w:t>ich príslušným hostiteľským nástrojom;</w:t>
      </w:r>
    </w:p>
    <w:p w14:paraId="581FBF1B" w14:textId="0ACB332D"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b)</w:t>
      </w:r>
      <w:r w:rsidRPr="00A72949">
        <w:tab/>
      </w:r>
      <w:r w:rsidRPr="00A72949">
        <w:rPr>
          <w:rFonts w:ascii="Times New Roman" w:hAnsi="Times New Roman"/>
          <w:sz w:val="24"/>
        </w:rPr>
        <w:t>explicitné/samostatné opcie oddelene od akéhokoľvek iného druhu súvahových položiek ako derivátové nástroje (t. j. tieto opcie sa vykazujú spolu</w:t>
      </w:r>
      <w:r w:rsidR="00A72949">
        <w:rPr>
          <w:rFonts w:ascii="Times New Roman" w:hAnsi="Times New Roman"/>
          <w:sz w:val="24"/>
        </w:rPr>
        <w:t xml:space="preserve"> s </w:t>
      </w:r>
      <w:r w:rsidRPr="00A72949">
        <w:rPr>
          <w:rFonts w:ascii="Times New Roman" w:hAnsi="Times New Roman"/>
          <w:sz w:val="24"/>
        </w:rPr>
        <w:t>príslušnou zabezpečenou položkou).</w:t>
      </w:r>
    </w:p>
    <w:p w14:paraId="54F34BF2" w14:textId="77777777" w:rsidR="004E6C70" w:rsidRPr="00A72949" w:rsidRDefault="004E6C70" w:rsidP="004E6C70">
      <w:pPr>
        <w:pStyle w:val="Instructionsberschrift2"/>
        <w:tabs>
          <w:tab w:val="left" w:pos="567"/>
        </w:tabs>
        <w:suppressAutoHyphens/>
        <w:ind w:left="0" w:firstLine="0"/>
        <w:rPr>
          <w:rFonts w:cs="Times New Roman"/>
          <w:b/>
          <w:bCs/>
          <w:sz w:val="24"/>
        </w:rPr>
      </w:pPr>
      <w:bookmarkStart w:id="15" w:name="_Toc264038399"/>
      <w:bookmarkStart w:id="16" w:name="_Toc294018834"/>
      <w:bookmarkStart w:id="17" w:name="_Toc360188321"/>
      <w:bookmarkStart w:id="18" w:name="_Toc473560869"/>
      <w:bookmarkStart w:id="19" w:name="_Toc188859496"/>
      <w:bookmarkEnd w:id="7"/>
      <w:bookmarkEnd w:id="8"/>
      <w:r w:rsidRPr="00A72949">
        <w:rPr>
          <w:b/>
          <w:sz w:val="24"/>
        </w:rPr>
        <w:t>Pravidlá používania znamienok</w:t>
      </w:r>
      <w:bookmarkEnd w:id="15"/>
      <w:bookmarkEnd w:id="16"/>
      <w:bookmarkEnd w:id="17"/>
      <w:bookmarkEnd w:id="18"/>
      <w:bookmarkEnd w:id="19"/>
    </w:p>
    <w:p w14:paraId="127E8EF5" w14:textId="5557D5D8" w:rsidR="00A72949" w:rsidRDefault="004E6C70" w:rsidP="004E6C70">
      <w:pPr>
        <w:tabs>
          <w:tab w:val="left" w:pos="567"/>
        </w:tabs>
        <w:suppressAutoHyphens/>
        <w:rPr>
          <w:rFonts w:ascii="Times New Roman" w:hAnsi="Times New Roman"/>
          <w:sz w:val="24"/>
        </w:rPr>
      </w:pPr>
      <w:bookmarkStart w:id="20" w:name="_Hlk140593002"/>
      <w:r w:rsidRPr="00A72949">
        <w:rPr>
          <w:rFonts w:ascii="Times New Roman" w:hAnsi="Times New Roman"/>
          <w:sz w:val="24"/>
        </w:rPr>
        <w:t>5.1.</w:t>
      </w:r>
      <w:r w:rsidRPr="00A72949">
        <w:tab/>
      </w:r>
      <w:r w:rsidRPr="00A72949">
        <w:rPr>
          <w:rFonts w:ascii="Times New Roman" w:hAnsi="Times New Roman"/>
          <w:sz w:val="24"/>
        </w:rPr>
        <w:t>Inštitúcie vo všeobecnosti vykazujú vo všetkých vzoroch kladné hodnoty. Údaje vyjadrené</w:t>
      </w:r>
      <w:r w:rsidR="00A72949">
        <w:rPr>
          <w:rFonts w:ascii="Times New Roman" w:hAnsi="Times New Roman"/>
          <w:sz w:val="24"/>
        </w:rPr>
        <w:t xml:space="preserve"> v </w:t>
      </w:r>
      <w:r w:rsidRPr="00A72949">
        <w:rPr>
          <w:rFonts w:ascii="Times New Roman" w:hAnsi="Times New Roman"/>
          <w:sz w:val="24"/>
        </w:rPr>
        <w:t>peňažných jednotkách, ktoré odkazujú na úroveň EVE, úroveň NII</w:t>
      </w:r>
      <w:r w:rsidR="00A72949">
        <w:rPr>
          <w:rFonts w:ascii="Times New Roman" w:hAnsi="Times New Roman"/>
          <w:sz w:val="24"/>
        </w:rPr>
        <w:t xml:space="preserve"> a </w:t>
      </w:r>
      <w:r w:rsidRPr="00A72949">
        <w:rPr>
          <w:rFonts w:ascii="Times New Roman" w:hAnsi="Times New Roman"/>
          <w:sz w:val="24"/>
        </w:rPr>
        <w:t>úroveň MV, sa vo všeobecnosti vykazujú ako kladné číslo bez ohľadu na to, či ide</w:t>
      </w:r>
      <w:r w:rsidR="00A72949">
        <w:rPr>
          <w:rFonts w:ascii="Times New Roman" w:hAnsi="Times New Roman"/>
          <w:sz w:val="24"/>
        </w:rPr>
        <w:t xml:space="preserve"> o </w:t>
      </w:r>
      <w:r w:rsidRPr="00A72949">
        <w:rPr>
          <w:rFonts w:ascii="Times New Roman" w:hAnsi="Times New Roman"/>
          <w:sz w:val="24"/>
        </w:rPr>
        <w:t>aktívum alebo záväzok, hoci dochádza aj</w:t>
      </w:r>
      <w:r w:rsidR="00A72949">
        <w:rPr>
          <w:rFonts w:ascii="Times New Roman" w:hAnsi="Times New Roman"/>
          <w:sz w:val="24"/>
        </w:rPr>
        <w:t xml:space="preserve"> k </w:t>
      </w:r>
      <w:r w:rsidRPr="00A72949">
        <w:rPr>
          <w:rFonts w:ascii="Times New Roman" w:hAnsi="Times New Roman"/>
          <w:sz w:val="24"/>
        </w:rPr>
        <w:t>výnimkám: stáva sa tak</w:t>
      </w:r>
      <w:r w:rsidR="00A72949">
        <w:rPr>
          <w:rFonts w:ascii="Times New Roman" w:hAnsi="Times New Roman"/>
          <w:sz w:val="24"/>
        </w:rPr>
        <w:t xml:space="preserve"> v </w:t>
      </w:r>
      <w:r w:rsidRPr="00A72949">
        <w:rPr>
          <w:rFonts w:ascii="Times New Roman" w:hAnsi="Times New Roman"/>
          <w:sz w:val="24"/>
        </w:rPr>
        <w:t>prípade, keď je úroveň NII záporná, ak sú úrokové náklady vyššie ako úrokové výnosy</w:t>
      </w:r>
      <w:r w:rsidR="00A72949">
        <w:rPr>
          <w:rFonts w:ascii="Times New Roman" w:hAnsi="Times New Roman"/>
          <w:sz w:val="24"/>
        </w:rPr>
        <w:t xml:space="preserve"> v </w:t>
      </w:r>
      <w:r w:rsidRPr="00A72949">
        <w:rPr>
          <w:rFonts w:ascii="Times New Roman" w:hAnsi="Times New Roman"/>
          <w:sz w:val="24"/>
        </w:rPr>
        <w:t>základnom scenári, alebo</w:t>
      </w:r>
      <w:r w:rsidR="00A72949">
        <w:rPr>
          <w:rFonts w:ascii="Times New Roman" w:hAnsi="Times New Roman"/>
          <w:sz w:val="24"/>
        </w:rPr>
        <w:t xml:space="preserve"> v </w:t>
      </w:r>
      <w:r w:rsidRPr="00A72949">
        <w:rPr>
          <w:rFonts w:ascii="Times New Roman" w:hAnsi="Times New Roman"/>
          <w:sz w:val="24"/>
        </w:rPr>
        <w:t>prípade derivátov, pri ktorých treba vykázať vzájomne započítané hodnoty jednotlivých častí derivátu</w:t>
      </w:r>
      <w:r w:rsidR="00A72949">
        <w:rPr>
          <w:rFonts w:ascii="Times New Roman" w:hAnsi="Times New Roman"/>
          <w:sz w:val="24"/>
        </w:rPr>
        <w:t>.</w:t>
      </w:r>
    </w:p>
    <w:bookmarkEnd w:id="20"/>
    <w:p w14:paraId="0B6F5867" w14:textId="59CFA2C3"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lastRenderedPageBreak/>
        <w:t>5.2.</w:t>
      </w:r>
      <w:r w:rsidRPr="00A72949">
        <w:tab/>
      </w:r>
      <w:r w:rsidRPr="00A72949">
        <w:rPr>
          <w:rFonts w:ascii="Times New Roman" w:hAnsi="Times New Roman"/>
          <w:sz w:val="24"/>
        </w:rPr>
        <w:t>Inštitúcie vykazujú zmeny (Δ) EVE, NII</w:t>
      </w:r>
      <w:r w:rsidR="00A72949">
        <w:rPr>
          <w:rFonts w:ascii="Times New Roman" w:hAnsi="Times New Roman"/>
          <w:sz w:val="24"/>
        </w:rPr>
        <w:t xml:space="preserve"> a </w:t>
      </w:r>
      <w:r w:rsidRPr="00A72949">
        <w:rPr>
          <w:rFonts w:ascii="Times New Roman" w:hAnsi="Times New Roman"/>
          <w:sz w:val="24"/>
        </w:rPr>
        <w:t>MV použitím kladnej alebo zápornej hodnoty</w:t>
      </w:r>
      <w:r w:rsidR="00A72949">
        <w:rPr>
          <w:rFonts w:ascii="Times New Roman" w:hAnsi="Times New Roman"/>
          <w:sz w:val="24"/>
        </w:rPr>
        <w:t xml:space="preserve"> v </w:t>
      </w:r>
      <w:r w:rsidRPr="00A72949">
        <w:rPr>
          <w:rFonts w:ascii="Times New Roman" w:hAnsi="Times New Roman"/>
          <w:sz w:val="24"/>
        </w:rPr>
        <w:t>závislosti od príslušnej zmeny. Inštitúcie vypočítavajú hodnotu Δ ako rozdiel medzi EVE/NII/MV podľa šokových scenárov mínus základný scenár. Citlivosti EVE (a MV) konkrétneho aktíva alebo záväzku sa vykazujú ako kladné hodnoty, ak sa EVE (a MV) daného aktíva alebo záväzku zvýši podľa konkrétneho úrokového scenára. Podobne sa citlivosti NII konkrétneho aktíva alebo záväzku vykazujú ako kladné hodnoty, keď sa úrokové výnosy</w:t>
      </w:r>
      <w:r w:rsidR="00A72949">
        <w:rPr>
          <w:rFonts w:ascii="Times New Roman" w:hAnsi="Times New Roman"/>
          <w:sz w:val="24"/>
        </w:rPr>
        <w:t xml:space="preserve"> z </w:t>
      </w:r>
      <w:r w:rsidRPr="00A72949">
        <w:rPr>
          <w:rFonts w:ascii="Times New Roman" w:hAnsi="Times New Roman"/>
          <w:sz w:val="24"/>
        </w:rPr>
        <w:t>daného aktíva alebo úrokové náklady na daný záväzok zvýšia podľa konkrétneho úrokového scenára.</w:t>
      </w:r>
    </w:p>
    <w:p w14:paraId="499F1FC4" w14:textId="678A408D"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5.3.</w:t>
      </w:r>
      <w:r w:rsidRPr="00A72949">
        <w:tab/>
      </w:r>
      <w:r w:rsidRPr="00A72949">
        <w:rPr>
          <w:rFonts w:ascii="Times New Roman" w:hAnsi="Times New Roman"/>
          <w:sz w:val="24"/>
        </w:rPr>
        <w:t>V údajových bodoch týkajúcich sa pomyselných expozícií alebo účtovných hodnôt sa uplatňuje to isté pravidlo – inštitúcie vykazujú hodnoty aktív</w:t>
      </w:r>
      <w:r w:rsidR="00A72949">
        <w:rPr>
          <w:rFonts w:ascii="Times New Roman" w:hAnsi="Times New Roman"/>
          <w:sz w:val="24"/>
        </w:rPr>
        <w:t xml:space="preserve"> a </w:t>
      </w:r>
      <w:r w:rsidRPr="00A72949">
        <w:rPr>
          <w:rFonts w:ascii="Times New Roman" w:hAnsi="Times New Roman"/>
          <w:sz w:val="24"/>
        </w:rPr>
        <w:t>záväzkov ako kladné hodnoty.</w:t>
      </w:r>
    </w:p>
    <w:p w14:paraId="3680EF4E" w14:textId="1F391DB1"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5.4.</w:t>
      </w:r>
      <w:r w:rsidRPr="00A72949">
        <w:tab/>
      </w:r>
      <w:r w:rsidRPr="00A72949">
        <w:rPr>
          <w:rFonts w:ascii="Times New Roman" w:hAnsi="Times New Roman"/>
          <w:sz w:val="24"/>
        </w:rPr>
        <w:t>Inštitúcie vykazujú parametre ako kladné hodnoty bez ohľadu na to, či sa tieto parametre týkajú aktíva alebo záväzku,</w:t>
      </w:r>
      <w:r w:rsidR="00A72949">
        <w:rPr>
          <w:rFonts w:ascii="Times New Roman" w:hAnsi="Times New Roman"/>
          <w:sz w:val="24"/>
        </w:rPr>
        <w:t xml:space="preserve"> a </w:t>
      </w:r>
      <w:r w:rsidRPr="00A72949">
        <w:rPr>
          <w:rFonts w:ascii="Times New Roman" w:hAnsi="Times New Roman"/>
          <w:sz w:val="24"/>
        </w:rPr>
        <w:t>bez ohľadu na to, či tieto parametre zvyšujú alebo znižujú hodnotu metrík IRRBB. Výnimočne môže dôjsť</w:t>
      </w:r>
      <w:r w:rsidR="00A72949">
        <w:rPr>
          <w:rFonts w:ascii="Times New Roman" w:hAnsi="Times New Roman"/>
          <w:sz w:val="24"/>
        </w:rPr>
        <w:t xml:space="preserve"> k </w:t>
      </w:r>
      <w:r w:rsidRPr="00A72949">
        <w:rPr>
          <w:rFonts w:ascii="Times New Roman" w:hAnsi="Times New Roman"/>
          <w:sz w:val="24"/>
        </w:rPr>
        <w:t>prípadom, keď inštitúcie pri parametroch vykazujú záporné čísla, pričom jedným</w:t>
      </w:r>
      <w:r w:rsidR="00A72949">
        <w:rPr>
          <w:rFonts w:ascii="Times New Roman" w:hAnsi="Times New Roman"/>
          <w:sz w:val="24"/>
        </w:rPr>
        <w:t xml:space="preserve"> z </w:t>
      </w:r>
      <w:r w:rsidRPr="00A72949">
        <w:rPr>
          <w:rFonts w:ascii="Times New Roman" w:hAnsi="Times New Roman"/>
          <w:sz w:val="24"/>
        </w:rPr>
        <w:t>prípadov je priemerný výnos</w:t>
      </w:r>
      <w:r w:rsidR="00A72949">
        <w:rPr>
          <w:rFonts w:ascii="Times New Roman" w:hAnsi="Times New Roman"/>
          <w:sz w:val="24"/>
        </w:rPr>
        <w:t xml:space="preserve"> z </w:t>
      </w:r>
      <w:r w:rsidRPr="00A72949">
        <w:rPr>
          <w:rFonts w:ascii="Times New Roman" w:hAnsi="Times New Roman"/>
          <w:sz w:val="24"/>
        </w:rPr>
        <w:t>aktív/záväzkov, ak bolo posledné prestavenie úrokovej sadzby vykonané</w:t>
      </w:r>
      <w:r w:rsidR="00A72949">
        <w:rPr>
          <w:rFonts w:ascii="Times New Roman" w:hAnsi="Times New Roman"/>
          <w:sz w:val="24"/>
        </w:rPr>
        <w:t xml:space="preserve"> v </w:t>
      </w:r>
      <w:r w:rsidRPr="00A72949">
        <w:rPr>
          <w:rFonts w:ascii="Times New Roman" w:hAnsi="Times New Roman"/>
          <w:sz w:val="24"/>
        </w:rPr>
        <w:t>prostredí záporných trhových úrokových sadzieb</w:t>
      </w:r>
      <w:r w:rsidR="00A72949">
        <w:rPr>
          <w:rFonts w:ascii="Times New Roman" w:hAnsi="Times New Roman"/>
          <w:sz w:val="24"/>
        </w:rPr>
        <w:t>.</w:t>
      </w:r>
    </w:p>
    <w:p w14:paraId="24579E92" w14:textId="70A9A08B" w:rsidR="004E6C70" w:rsidRPr="00A72949" w:rsidRDefault="004E6C70" w:rsidP="004E6C70">
      <w:pPr>
        <w:pStyle w:val="Instructionsberschrift2"/>
        <w:tabs>
          <w:tab w:val="left" w:pos="567"/>
        </w:tabs>
        <w:suppressAutoHyphens/>
        <w:ind w:left="0" w:firstLine="0"/>
        <w:rPr>
          <w:rFonts w:cs="Times New Roman"/>
          <w:b/>
          <w:bCs/>
          <w:sz w:val="24"/>
        </w:rPr>
      </w:pPr>
      <w:bookmarkStart w:id="21" w:name="_Toc188859497"/>
      <w:r w:rsidRPr="00A72949">
        <w:rPr>
          <w:b/>
          <w:sz w:val="24"/>
        </w:rPr>
        <w:t>Skratky</w:t>
      </w:r>
      <w:bookmarkEnd w:id="21"/>
    </w:p>
    <w:p w14:paraId="506B0767" w14:textId="200F30B4"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Ekonomická hodnota vlastného imania sa označuje ako „EVE“, čisté úrokové výnosy ako „NII“, trhová hodnota ako „MV“, test na odľahlé hodnoty na účely dohľadu ako „SOT“, vklady splatné na požiadanie ako „NMD“, interný systém merania ako „IMS“</w:t>
      </w:r>
      <w:r w:rsidR="00A72949">
        <w:rPr>
          <w:rFonts w:ascii="Times New Roman" w:hAnsi="Times New Roman"/>
          <w:sz w:val="24"/>
        </w:rPr>
        <w:t xml:space="preserve"> a </w:t>
      </w:r>
      <w:r w:rsidRPr="00A72949">
        <w:rPr>
          <w:rFonts w:ascii="Times New Roman" w:hAnsi="Times New Roman"/>
          <w:sz w:val="24"/>
        </w:rPr>
        <w:t>štandardizovaný prístup ako „SA“.</w:t>
      </w:r>
    </w:p>
    <w:p w14:paraId="3507D562"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22" w:name="_Toc188859498"/>
      <w:r w:rsidRPr="00A72949">
        <w:rPr>
          <w:b/>
          <w:sz w:val="24"/>
        </w:rPr>
        <w:t>7.</w:t>
      </w:r>
      <w:r w:rsidRPr="00A72949">
        <w:tab/>
      </w:r>
      <w:r w:rsidRPr="00A72949">
        <w:rPr>
          <w:b/>
          <w:sz w:val="24"/>
        </w:rPr>
        <w:t>Ďalšie konvencie</w:t>
      </w:r>
      <w:bookmarkEnd w:id="22"/>
    </w:p>
    <w:p w14:paraId="0891D7B6" w14:textId="10BB2875"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7.1.</w:t>
      </w:r>
      <w:r w:rsidRPr="00A72949">
        <w:tab/>
      </w:r>
      <w:r w:rsidRPr="00A72949">
        <w:rPr>
          <w:rFonts w:ascii="Times New Roman" w:hAnsi="Times New Roman"/>
          <w:sz w:val="24"/>
        </w:rPr>
        <w:t>V celej tejto prílohe sa uvádzajú odkazy na delegované nariadenie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 alebo na „regulačné technické predpisy</w:t>
      </w:r>
      <w:r w:rsidR="00A72949">
        <w:rPr>
          <w:rFonts w:ascii="Times New Roman" w:hAnsi="Times New Roman"/>
          <w:sz w:val="24"/>
        </w:rPr>
        <w:t xml:space="preserve"> o </w:t>
      </w:r>
      <w:r w:rsidRPr="00A72949">
        <w:rPr>
          <w:rFonts w:ascii="Times New Roman" w:hAnsi="Times New Roman"/>
          <w:sz w:val="24"/>
        </w:rPr>
        <w:t>SOT“</w:t>
      </w:r>
      <w:r w:rsidR="00A72949">
        <w:rPr>
          <w:rFonts w:ascii="Times New Roman" w:hAnsi="Times New Roman"/>
          <w:sz w:val="24"/>
        </w:rPr>
        <w:t xml:space="preserve"> a </w:t>
      </w:r>
      <w:r w:rsidRPr="00A72949">
        <w:rPr>
          <w:rFonts w:ascii="Times New Roman" w:hAnsi="Times New Roman"/>
          <w:sz w:val="24"/>
        </w:rPr>
        <w:t>delegované nariadenie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 alebo na „regulačné technické predpisy</w:t>
      </w:r>
      <w:r w:rsidR="00A72949">
        <w:rPr>
          <w:rFonts w:ascii="Times New Roman" w:hAnsi="Times New Roman"/>
          <w:sz w:val="24"/>
        </w:rPr>
        <w:t xml:space="preserve"> o </w:t>
      </w:r>
      <w:r w:rsidRPr="00A72949">
        <w:rPr>
          <w:rFonts w:ascii="Times New Roman" w:hAnsi="Times New Roman"/>
          <w:sz w:val="24"/>
        </w:rPr>
        <w:t>SA“. Ak sa</w:t>
      </w:r>
      <w:r w:rsidR="00A72949">
        <w:rPr>
          <w:rFonts w:ascii="Times New Roman" w:hAnsi="Times New Roman"/>
          <w:sz w:val="24"/>
        </w:rPr>
        <w:t xml:space="preserve"> v </w:t>
      </w:r>
      <w:r w:rsidRPr="00A72949">
        <w:rPr>
          <w:rFonts w:ascii="Times New Roman" w:hAnsi="Times New Roman"/>
          <w:sz w:val="24"/>
        </w:rPr>
        <w:t>texte odkazuje na vymedzenie pojmov stanovené</w:t>
      </w:r>
      <w:r w:rsidR="00A72949">
        <w:rPr>
          <w:rFonts w:ascii="Times New Roman" w:hAnsi="Times New Roman"/>
          <w:sz w:val="24"/>
        </w:rPr>
        <w:t xml:space="preserve"> v </w:t>
      </w:r>
      <w:r w:rsidRPr="00A72949">
        <w:rPr>
          <w:rFonts w:ascii="Times New Roman" w:hAnsi="Times New Roman"/>
          <w:sz w:val="24"/>
        </w:rPr>
        <w:t>delegovanom nariadení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 uvedené vymedzené pojmy sa uplatňujú na všetky vykazujúce inštitúcie (a nielen na tie, ktoré uplatňujú SA).</w:t>
      </w:r>
    </w:p>
    <w:p w14:paraId="5E0D230D" w14:textId="243DB31D" w:rsidR="004E6C70" w:rsidRPr="00A72949" w:rsidRDefault="004E6C70" w:rsidP="004E6C70">
      <w:pPr>
        <w:suppressAutoHyphens/>
        <w:rPr>
          <w:rFonts w:ascii="Times New Roman" w:hAnsi="Times New Roman"/>
          <w:sz w:val="24"/>
        </w:rPr>
      </w:pPr>
      <w:r w:rsidRPr="00A72949">
        <w:rPr>
          <w:rFonts w:ascii="Times New Roman" w:hAnsi="Times New Roman"/>
          <w:sz w:val="24"/>
        </w:rPr>
        <w:t>7.2.</w:t>
      </w:r>
      <w:r w:rsidRPr="00A72949">
        <w:tab/>
      </w:r>
      <w:r w:rsidRPr="00A72949">
        <w:rPr>
          <w:rFonts w:ascii="Times New Roman" w:hAnsi="Times New Roman"/>
          <w:sz w:val="24"/>
        </w:rPr>
        <w:t>Na túto prílohu sa uplatňuje vymedzenie pojmov stanovené</w:t>
      </w:r>
      <w:r w:rsidR="00A72949">
        <w:rPr>
          <w:rFonts w:ascii="Times New Roman" w:hAnsi="Times New Roman"/>
          <w:sz w:val="24"/>
        </w:rPr>
        <w:t xml:space="preserve"> v </w:t>
      </w:r>
      <w:r w:rsidRPr="00A72949">
        <w:rPr>
          <w:rFonts w:ascii="Times New Roman" w:hAnsi="Times New Roman"/>
          <w:sz w:val="24"/>
        </w:rPr>
        <w:t>článku 1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w:t>
      </w:r>
    </w:p>
    <w:p w14:paraId="3906A3EE" w14:textId="77777777" w:rsidR="004E6C70" w:rsidRPr="00A72949" w:rsidRDefault="004E6C70" w:rsidP="004E6C70">
      <w:pPr>
        <w:suppressAutoHyphens/>
        <w:spacing w:before="0" w:after="0"/>
        <w:jc w:val="left"/>
        <w:rPr>
          <w:rFonts w:ascii="Times New Roman" w:eastAsia="Arial" w:hAnsi="Times New Roman"/>
          <w:b/>
          <w:sz w:val="24"/>
        </w:rPr>
      </w:pPr>
      <w:bookmarkStart w:id="23" w:name="_Toc360188322"/>
      <w:bookmarkStart w:id="24" w:name="_Toc473560870"/>
      <w:r w:rsidRPr="00A72949">
        <w:br w:type="page"/>
      </w:r>
    </w:p>
    <w:p w14:paraId="4ECBC51D" w14:textId="1C4FFB7F" w:rsidR="004E6C70" w:rsidRPr="00A72949" w:rsidRDefault="004E6C70" w:rsidP="004E6C70">
      <w:pPr>
        <w:pStyle w:val="Heading2"/>
        <w:suppressAutoHyphens/>
      </w:pPr>
      <w:bookmarkStart w:id="25" w:name="_Toc188859499"/>
      <w:r w:rsidRPr="00A72949">
        <w:lastRenderedPageBreak/>
        <w:t>ČASŤ II: HODNOTENIE IRRBB: SOT</w:t>
      </w:r>
      <w:r w:rsidR="00A72949">
        <w:t xml:space="preserve"> V </w:t>
      </w:r>
      <w:r w:rsidRPr="00A72949">
        <w:t>SÚVISLOSTI</w:t>
      </w:r>
      <w:r w:rsidR="00A72949">
        <w:t xml:space="preserve"> S </w:t>
      </w:r>
      <w:r w:rsidRPr="00A72949">
        <w:t>EVE/NII</w:t>
      </w:r>
      <w:r w:rsidR="00A72949">
        <w:t xml:space="preserve"> a </w:t>
      </w:r>
      <w:r w:rsidRPr="00A72949">
        <w:t>ZMENY MV</w:t>
      </w:r>
      <w:bookmarkEnd w:id="23"/>
      <w:bookmarkEnd w:id="24"/>
      <w:r w:rsidRPr="00A72949">
        <w:t xml:space="preserve"> (J 01.00)</w:t>
      </w:r>
      <w:bookmarkEnd w:id="25"/>
    </w:p>
    <w:p w14:paraId="7A55D9B3"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26" w:name="_Toc308175819"/>
      <w:bookmarkStart w:id="27" w:name="_Toc360188324"/>
      <w:bookmarkStart w:id="28" w:name="_Toc473560872"/>
      <w:bookmarkStart w:id="29" w:name="_Toc188859500"/>
      <w:r w:rsidRPr="00A72949">
        <w:rPr>
          <w:b/>
          <w:sz w:val="24"/>
        </w:rPr>
        <w:t>1.</w:t>
      </w:r>
      <w:r w:rsidRPr="00A72949">
        <w:tab/>
      </w:r>
      <w:r w:rsidRPr="00A72949">
        <w:rPr>
          <w:b/>
          <w:sz w:val="24"/>
        </w:rPr>
        <w:t>Všeobecné poznámky</w:t>
      </w:r>
      <w:bookmarkEnd w:id="26"/>
      <w:bookmarkEnd w:id="27"/>
      <w:bookmarkEnd w:id="28"/>
      <w:bookmarkEnd w:id="29"/>
    </w:p>
    <w:p w14:paraId="74F9F8D2" w14:textId="690740D8"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1.1.</w:t>
      </w:r>
      <w:r w:rsidRPr="00A72949">
        <w:tab/>
      </w:r>
      <w:r w:rsidRPr="00A72949">
        <w:rPr>
          <w:rFonts w:ascii="Times New Roman" w:hAnsi="Times New Roman"/>
          <w:sz w:val="24"/>
        </w:rPr>
        <w:t>Vzor J 01.00 obsahuje úrovne</w:t>
      </w:r>
      <w:r w:rsidR="00A72949">
        <w:rPr>
          <w:rFonts w:ascii="Times New Roman" w:hAnsi="Times New Roman"/>
          <w:sz w:val="24"/>
        </w:rPr>
        <w:t xml:space="preserve"> a </w:t>
      </w:r>
      <w:r w:rsidRPr="00A72949">
        <w:rPr>
          <w:rFonts w:ascii="Times New Roman" w:hAnsi="Times New Roman"/>
          <w:sz w:val="24"/>
        </w:rPr>
        <w:t>zmeny EVE (Δ EVE)</w:t>
      </w:r>
      <w:r w:rsidR="00A72949">
        <w:rPr>
          <w:rFonts w:ascii="Times New Roman" w:hAnsi="Times New Roman"/>
          <w:sz w:val="24"/>
        </w:rPr>
        <w:t xml:space="preserve"> a </w:t>
      </w:r>
      <w:r w:rsidRPr="00A72949">
        <w:rPr>
          <w:rFonts w:ascii="Times New Roman" w:hAnsi="Times New Roman"/>
          <w:sz w:val="24"/>
        </w:rPr>
        <w:t>úrovne</w:t>
      </w:r>
      <w:r w:rsidR="00A72949">
        <w:rPr>
          <w:rFonts w:ascii="Times New Roman" w:hAnsi="Times New Roman"/>
          <w:sz w:val="24"/>
        </w:rPr>
        <w:t xml:space="preserve"> a </w:t>
      </w:r>
      <w:r w:rsidRPr="00A72949">
        <w:rPr>
          <w:rFonts w:ascii="Times New Roman" w:hAnsi="Times New Roman"/>
          <w:sz w:val="24"/>
        </w:rPr>
        <w:t>zmeny NII (Δ NII) vypočítané podľa</w:t>
      </w:r>
      <w:bookmarkStart w:id="30" w:name="_Hlk148976351"/>
      <w:r w:rsidRPr="00A72949">
        <w:rPr>
          <w:rFonts w:ascii="Times New Roman" w:hAnsi="Times New Roman"/>
          <w:sz w:val="24"/>
        </w:rPr>
        <w:t xml:space="preserve"> delegovaného nariadenia (EÚ) .../... (Úrad pre publikácie: doplňte odkaz na</w:t>
      </w:r>
      <w:bookmarkEnd w:id="30"/>
      <w:r w:rsidRPr="00A72949">
        <w:rPr>
          <w:rFonts w:ascii="Times New Roman" w:hAnsi="Times New Roman"/>
          <w:sz w:val="24"/>
        </w:rPr>
        <w:t xml:space="preserve"> regulačné technické predpisy</w:t>
      </w:r>
      <w:r w:rsidR="00A72949">
        <w:rPr>
          <w:rFonts w:ascii="Times New Roman" w:hAnsi="Times New Roman"/>
          <w:sz w:val="24"/>
        </w:rPr>
        <w:t xml:space="preserve"> o </w:t>
      </w:r>
      <w:r w:rsidRPr="00A72949">
        <w:rPr>
          <w:rFonts w:ascii="Times New Roman" w:hAnsi="Times New Roman"/>
          <w:sz w:val="24"/>
        </w:rPr>
        <w:t>SOT), ako aj úroveň</w:t>
      </w:r>
      <w:r w:rsidR="00A72949">
        <w:rPr>
          <w:rFonts w:ascii="Times New Roman" w:hAnsi="Times New Roman"/>
          <w:sz w:val="24"/>
        </w:rPr>
        <w:t xml:space="preserve"> a </w:t>
      </w:r>
      <w:r w:rsidRPr="00A72949">
        <w:rPr>
          <w:rFonts w:ascii="Times New Roman" w:hAnsi="Times New Roman"/>
          <w:sz w:val="24"/>
        </w:rPr>
        <w:t>zmeny MV vypočítané podľa interných kritérií riadenia rizík pri zohľadnení jednoročného horizontu</w:t>
      </w:r>
      <w:r w:rsidR="00A72949">
        <w:rPr>
          <w:rFonts w:ascii="Times New Roman" w:hAnsi="Times New Roman"/>
          <w:sz w:val="24"/>
        </w:rPr>
        <w:t xml:space="preserve"> a </w:t>
      </w:r>
      <w:r w:rsidRPr="00A72949">
        <w:rPr>
          <w:rFonts w:ascii="Times New Roman" w:hAnsi="Times New Roman"/>
          <w:sz w:val="24"/>
        </w:rPr>
        <w:t>predpokladu konštantnej súvahy. Obsahuje okrem iného špecifikovanú veľkosť šokov</w:t>
      </w:r>
      <w:r w:rsidR="00A72949">
        <w:rPr>
          <w:rFonts w:ascii="Times New Roman" w:hAnsi="Times New Roman"/>
          <w:sz w:val="24"/>
        </w:rPr>
        <w:t xml:space="preserve"> v </w:t>
      </w:r>
      <w:r w:rsidRPr="00A72949">
        <w:rPr>
          <w:rFonts w:ascii="Times New Roman" w:hAnsi="Times New Roman"/>
          <w:sz w:val="24"/>
        </w:rPr>
        <w:t>úrokových sadzbách pre meny, ktoré nie sú uvedené</w:t>
      </w:r>
      <w:r w:rsidR="00A72949">
        <w:rPr>
          <w:rFonts w:ascii="Times New Roman" w:hAnsi="Times New Roman"/>
          <w:sz w:val="24"/>
        </w:rPr>
        <w:t xml:space="preserve"> v </w:t>
      </w:r>
      <w:r w:rsidRPr="00A72949">
        <w:rPr>
          <w:rFonts w:ascii="Times New Roman" w:hAnsi="Times New Roman"/>
          <w:sz w:val="24"/>
        </w:rPr>
        <w:t>časti A prílohy</w:t>
      </w:r>
      <w:r w:rsidR="00A72949">
        <w:rPr>
          <w:rFonts w:ascii="Times New Roman" w:hAnsi="Times New Roman"/>
          <w:sz w:val="24"/>
        </w:rPr>
        <w:t xml:space="preserve"> k </w:t>
      </w:r>
      <w:r w:rsidRPr="00A72949">
        <w:rPr>
          <w:rFonts w:ascii="Times New Roman" w:hAnsi="Times New Roman"/>
          <w:sz w:val="24"/>
        </w:rPr>
        <w:t>delegovanému nariadeniu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r w:rsidR="00A72949">
        <w:rPr>
          <w:rFonts w:ascii="Times New Roman" w:hAnsi="Times New Roman"/>
          <w:sz w:val="24"/>
        </w:rPr>
        <w:t xml:space="preserve"> a </w:t>
      </w:r>
      <w:r w:rsidRPr="00A72949">
        <w:rPr>
          <w:rFonts w:ascii="Times New Roman" w:hAnsi="Times New Roman"/>
          <w:sz w:val="24"/>
        </w:rPr>
        <w:t>pomery Δ EVE</w:t>
      </w:r>
      <w:r w:rsidR="00A72949">
        <w:rPr>
          <w:rFonts w:ascii="Times New Roman" w:hAnsi="Times New Roman"/>
          <w:sz w:val="24"/>
        </w:rPr>
        <w:t xml:space="preserve"> a </w:t>
      </w:r>
      <w:r w:rsidRPr="00A72949">
        <w:rPr>
          <w:rFonts w:ascii="Times New Roman" w:hAnsi="Times New Roman"/>
          <w:sz w:val="24"/>
        </w:rPr>
        <w:t xml:space="preserve">Δ NII ku kapitálu </w:t>
      </w:r>
      <w:proofErr w:type="spellStart"/>
      <w:r w:rsidRPr="00A72949">
        <w:rPr>
          <w:rFonts w:ascii="Times New Roman" w:hAnsi="Times New Roman"/>
          <w:sz w:val="24"/>
        </w:rPr>
        <w:t>Tier</w:t>
      </w:r>
      <w:proofErr w:type="spellEnd"/>
      <w:r w:rsidRPr="00A72949">
        <w:rPr>
          <w:rFonts w:ascii="Times New Roman" w:hAnsi="Times New Roman"/>
          <w:sz w:val="24"/>
        </w:rPr>
        <w:t xml:space="preserve"> 1 podľa článku 25 nariadenia (EÚ) </w:t>
      </w:r>
      <w:r w:rsidR="00A72949">
        <w:rPr>
          <w:rFonts w:ascii="Times New Roman" w:hAnsi="Times New Roman"/>
          <w:sz w:val="24"/>
        </w:rPr>
        <w:t>č. </w:t>
      </w:r>
      <w:r w:rsidRPr="00A72949">
        <w:rPr>
          <w:rFonts w:ascii="Times New Roman" w:hAnsi="Times New Roman"/>
          <w:sz w:val="24"/>
        </w:rPr>
        <w:t>575/2013, Δ EVE</w:t>
      </w:r>
      <w:r w:rsidR="00A72949">
        <w:rPr>
          <w:rFonts w:ascii="Times New Roman" w:hAnsi="Times New Roman"/>
          <w:sz w:val="24"/>
        </w:rPr>
        <w:t xml:space="preserve"> a </w:t>
      </w:r>
      <w:r w:rsidRPr="00A72949">
        <w:rPr>
          <w:rFonts w:ascii="Times New Roman" w:hAnsi="Times New Roman"/>
          <w:sz w:val="24"/>
        </w:rPr>
        <w:t>Δ NII podľa najhoršieho scenára</w:t>
      </w:r>
      <w:r w:rsidR="00A72949">
        <w:rPr>
          <w:rFonts w:ascii="Times New Roman" w:hAnsi="Times New Roman"/>
          <w:sz w:val="24"/>
        </w:rPr>
        <w:t xml:space="preserve"> a </w:t>
      </w:r>
      <w:r w:rsidRPr="00A72949">
        <w:rPr>
          <w:rFonts w:ascii="Times New Roman" w:hAnsi="Times New Roman"/>
          <w:sz w:val="24"/>
        </w:rPr>
        <w:t>úroveň EVE</w:t>
      </w:r>
      <w:r w:rsidR="00A72949">
        <w:rPr>
          <w:rFonts w:ascii="Times New Roman" w:hAnsi="Times New Roman"/>
          <w:sz w:val="24"/>
        </w:rPr>
        <w:t xml:space="preserve"> a </w:t>
      </w:r>
      <w:r w:rsidRPr="00A72949">
        <w:rPr>
          <w:rFonts w:ascii="Times New Roman" w:hAnsi="Times New Roman"/>
          <w:sz w:val="24"/>
        </w:rPr>
        <w:t>NII podľa základného scenára, ako aj Δ EVE, Δ NII</w:t>
      </w:r>
      <w:r w:rsidR="00A72949">
        <w:rPr>
          <w:rFonts w:ascii="Times New Roman" w:hAnsi="Times New Roman"/>
          <w:sz w:val="24"/>
        </w:rPr>
        <w:t xml:space="preserve"> a </w:t>
      </w:r>
      <w:r w:rsidRPr="00A72949">
        <w:rPr>
          <w:rFonts w:ascii="Times New Roman" w:hAnsi="Times New Roman"/>
          <w:sz w:val="24"/>
        </w:rPr>
        <w:t xml:space="preserve">Δ MV podľa určitých šokových scenárov týkajúcich sa </w:t>
      </w:r>
      <w:proofErr w:type="spellStart"/>
      <w:r w:rsidRPr="00A72949">
        <w:rPr>
          <w:rFonts w:ascii="Times New Roman" w:hAnsi="Times New Roman"/>
          <w:sz w:val="24"/>
        </w:rPr>
        <w:t>regulatórnych</w:t>
      </w:r>
      <w:proofErr w:type="spellEnd"/>
      <w:r w:rsidRPr="00A72949">
        <w:rPr>
          <w:rFonts w:ascii="Times New Roman" w:hAnsi="Times New Roman"/>
          <w:sz w:val="24"/>
        </w:rPr>
        <w:t xml:space="preserve"> úrokových sadzieb</w:t>
      </w:r>
      <w:r w:rsidR="00A72949">
        <w:rPr>
          <w:rFonts w:ascii="Times New Roman" w:hAnsi="Times New Roman"/>
          <w:sz w:val="24"/>
        </w:rPr>
        <w:t>.</w:t>
      </w:r>
    </w:p>
    <w:p w14:paraId="01339AEF" w14:textId="7D29F642"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1.2.</w:t>
      </w:r>
      <w:r w:rsidRPr="00A72949">
        <w:tab/>
      </w:r>
      <w:r w:rsidRPr="00A72949">
        <w:rPr>
          <w:rFonts w:ascii="Times New Roman" w:hAnsi="Times New Roman"/>
          <w:sz w:val="24"/>
        </w:rPr>
        <w:t>Tento vzor sa vykazuje osobitne pre každú menu zahrnutú do výpočtu SOT</w:t>
      </w:r>
      <w:r w:rsidR="00A72949">
        <w:rPr>
          <w:rFonts w:ascii="Times New Roman" w:hAnsi="Times New Roman"/>
          <w:sz w:val="24"/>
        </w:rPr>
        <w:t xml:space="preserve"> v </w:t>
      </w:r>
      <w:r w:rsidRPr="00A72949">
        <w:rPr>
          <w:rFonts w:ascii="Times New Roman" w:hAnsi="Times New Roman"/>
          <w:sz w:val="24"/>
        </w:rPr>
        <w:t>súlade</w:t>
      </w:r>
      <w:r w:rsidR="00A72949">
        <w:rPr>
          <w:rFonts w:ascii="Times New Roman" w:hAnsi="Times New Roman"/>
          <w:sz w:val="24"/>
        </w:rPr>
        <w:t xml:space="preserve"> s </w:t>
      </w:r>
      <w:r w:rsidRPr="00A72949">
        <w:rPr>
          <w:rFonts w:ascii="Times New Roman" w:hAnsi="Times New Roman"/>
          <w:sz w:val="24"/>
        </w:rPr>
        <w:t>článkom 1 ods. 3</w:t>
      </w:r>
      <w:r w:rsidR="00A72949">
        <w:rPr>
          <w:rFonts w:ascii="Times New Roman" w:hAnsi="Times New Roman"/>
          <w:sz w:val="24"/>
        </w:rPr>
        <w:t xml:space="preserve"> a </w:t>
      </w:r>
      <w:r w:rsidRPr="00A72949">
        <w:rPr>
          <w:rFonts w:ascii="Times New Roman" w:hAnsi="Times New Roman"/>
          <w:sz w:val="24"/>
        </w:rPr>
        <w:t>4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 ako aj za súhrn všetkých mien, na ktoré sa vzťahuje článok 1 ods. 4 uvedeného delegovaného nariadenia. Pri výpočte súhrnných zmien (pre všetky meny) pre každý šokový scenár týkajúci sa úrokových sadzieb sa uplatňuje článok 3 ods. 8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r w:rsidR="00A72949">
        <w:rPr>
          <w:rFonts w:ascii="Times New Roman" w:hAnsi="Times New Roman"/>
          <w:sz w:val="24"/>
        </w:rPr>
        <w:t>.</w:t>
      </w:r>
    </w:p>
    <w:p w14:paraId="197268E7" w14:textId="34CB9583"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31" w:name="_Toc120119047"/>
      <w:bookmarkStart w:id="32" w:name="_Toc120185008"/>
      <w:bookmarkStart w:id="33" w:name="_Toc120119048"/>
      <w:bookmarkStart w:id="34" w:name="_Toc120185009"/>
      <w:bookmarkStart w:id="35" w:name="_Toc117022065"/>
      <w:bookmarkStart w:id="36" w:name="_Toc119940195"/>
      <w:bookmarkStart w:id="37" w:name="_Toc120119049"/>
      <w:bookmarkStart w:id="38" w:name="_Toc120185010"/>
      <w:bookmarkStart w:id="39" w:name="_Toc308175821"/>
      <w:bookmarkStart w:id="40" w:name="_Toc310414968"/>
      <w:bookmarkStart w:id="41" w:name="_Toc360188326"/>
      <w:bookmarkStart w:id="42" w:name="_Toc473560874"/>
      <w:bookmarkStart w:id="43" w:name="_Toc188859501"/>
      <w:bookmarkEnd w:id="31"/>
      <w:bookmarkEnd w:id="32"/>
      <w:bookmarkEnd w:id="33"/>
      <w:bookmarkEnd w:id="34"/>
      <w:bookmarkEnd w:id="35"/>
      <w:bookmarkEnd w:id="36"/>
      <w:bookmarkEnd w:id="37"/>
      <w:bookmarkEnd w:id="38"/>
      <w:r w:rsidRPr="00A72949">
        <w:rPr>
          <w:b/>
          <w:sz w:val="24"/>
        </w:rPr>
        <w:t>2.</w:t>
      </w:r>
      <w:r w:rsidRPr="00A72949">
        <w:tab/>
      </w:r>
      <w:r w:rsidRPr="00A72949">
        <w:rPr>
          <w:b/>
          <w:sz w:val="24"/>
        </w:rPr>
        <w:t xml:space="preserve">Pokyny týkajúce sa konkrétnych </w:t>
      </w:r>
      <w:bookmarkEnd w:id="39"/>
      <w:bookmarkEnd w:id="40"/>
      <w:r w:rsidRPr="00A72949">
        <w:rPr>
          <w:b/>
          <w:sz w:val="24"/>
        </w:rPr>
        <w:t>pozícií</w:t>
      </w:r>
      <w:bookmarkEnd w:id="41"/>
      <w:bookmarkEnd w:id="42"/>
      <w:bookmarkEnd w:id="4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72949" w14:paraId="13F8CAA7" w14:textId="77777777" w:rsidTr="00E73145">
        <w:tc>
          <w:tcPr>
            <w:tcW w:w="1129" w:type="dxa"/>
            <w:shd w:val="clear" w:color="auto" w:fill="D9D9D9" w:themeFill="background1" w:themeFillShade="D9"/>
          </w:tcPr>
          <w:p w14:paraId="552F2408" w14:textId="77777777" w:rsidR="004E6C70" w:rsidRPr="00A72949" w:rsidRDefault="004E6C70" w:rsidP="00E73145">
            <w:pPr>
              <w:pStyle w:val="InstructionsText"/>
              <w:rPr>
                <w:rStyle w:val="InstructionsTabelleText"/>
                <w:rFonts w:ascii="Times New Roman" w:eastAsia="Arial" w:hAnsi="Times New Roman"/>
                <w:sz w:val="24"/>
              </w:rPr>
            </w:pPr>
            <w:r w:rsidRPr="00A72949">
              <w:rPr>
                <w:rStyle w:val="InstructionsTabelleText"/>
                <w:rFonts w:ascii="Times New Roman" w:hAnsi="Times New Roman"/>
                <w:sz w:val="24"/>
              </w:rPr>
              <w:t>Riadok</w:t>
            </w:r>
          </w:p>
        </w:tc>
        <w:tc>
          <w:tcPr>
            <w:tcW w:w="7620" w:type="dxa"/>
            <w:shd w:val="clear" w:color="auto" w:fill="D9D9D9" w:themeFill="background1" w:themeFillShade="D9"/>
          </w:tcPr>
          <w:p w14:paraId="0C863701" w14:textId="21A1BDE9"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14:paraId="350A290B" w14:textId="77777777" w:rsidTr="00E73145">
        <w:tc>
          <w:tcPr>
            <w:tcW w:w="1129" w:type="dxa"/>
          </w:tcPr>
          <w:p w14:paraId="4A831F5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 – 0090</w:t>
            </w:r>
          </w:p>
        </w:tc>
        <w:tc>
          <w:tcPr>
            <w:tcW w:w="7620" w:type="dxa"/>
          </w:tcPr>
          <w:p w14:paraId="2357238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Ekonomická hodnota vlastného imania</w:t>
            </w:r>
          </w:p>
          <w:p w14:paraId="60FBC039" w14:textId="39E54D55" w:rsidR="004E6C70" w:rsidRPr="00A72949" w:rsidRDefault="004E6C70" w:rsidP="00E73145">
            <w:pPr>
              <w:pStyle w:val="InstructionsText"/>
              <w:rPr>
                <w:rStyle w:val="FormatvorlageInstructionsTabelleText"/>
                <w:rFonts w:ascii="Times New Roman" w:hAnsi="Times New Roman"/>
                <w:sz w:val="24"/>
              </w:rPr>
            </w:pPr>
            <w:r w:rsidRPr="00A72949">
              <w:rPr>
                <w:rStyle w:val="InstructionsTabelleberschrift"/>
                <w:rFonts w:ascii="Times New Roman" w:hAnsi="Times New Roman"/>
                <w:b w:val="0"/>
                <w:sz w:val="24"/>
                <w:u w:val="none"/>
              </w:rPr>
              <w:t>Odhady EVE vypočítané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súlade</w:t>
            </w:r>
            <w:r w:rsidR="00A72949">
              <w:rPr>
                <w:rStyle w:val="InstructionsTabelleberschrift"/>
                <w:rFonts w:ascii="Times New Roman" w:hAnsi="Times New Roman"/>
                <w:b w:val="0"/>
                <w:sz w:val="24"/>
                <w:u w:val="none"/>
              </w:rPr>
              <w:t xml:space="preserve"> s </w:t>
            </w:r>
            <w:r w:rsidRPr="00A72949">
              <w:t>článkom 98 ods. 5 písm. a) smernice 2013/36/EÚ</w:t>
            </w:r>
            <w:r w:rsidR="00A72949">
              <w:t xml:space="preserve"> a </w:t>
            </w:r>
            <w:r w:rsidRPr="00A72949">
              <w:t xml:space="preserve">článkami 1 až 3 delegovaného nariadenia (EÚ) .../... (Úrad pre publikácie: doplňte odkaz na </w:t>
            </w:r>
            <w:r w:rsidRPr="00A72949">
              <w:rPr>
                <w:rStyle w:val="FormatvorlageInstructionsTabelleText"/>
                <w:rFonts w:ascii="Times New Roman" w:hAnsi="Times New Roman"/>
                <w:sz w:val="24"/>
              </w:rPr>
              <w:t>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t>.</w:t>
            </w:r>
            <w:r w:rsidRPr="00A72949">
              <w:rPr>
                <w:rStyle w:val="InstructionsTabelleberschrift"/>
                <w:rFonts w:ascii="Times New Roman" w:hAnsi="Times New Roman"/>
                <w:b w:val="0"/>
                <w:sz w:val="24"/>
                <w:u w:val="none"/>
              </w:rPr>
              <w:t xml:space="preserve"> Pokiaľ ide</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modelovacie</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parametrické predpoklady, ktoré nie sú špecifikované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3 uvedeného delegovaného nariadenia, inštitúcie používajú tie predpoklady, ktoré používajú pri meraní</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riadení IRRBB, t. j. svoje interné metodiky merania, štandardizovaný prístup alebo zjednodušený štandardizovaný prístup. </w:t>
            </w:r>
          </w:p>
        </w:tc>
      </w:tr>
      <w:tr w:rsidR="004E6C70" w:rsidRPr="00A72949" w14:paraId="0782F323" w14:textId="77777777" w:rsidTr="00E73145">
        <w:tc>
          <w:tcPr>
            <w:tcW w:w="1129" w:type="dxa"/>
          </w:tcPr>
          <w:p w14:paraId="61D558C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620" w:type="dxa"/>
          </w:tcPr>
          <w:p w14:paraId="50BB6C3C"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podľa najhoršieho scenára</w:t>
            </w:r>
          </w:p>
          <w:p w14:paraId="41341E80" w14:textId="596F5CDB"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Zmena EVE podľa šokových scenárov dohľadu uvedených</w:t>
            </w:r>
            <w:r w:rsidR="00A72949">
              <w:rPr>
                <w:rStyle w:val="InstructionsTabelleberschrift"/>
                <w:rFonts w:ascii="Times New Roman" w:hAnsi="Times New Roman"/>
                <w:b w:val="0"/>
                <w:sz w:val="24"/>
                <w:u w:val="none"/>
              </w:rPr>
              <w:t xml:space="preserve"> v </w:t>
            </w:r>
            <w:r w:rsidRPr="00A72949">
              <w:rPr>
                <w:rStyle w:val="FormatvorlageInstructionsTabelleText"/>
                <w:rFonts w:ascii="Times New Roman" w:hAnsi="Times New Roman"/>
                <w:sz w:val="24"/>
              </w:rPr>
              <w:t>článku 1 ods. 1 delegovaného nariadenia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 ktorá spôsobuje najväčší pokles EVE.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tomto riadku sa vykazuje najhorší výsledok spomedzi hodnôt</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riadkoch 0040 až 0090.</w:t>
            </w:r>
          </w:p>
        </w:tc>
      </w:tr>
      <w:tr w:rsidR="004E6C70" w:rsidRPr="00A72949" w14:paraId="36B3BC57" w14:textId="77777777" w:rsidTr="00E73145">
        <w:tc>
          <w:tcPr>
            <w:tcW w:w="1129" w:type="dxa"/>
          </w:tcPr>
          <w:p w14:paraId="45B6490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0020</w:t>
            </w:r>
          </w:p>
        </w:tc>
        <w:tc>
          <w:tcPr>
            <w:tcW w:w="7620" w:type="dxa"/>
          </w:tcPr>
          <w:p w14:paraId="7D1B632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pomeru EVE podľa najhoršieho scenára</w:t>
            </w:r>
          </w:p>
          <w:p w14:paraId="1EB8E847" w14:textId="468449CC"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Pomer hodnoty vykázanej</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riadku 0010</w:t>
            </w:r>
            <w:r w:rsidRPr="00A72949">
              <w:rPr>
                <w:rStyle w:val="FormatvorlageInstructionsTabelleText"/>
                <w:rFonts w:ascii="Times New Roman" w:hAnsi="Times New Roman"/>
                <w:sz w:val="24"/>
              </w:rPr>
              <w:t xml:space="preserve"> </w:t>
            </w:r>
            <w:r w:rsidRPr="00A72949">
              <w:rPr>
                <w:rStyle w:val="InstructionsTabelleberschrift"/>
                <w:rFonts w:ascii="Times New Roman" w:hAnsi="Times New Roman"/>
                <w:b w:val="0"/>
                <w:sz w:val="24"/>
                <w:u w:val="none"/>
              </w:rPr>
              <w:t xml:space="preserve">ku kapitálu </w:t>
            </w:r>
            <w:proofErr w:type="spellStart"/>
            <w:r w:rsidRPr="00A72949">
              <w:rPr>
                <w:rStyle w:val="InstructionsTabelleberschrift"/>
                <w:rFonts w:ascii="Times New Roman" w:hAnsi="Times New Roman"/>
                <w:b w:val="0"/>
                <w:sz w:val="24"/>
                <w:u w:val="none"/>
              </w:rPr>
              <w:t>Tier</w:t>
            </w:r>
            <w:proofErr w:type="spellEnd"/>
            <w:r w:rsidRPr="00A72949">
              <w:rPr>
                <w:rStyle w:val="InstructionsTabelleberschrift"/>
                <w:rFonts w:ascii="Times New Roman" w:hAnsi="Times New Roman"/>
                <w:b w:val="0"/>
                <w:sz w:val="24"/>
                <w:u w:val="none"/>
              </w:rPr>
              <w:t xml:space="preserve"> 1 určenému</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súlade</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článkom 25</w:t>
            </w:r>
            <w:r w:rsidRPr="00A72949">
              <w:t xml:space="preserve"> nariadenia (EÚ) </w:t>
            </w:r>
            <w:r w:rsidR="00A72949">
              <w:t>č. </w:t>
            </w:r>
            <w:r w:rsidRPr="00A72949">
              <w:t>575/2013</w:t>
            </w:r>
            <w:r w:rsidRPr="00A72949">
              <w:rPr>
                <w:rStyle w:val="FormatvorlageInstructionsTabelleText"/>
                <w:rFonts w:ascii="Times New Roman" w:hAnsi="Times New Roman"/>
                <w:sz w:val="24"/>
              </w:rPr>
              <w:t xml:space="preserve">. </w:t>
            </w:r>
          </w:p>
        </w:tc>
      </w:tr>
      <w:tr w:rsidR="004E6C70" w:rsidRPr="00A72949" w14:paraId="1CF48434" w14:textId="77777777" w:rsidTr="00E73145">
        <w:tc>
          <w:tcPr>
            <w:tcW w:w="1129" w:type="dxa"/>
          </w:tcPr>
          <w:p w14:paraId="284D399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0030 – 0090</w:t>
            </w:r>
          </w:p>
        </w:tc>
        <w:tc>
          <w:tcPr>
            <w:tcW w:w="7620" w:type="dxa"/>
          </w:tcPr>
          <w:p w14:paraId="35A608A1" w14:textId="700AC97D"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EVE podľa základného scenára</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šokového scenára dohľadu</w:t>
            </w:r>
          </w:p>
          <w:p w14:paraId="3DA5CE9F" w14:textId="10D43E2A" w:rsidR="004E6C70" w:rsidRPr="00A72949" w:rsidRDefault="004E6C70" w:rsidP="00E73145">
            <w:pPr>
              <w:pStyle w:val="InstructionsText"/>
              <w:rPr>
                <w:rStyle w:val="FormatvorlageInstructionsTabelleText"/>
                <w:rFonts w:ascii="Times New Roman" w:hAnsi="Times New Roman"/>
                <w:sz w:val="24"/>
              </w:rPr>
            </w:pPr>
            <w:r w:rsidRPr="00A72949">
              <w:rPr>
                <w:rStyle w:val="InstructionsTabelleberschrift"/>
                <w:rFonts w:ascii="Times New Roman" w:hAnsi="Times New Roman"/>
                <w:b w:val="0"/>
                <w:sz w:val="24"/>
                <w:u w:val="none"/>
              </w:rPr>
              <w:t>Úroveň EVE podľa základného scenára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zmeny EVE (t. j. Δ EVE) podľa </w:t>
            </w:r>
            <w:r w:rsidRPr="00A72949">
              <w:rPr>
                <w:rStyle w:val="InstructionsTabelleberschrift"/>
                <w:rFonts w:ascii="Times New Roman" w:hAnsi="Times New Roman"/>
                <w:b w:val="0"/>
                <w:sz w:val="24"/>
                <w:u w:val="none"/>
              </w:rPr>
              <w:lastRenderedPageBreak/>
              <w:t>šokových scenárov dohľadu uvedených</w:t>
            </w:r>
            <w:r w:rsidR="00A72949">
              <w:rPr>
                <w:rStyle w:val="InstructionsTabelleberschrift"/>
                <w:rFonts w:ascii="Times New Roman" w:hAnsi="Times New Roman"/>
                <w:b w:val="0"/>
                <w:sz w:val="24"/>
                <w:u w:val="none"/>
              </w:rPr>
              <w:t xml:space="preserve"> v </w:t>
            </w:r>
            <w:r w:rsidRPr="00A72949">
              <w:rPr>
                <w:rStyle w:val="FormatvorlageInstructionsTabelleText"/>
                <w:rFonts w:ascii="Times New Roman" w:hAnsi="Times New Roman"/>
                <w:sz w:val="24"/>
              </w:rPr>
              <w:t xml:space="preserve">článku 1 ods. 1 </w:t>
            </w:r>
            <w:r w:rsidRPr="00A72949">
              <w:t xml:space="preserve">delegovaného nariadenia (EÚ) .../... (Úrad pre publikácie: doplňte odkaz na </w:t>
            </w:r>
            <w:r w:rsidRPr="00A72949">
              <w:rPr>
                <w:rStyle w:val="FormatvorlageInstructionsTabelleText"/>
                <w:rFonts w:ascii="Times New Roman" w:hAnsi="Times New Roman"/>
                <w:sz w:val="24"/>
              </w:rPr>
              <w:t>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 xml:space="preserve">SOT). </w:t>
            </w:r>
          </w:p>
        </w:tc>
      </w:tr>
      <w:tr w:rsidR="004E6C70" w:rsidRPr="00A72949" w14:paraId="0A305040" w14:textId="77777777" w:rsidTr="00E73145">
        <w:tc>
          <w:tcPr>
            <w:tcW w:w="1129" w:type="dxa"/>
          </w:tcPr>
          <w:p w14:paraId="6B807B9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0030</w:t>
            </w:r>
          </w:p>
        </w:tc>
        <w:tc>
          <w:tcPr>
            <w:tcW w:w="7620" w:type="dxa"/>
          </w:tcPr>
          <w:p w14:paraId="3B11E1E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Úroveň EVE podľa základného scenára</w:t>
            </w:r>
          </w:p>
          <w:p w14:paraId="38149F4E" w14:textId="7EE1523C" w:rsidR="004E6C70" w:rsidRPr="00A72949" w:rsidDel="00D1769D"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Úroveň EVE podľa základných úrokových scenárov</w:t>
            </w:r>
            <w:r w:rsidR="00A72949">
              <w:rPr>
                <w:rStyle w:val="InstructionsTabelleberschrift"/>
                <w:rFonts w:ascii="Times New Roman" w:hAnsi="Times New Roman"/>
                <w:b w:val="0"/>
                <w:sz w:val="24"/>
                <w:u w:val="none"/>
              </w:rPr>
              <w:t xml:space="preserve"> k </w:t>
            </w:r>
            <w:r w:rsidRPr="00A72949">
              <w:rPr>
                <w:rStyle w:val="InstructionsTabelleberschrift"/>
                <w:rFonts w:ascii="Times New Roman" w:hAnsi="Times New Roman"/>
                <w:b w:val="0"/>
                <w:sz w:val="24"/>
                <w:u w:val="none"/>
              </w:rPr>
              <w:t>referenčného dátumu.</w:t>
            </w:r>
          </w:p>
        </w:tc>
      </w:tr>
      <w:tr w:rsidR="004E6C70" w:rsidRPr="00A72949" w14:paraId="64B8A94E" w14:textId="77777777" w:rsidTr="00E73145">
        <w:tc>
          <w:tcPr>
            <w:tcW w:w="1129" w:type="dxa"/>
          </w:tcPr>
          <w:p w14:paraId="7A8363B7"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0040</w:t>
            </w:r>
          </w:p>
        </w:tc>
        <w:tc>
          <w:tcPr>
            <w:tcW w:w="7620" w:type="dxa"/>
          </w:tcPr>
          <w:p w14:paraId="1D9553BA" w14:textId="22DAE018"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paralelného šoku smerom nahor</w:t>
            </w:r>
          </w:p>
          <w:p w14:paraId="04B9BDF2" w14:textId="6BC6A222"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EVE podľa scenára „paralelného šoku smerom nahor“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1 písm. 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56DB993F" w14:textId="77777777" w:rsidTr="00E73145">
        <w:tc>
          <w:tcPr>
            <w:tcW w:w="1129" w:type="dxa"/>
          </w:tcPr>
          <w:p w14:paraId="1B43FE9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0050</w:t>
            </w:r>
          </w:p>
        </w:tc>
        <w:tc>
          <w:tcPr>
            <w:tcW w:w="7620" w:type="dxa"/>
          </w:tcPr>
          <w:p w14:paraId="1A8B8862" w14:textId="6A49F9C2"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paralelného šoku smerom nadol</w:t>
            </w:r>
          </w:p>
          <w:p w14:paraId="75FBC5AE" w14:textId="3F7889ED"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EVE podľa scenára „paralelného šoku smerom nadol“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1 písm. b)</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w:t>
            </w:r>
            <w:r w:rsidRPr="00A72949">
              <w:t xml:space="preserve"> </w:t>
            </w:r>
            <w:r w:rsidRPr="00A72949">
              <w:rPr>
                <w:rStyle w:val="InstructionsTabelleberschrift"/>
                <w:rFonts w:ascii="Times New Roman" w:hAnsi="Times New Roman"/>
                <w:b w:val="0"/>
                <w:sz w:val="24"/>
                <w:u w:val="none"/>
              </w:rPr>
              <w:t>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460775A9" w14:textId="77777777" w:rsidTr="00E73145">
        <w:tc>
          <w:tcPr>
            <w:tcW w:w="1129" w:type="dxa"/>
          </w:tcPr>
          <w:p w14:paraId="4192FB9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0060</w:t>
            </w:r>
          </w:p>
        </w:tc>
        <w:tc>
          <w:tcPr>
            <w:tcW w:w="7620" w:type="dxa"/>
          </w:tcPr>
          <w:p w14:paraId="3ECB0422" w14:textId="7C8FC41D"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šoku zostrmenia</w:t>
            </w:r>
          </w:p>
          <w:p w14:paraId="0D6A673E" w14:textId="33F73BBF"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EVE podľa scenára „šoku zostrmenia“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1 písm. c)</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w:t>
            </w:r>
            <w:r w:rsidRPr="00A72949">
              <w:t xml:space="preserve"> </w:t>
            </w:r>
            <w:r w:rsidRPr="00A72949">
              <w:rPr>
                <w:rStyle w:val="InstructionsTabelleberschrift"/>
                <w:rFonts w:ascii="Times New Roman" w:hAnsi="Times New Roman"/>
                <w:b w:val="0"/>
                <w:sz w:val="24"/>
                <w:u w:val="none"/>
              </w:rPr>
              <w:t>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47CE3522" w14:textId="77777777" w:rsidTr="00E73145">
        <w:tc>
          <w:tcPr>
            <w:tcW w:w="1129" w:type="dxa"/>
          </w:tcPr>
          <w:p w14:paraId="2739C0D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0070</w:t>
            </w:r>
          </w:p>
        </w:tc>
        <w:tc>
          <w:tcPr>
            <w:tcW w:w="7620" w:type="dxa"/>
          </w:tcPr>
          <w:p w14:paraId="6DA6E565" w14:textId="576B4148"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šoku sploštenia</w:t>
            </w:r>
          </w:p>
          <w:p w14:paraId="36BB3ADE" w14:textId="7A3EA570"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EVE podľa scenára „šoku sploštenia“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1 písm. d)</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článku 2 delegovaného nariadenia (EÚ) .../... (Úrad pre publikácie: doplňte odkaz na </w:t>
            </w:r>
            <w:r w:rsidRPr="00A72949">
              <w:rPr>
                <w:rStyle w:val="FormatvorlageInstructionsTabelleText"/>
                <w:rFonts w:ascii="Times New Roman" w:hAnsi="Times New Roman"/>
                <w:sz w:val="24"/>
              </w:rPr>
              <w:t>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564058A0" w14:textId="77777777" w:rsidTr="00E73145">
        <w:tc>
          <w:tcPr>
            <w:tcW w:w="1129" w:type="dxa"/>
          </w:tcPr>
          <w:p w14:paraId="4CD9351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0080</w:t>
            </w:r>
          </w:p>
        </w:tc>
        <w:tc>
          <w:tcPr>
            <w:tcW w:w="7620" w:type="dxa"/>
          </w:tcPr>
          <w:p w14:paraId="43D58D3D" w14:textId="1342A79B"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šoku pri krátkodobých sadzbách smerom nahor</w:t>
            </w:r>
          </w:p>
          <w:p w14:paraId="7298429C" w14:textId="344CED33"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EVE podľa scenára „šoku pri krátkodobých sadzbách smerom nahor“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1 písm. e)</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77E1B2B4" w14:textId="77777777" w:rsidTr="00E73145">
        <w:tc>
          <w:tcPr>
            <w:tcW w:w="1129" w:type="dxa"/>
          </w:tcPr>
          <w:p w14:paraId="7D94D90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0090</w:t>
            </w:r>
          </w:p>
        </w:tc>
        <w:tc>
          <w:tcPr>
            <w:tcW w:w="7620" w:type="dxa"/>
          </w:tcPr>
          <w:p w14:paraId="5255BDE6" w14:textId="23A96C6E"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šoku pri krátkodobých sadzbách smerom nadol</w:t>
            </w:r>
          </w:p>
          <w:p w14:paraId="3E6305C9" w14:textId="263615A6"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EVE podľa scenára „šoku pri krátkodobých sadzbách smerom nadol“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1 písm. f)</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5906F3CA" w14:textId="77777777" w:rsidTr="00E73145">
        <w:tc>
          <w:tcPr>
            <w:tcW w:w="1129" w:type="dxa"/>
          </w:tcPr>
          <w:p w14:paraId="2891968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0100 – 0140</w:t>
            </w:r>
          </w:p>
        </w:tc>
        <w:tc>
          <w:tcPr>
            <w:tcW w:w="7620" w:type="dxa"/>
          </w:tcPr>
          <w:p w14:paraId="7449A67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Čisté úrokové výnosy (NII)</w:t>
            </w:r>
          </w:p>
          <w:p w14:paraId="48841E1D" w14:textId="18E6235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NII uvedené</w:t>
            </w:r>
            <w:r w:rsidR="00A72949">
              <w:rPr>
                <w:rStyle w:val="InstructionsTabelleberschrift"/>
                <w:rFonts w:ascii="Times New Roman" w:hAnsi="Times New Roman"/>
                <w:b w:val="0"/>
                <w:sz w:val="24"/>
                <w:u w:val="none"/>
              </w:rPr>
              <w:t xml:space="preserve"> v </w:t>
            </w:r>
            <w:r w:rsidRPr="00A72949">
              <w:t>článku 98 ods. 5 písm. b) smernice 2013/36/EÚ</w:t>
            </w:r>
            <w:r w:rsidR="00A72949">
              <w:t xml:space="preserve"> a </w:t>
            </w:r>
            <w:r w:rsidRPr="00A72949">
              <w:t>spresnené</w:t>
            </w:r>
            <w:r w:rsidR="00A72949">
              <w:t xml:space="preserve"> v </w:t>
            </w:r>
            <w:r w:rsidRPr="00A72949">
              <w:t xml:space="preserve">článku 4 delegovaného nariadenia (EÚ) .../... (Úrad pre publikácie: doplňte odkaz na </w:t>
            </w:r>
            <w:r w:rsidRPr="00A72949">
              <w:rPr>
                <w:rStyle w:val="FormatvorlageInstructionsTabelleText"/>
                <w:rFonts w:ascii="Times New Roman" w:hAnsi="Times New Roman"/>
                <w:sz w:val="24"/>
              </w:rPr>
              <w:t>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t>.</w:t>
            </w:r>
            <w:r w:rsidRPr="00A72949">
              <w:rPr>
                <w:rStyle w:val="InstructionsTabelleberschrift"/>
                <w:rFonts w:ascii="Times New Roman" w:hAnsi="Times New Roman"/>
                <w:b w:val="0"/>
                <w:sz w:val="24"/>
                <w:u w:val="none"/>
              </w:rPr>
              <w:t xml:space="preserve"> Pokiaľ ide</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modelovacie</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parametrické predpoklady, ktoré nie sú špecifikované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4 uvedeného delegovaného nariadenia, inštitúcie používajú tie predpoklady, ktoré používajú pri meraní</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riadení IRRBB, t. j. svoje interné metodiky merania, štandardizovaný prístup alebo zjednodušený štandardizovaný prístup.</w:t>
            </w:r>
          </w:p>
          <w:p w14:paraId="0F84142E" w14:textId="68A182B5"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FormatvorlageInstructionsTabelleText"/>
                <w:rFonts w:ascii="Times New Roman" w:hAnsi="Times New Roman"/>
                <w:sz w:val="24"/>
              </w:rPr>
              <w:lastRenderedPageBreak/>
              <w:t xml:space="preserve">Inštitúcie zohľadňujú postup účtovania </w:t>
            </w:r>
            <w:proofErr w:type="spellStart"/>
            <w:r w:rsidRPr="00A72949">
              <w:rPr>
                <w:rStyle w:val="FormatvorlageInstructionsTabelleText"/>
                <w:rFonts w:ascii="Times New Roman" w:hAnsi="Times New Roman"/>
                <w:sz w:val="24"/>
              </w:rPr>
              <w:t>hedžingov</w:t>
            </w:r>
            <w:proofErr w:type="spellEnd"/>
            <w:r w:rsidRPr="00A72949">
              <w:rPr>
                <w:rStyle w:val="FormatvorlageInstructionsTabelleText"/>
                <w:rFonts w:ascii="Times New Roman" w:hAnsi="Times New Roman"/>
                <w:sz w:val="24"/>
              </w:rPr>
              <w:t xml:space="preserve"> (t. j. účtovanie </w:t>
            </w:r>
            <w:proofErr w:type="spellStart"/>
            <w:r w:rsidRPr="00A72949">
              <w:rPr>
                <w:rStyle w:val="FormatvorlageInstructionsTabelleText"/>
                <w:rFonts w:ascii="Times New Roman" w:hAnsi="Times New Roman"/>
                <w:sz w:val="24"/>
              </w:rPr>
              <w:t>hedžingu</w:t>
            </w:r>
            <w:proofErr w:type="spellEnd"/>
            <w:r w:rsidRPr="00A72949">
              <w:rPr>
                <w:rStyle w:val="FormatvorlageInstructionsTabelleText"/>
                <w:rFonts w:ascii="Times New Roman" w:hAnsi="Times New Roman"/>
                <w:sz w:val="24"/>
              </w:rPr>
              <w:t>), pričom nezahŕňajú účinky položiek uvedených</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 xml:space="preserve">článku 33 ods. 1 písm. a) </w:t>
            </w:r>
            <w:r w:rsidRPr="00A72949">
              <w:t xml:space="preserve">nariadenia (EÚ) </w:t>
            </w:r>
            <w:r w:rsidR="00A72949">
              <w:t>č. </w:t>
            </w:r>
            <w:r w:rsidRPr="00A72949">
              <w:t>575/2013</w:t>
            </w:r>
            <w:r w:rsidRPr="00A72949">
              <w:rPr>
                <w:rStyle w:val="FormatvorlageInstructionsTabelleText"/>
                <w:rFonts w:ascii="Times New Roman" w:hAnsi="Times New Roman"/>
                <w:sz w:val="24"/>
              </w:rPr>
              <w:t>.</w:t>
            </w:r>
          </w:p>
        </w:tc>
      </w:tr>
      <w:tr w:rsidR="004E6C70" w:rsidRPr="00A72949" w14:paraId="576E631E" w14:textId="77777777" w:rsidTr="00E73145">
        <w:tc>
          <w:tcPr>
            <w:tcW w:w="1129" w:type="dxa"/>
          </w:tcPr>
          <w:p w14:paraId="7AC3665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0100</w:t>
            </w:r>
          </w:p>
        </w:tc>
        <w:tc>
          <w:tcPr>
            <w:tcW w:w="7620" w:type="dxa"/>
          </w:tcPr>
          <w:p w14:paraId="353B2A1F"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NII podľa najhoršieho scenára</w:t>
            </w:r>
          </w:p>
          <w:p w14:paraId="39CBB869" w14:textId="54A73EC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jednoročných NII podľa šokových scenárov dohľadu uvedených</w:t>
            </w:r>
            <w:r w:rsidR="00A72949">
              <w:rPr>
                <w:rStyle w:val="InstructionsTabelleberschrift"/>
                <w:rFonts w:ascii="Times New Roman" w:hAnsi="Times New Roman"/>
                <w:b w:val="0"/>
                <w:sz w:val="24"/>
                <w:u w:val="none"/>
              </w:rPr>
              <w:t xml:space="preserve"> v </w:t>
            </w:r>
            <w:r w:rsidRPr="00A72949">
              <w:rPr>
                <w:rStyle w:val="FormatvorlageInstructionsTabelleText"/>
                <w:rFonts w:ascii="Times New Roman" w:hAnsi="Times New Roman"/>
                <w:sz w:val="24"/>
              </w:rPr>
              <w:t>článku 1 ods. 2 delegovaného nariadenia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 ktorá spôsobuje najväčší pokles NII.</w:t>
            </w:r>
            <w:r w:rsidR="00A72949">
              <w:rPr>
                <w:rStyle w:val="FormatvorlageInstructionsTabelleText"/>
                <w:rFonts w:ascii="Times New Roman" w:hAnsi="Times New Roman"/>
              </w:rPr>
              <w:t xml:space="preserve"> V </w:t>
            </w:r>
            <w:r w:rsidRPr="00A72949">
              <w:rPr>
                <w:rStyle w:val="FormatvorlageInstructionsTabelleText"/>
                <w:rFonts w:ascii="Times New Roman" w:hAnsi="Times New Roman"/>
                <w:sz w:val="24"/>
              </w:rPr>
              <w:t>tomto riadku sa vykazuje</w:t>
            </w:r>
            <w:r w:rsidRPr="00A72949">
              <w:rPr>
                <w:rStyle w:val="InstructionsTabelleberschrift"/>
                <w:rFonts w:ascii="Times New Roman" w:hAnsi="Times New Roman"/>
                <w:b w:val="0"/>
                <w:sz w:val="24"/>
                <w:u w:val="none"/>
              </w:rPr>
              <w:t xml:space="preserve"> najhorší výsledok spomedzi hodnôt</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riadkoch</w:t>
            </w:r>
            <w:r w:rsidRPr="00A72949">
              <w:rPr>
                <w:rStyle w:val="FormatvorlageInstructionsTabelleText"/>
                <w:rFonts w:ascii="Times New Roman" w:hAnsi="Times New Roman"/>
                <w:sz w:val="24"/>
              </w:rPr>
              <w:t xml:space="preserve"> 0130 až 0140.</w:t>
            </w:r>
            <w:r w:rsidRPr="00A72949">
              <w:rPr>
                <w:rStyle w:val="InstructionsTabelleberschrift"/>
                <w:rFonts w:ascii="Times New Roman" w:hAnsi="Times New Roman"/>
                <w:b w:val="0"/>
                <w:sz w:val="24"/>
                <w:u w:val="none"/>
              </w:rPr>
              <w:t xml:space="preserve"> </w:t>
            </w:r>
          </w:p>
        </w:tc>
      </w:tr>
      <w:tr w:rsidR="004E6C70" w:rsidRPr="00A72949" w14:paraId="0C2280EE" w14:textId="77777777" w:rsidTr="00E73145">
        <w:tc>
          <w:tcPr>
            <w:tcW w:w="1129" w:type="dxa"/>
          </w:tcPr>
          <w:p w14:paraId="40DD60F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0110</w:t>
            </w:r>
          </w:p>
        </w:tc>
        <w:tc>
          <w:tcPr>
            <w:tcW w:w="7620" w:type="dxa"/>
          </w:tcPr>
          <w:p w14:paraId="07DDF99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pomeru NII podľa najhoršieho scenára</w:t>
            </w:r>
          </w:p>
          <w:p w14:paraId="69BCD41E" w14:textId="4E8CA4A9"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Pomer hodnoty vykázanej</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riadku 0100</w:t>
            </w:r>
            <w:r w:rsidRPr="00A72949">
              <w:t xml:space="preserve"> ku kapitálu </w:t>
            </w:r>
            <w:proofErr w:type="spellStart"/>
            <w:r w:rsidRPr="00A72949">
              <w:t>Tier</w:t>
            </w:r>
            <w:proofErr w:type="spellEnd"/>
            <w:r w:rsidRPr="00A72949">
              <w:t xml:space="preserve"> 1 určenému</w:t>
            </w:r>
            <w:r w:rsidR="00A72949">
              <w:t xml:space="preserve"> v </w:t>
            </w:r>
            <w:r w:rsidRPr="00A72949">
              <w:t>súlade</w:t>
            </w:r>
            <w:r w:rsidR="00A72949">
              <w:t xml:space="preserve"> s </w:t>
            </w:r>
            <w:r w:rsidRPr="00A72949">
              <w:t xml:space="preserve">článkom 25 nariadenia (EÚ) </w:t>
            </w:r>
            <w:r w:rsidR="00A72949">
              <w:t>č. </w:t>
            </w:r>
            <w:r w:rsidRPr="00A72949">
              <w:t>575/2013</w:t>
            </w:r>
            <w:r w:rsidRPr="00A72949">
              <w:rPr>
                <w:rStyle w:val="InstructionsTabelleberschrift"/>
                <w:rFonts w:ascii="Times New Roman" w:hAnsi="Times New Roman"/>
                <w:b w:val="0"/>
                <w:sz w:val="24"/>
                <w:u w:val="none"/>
              </w:rPr>
              <w:t>.</w:t>
            </w:r>
          </w:p>
        </w:tc>
      </w:tr>
      <w:tr w:rsidR="004E6C70" w:rsidRPr="00A72949" w14:paraId="0B48673A" w14:textId="77777777" w:rsidTr="00E73145">
        <w:tc>
          <w:tcPr>
            <w:tcW w:w="1129" w:type="dxa"/>
          </w:tcPr>
          <w:p w14:paraId="22B8F1D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0120 – 0140</w:t>
            </w:r>
          </w:p>
        </w:tc>
        <w:tc>
          <w:tcPr>
            <w:tcW w:w="7620" w:type="dxa"/>
          </w:tcPr>
          <w:p w14:paraId="2C23AF76" w14:textId="58C926BD"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NII podľa základného scenára</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šokového scenára dohľadu</w:t>
            </w:r>
          </w:p>
          <w:p w14:paraId="700F053A" w14:textId="5115F44B" w:rsidR="004E6C70" w:rsidRPr="00A72949" w:rsidRDefault="004E6C70" w:rsidP="00E73145">
            <w:pPr>
              <w:pStyle w:val="InstructionsText"/>
              <w:rPr>
                <w:rStyle w:val="FormatvorlageInstructionsTabelleText"/>
                <w:rFonts w:ascii="Times New Roman" w:hAnsi="Times New Roman"/>
                <w:sz w:val="24"/>
              </w:rPr>
            </w:pPr>
            <w:r w:rsidRPr="00A72949">
              <w:rPr>
                <w:rStyle w:val="InstructionsTabelleberschrift"/>
                <w:rFonts w:ascii="Times New Roman" w:hAnsi="Times New Roman"/>
                <w:b w:val="0"/>
                <w:sz w:val="24"/>
                <w:u w:val="none"/>
              </w:rPr>
              <w:t>Úroveň NII podľa základného scenára Δ NII podľa šokových scenárov dohľadu uvedených</w:t>
            </w:r>
            <w:r w:rsidR="00A72949">
              <w:rPr>
                <w:rStyle w:val="InstructionsTabelleberschrift"/>
                <w:rFonts w:ascii="Times New Roman" w:hAnsi="Times New Roman"/>
                <w:b w:val="0"/>
                <w:sz w:val="24"/>
                <w:u w:val="none"/>
              </w:rPr>
              <w:t xml:space="preserve"> v </w:t>
            </w:r>
            <w:r w:rsidRPr="00A72949">
              <w:rPr>
                <w:rStyle w:val="FormatvorlageInstructionsTabelleText"/>
                <w:rFonts w:ascii="Times New Roman" w:hAnsi="Times New Roman"/>
                <w:sz w:val="24"/>
              </w:rPr>
              <w:t>článku 1 ods. 2 delegovaného nariadenia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p>
        </w:tc>
      </w:tr>
      <w:tr w:rsidR="004E6C70" w:rsidRPr="00A72949" w14:paraId="2C7F7FCA" w14:textId="77777777" w:rsidTr="00E73145">
        <w:tc>
          <w:tcPr>
            <w:tcW w:w="1129" w:type="dxa"/>
          </w:tcPr>
          <w:p w14:paraId="73ACD7E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0120</w:t>
            </w:r>
          </w:p>
        </w:tc>
        <w:tc>
          <w:tcPr>
            <w:tcW w:w="7620" w:type="dxa"/>
          </w:tcPr>
          <w:p w14:paraId="2F0EF711"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Úroveň NII podľa základného scenára</w:t>
            </w:r>
          </w:p>
          <w:p w14:paraId="120031B4" w14:textId="490A669A" w:rsidR="004E6C70" w:rsidRPr="00A72949" w:rsidDel="008C1F5D"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Úroveň NII podľa základného úrokového scenára</w:t>
            </w:r>
            <w:r w:rsidR="00A72949">
              <w:rPr>
                <w:rStyle w:val="InstructionsTabelleberschrift"/>
                <w:rFonts w:ascii="Times New Roman" w:hAnsi="Times New Roman"/>
                <w:b w:val="0"/>
                <w:sz w:val="24"/>
                <w:u w:val="none"/>
              </w:rPr>
              <w:t xml:space="preserve"> k </w:t>
            </w:r>
            <w:r w:rsidRPr="00A72949">
              <w:rPr>
                <w:rStyle w:val="InstructionsTabelleberschrift"/>
                <w:rFonts w:ascii="Times New Roman" w:hAnsi="Times New Roman"/>
                <w:b w:val="0"/>
                <w:sz w:val="24"/>
                <w:u w:val="none"/>
              </w:rPr>
              <w:t>referenčného dátumu.</w:t>
            </w:r>
          </w:p>
        </w:tc>
      </w:tr>
      <w:tr w:rsidR="004E6C70" w:rsidRPr="00A72949" w14:paraId="44D19517" w14:textId="77777777" w:rsidTr="00E73145">
        <w:tc>
          <w:tcPr>
            <w:tcW w:w="1129" w:type="dxa"/>
          </w:tcPr>
          <w:p w14:paraId="3256211B"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0130</w:t>
            </w:r>
          </w:p>
        </w:tc>
        <w:tc>
          <w:tcPr>
            <w:tcW w:w="7620" w:type="dxa"/>
          </w:tcPr>
          <w:p w14:paraId="2D40CF8B" w14:textId="751BE450"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NII</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paralelného šoku smerom nahor</w:t>
            </w:r>
          </w:p>
          <w:p w14:paraId="2A66CCF5" w14:textId="2612B841" w:rsidR="004E6C70" w:rsidRP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Zmena NII podľa scenára „paralelného šoku smerom nahor“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2 písm. 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3DE2A312" w14:textId="77777777" w:rsidTr="00E73145">
        <w:tc>
          <w:tcPr>
            <w:tcW w:w="1129" w:type="dxa"/>
          </w:tcPr>
          <w:p w14:paraId="3751752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0140</w:t>
            </w:r>
          </w:p>
        </w:tc>
        <w:tc>
          <w:tcPr>
            <w:tcW w:w="7620" w:type="dxa"/>
          </w:tcPr>
          <w:p w14:paraId="4B079B21" w14:textId="1ADE4513"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NII</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paralelného šoku smerom nadol</w:t>
            </w:r>
          </w:p>
          <w:p w14:paraId="7DD70B8A" w14:textId="45BE6692"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NII podľa scenára „paralelného šoku smerom nadol“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2 písm. b)</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t>.</w:t>
            </w:r>
          </w:p>
        </w:tc>
      </w:tr>
      <w:tr w:rsidR="004E6C70" w:rsidRPr="00A72949" w14:paraId="5528B70E" w14:textId="77777777" w:rsidTr="00E73145">
        <w:tc>
          <w:tcPr>
            <w:tcW w:w="1129" w:type="dxa"/>
          </w:tcPr>
          <w:p w14:paraId="3A96BFC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0150 – 0170</w:t>
            </w:r>
          </w:p>
        </w:tc>
        <w:tc>
          <w:tcPr>
            <w:tcW w:w="7620" w:type="dxa"/>
          </w:tcPr>
          <w:p w14:paraId="4448381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Zmeny trhovej hodnoty podľa IMS</w:t>
            </w:r>
          </w:p>
          <w:p w14:paraId="219DB649" w14:textId="0BE694E8"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MV podľa základného scenára</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šokového scenára dohľadu</w:t>
            </w:r>
          </w:p>
          <w:p w14:paraId="3A66CAC3" w14:textId="7EEC7A6F"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Prognózy zmien MV (</w:t>
            </w:r>
            <w:r w:rsidRPr="00A72949">
              <w:rPr>
                <w:rStyle w:val="FormatvorlageInstructionsTabelleText"/>
                <w:rFonts w:ascii="Times New Roman" w:hAnsi="Times New Roman"/>
                <w:b/>
                <w:sz w:val="24"/>
              </w:rPr>
              <w:t>∆</w:t>
            </w:r>
            <w:r w:rsidRPr="00A72949">
              <w:rPr>
                <w:rStyle w:val="FormatvorlageInstructionsTabelleText"/>
                <w:rFonts w:ascii="Times New Roman" w:hAnsi="Times New Roman"/>
                <w:sz w:val="24"/>
              </w:rPr>
              <w:t xml:space="preserve"> MV) účtovnej hodnoty</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 xml:space="preserve">horizonte jedného roka podľa </w:t>
            </w:r>
            <w:r w:rsidRPr="00A72949">
              <w:rPr>
                <w:rStyle w:val="InstructionsTabelleberschrift"/>
                <w:rFonts w:ascii="Times New Roman" w:hAnsi="Times New Roman"/>
                <w:sz w:val="24"/>
                <w:u w:val="none"/>
              </w:rPr>
              <w:t>∆</w:t>
            </w:r>
            <w:r w:rsidRPr="00A72949">
              <w:t>MV</w:t>
            </w:r>
            <w:r w:rsidRPr="00A72949">
              <w:rPr>
                <w:rStyle w:val="FormatvorlageInstructionsTabelleText"/>
                <w:rFonts w:ascii="Times New Roman" w:hAnsi="Times New Roman"/>
                <w:sz w:val="24"/>
              </w:rPr>
              <w:t xml:space="preserve"> sa vykazujú buď vo výkaze ziskov</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 xml:space="preserve">strát, alebo priamo vo vlastnom imaní (napríklad prostredníctvom ostatných súčastí komplexného výsledku). Inštitúcie vykazujú </w:t>
            </w:r>
            <w:r w:rsidRPr="00A72949">
              <w:rPr>
                <w:rStyle w:val="InstructionsTabelleberschrift"/>
                <w:rFonts w:ascii="Times New Roman" w:hAnsi="Times New Roman"/>
                <w:sz w:val="24"/>
                <w:u w:val="none"/>
              </w:rPr>
              <w:t>∆</w:t>
            </w:r>
            <w:r w:rsidRPr="00A72949">
              <w:rPr>
                <w:rStyle w:val="FormatvorlageInstructionsTabelleText"/>
                <w:rFonts w:ascii="Times New Roman" w:hAnsi="Times New Roman"/>
                <w:sz w:val="24"/>
              </w:rPr>
              <w:t xml:space="preserve"> MV po odpočítaní účinku účtovných </w:t>
            </w:r>
            <w:proofErr w:type="spellStart"/>
            <w:r w:rsidRPr="00A72949">
              <w:rPr>
                <w:rStyle w:val="FormatvorlageInstructionsTabelleText"/>
                <w:rFonts w:ascii="Times New Roman" w:hAnsi="Times New Roman"/>
                <w:sz w:val="24"/>
              </w:rPr>
              <w:t>hedžingov</w:t>
            </w:r>
            <w:proofErr w:type="spellEnd"/>
            <w:r w:rsidRPr="00A72949">
              <w:rPr>
                <w:rStyle w:val="FormatvorlageInstructionsTabelleText"/>
                <w:rFonts w:ascii="Times New Roman" w:hAnsi="Times New Roman"/>
                <w:sz w:val="24"/>
              </w:rPr>
              <w:t xml:space="preserve"> (t. j. účtovania </w:t>
            </w:r>
            <w:proofErr w:type="spellStart"/>
            <w:r w:rsidRPr="00A72949">
              <w:rPr>
                <w:rStyle w:val="FormatvorlageInstructionsTabelleText"/>
                <w:rFonts w:ascii="Times New Roman" w:hAnsi="Times New Roman"/>
                <w:sz w:val="24"/>
              </w:rPr>
              <w:t>hedžingu</w:t>
            </w:r>
            <w:proofErr w:type="spellEnd"/>
            <w:r w:rsidRPr="00A72949">
              <w:rPr>
                <w:rStyle w:val="FormatvorlageInstructionsTabelleText"/>
                <w:rFonts w:ascii="Times New Roman" w:hAnsi="Times New Roman"/>
                <w:sz w:val="24"/>
              </w:rPr>
              <w:t>)</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nezohľadňujú účinky položiek uvedených</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33 ods. 1 písm. a)</w:t>
            </w:r>
            <w:r w:rsidRPr="00A72949">
              <w:t xml:space="preserve"> nariadenia (EÚ) </w:t>
            </w:r>
            <w:r w:rsidR="00A72949">
              <w:t>č. </w:t>
            </w:r>
            <w:r w:rsidRPr="00A72949">
              <w:t xml:space="preserve">575/2013 </w:t>
            </w:r>
            <w:r w:rsidRPr="00A72949">
              <w:rPr>
                <w:rStyle w:val="FormatvorlageInstructionsTabelleText"/>
                <w:rFonts w:ascii="Times New Roman" w:hAnsi="Times New Roman"/>
                <w:sz w:val="24"/>
              </w:rPr>
              <w:t>(účinná zložka derivátov na účtovné zabezpečenie peňažných tokov, ktorými sa zabezpečujú položky</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amortizovanej hodnote).</w:t>
            </w:r>
          </w:p>
          <w:p w14:paraId="1903D2EF" w14:textId="32F8015C" w:rsidR="00A72949" w:rsidRDefault="004E6C70" w:rsidP="00E73145">
            <w:pPr>
              <w:pStyle w:val="InstructionsText"/>
              <w:rPr>
                <w:rStyle w:val="FormatvorlageInstructionsTabelleText"/>
                <w:rFonts w:ascii="Times New Roman" w:hAnsi="Times New Roman"/>
                <w:sz w:val="24"/>
              </w:rPr>
            </w:pPr>
            <w:r w:rsidRPr="00A72949">
              <w:rPr>
                <w:rStyle w:val="InstructionsTabelleberschrift"/>
                <w:rFonts w:ascii="Times New Roman" w:hAnsi="Times New Roman"/>
                <w:b w:val="0"/>
                <w:sz w:val="24"/>
                <w:u w:val="none"/>
              </w:rPr>
              <w:t>V prípade šokových scenárov dohľadu uvedených</w:t>
            </w:r>
            <w:r w:rsidR="00A72949">
              <w:rPr>
                <w:rStyle w:val="InstructionsTabelleberschrift"/>
                <w:rFonts w:ascii="Times New Roman" w:hAnsi="Times New Roman"/>
                <w:b w:val="0"/>
                <w:sz w:val="24"/>
                <w:u w:val="none"/>
              </w:rPr>
              <w:t xml:space="preserve"> v </w:t>
            </w:r>
            <w:r w:rsidRPr="00A72949">
              <w:rPr>
                <w:rStyle w:val="FormatvorlageInstructionsTabelleText"/>
                <w:rFonts w:ascii="Times New Roman" w:hAnsi="Times New Roman"/>
                <w:sz w:val="24"/>
              </w:rPr>
              <w:t>článku 1 ods. 2 delegovaného nariadenia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 xml:space="preserve">SOT) používajú inštitúcie prognózy ∆ MV podľa IRRBB IMS inštitúcie alebo prípadne podľa článku 22 delegovaného </w:t>
            </w:r>
            <w:r w:rsidRPr="00A72949">
              <w:rPr>
                <w:rStyle w:val="FormatvorlageInstructionsTabelleText"/>
                <w:rFonts w:ascii="Times New Roman" w:hAnsi="Times New Roman"/>
                <w:sz w:val="24"/>
              </w:rPr>
              <w:lastRenderedPageBreak/>
              <w:t>nariadenia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SA)</w:t>
            </w:r>
            <w:r w:rsidR="00A72949">
              <w:rPr>
                <w:rStyle w:val="FormatvorlageInstructionsTabelleText"/>
                <w:rFonts w:ascii="Times New Roman" w:hAnsi="Times New Roman"/>
                <w:sz w:val="24"/>
              </w:rPr>
              <w:t>.</w:t>
            </w:r>
          </w:p>
          <w:p w14:paraId="2C2B864C" w14:textId="75ECFDA8"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Celková veľkosť</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 xml:space="preserve">zloženie sumy, ktorej hodnota je citlivá na </w:t>
            </w:r>
            <w:r w:rsidRPr="00A72949">
              <w:rPr>
                <w:rStyle w:val="InstructionsTabelleberschrift"/>
                <w:rFonts w:ascii="Times New Roman" w:hAnsi="Times New Roman"/>
                <w:b w:val="0"/>
                <w:sz w:val="24"/>
                <w:u w:val="none"/>
              </w:rPr>
              <w:t>∆</w:t>
            </w:r>
            <w:r w:rsidRPr="00A72949">
              <w:rPr>
                <w:rStyle w:val="FormatvorlageInstructionsTabelleText"/>
                <w:rFonts w:ascii="Times New Roman" w:hAnsi="Times New Roman"/>
                <w:sz w:val="24"/>
              </w:rPr>
              <w:t xml:space="preserve"> MV, sa zachová tak, že sa nástroje dosahujúce splatnosť nahradia novými nástrojmi, ktoré majú porovnateľné vlastnosti (vrátane meny</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nominálnej hodnoty nástrojov).</w:t>
            </w:r>
          </w:p>
          <w:p w14:paraId="1CCBE54F" w14:textId="6F957A8C"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Odhady rizika,</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ktorých sa odvodzujú relevantné parametre, musia byť rovnocenné</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odhadmi rizika použitými na výpočet SOT,</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relevantných prípadoch vrátane behaviorálneho modelovania</w:t>
            </w:r>
            <w:r w:rsidR="00A72949">
              <w:rPr>
                <w:rStyle w:val="FormatvorlageInstructionsTabelleText"/>
                <w:rFonts w:ascii="Times New Roman" w:hAnsi="Times New Roman"/>
                <w:sz w:val="24"/>
              </w:rPr>
              <w:t xml:space="preserve"> a </w:t>
            </w:r>
            <w:r w:rsidRPr="00A72949">
              <w:t xml:space="preserve">automatickej </w:t>
            </w:r>
            <w:proofErr w:type="spellStart"/>
            <w:r w:rsidRPr="00A72949">
              <w:t>opcionality</w:t>
            </w:r>
            <w:proofErr w:type="spellEnd"/>
            <w:r w:rsidRPr="00A72949">
              <w:t>.</w:t>
            </w:r>
          </w:p>
        </w:tc>
      </w:tr>
      <w:tr w:rsidR="004E6C70" w:rsidRPr="00A72949" w:rsidDel="008E0D48" w14:paraId="5175F424" w14:textId="77777777" w:rsidTr="00E73145">
        <w:tc>
          <w:tcPr>
            <w:tcW w:w="1129" w:type="dxa"/>
          </w:tcPr>
          <w:p w14:paraId="1603662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0150</w:t>
            </w:r>
          </w:p>
        </w:tc>
        <w:tc>
          <w:tcPr>
            <w:tcW w:w="7620" w:type="dxa"/>
          </w:tcPr>
          <w:p w14:paraId="7D1E9393"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Úroveň hodnoty MV podľa základného scenára</w:t>
            </w:r>
          </w:p>
          <w:p w14:paraId="7EE5D053" w14:textId="6C2907D6" w:rsidR="004E6C70" w:rsidRPr="00A72949" w:rsidDel="008C1F5D"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Úroveň MV podľa základného úrokového scenára</w:t>
            </w:r>
            <w:r w:rsidR="00A72949">
              <w:rPr>
                <w:rStyle w:val="InstructionsTabelleberschrift"/>
                <w:rFonts w:ascii="Times New Roman" w:hAnsi="Times New Roman"/>
                <w:b w:val="0"/>
                <w:sz w:val="24"/>
                <w:u w:val="none"/>
              </w:rPr>
              <w:t xml:space="preserve"> k </w:t>
            </w:r>
            <w:r w:rsidRPr="00A72949">
              <w:rPr>
                <w:rStyle w:val="InstructionsTabelleberschrift"/>
                <w:rFonts w:ascii="Times New Roman" w:hAnsi="Times New Roman"/>
                <w:b w:val="0"/>
                <w:sz w:val="24"/>
                <w:u w:val="none"/>
              </w:rPr>
              <w:t>referenčného dátumu.</w:t>
            </w:r>
          </w:p>
        </w:tc>
      </w:tr>
      <w:tr w:rsidR="004E6C70" w:rsidRPr="00A72949" w14:paraId="244614D9" w14:textId="77777777" w:rsidTr="00E73145">
        <w:tc>
          <w:tcPr>
            <w:tcW w:w="1129" w:type="dxa"/>
          </w:tcPr>
          <w:p w14:paraId="3523E9D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0160</w:t>
            </w:r>
          </w:p>
        </w:tc>
        <w:tc>
          <w:tcPr>
            <w:tcW w:w="7620" w:type="dxa"/>
          </w:tcPr>
          <w:p w14:paraId="3DCD9725" w14:textId="71332EC0"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MV</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paralelného šoku smerom nahor</w:t>
            </w:r>
          </w:p>
          <w:p w14:paraId="132C4454" w14:textId="7C85EE3F"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Zmena MV podľa scenára „paralelného šoku smerom nahor“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2 písm. 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5B0A749B" w14:textId="77777777" w:rsidTr="00E73145">
        <w:tc>
          <w:tcPr>
            <w:tcW w:w="1129" w:type="dxa"/>
          </w:tcPr>
          <w:p w14:paraId="2F9A8381" w14:textId="77777777" w:rsidR="004E6C70" w:rsidRPr="00A72949" w:rsidRDefault="004E6C70" w:rsidP="00E73145">
            <w:pPr>
              <w:pStyle w:val="InstructionsText"/>
              <w:rPr>
                <w:rStyle w:val="FormatvorlageInstructionsTabelleText"/>
                <w:rFonts w:ascii="Times New Roman" w:hAnsi="Times New Roman"/>
                <w:sz w:val="24"/>
                <w:highlight w:val="yellow"/>
              </w:rPr>
            </w:pPr>
            <w:r w:rsidRPr="00A72949">
              <w:rPr>
                <w:rStyle w:val="FormatvorlageInstructionsTabelleText"/>
                <w:rFonts w:ascii="Times New Roman" w:hAnsi="Times New Roman"/>
                <w:sz w:val="24"/>
              </w:rPr>
              <w:t>0170</w:t>
            </w:r>
          </w:p>
        </w:tc>
        <w:tc>
          <w:tcPr>
            <w:tcW w:w="7620" w:type="dxa"/>
          </w:tcPr>
          <w:p w14:paraId="55B3A7F4" w14:textId="518132CE"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MV</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rámci paralelného šoku smerom nadol</w:t>
            </w:r>
          </w:p>
          <w:p w14:paraId="683F2F67" w14:textId="7E935268" w:rsidR="004E6C70" w:rsidRPr="00A72949" w:rsidRDefault="004E6C70" w:rsidP="00E73145">
            <w:pPr>
              <w:pStyle w:val="InstructionsText"/>
              <w:rPr>
                <w:rStyle w:val="InstructionsTabelleberschrift"/>
                <w:rFonts w:ascii="Times New Roman" w:hAnsi="Times New Roman"/>
                <w:sz w:val="24"/>
                <w:highlight w:val="yellow"/>
              </w:rPr>
            </w:pPr>
            <w:r w:rsidRPr="00A72949">
              <w:rPr>
                <w:rStyle w:val="InstructionsTabelleberschrift"/>
                <w:rFonts w:ascii="Times New Roman" w:hAnsi="Times New Roman"/>
                <w:b w:val="0"/>
                <w:sz w:val="24"/>
                <w:u w:val="none"/>
              </w:rPr>
              <w:t>Zmena MV podľa scenára „paralelného šoku smerom nadol“ uvedeného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 ods. 2 písm. b)</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2 delegovaného nariadenia (EÚ) .../... (Úrad pre publikácie: doplňte odkaz na</w:t>
            </w:r>
            <w:r w:rsidRPr="00A72949">
              <w:rPr>
                <w:rStyle w:val="FormatvorlageInstructionsTabelleText"/>
                <w:rFonts w:ascii="Times New Roman" w:hAnsi="Times New Roman"/>
                <w:sz w:val="24"/>
              </w:rPr>
              <w:t xml:space="preserve">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Pr="00A72949">
              <w:rPr>
                <w:rStyle w:val="InstructionsTabelleberschrift"/>
                <w:rFonts w:ascii="Times New Roman" w:hAnsi="Times New Roman"/>
                <w:b w:val="0"/>
                <w:sz w:val="24"/>
                <w:u w:val="none"/>
              </w:rPr>
              <w:t>.</w:t>
            </w:r>
          </w:p>
        </w:tc>
      </w:tr>
      <w:tr w:rsidR="004E6C70" w:rsidRPr="00A72949" w14:paraId="426D9CE4" w14:textId="77777777" w:rsidTr="00E73145">
        <w:tc>
          <w:tcPr>
            <w:tcW w:w="1129" w:type="dxa"/>
            <w:tcBorders>
              <w:top w:val="single" w:sz="4" w:space="0" w:color="auto"/>
              <w:left w:val="single" w:sz="4" w:space="0" w:color="auto"/>
              <w:bottom w:val="single" w:sz="4" w:space="0" w:color="auto"/>
              <w:right w:val="single" w:sz="4" w:space="0" w:color="auto"/>
            </w:tcBorders>
          </w:tcPr>
          <w:p w14:paraId="3B28579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0180 – 0200</w:t>
            </w:r>
          </w:p>
        </w:tc>
        <w:tc>
          <w:tcPr>
            <w:tcW w:w="7620" w:type="dxa"/>
            <w:tcBorders>
              <w:top w:val="single" w:sz="4" w:space="0" w:color="auto"/>
              <w:left w:val="single" w:sz="4" w:space="0" w:color="auto"/>
              <w:bottom w:val="single" w:sz="4" w:space="0" w:color="auto"/>
              <w:right w:val="single" w:sz="4" w:space="0" w:color="auto"/>
            </w:tcBorders>
          </w:tcPr>
          <w:p w14:paraId="15B6252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Ostatné meny: veľkosť šokov úrokových sadzieb</w:t>
            </w:r>
          </w:p>
          <w:p w14:paraId="07BC6ACB" w14:textId="51C611C9" w:rsidR="004E6C70" w:rsidRPr="00A72949" w:rsidRDefault="004E6C70" w:rsidP="00E73145">
            <w:pPr>
              <w:pStyle w:val="InstructionsText"/>
              <w:rPr>
                <w:rStyle w:val="FormatvorlageInstructionsTabelleText"/>
                <w:rFonts w:ascii="Times New Roman" w:hAnsi="Times New Roman"/>
                <w:bCs w:val="0"/>
                <w:sz w:val="24"/>
              </w:rPr>
            </w:pPr>
            <w:r w:rsidRPr="00A72949">
              <w:rPr>
                <w:rStyle w:val="FormatvorlageInstructionsTabelleText"/>
                <w:rFonts w:ascii="Times New Roman" w:hAnsi="Times New Roman"/>
                <w:sz w:val="24"/>
              </w:rPr>
              <w:t>Časť B prílohy</w:t>
            </w:r>
            <w:r w:rsidR="00A72949">
              <w:rPr>
                <w:rStyle w:val="FormatvorlageInstructionsTabelleText"/>
                <w:rFonts w:ascii="Times New Roman" w:hAnsi="Times New Roman"/>
                <w:sz w:val="24"/>
              </w:rPr>
              <w:t xml:space="preserve"> k </w:t>
            </w:r>
            <w:r w:rsidRPr="00A72949">
              <w:rPr>
                <w:rStyle w:val="FormatvorlageInstructionsTabelleText"/>
                <w:rFonts w:ascii="Times New Roman" w:hAnsi="Times New Roman"/>
                <w:sz w:val="24"/>
              </w:rPr>
              <w:t>delegovanému nariadeniu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p>
          <w:p w14:paraId="62599981" w14:textId="191AA30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Úrokové šoky pri menách kalibrovaných</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súlade</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časťou B prílohy</w:t>
            </w:r>
            <w:r w:rsidR="00A72949">
              <w:rPr>
                <w:rStyle w:val="FormatvorlageInstructionsTabelleText"/>
                <w:rFonts w:ascii="Times New Roman" w:hAnsi="Times New Roman"/>
                <w:sz w:val="24"/>
              </w:rPr>
              <w:t xml:space="preserve"> k </w:t>
            </w:r>
            <w:r w:rsidRPr="00A72949">
              <w:rPr>
                <w:rStyle w:val="FormatvorlageInstructionsTabelleText"/>
                <w:rFonts w:ascii="Times New Roman" w:hAnsi="Times New Roman"/>
                <w:sz w:val="24"/>
              </w:rPr>
              <w:t>delegovanému nariadeniu (EÚ) .../... (Úrad pre publikácie: doplňte odkaz na 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článkom 2 uvedeného delegovaného nariadenia. Veľkosť úrokových šokov sa vykazuje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bázických bodoch</w:t>
            </w:r>
            <w:r w:rsidR="00A72949">
              <w:rPr>
                <w:rStyle w:val="FormatvorlageInstructionsTabelleText"/>
                <w:rFonts w:ascii="Times New Roman" w:hAnsi="Times New Roman"/>
                <w:sz w:val="24"/>
              </w:rPr>
              <w:t xml:space="preserve"> a v </w:t>
            </w:r>
            <w:r w:rsidRPr="00A72949">
              <w:rPr>
                <w:rStyle w:val="FormatvorlageInstructionsTabelleText"/>
                <w:rFonts w:ascii="Times New Roman" w:hAnsi="Times New Roman"/>
                <w:sz w:val="24"/>
              </w:rPr>
              <w:t>absolútnej hodnote. Veľkosť šoku predstavuje rozdiel (Δ</w:t>
            </w:r>
            <w:r w:rsidRPr="00A72949">
              <w:rPr>
                <w:rStyle w:val="FormatvorlageInstructionsTabelleText"/>
                <w:rFonts w:ascii="Cambria Math" w:hAnsi="Cambria Math"/>
                <w:sz w:val="24"/>
              </w:rPr>
              <w:t>𝑅</w:t>
            </w:r>
            <w:r w:rsidRPr="00A72949">
              <w:rPr>
                <w:rStyle w:val="FormatvorlageInstructionsTabelleText"/>
                <w:rFonts w:ascii="Times New Roman" w:hAnsi="Times New Roman"/>
                <w:sz w:val="24"/>
              </w:rPr>
              <w:t>) oproti bezrizikovej úrokovej miere.</w:t>
            </w:r>
          </w:p>
          <w:p w14:paraId="2262C6B4" w14:textId="3EE06CED" w:rsidR="004E6C70" w:rsidRPr="00A72949" w:rsidRDefault="004E6C70" w:rsidP="00E73145">
            <w:pPr>
              <w:pStyle w:val="InstructionsText"/>
              <w:rPr>
                <w:rStyle w:val="FormatvorlageInstructionsTabelleText"/>
                <w:rFonts w:ascii="Times New Roman" w:hAnsi="Times New Roman"/>
                <w:b/>
                <w:sz w:val="24"/>
                <w:highlight w:val="yellow"/>
                <w:u w:val="single"/>
              </w:rPr>
            </w:pPr>
            <w:r w:rsidRPr="00A72949">
              <w:rPr>
                <w:rStyle w:val="InstructionsTabelleberschrift"/>
                <w:rFonts w:ascii="Times New Roman" w:hAnsi="Times New Roman"/>
                <w:b w:val="0"/>
                <w:sz w:val="24"/>
                <w:u w:val="none"/>
              </w:rPr>
              <w:t>Tieto riadky sa nevykazujú pri menách uvedených</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časti A prílohy</w:t>
            </w:r>
            <w:r w:rsidR="00A72949">
              <w:rPr>
                <w:rStyle w:val="InstructionsTabelleberschrift"/>
                <w:rFonts w:ascii="Times New Roman" w:hAnsi="Times New Roman"/>
                <w:b w:val="0"/>
                <w:sz w:val="24"/>
                <w:u w:val="none"/>
              </w:rPr>
              <w:t xml:space="preserve"> k </w:t>
            </w:r>
            <w:r w:rsidRPr="00A72949">
              <w:rPr>
                <w:rStyle w:val="InstructionsTabelleberschrift"/>
                <w:rFonts w:ascii="Times New Roman" w:hAnsi="Times New Roman"/>
                <w:b w:val="0"/>
                <w:sz w:val="24"/>
                <w:u w:val="none"/>
              </w:rPr>
              <w:t xml:space="preserve">delegovanému nariadeniu (EÚ) .../... (Úrad pre publikácie: doplňte odkaz na </w:t>
            </w:r>
            <w:r w:rsidRPr="00A72949">
              <w:rPr>
                <w:rStyle w:val="FormatvorlageInstructionsTabelleText"/>
                <w:rFonts w:ascii="Times New Roman" w:hAnsi="Times New Roman"/>
                <w:sz w:val="24"/>
              </w:rPr>
              <w:t>regulačné technické predpisy</w:t>
            </w:r>
            <w:r w:rsidR="00A72949">
              <w:rPr>
                <w:rStyle w:val="FormatvorlageInstructionsTabelleText"/>
                <w:rFonts w:ascii="Times New Roman" w:hAnsi="Times New Roman"/>
                <w:sz w:val="24"/>
              </w:rPr>
              <w:t xml:space="preserve"> o </w:t>
            </w:r>
            <w:r w:rsidRPr="00A72949">
              <w:rPr>
                <w:rStyle w:val="FormatvorlageInstructionsTabelleText"/>
                <w:rFonts w:ascii="Times New Roman" w:hAnsi="Times New Roman"/>
                <w:sz w:val="24"/>
              </w:rPr>
              <w:t>SOT). Vykazujú sa len pri menách, ktoré sú zohľadnené</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SOT</w:t>
            </w:r>
            <w:r w:rsidR="00A72949">
              <w:t xml:space="preserve"> v </w:t>
            </w:r>
            <w:r w:rsidRPr="00A72949">
              <w:t>súlade</w:t>
            </w:r>
            <w:r w:rsidR="00A72949">
              <w:t xml:space="preserve"> s </w:t>
            </w:r>
            <w:r w:rsidRPr="00A72949">
              <w:t>článkom 1 ods. 4 uvedeného delegovaného nariadenia</w:t>
            </w:r>
            <w:r w:rsidRPr="00A72949">
              <w:rPr>
                <w:rStyle w:val="FormatvorlageInstructionsTabelleText"/>
                <w:rFonts w:ascii="Times New Roman" w:hAnsi="Times New Roman"/>
                <w:sz w:val="24"/>
              </w:rPr>
              <w:t>.</w:t>
            </w:r>
          </w:p>
        </w:tc>
      </w:tr>
      <w:tr w:rsidR="004E6C70" w:rsidRPr="00A72949" w14:paraId="42D5DDE8" w14:textId="77777777" w:rsidTr="00E73145">
        <w:tc>
          <w:tcPr>
            <w:tcW w:w="1129" w:type="dxa"/>
            <w:tcBorders>
              <w:top w:val="single" w:sz="4" w:space="0" w:color="auto"/>
              <w:left w:val="single" w:sz="4" w:space="0" w:color="auto"/>
              <w:bottom w:val="single" w:sz="4" w:space="0" w:color="auto"/>
              <w:right w:val="single" w:sz="4" w:space="0" w:color="auto"/>
            </w:tcBorders>
          </w:tcPr>
          <w:p w14:paraId="0228A4D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0180</w:t>
            </w:r>
          </w:p>
        </w:tc>
        <w:tc>
          <w:tcPr>
            <w:tcW w:w="7620" w:type="dxa"/>
            <w:tcBorders>
              <w:top w:val="single" w:sz="4" w:space="0" w:color="auto"/>
              <w:left w:val="single" w:sz="4" w:space="0" w:color="auto"/>
              <w:bottom w:val="single" w:sz="4" w:space="0" w:color="auto"/>
              <w:right w:val="single" w:sz="4" w:space="0" w:color="auto"/>
            </w:tcBorders>
          </w:tcPr>
          <w:p w14:paraId="26EE7C5E"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Paralelný šok</w:t>
            </w:r>
          </w:p>
          <w:p w14:paraId="2955276A" w14:textId="191071E7" w:rsidR="004E6C70" w:rsidRPr="00A72949" w:rsidRDefault="004E6C70" w:rsidP="00E73145">
            <w:pPr>
              <w:pStyle w:val="InstructionsText"/>
              <w:rPr>
                <w:rStyle w:val="InstructionsTabelleberschrift"/>
                <w:rFonts w:ascii="Times New Roman" w:hAnsi="Times New Roman"/>
                <w:sz w:val="24"/>
              </w:rPr>
            </w:pPr>
            <w:r w:rsidRPr="00A72949">
              <w:rPr>
                <w:rStyle w:val="FormatvorlageInstructionsTabelleText"/>
                <w:rFonts w:ascii="Times New Roman" w:hAnsi="Times New Roman"/>
                <w:sz w:val="24"/>
              </w:rPr>
              <w:t>Veľkosť paralelného šoku úrokových sadzieb</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bázických bodoch kalibrovaná</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súlade</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časťou B prílohy</w:t>
            </w:r>
            <w:r w:rsidR="00A72949">
              <w:rPr>
                <w:rStyle w:val="FormatvorlageInstructionsTabelleText"/>
                <w:rFonts w:ascii="Times New Roman" w:hAnsi="Times New Roman"/>
                <w:sz w:val="24"/>
              </w:rPr>
              <w:t xml:space="preserve"> k </w:t>
            </w:r>
            <w:r w:rsidRPr="00A72949">
              <w:rPr>
                <w:rStyle w:val="FormatvorlageInstructionsTabelleText"/>
                <w:rFonts w:ascii="Times New Roman" w:hAnsi="Times New Roman"/>
                <w:sz w:val="24"/>
              </w:rPr>
              <w:t xml:space="preserve">delegovanému nariadeniu (EÚ) .../... (Úrad pre publikácie: doplňte odkaz na </w:t>
            </w:r>
            <w:r w:rsidRPr="00A72949">
              <w:t>regulačné technické predpisy</w:t>
            </w:r>
            <w:r w:rsidR="00A72949">
              <w:t xml:space="preserve"> o </w:t>
            </w:r>
            <w:r w:rsidRPr="00A72949">
              <w:t>SOT)</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 xml:space="preserve">článkom 2 ods. 1 uvedeného delegovaného nariadenia. </w:t>
            </w:r>
          </w:p>
        </w:tc>
      </w:tr>
      <w:tr w:rsidR="004E6C70" w:rsidRPr="00A72949" w14:paraId="6D80FCDD" w14:textId="77777777" w:rsidTr="00E73145">
        <w:tc>
          <w:tcPr>
            <w:tcW w:w="1129" w:type="dxa"/>
            <w:tcBorders>
              <w:top w:val="single" w:sz="4" w:space="0" w:color="auto"/>
              <w:left w:val="single" w:sz="4" w:space="0" w:color="auto"/>
              <w:bottom w:val="single" w:sz="4" w:space="0" w:color="auto"/>
              <w:right w:val="single" w:sz="4" w:space="0" w:color="auto"/>
            </w:tcBorders>
          </w:tcPr>
          <w:p w14:paraId="21AEE34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0190</w:t>
            </w:r>
          </w:p>
        </w:tc>
        <w:tc>
          <w:tcPr>
            <w:tcW w:w="7620" w:type="dxa"/>
            <w:tcBorders>
              <w:top w:val="single" w:sz="4" w:space="0" w:color="auto"/>
              <w:left w:val="single" w:sz="4" w:space="0" w:color="auto"/>
              <w:bottom w:val="single" w:sz="4" w:space="0" w:color="auto"/>
              <w:right w:val="single" w:sz="4" w:space="0" w:color="auto"/>
            </w:tcBorders>
          </w:tcPr>
          <w:p w14:paraId="4D52C88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Šok pri krátkodobých sadzbách</w:t>
            </w:r>
          </w:p>
          <w:p w14:paraId="7BE3CEC9" w14:textId="7A2169E7" w:rsidR="004E6C70" w:rsidRPr="00A72949" w:rsidRDefault="004E6C70" w:rsidP="00E73145">
            <w:pPr>
              <w:pStyle w:val="InstructionsText"/>
              <w:rPr>
                <w:rStyle w:val="InstructionsTabelleberschrift"/>
                <w:rFonts w:ascii="Times New Roman" w:hAnsi="Times New Roman"/>
                <w:sz w:val="24"/>
              </w:rPr>
            </w:pPr>
            <w:r w:rsidRPr="00A72949">
              <w:rPr>
                <w:rStyle w:val="FormatvorlageInstructionsTabelleText"/>
                <w:rFonts w:ascii="Times New Roman" w:hAnsi="Times New Roman"/>
                <w:sz w:val="24"/>
              </w:rPr>
              <w:t>Veľkosť šoku pri krátkodobých úrokových sadzbách</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bázických bodoch kalibrovaná podľa šoku pri krátkodobých úrokových sadzbách uvedeného</w:t>
            </w:r>
            <w:r w:rsidR="00A72949">
              <w:rPr>
                <w:rStyle w:val="FormatvorlageInstructionsTabelleText"/>
                <w:rFonts w:ascii="Times New Roman" w:hAnsi="Times New Roman"/>
                <w:sz w:val="24"/>
              </w:rPr>
              <w:t xml:space="preserve"> </w:t>
            </w:r>
            <w:r w:rsidR="00A72949">
              <w:rPr>
                <w:rStyle w:val="FormatvorlageInstructionsTabelleText"/>
                <w:rFonts w:ascii="Times New Roman" w:hAnsi="Times New Roman"/>
                <w:sz w:val="24"/>
              </w:rPr>
              <w:lastRenderedPageBreak/>
              <w:t>v </w:t>
            </w:r>
            <w:r w:rsidRPr="00A72949">
              <w:rPr>
                <w:rStyle w:val="FormatvorlageInstructionsTabelleText"/>
                <w:rFonts w:ascii="Times New Roman" w:hAnsi="Times New Roman"/>
                <w:sz w:val="24"/>
              </w:rPr>
              <w:t>časti B prílohy</w:t>
            </w:r>
            <w:r w:rsidR="00A72949">
              <w:rPr>
                <w:rStyle w:val="FormatvorlageInstructionsTabelleText"/>
                <w:rFonts w:ascii="Times New Roman" w:hAnsi="Times New Roman"/>
                <w:sz w:val="24"/>
              </w:rPr>
              <w:t xml:space="preserve"> k </w:t>
            </w:r>
            <w:r w:rsidRPr="00A72949">
              <w:rPr>
                <w:rStyle w:val="FormatvorlageInstructionsTabelleText"/>
                <w:rFonts w:ascii="Times New Roman" w:hAnsi="Times New Roman"/>
                <w:sz w:val="24"/>
              </w:rPr>
              <w:t xml:space="preserve">delegovanému nariadeniu (EÚ) .../... (Úrad pre publikácie: doplňte odkaz na </w:t>
            </w:r>
            <w:r w:rsidRPr="00A72949">
              <w:t>regulačné technické predpisy</w:t>
            </w:r>
            <w:r w:rsidR="00A72949">
              <w:t xml:space="preserve"> o </w:t>
            </w:r>
            <w:r w:rsidRPr="00A72949">
              <w:t>SOT)</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článku 2 ods. 2 uvedeného delegovaného nariadenia.</w:t>
            </w:r>
          </w:p>
        </w:tc>
      </w:tr>
      <w:tr w:rsidR="004E6C70" w:rsidRPr="00A72949" w14:paraId="1A8EFAF7" w14:textId="77777777" w:rsidTr="00E73145">
        <w:tc>
          <w:tcPr>
            <w:tcW w:w="1129" w:type="dxa"/>
            <w:tcBorders>
              <w:top w:val="single" w:sz="4" w:space="0" w:color="auto"/>
              <w:left w:val="single" w:sz="4" w:space="0" w:color="auto"/>
              <w:bottom w:val="single" w:sz="4" w:space="0" w:color="auto"/>
              <w:right w:val="single" w:sz="4" w:space="0" w:color="auto"/>
            </w:tcBorders>
          </w:tcPr>
          <w:p w14:paraId="08719044"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0200</w:t>
            </w:r>
          </w:p>
        </w:tc>
        <w:tc>
          <w:tcPr>
            <w:tcW w:w="7620" w:type="dxa"/>
            <w:tcBorders>
              <w:top w:val="single" w:sz="4" w:space="0" w:color="auto"/>
              <w:left w:val="single" w:sz="4" w:space="0" w:color="auto"/>
              <w:bottom w:val="single" w:sz="4" w:space="0" w:color="auto"/>
              <w:right w:val="single" w:sz="4" w:space="0" w:color="auto"/>
            </w:tcBorders>
          </w:tcPr>
          <w:p w14:paraId="07B83C6D"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Šok pri dlhodobých sadzbách</w:t>
            </w:r>
          </w:p>
          <w:p w14:paraId="41F2CC28" w14:textId="7397E250" w:rsidR="004E6C70" w:rsidRPr="00A72949" w:rsidRDefault="004E6C70" w:rsidP="00E73145">
            <w:pPr>
              <w:pStyle w:val="InstructionsText"/>
              <w:rPr>
                <w:rStyle w:val="InstructionsTabelleberschrift"/>
                <w:rFonts w:ascii="Times New Roman" w:hAnsi="Times New Roman"/>
                <w:sz w:val="24"/>
              </w:rPr>
            </w:pPr>
            <w:r w:rsidRPr="00A72949">
              <w:rPr>
                <w:rStyle w:val="FormatvorlageInstructionsTabelleText"/>
                <w:rFonts w:ascii="Times New Roman" w:hAnsi="Times New Roman"/>
                <w:sz w:val="24"/>
              </w:rPr>
              <w:t>Veľkosť šoku pri dlhodobých úrokových sadzbách</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bázických bodoch kalibrovaná podľa šoku pri dlhodobých úrokových sadzbách uvedeného</w:t>
            </w:r>
            <w:r w:rsidR="00A72949">
              <w:rPr>
                <w:rStyle w:val="FormatvorlageInstructionsTabelleText"/>
                <w:rFonts w:ascii="Times New Roman" w:hAnsi="Times New Roman"/>
                <w:sz w:val="24"/>
              </w:rPr>
              <w:t xml:space="preserve"> v </w:t>
            </w:r>
            <w:r w:rsidRPr="00A72949">
              <w:t>časti B prílohy</w:t>
            </w:r>
            <w:r w:rsidR="00A72949">
              <w:t xml:space="preserve"> k </w:t>
            </w:r>
            <w:r w:rsidRPr="00A72949">
              <w:t>delegovanému nariadeniu (EÚ) .../... (Úrad pre publikácie: doplňte odkaz na regulačné technické predpisy</w:t>
            </w:r>
            <w:r w:rsidR="00A72949">
              <w:t xml:space="preserve"> o </w:t>
            </w:r>
            <w:r w:rsidRPr="00A72949">
              <w:t>SOT)</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článku 2 ods. 3 uvedeného delegovaného nariadenia.</w:t>
            </w:r>
          </w:p>
        </w:tc>
      </w:tr>
    </w:tbl>
    <w:p w14:paraId="7A3EA6CD" w14:textId="77777777" w:rsidR="004E6C70" w:rsidRPr="00A72949" w:rsidRDefault="004E6C70" w:rsidP="004E6C70">
      <w:pPr>
        <w:suppressAutoHyphens/>
        <w:spacing w:after="0"/>
        <w:rPr>
          <w:rStyle w:val="InstructionsTabelleText"/>
          <w:rFonts w:ascii="Times New Roman" w:hAnsi="Times New Roman"/>
          <w:sz w:val="24"/>
        </w:rPr>
      </w:pPr>
    </w:p>
    <w:p w14:paraId="5091F4D7" w14:textId="77777777" w:rsidR="004E6C70" w:rsidRPr="00A72949" w:rsidRDefault="004E6C70" w:rsidP="004E6C70">
      <w:pPr>
        <w:suppressAutoHyphens/>
        <w:spacing w:before="0" w:after="0"/>
        <w:jc w:val="left"/>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72949" w14:paraId="78295E9C" w14:textId="77777777" w:rsidTr="00E73145">
        <w:trPr>
          <w:trHeight w:val="638"/>
        </w:trPr>
        <w:tc>
          <w:tcPr>
            <w:tcW w:w="1129" w:type="dxa"/>
            <w:shd w:val="clear" w:color="auto" w:fill="D9D9D9" w:themeFill="background1" w:themeFillShade="D9"/>
          </w:tcPr>
          <w:p w14:paraId="0A6ACB61" w14:textId="77777777"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Stĺpce</w:t>
            </w:r>
          </w:p>
        </w:tc>
        <w:tc>
          <w:tcPr>
            <w:tcW w:w="7620" w:type="dxa"/>
            <w:shd w:val="clear" w:color="auto" w:fill="D9D9D9" w:themeFill="background1" w:themeFillShade="D9"/>
          </w:tcPr>
          <w:p w14:paraId="3E08F199" w14:textId="28667963"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14:paraId="2088ECD6" w14:textId="77777777" w:rsidTr="00E73145">
        <w:tc>
          <w:tcPr>
            <w:tcW w:w="1129" w:type="dxa"/>
          </w:tcPr>
          <w:p w14:paraId="661F735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620" w:type="dxa"/>
          </w:tcPr>
          <w:p w14:paraId="5F97D2F3"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Suma</w:t>
            </w:r>
          </w:p>
          <w:p w14:paraId="5E849D07" w14:textId="33638E06" w:rsidR="004E6C70" w:rsidRPr="00A72949" w:rsidRDefault="004E6C70" w:rsidP="00E73145">
            <w:pPr>
              <w:pStyle w:val="InstructionsText"/>
            </w:pPr>
            <w:r w:rsidRPr="00A72949">
              <w:t>Špecifikovaná veľkosť úrokových šokov sa vykazuje</w:t>
            </w:r>
            <w:r w:rsidR="00A72949">
              <w:t xml:space="preserve"> v </w:t>
            </w:r>
            <w:r w:rsidRPr="00A72949">
              <w:t>bázických bodoch (</w:t>
            </w:r>
            <w:proofErr w:type="spellStart"/>
            <w:r w:rsidRPr="00A72949">
              <w:t>bps</w:t>
            </w:r>
            <w:proofErr w:type="spellEnd"/>
            <w:r w:rsidRPr="00A72949">
              <w:t xml:space="preserve">), pričom </w:t>
            </w:r>
            <w:r w:rsidRPr="00A72949">
              <w:rPr>
                <w:rStyle w:val="InstructionsTabelleberschrift"/>
                <w:rFonts w:ascii="Times New Roman" w:hAnsi="Times New Roman"/>
                <w:sz w:val="24"/>
                <w:u w:val="none"/>
              </w:rPr>
              <w:t>∆</w:t>
            </w:r>
            <w:r w:rsidRPr="00A72949">
              <w:t xml:space="preserve"> EVE</w:t>
            </w:r>
            <w:r w:rsidR="00A72949">
              <w:t xml:space="preserve"> a </w:t>
            </w:r>
            <w:r w:rsidRPr="00A72949">
              <w:rPr>
                <w:rStyle w:val="InstructionsTabelleberschrift"/>
                <w:rFonts w:ascii="Times New Roman" w:hAnsi="Times New Roman"/>
                <w:sz w:val="24"/>
                <w:u w:val="none"/>
              </w:rPr>
              <w:t>∆</w:t>
            </w:r>
            <w:r w:rsidRPr="00A72949">
              <w:t xml:space="preserve"> NII sa vykazujú ako pomery aj ako sumy (ako sa uvádza</w:t>
            </w:r>
            <w:r w:rsidR="00A72949">
              <w:t xml:space="preserve"> v </w:t>
            </w:r>
            <w:r w:rsidRPr="00A72949">
              <w:t>pokynoch pre riadky). Sumy sa vykazujú</w:t>
            </w:r>
            <w:r w:rsidR="00A72949">
              <w:t xml:space="preserve"> v </w:t>
            </w:r>
            <w:r w:rsidRPr="00A72949">
              <w:t>mene vykazovania.</w:t>
            </w:r>
          </w:p>
        </w:tc>
      </w:tr>
    </w:tbl>
    <w:p w14:paraId="3FF298AC" w14:textId="77777777" w:rsidR="004E6C70" w:rsidRPr="00A72949" w:rsidRDefault="004E6C70" w:rsidP="004E6C70">
      <w:pPr>
        <w:suppressAutoHyphens/>
        <w:spacing w:before="0" w:after="0"/>
        <w:jc w:val="left"/>
        <w:rPr>
          <w:rStyle w:val="InstructionsTabelleText"/>
          <w:rFonts w:ascii="Times New Roman" w:hAnsi="Times New Roman"/>
          <w:sz w:val="24"/>
        </w:rPr>
      </w:pPr>
    </w:p>
    <w:p w14:paraId="58D7CA89" w14:textId="77777777" w:rsidR="004E6C70" w:rsidRPr="00A72949" w:rsidRDefault="004E6C70" w:rsidP="004E6C70">
      <w:pPr>
        <w:suppressAutoHyphens/>
        <w:spacing w:before="0" w:after="0"/>
        <w:jc w:val="left"/>
        <w:rPr>
          <w:rFonts w:ascii="Times New Roman" w:eastAsia="Arial" w:hAnsi="Times New Roman"/>
          <w:b/>
          <w:sz w:val="24"/>
          <w:lang w:eastAsia="x-none"/>
        </w:rPr>
      </w:pPr>
    </w:p>
    <w:p w14:paraId="6981D19E" w14:textId="77777777" w:rsidR="004E6C70" w:rsidRPr="00A72949" w:rsidRDefault="004E6C70" w:rsidP="004E6C70">
      <w:pPr>
        <w:suppressAutoHyphens/>
        <w:spacing w:before="0" w:after="0"/>
        <w:jc w:val="left"/>
        <w:rPr>
          <w:rFonts w:ascii="Times New Roman" w:eastAsia="Arial" w:hAnsi="Times New Roman"/>
          <w:b/>
          <w:sz w:val="24"/>
        </w:rPr>
      </w:pPr>
      <w:r w:rsidRPr="00A72949">
        <w:br w:type="page"/>
      </w:r>
    </w:p>
    <w:p w14:paraId="34539129" w14:textId="4184B268" w:rsidR="004E6C70" w:rsidRPr="00A72949" w:rsidRDefault="004E6C70" w:rsidP="004E6C70">
      <w:pPr>
        <w:pStyle w:val="Heading2"/>
        <w:suppressAutoHyphens/>
      </w:pPr>
      <w:bookmarkStart w:id="44" w:name="_Toc188859502"/>
      <w:r w:rsidRPr="00A72949">
        <w:lastRenderedPageBreak/>
        <w:t>ČASŤ III: ROZČLENENIE ODHADOV CITLIVOSTI (J 02.00, J 03.00</w:t>
      </w:r>
      <w:r w:rsidR="00A72949">
        <w:t xml:space="preserve"> a </w:t>
      </w:r>
      <w:r w:rsidRPr="00A72949">
        <w:t>J 04.00)</w:t>
      </w:r>
      <w:bookmarkEnd w:id="44"/>
    </w:p>
    <w:p w14:paraId="04F4A7EB"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45" w:name="_Toc188859503"/>
      <w:r w:rsidRPr="00A72949">
        <w:rPr>
          <w:b/>
          <w:sz w:val="24"/>
        </w:rPr>
        <w:t>1.</w:t>
      </w:r>
      <w:r w:rsidRPr="00A72949">
        <w:tab/>
      </w:r>
      <w:r w:rsidRPr="00A72949">
        <w:rPr>
          <w:b/>
          <w:sz w:val="24"/>
        </w:rPr>
        <w:t>Všeobecné poznámky</w:t>
      </w:r>
      <w:bookmarkEnd w:id="45"/>
    </w:p>
    <w:p w14:paraId="55205D36" w14:textId="1DC9E96B"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1.1.</w:t>
      </w:r>
      <w:r w:rsidRPr="00A72949">
        <w:tab/>
      </w:r>
      <w:r w:rsidRPr="00A72949">
        <w:rPr>
          <w:rFonts w:ascii="Times New Roman" w:hAnsi="Times New Roman"/>
          <w:sz w:val="24"/>
        </w:rPr>
        <w:t>Vo vzoroch J 02.00, J 03.00</w:t>
      </w:r>
      <w:r w:rsidR="00A72949">
        <w:rPr>
          <w:rFonts w:ascii="Times New Roman" w:hAnsi="Times New Roman"/>
          <w:sz w:val="24"/>
        </w:rPr>
        <w:t xml:space="preserve"> a </w:t>
      </w:r>
      <w:r w:rsidRPr="00A72949">
        <w:rPr>
          <w:rFonts w:ascii="Times New Roman" w:hAnsi="Times New Roman"/>
          <w:sz w:val="24"/>
        </w:rPr>
        <w:t>J 04.00 sa uvádza ďalšie rozčlenenie odhadov inštitúcie týkajúcich sa SOT</w:t>
      </w:r>
      <w:r w:rsidR="00A72949">
        <w:rPr>
          <w:rFonts w:ascii="Times New Roman" w:hAnsi="Times New Roman"/>
          <w:sz w:val="24"/>
        </w:rPr>
        <w:t xml:space="preserve"> v </w:t>
      </w:r>
      <w:r w:rsidRPr="00A72949">
        <w:rPr>
          <w:rFonts w:ascii="Times New Roman" w:hAnsi="Times New Roman"/>
          <w:sz w:val="24"/>
        </w:rPr>
        <w:t>súvislosti</w:t>
      </w:r>
      <w:r w:rsidR="00A72949">
        <w:rPr>
          <w:rFonts w:ascii="Times New Roman" w:hAnsi="Times New Roman"/>
          <w:sz w:val="24"/>
        </w:rPr>
        <w:t xml:space="preserve"> s </w:t>
      </w:r>
      <w:r w:rsidRPr="00A72949">
        <w:rPr>
          <w:rFonts w:ascii="Times New Roman" w:hAnsi="Times New Roman"/>
          <w:sz w:val="24"/>
        </w:rPr>
        <w:t>citlivosťami IRRBB [delegované nariadenie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r w:rsidR="00A72949">
        <w:rPr>
          <w:rFonts w:ascii="Times New Roman" w:hAnsi="Times New Roman"/>
          <w:sz w:val="24"/>
        </w:rPr>
        <w:t xml:space="preserve"> a </w:t>
      </w:r>
      <w:r w:rsidRPr="00A72949">
        <w:rPr>
          <w:rFonts w:ascii="Times New Roman" w:hAnsi="Times New Roman"/>
          <w:sz w:val="24"/>
        </w:rPr>
        <w:t>zmien MV (riadenie vnútorného rizika</w:t>
      </w:r>
      <w:r w:rsidR="00A72949">
        <w:rPr>
          <w:rFonts w:ascii="Times New Roman" w:hAnsi="Times New Roman"/>
          <w:sz w:val="24"/>
        </w:rPr>
        <w:t xml:space="preserve"> s </w:t>
      </w:r>
      <w:r w:rsidRPr="00A72949">
        <w:rPr>
          <w:rFonts w:ascii="Times New Roman" w:hAnsi="Times New Roman"/>
          <w:sz w:val="24"/>
        </w:rPr>
        <w:t>jednoročným horizontom</w:t>
      </w:r>
      <w:r w:rsidR="00A72949">
        <w:rPr>
          <w:rFonts w:ascii="Times New Roman" w:hAnsi="Times New Roman"/>
          <w:sz w:val="24"/>
        </w:rPr>
        <w:t xml:space="preserve"> a </w:t>
      </w:r>
      <w:r w:rsidRPr="00A72949">
        <w:rPr>
          <w:rFonts w:ascii="Times New Roman" w:hAnsi="Times New Roman"/>
          <w:sz w:val="24"/>
        </w:rPr>
        <w:t>predpokladom konštantnej súvahy) vrátane behaviorálnej/podmienečnej</w:t>
      </w:r>
      <w:r w:rsidR="00A72949">
        <w:rPr>
          <w:rFonts w:ascii="Times New Roman" w:hAnsi="Times New Roman"/>
          <w:sz w:val="24"/>
        </w:rPr>
        <w:t xml:space="preserve"> a </w:t>
      </w:r>
      <w:r w:rsidRPr="00A72949">
        <w:rPr>
          <w:rFonts w:ascii="Times New Roman" w:hAnsi="Times New Roman"/>
          <w:sz w:val="24"/>
        </w:rPr>
        <w:t xml:space="preserve">automatickej </w:t>
      </w:r>
      <w:proofErr w:type="spellStart"/>
      <w:r w:rsidRPr="00A72949">
        <w:rPr>
          <w:rFonts w:ascii="Times New Roman" w:hAnsi="Times New Roman"/>
          <w:sz w:val="24"/>
        </w:rPr>
        <w:t>opcionality</w:t>
      </w:r>
      <w:proofErr w:type="spellEnd"/>
      <w:r w:rsidRPr="00A72949">
        <w:rPr>
          <w:rFonts w:ascii="Times New Roman" w:hAnsi="Times New Roman"/>
          <w:sz w:val="24"/>
        </w:rPr>
        <w:t xml:space="preserve"> pre konkrétne rozčlenenie súvahových položiek</w:t>
      </w:r>
      <w:r w:rsidR="00A72949">
        <w:rPr>
          <w:rFonts w:ascii="Times New Roman" w:hAnsi="Times New Roman"/>
          <w:sz w:val="24"/>
        </w:rPr>
        <w:t>.</w:t>
      </w:r>
    </w:p>
    <w:p w14:paraId="2BA8EB25" w14:textId="5D12DF94"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1.2.</w:t>
      </w:r>
      <w:r w:rsidRPr="00A72949">
        <w:tab/>
      </w:r>
      <w:r w:rsidRPr="00A72949">
        <w:rPr>
          <w:rFonts w:ascii="Times New Roman" w:hAnsi="Times New Roman"/>
          <w:sz w:val="24"/>
        </w:rPr>
        <w:t>Inštitúcie vykazujú obsah týchto vzorov osobitne za každú menu,</w:t>
      </w:r>
      <w:r w:rsidR="00A72949">
        <w:rPr>
          <w:rFonts w:ascii="Times New Roman" w:hAnsi="Times New Roman"/>
          <w:sz w:val="24"/>
        </w:rPr>
        <w:t xml:space="preserve"> v </w:t>
      </w:r>
      <w:r w:rsidRPr="00A72949">
        <w:rPr>
          <w:rFonts w:ascii="Times New Roman" w:hAnsi="Times New Roman"/>
          <w:sz w:val="24"/>
        </w:rPr>
        <w:t>ktorej má inštitúcia pozície, ak účtovná hodnota finančných aktív alebo záväzkov denominovaných</w:t>
      </w:r>
      <w:r w:rsidR="00A72949">
        <w:rPr>
          <w:rFonts w:ascii="Times New Roman" w:hAnsi="Times New Roman"/>
          <w:sz w:val="24"/>
        </w:rPr>
        <w:t xml:space="preserve"> v </w:t>
      </w:r>
      <w:r w:rsidRPr="00A72949">
        <w:rPr>
          <w:rFonts w:ascii="Times New Roman" w:hAnsi="Times New Roman"/>
          <w:sz w:val="24"/>
        </w:rPr>
        <w:t>danej mene predstavuje 5</w:t>
      </w:r>
      <w:r w:rsidR="00A72949">
        <w:rPr>
          <w:rFonts w:ascii="Times New Roman" w:hAnsi="Times New Roman"/>
          <w:sz w:val="24"/>
        </w:rPr>
        <w:t> %</w:t>
      </w:r>
      <w:r w:rsidRPr="00A72949">
        <w:rPr>
          <w:rFonts w:ascii="Times New Roman" w:hAnsi="Times New Roman"/>
          <w:sz w:val="24"/>
        </w:rPr>
        <w:t xml:space="preserve"> alebo viac celkových finančných aktív alebo záväzkov</w:t>
      </w:r>
      <w:r w:rsidR="00A72949">
        <w:rPr>
          <w:rFonts w:ascii="Times New Roman" w:hAnsi="Times New Roman"/>
          <w:sz w:val="24"/>
        </w:rPr>
        <w:t xml:space="preserve"> v </w:t>
      </w:r>
      <w:r w:rsidRPr="00A72949">
        <w:rPr>
          <w:rFonts w:ascii="Times New Roman" w:hAnsi="Times New Roman"/>
          <w:sz w:val="24"/>
        </w:rPr>
        <w:t>bankovej knihe alebo menej ako 5</w:t>
      </w:r>
      <w:r w:rsidR="00A72949">
        <w:rPr>
          <w:rFonts w:ascii="Times New Roman" w:hAnsi="Times New Roman"/>
          <w:sz w:val="24"/>
        </w:rPr>
        <w:t> %</w:t>
      </w:r>
      <w:r w:rsidRPr="00A72949">
        <w:rPr>
          <w:rFonts w:ascii="Times New Roman" w:hAnsi="Times New Roman"/>
          <w:sz w:val="24"/>
        </w:rPr>
        <w:t>, ak je súčet finančných aktív alebo záväzkov zahrnutých do výpočtu nižší ako 90</w:t>
      </w:r>
      <w:r w:rsidR="00A72949">
        <w:rPr>
          <w:rFonts w:ascii="Times New Roman" w:hAnsi="Times New Roman"/>
          <w:sz w:val="24"/>
        </w:rPr>
        <w:t> %</w:t>
      </w:r>
      <w:r w:rsidRPr="00A72949">
        <w:rPr>
          <w:rFonts w:ascii="Times New Roman" w:hAnsi="Times New Roman"/>
          <w:sz w:val="24"/>
        </w:rPr>
        <w:t xml:space="preserve"> celkových finančných aktív (okrem hmotného majetku) alebo záväzkov</w:t>
      </w:r>
      <w:r w:rsidR="00A72949">
        <w:rPr>
          <w:rFonts w:ascii="Times New Roman" w:hAnsi="Times New Roman"/>
          <w:sz w:val="24"/>
        </w:rPr>
        <w:t xml:space="preserve"> v </w:t>
      </w:r>
      <w:r w:rsidRPr="00A72949">
        <w:rPr>
          <w:rFonts w:ascii="Times New Roman" w:hAnsi="Times New Roman"/>
          <w:sz w:val="24"/>
        </w:rPr>
        <w:t>bankovej knihe</w:t>
      </w:r>
      <w:r w:rsidR="00A72949">
        <w:rPr>
          <w:rFonts w:ascii="Times New Roman" w:hAnsi="Times New Roman"/>
          <w:sz w:val="24"/>
        </w:rPr>
        <w:t>.</w:t>
      </w:r>
    </w:p>
    <w:p w14:paraId="48DF7BEE" w14:textId="55A4BB0E"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46" w:name="_Ref119418268"/>
      <w:bookmarkStart w:id="47" w:name="_Toc188859504"/>
      <w:r w:rsidRPr="00A72949">
        <w:rPr>
          <w:b/>
          <w:sz w:val="24"/>
        </w:rPr>
        <w:t>2.</w:t>
      </w:r>
      <w:r w:rsidRPr="00A72949">
        <w:tab/>
      </w:r>
      <w:r w:rsidRPr="00A72949">
        <w:rPr>
          <w:b/>
          <w:sz w:val="24"/>
        </w:rPr>
        <w:t>Pokyny týkajúce sa konkrétnych pozícií</w:t>
      </w:r>
      <w:bookmarkEnd w:id="46"/>
      <w:bookmarkEnd w:id="47"/>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4E6C70" w:rsidRPr="00A72949" w14:paraId="76CA45B9" w14:textId="77777777" w:rsidTr="00E73145">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A23F5D" w14:textId="77777777" w:rsidR="004E6C70" w:rsidRPr="00A72949" w:rsidRDefault="004E6C70" w:rsidP="00E73145">
            <w:pPr>
              <w:pStyle w:val="InstructionsText"/>
              <w:rPr>
                <w:rStyle w:val="InstructionsTabelleText"/>
                <w:rFonts w:ascii="Times New Roman" w:eastAsia="Arial" w:hAnsi="Times New Roman"/>
                <w:sz w:val="24"/>
              </w:rPr>
            </w:pPr>
            <w:r w:rsidRPr="00A72949">
              <w:rPr>
                <w:rStyle w:val="InstructionsTabelleText"/>
                <w:rFonts w:ascii="Times New Roman" w:hAnsi="Times New Roman"/>
                <w:sz w:val="24"/>
              </w:rPr>
              <w:t>Riadok</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65ADD3" w14:textId="072CE069"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14:paraId="174881F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48E1D4C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1AAB9E0C"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Celkové aktíva</w:t>
            </w:r>
          </w:p>
          <w:p w14:paraId="35A7008D" w14:textId="3B2F5390" w:rsid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Celkové aktíva citlivé na úrokové sadzby</w:t>
            </w:r>
            <w:r w:rsidR="00A72949">
              <w:t xml:space="preserve"> v </w:t>
            </w:r>
            <w:r w:rsidRPr="00A72949">
              <w:t>rozsahu pôsobnosti delegovaného nariadenia (EÚ) .../... (Úrad pre publikácie: doplňte odkaz na regulačné technické predpisy</w:t>
            </w:r>
            <w:r w:rsidR="00A72949">
              <w:t xml:space="preserve"> o </w:t>
            </w:r>
            <w:r w:rsidRPr="00A72949">
              <w:t>SOT)</w:t>
            </w:r>
            <w:r w:rsidRPr="00A72949">
              <w:rPr>
                <w:rStyle w:val="FormatvorlageInstructionsTabelleText"/>
                <w:rFonts w:ascii="Times New Roman" w:hAnsi="Times New Roman"/>
                <w:sz w:val="24"/>
              </w:rPr>
              <w:t xml:space="preserve"> bez ohľadu na postup ich účtovania. Tento riadok zahŕňa</w:t>
            </w:r>
            <w:r w:rsidR="00A72949">
              <w:rPr>
                <w:rStyle w:val="FormatvorlageInstructionsTabelleText"/>
                <w:rFonts w:ascii="Times New Roman" w:hAnsi="Times New Roman"/>
                <w:sz w:val="24"/>
              </w:rPr>
              <w:t>:</w:t>
            </w:r>
          </w:p>
          <w:p w14:paraId="1EACDD87" w14:textId="650AB0DC"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 aktíva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centrálnych bankách;</w:t>
            </w:r>
          </w:p>
          <w:p w14:paraId="68BB368B"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 medzibankové aktíva;</w:t>
            </w:r>
          </w:p>
          <w:p w14:paraId="71285CAB" w14:textId="0E3053BA" w:rsidR="004E6C70" w:rsidRPr="00A72949" w:rsidRDefault="004E6C70" w:rsidP="00E73145">
            <w:pPr>
              <w:pStyle w:val="InstructionsText"/>
              <w:rPr>
                <w:rStyle w:val="InstructionsTabelleberschrift"/>
                <w:rFonts w:ascii="Times New Roman" w:hAnsi="Times New Roman"/>
                <w:sz w:val="24"/>
                <w:u w:val="none"/>
              </w:rPr>
            </w:pPr>
            <w:r w:rsidRPr="00A72949">
              <w:rPr>
                <w:rStyle w:val="InstructionsTabelleberschrift"/>
                <w:rFonts w:ascii="Times New Roman" w:hAnsi="Times New Roman"/>
                <w:b w:val="0"/>
                <w:sz w:val="24"/>
                <w:u w:val="none"/>
              </w:rPr>
              <w:t>– úvery</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preddavky;</w:t>
            </w:r>
          </w:p>
          <w:p w14:paraId="3477F4B9"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dlhové cenné papiere;</w:t>
            </w:r>
          </w:p>
          <w:p w14:paraId="78F4268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deriváty, ktorými sa zabezpečujú aktíva;</w:t>
            </w:r>
          </w:p>
          <w:p w14:paraId="4978357C"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iné.</w:t>
            </w:r>
          </w:p>
          <w:p w14:paraId="23A8A180" w14:textId="0BD2198D"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xml:space="preserve">Inštitúcie vykazujú expozície IRRBB aktív, ktoré sa neodpočítavajú od vlastného kapitálu </w:t>
            </w:r>
            <w:proofErr w:type="spellStart"/>
            <w:r w:rsidRPr="00A72949">
              <w:rPr>
                <w:rStyle w:val="InstructionsTabelleberschrift"/>
                <w:rFonts w:ascii="Times New Roman" w:hAnsi="Times New Roman"/>
                <w:b w:val="0"/>
                <w:sz w:val="24"/>
                <w:u w:val="none"/>
              </w:rPr>
              <w:t>Tier</w:t>
            </w:r>
            <w:proofErr w:type="spellEnd"/>
            <w:r w:rsidRPr="00A72949">
              <w:rPr>
                <w:rStyle w:val="InstructionsTabelleberschrift"/>
                <w:rFonts w:ascii="Times New Roman" w:hAnsi="Times New Roman"/>
                <w:b w:val="0"/>
                <w:sz w:val="24"/>
                <w:u w:val="none"/>
              </w:rPr>
              <w:t xml:space="preserve"> 1 (CET1) určeného</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súlade</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druhou časťou hlavou I kapitolou 2</w:t>
            </w:r>
            <w:r w:rsidRPr="00A72949">
              <w:t xml:space="preserve"> nariadenia (EÚ) </w:t>
            </w:r>
            <w:r w:rsidR="00A72949">
              <w:t>č. </w:t>
            </w:r>
            <w:r w:rsidRPr="00A72949">
              <w:t>575/2013</w:t>
            </w:r>
            <w:r w:rsidR="00A72949">
              <w:rPr>
                <w:rStyle w:val="InstructionsTabelleberschrift"/>
                <w:rFonts w:ascii="Times New Roman" w:hAnsi="Times New Roman"/>
                <w:b w:val="0"/>
                <w:sz w:val="24"/>
                <w:u w:val="none"/>
              </w:rPr>
              <w:t xml:space="preserve"> a s </w:t>
            </w:r>
            <w:r w:rsidRPr="00A72949">
              <w:rPr>
                <w:rStyle w:val="InstructionsTabelleberschrift"/>
                <w:rFonts w:ascii="Times New Roman" w:hAnsi="Times New Roman"/>
                <w:b w:val="0"/>
                <w:sz w:val="24"/>
                <w:u w:val="none"/>
              </w:rPr>
              <w:t>výnimkou hmotného majetku, ako sú nehnuteľnosti, ako aj kapitálových expozícií</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bankovej knihe, ako sa uvádza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133</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článku 147 ods. 2 písm. e)</w:t>
            </w:r>
            <w:r w:rsidRPr="00A72949">
              <w:t xml:space="preserve"> nariadenia (EÚ) </w:t>
            </w:r>
            <w:r w:rsidR="00A72949">
              <w:t>č. </w:t>
            </w:r>
            <w:r w:rsidRPr="00A72949">
              <w:t>575/2013</w:t>
            </w:r>
            <w:r w:rsidRPr="00A72949">
              <w:rPr>
                <w:rStyle w:val="InstructionsTabelleberschrift"/>
                <w:rFonts w:ascii="Times New Roman" w:hAnsi="Times New Roman"/>
                <w:b w:val="0"/>
                <w:sz w:val="24"/>
                <w:u w:val="none"/>
              </w:rPr>
              <w:t>. Uvedené expozície sa priraďujú</w:t>
            </w:r>
            <w:r w:rsidR="00A72949">
              <w:rPr>
                <w:rStyle w:val="InstructionsTabelleberschrift"/>
                <w:rFonts w:ascii="Times New Roman" w:hAnsi="Times New Roman"/>
                <w:b w:val="0"/>
                <w:sz w:val="24"/>
                <w:u w:val="none"/>
              </w:rPr>
              <w:t xml:space="preserve"> k </w:t>
            </w:r>
            <w:r w:rsidRPr="00A72949">
              <w:rPr>
                <w:rStyle w:val="InstructionsTabelleberschrift"/>
                <w:rFonts w:ascii="Times New Roman" w:hAnsi="Times New Roman"/>
                <w:b w:val="0"/>
                <w:sz w:val="24"/>
                <w:u w:val="none"/>
              </w:rPr>
              <w:t>sektorom protistrany podľa povahy bezprostrednej protistrany.</w:t>
            </w:r>
          </w:p>
        </w:tc>
      </w:tr>
      <w:tr w:rsidR="004E6C70" w:rsidRPr="00A72949" w14:paraId="24495033" w14:textId="77777777" w:rsidTr="00E73145">
        <w:tc>
          <w:tcPr>
            <w:tcW w:w="1276" w:type="dxa"/>
            <w:tcBorders>
              <w:top w:val="single" w:sz="4" w:space="0" w:color="auto"/>
              <w:left w:val="single" w:sz="4" w:space="0" w:color="auto"/>
              <w:bottom w:val="single" w:sz="4" w:space="0" w:color="auto"/>
              <w:right w:val="single" w:sz="4" w:space="0" w:color="auto"/>
            </w:tcBorders>
          </w:tcPr>
          <w:p w14:paraId="53AED21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0020</w:t>
            </w:r>
          </w:p>
        </w:tc>
        <w:tc>
          <w:tcPr>
            <w:tcW w:w="7512" w:type="dxa"/>
            <w:tcBorders>
              <w:top w:val="single" w:sz="4" w:space="0" w:color="auto"/>
              <w:left w:val="single" w:sz="4" w:space="0" w:color="auto"/>
              <w:bottom w:val="single" w:sz="4" w:space="0" w:color="auto"/>
              <w:right w:val="single" w:sz="4" w:space="0" w:color="auto"/>
            </w:tcBorders>
          </w:tcPr>
          <w:p w14:paraId="74BEDC1A" w14:textId="33077CF3"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 čoho:</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 xml:space="preserve">dôsledku automatickej </w:t>
            </w:r>
            <w:proofErr w:type="spellStart"/>
            <w:r w:rsidRPr="00A72949">
              <w:rPr>
                <w:rStyle w:val="InstructionsTabelleberschrift"/>
                <w:rFonts w:ascii="Times New Roman" w:hAnsi="Times New Roman"/>
                <w:sz w:val="24"/>
              </w:rPr>
              <w:t>opcionality</w:t>
            </w:r>
            <w:proofErr w:type="spellEnd"/>
          </w:p>
          <w:p w14:paraId="590EB52C" w14:textId="05D10FF5" w:rsidR="004E6C70" w:rsidRPr="00A72949" w:rsidRDefault="004E6C70" w:rsidP="00E73145">
            <w:pPr>
              <w:pStyle w:val="InstructionsText"/>
            </w:pPr>
            <w:r w:rsidRPr="00A72949">
              <w:t>Príspevok vloženej</w:t>
            </w:r>
            <w:r w:rsidR="00A72949">
              <w:t xml:space="preserve"> a </w:t>
            </w:r>
            <w:r w:rsidRPr="00A72949">
              <w:t xml:space="preserve">explicitnej automatickej </w:t>
            </w:r>
            <w:proofErr w:type="spellStart"/>
            <w:r w:rsidRPr="00A72949">
              <w:t>opcionality</w:t>
            </w:r>
            <w:proofErr w:type="spellEnd"/>
            <w:r w:rsidR="00A72949">
              <w:t xml:space="preserve"> k </w:t>
            </w:r>
            <w:r w:rsidRPr="00A72949">
              <w:t>celkovým aktívam citlivým na úrokové sadzby</w:t>
            </w:r>
            <w:r w:rsidR="00A72949">
              <w:t xml:space="preserve"> v </w:t>
            </w:r>
            <w:r w:rsidRPr="00A72949">
              <w:t>rozsahu pôsobnosti delegovaného nariadenia (EÚ) .../... (Úrad pre publikácie: doplňte odkaz na regulačné technické predpisy</w:t>
            </w:r>
            <w:r w:rsidR="00A72949">
              <w:t xml:space="preserve"> o </w:t>
            </w:r>
            <w:r w:rsidRPr="00A72949">
              <w:t>SOT) bez ohľadu na postup ich účtovania.</w:t>
            </w:r>
          </w:p>
        </w:tc>
      </w:tr>
      <w:tr w:rsidR="004E6C70" w:rsidRPr="00A72949" w14:paraId="65B37A9B"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2B9667A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41260AF"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Centrálna banka</w:t>
            </w:r>
          </w:p>
          <w:p w14:paraId="1013E135" w14:textId="69E741CC" w:rsidR="004E6C70" w:rsidRPr="00A72949" w:rsidRDefault="004E6C70" w:rsidP="00E73145">
            <w:pPr>
              <w:pStyle w:val="InstructionsText"/>
              <w:rPr>
                <w:rStyle w:val="InstructionsTabelleberschrift"/>
                <w:rFonts w:ascii="Times New Roman" w:hAnsi="Times New Roman"/>
                <w:b w:val="0"/>
                <w:bCs w:val="0"/>
                <w:sz w:val="24"/>
                <w:u w:val="none"/>
              </w:rPr>
            </w:pPr>
            <w:r w:rsidRPr="00A72949">
              <w:lastRenderedPageBreak/>
              <w:t>Aktíva</w:t>
            </w:r>
            <w:r w:rsidR="00A72949">
              <w:t xml:space="preserve"> v </w:t>
            </w:r>
            <w:r w:rsidRPr="00A72949">
              <w:t>centrálnych bankách vrátane hotovostných zostatkov</w:t>
            </w:r>
            <w:r w:rsidR="00A72949">
              <w:t xml:space="preserve"> a </w:t>
            </w:r>
            <w:r w:rsidRPr="00A72949">
              <w:t>vkladov splatných na požiadanie, ako sa uvádza</w:t>
            </w:r>
            <w:r w:rsidR="00A72949">
              <w:t xml:space="preserve"> v </w:t>
            </w:r>
            <w:r w:rsidRPr="00A72949">
              <w:t>časti 1 bode 42 písm. a) prílohy</w:t>
            </w:r>
            <w:r w:rsidR="00A72949">
              <w:t xml:space="preserve"> V k </w:t>
            </w:r>
            <w:r w:rsidRPr="00A72949">
              <w:t>tomuto nariadeniu.</w:t>
            </w:r>
          </w:p>
        </w:tc>
      </w:tr>
      <w:tr w:rsidR="004E6C70" w:rsidRPr="00A72949" w14:paraId="0990A3E0" w14:textId="77777777" w:rsidTr="00E73145">
        <w:tc>
          <w:tcPr>
            <w:tcW w:w="1276" w:type="dxa"/>
            <w:tcBorders>
              <w:top w:val="single" w:sz="4" w:space="0" w:color="auto"/>
              <w:left w:val="single" w:sz="4" w:space="0" w:color="auto"/>
              <w:bottom w:val="single" w:sz="4" w:space="0" w:color="auto"/>
              <w:right w:val="single" w:sz="4" w:space="0" w:color="auto"/>
            </w:tcBorders>
          </w:tcPr>
          <w:p w14:paraId="317369A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33A9AB66"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Medzibankové</w:t>
            </w:r>
          </w:p>
          <w:p w14:paraId="0F213F93" w14:textId="4E1470AE"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Všetky aktíva, ktorých protistranou je úverová inštitúcia, ako sa uvádza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časti 1 bode 42 písm. c) prílohy</w:t>
            </w:r>
            <w:r w:rsidR="00A72949">
              <w:rPr>
                <w:rStyle w:val="InstructionsTabelleberschrift"/>
                <w:rFonts w:ascii="Times New Roman" w:hAnsi="Times New Roman"/>
                <w:b w:val="0"/>
                <w:sz w:val="24"/>
                <w:u w:val="none"/>
              </w:rPr>
              <w:t xml:space="preserve"> V k </w:t>
            </w:r>
            <w:r w:rsidRPr="00A72949">
              <w:rPr>
                <w:rStyle w:val="InstructionsTabelleberschrift"/>
                <w:rFonts w:ascii="Times New Roman" w:hAnsi="Times New Roman"/>
                <w:b w:val="0"/>
                <w:sz w:val="24"/>
                <w:u w:val="none"/>
              </w:rPr>
              <w:t>tomuto</w:t>
            </w:r>
            <w:r w:rsidRPr="00A72949">
              <w:t xml:space="preserve"> nariadeniu,</w:t>
            </w:r>
            <w:r w:rsidR="00A72949">
              <w:t xml:space="preserve"> s </w:t>
            </w:r>
            <w:r w:rsidRPr="00A72949">
              <w:t>výnimkou cenných papierov</w:t>
            </w:r>
            <w:r w:rsidR="00A72949">
              <w:t xml:space="preserve"> a </w:t>
            </w:r>
            <w:r w:rsidRPr="00A72949">
              <w:t>derivátových expozícií</w:t>
            </w:r>
            <w:r w:rsidRPr="00A72949">
              <w:rPr>
                <w:rStyle w:val="InstructionsTabelleberschrift"/>
                <w:rFonts w:ascii="Times New Roman" w:hAnsi="Times New Roman"/>
                <w:b w:val="0"/>
                <w:sz w:val="24"/>
                <w:u w:val="none"/>
              </w:rPr>
              <w:t xml:space="preserve">. </w:t>
            </w:r>
          </w:p>
        </w:tc>
      </w:tr>
      <w:tr w:rsidR="004E6C70" w:rsidRPr="00A72949" w14:paraId="75CE07E8" w14:textId="77777777" w:rsidTr="00E73145">
        <w:tc>
          <w:tcPr>
            <w:tcW w:w="1276" w:type="dxa"/>
            <w:tcBorders>
              <w:top w:val="single" w:sz="4" w:space="0" w:color="auto"/>
              <w:left w:val="single" w:sz="4" w:space="0" w:color="auto"/>
              <w:bottom w:val="single" w:sz="4" w:space="0" w:color="auto"/>
              <w:right w:val="single" w:sz="4" w:space="0" w:color="auto"/>
            </w:tcBorders>
            <w:hideMark/>
          </w:tcPr>
          <w:p w14:paraId="0CEB881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2CFB6CA" w14:textId="3402EE8F"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Úvery</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preddavky</w:t>
            </w:r>
          </w:p>
          <w:p w14:paraId="35A42938" w14:textId="1EE9AE88"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xml:space="preserve">Dlhové nástroje držané inštitúciami, ktoré nie sú cennými papiermi, </w:t>
            </w:r>
            <w:r w:rsidRPr="00A72949">
              <w:t>ako sa uvádza</w:t>
            </w:r>
            <w:r w:rsidR="00A72949">
              <w:t xml:space="preserve"> v </w:t>
            </w:r>
            <w:r w:rsidRPr="00A72949">
              <w:t>časti 1 bode 32 prílohy</w:t>
            </w:r>
            <w:r w:rsidR="00A72949">
              <w:t xml:space="preserve"> V k </w:t>
            </w:r>
            <w:r w:rsidRPr="00A72949">
              <w:t>tomuto nariadeniu</w:t>
            </w:r>
            <w:r w:rsidRPr="00A72949">
              <w:rPr>
                <w:rStyle w:val="InstructionsTabelleberschrift"/>
                <w:rFonts w:ascii="Times New Roman" w:hAnsi="Times New Roman"/>
                <w:b w:val="0"/>
                <w:sz w:val="24"/>
                <w:u w:val="none"/>
              </w:rPr>
              <w:t>. Tento riadok nezahŕňa expozície zahrnuté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riadkoch 0030</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0040.</w:t>
            </w:r>
          </w:p>
        </w:tc>
      </w:tr>
      <w:tr w:rsidR="004E6C70" w:rsidRPr="00A72949" w14:paraId="13046A69" w14:textId="77777777" w:rsidTr="00E73145">
        <w:tc>
          <w:tcPr>
            <w:tcW w:w="1276" w:type="dxa"/>
            <w:tcBorders>
              <w:top w:val="single" w:sz="4" w:space="0" w:color="auto"/>
              <w:left w:val="single" w:sz="4" w:space="0" w:color="auto"/>
              <w:bottom w:val="single" w:sz="4" w:space="0" w:color="auto"/>
              <w:right w:val="single" w:sz="4" w:space="0" w:color="auto"/>
            </w:tcBorders>
          </w:tcPr>
          <w:p w14:paraId="7C1242D1" w14:textId="77777777" w:rsidR="004E6C70" w:rsidRPr="00A72949" w:rsidDel="002E7204"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639A4FB9" w14:textId="374F266F"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 čoho:</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pevnou úrokovou sadzbou</w:t>
            </w:r>
          </w:p>
          <w:p w14:paraId="31F15987" w14:textId="4440A75C" w:rsidR="004E6C70" w:rsidRPr="00A72949" w:rsidRDefault="004E6C70" w:rsidP="00E73145">
            <w:pPr>
              <w:pStyle w:val="InstructionsText"/>
              <w:rPr>
                <w:rStyle w:val="InstructionsTabelleberschrift"/>
                <w:rFonts w:ascii="Times New Roman" w:hAnsi="Times New Roman"/>
                <w:sz w:val="24"/>
              </w:rPr>
            </w:pPr>
            <w:r w:rsidRPr="00A72949">
              <w:t>Inštitúcie vykazujú údaje týkajúce sa nástrojov</w:t>
            </w:r>
            <w:r w:rsidR="00A72949">
              <w:t xml:space="preserve"> s </w:t>
            </w:r>
            <w:r w:rsidRPr="00A72949">
              <w:t>pevnou úrokovou sadzbou podľa konvencií uvedených</w:t>
            </w:r>
            <w:r w:rsidR="00A72949">
              <w:t xml:space="preserve"> v </w:t>
            </w:r>
            <w:r w:rsidRPr="00A72949">
              <w:t xml:space="preserve">časti I oddiele </w:t>
            </w:r>
            <w:r w:rsidRPr="00A72949">
              <w:fldChar w:fldCharType="begin"/>
            </w:r>
            <w:r w:rsidRPr="00A72949">
              <w:instrText xml:space="preserve"> REF _Ref125115357 \r \h  \* MERGEFORMAT </w:instrText>
            </w:r>
            <w:r w:rsidRPr="00A72949">
              <w:fldChar w:fldCharType="separate"/>
            </w:r>
            <w:r w:rsidRPr="00A72949">
              <w:t>3</w:t>
            </w:r>
            <w:r w:rsidRPr="00A72949">
              <w:fldChar w:fldCharType="end"/>
            </w:r>
            <w:r w:rsidRPr="00A72949">
              <w:t xml:space="preserve"> tejto prílohy.</w:t>
            </w:r>
          </w:p>
        </w:tc>
      </w:tr>
      <w:tr w:rsidR="004E6C70" w:rsidRPr="00A72949" w14:paraId="792E91DC" w14:textId="77777777" w:rsidTr="00E73145">
        <w:tc>
          <w:tcPr>
            <w:tcW w:w="1276" w:type="dxa"/>
            <w:tcBorders>
              <w:top w:val="single" w:sz="4" w:space="0" w:color="auto"/>
              <w:left w:val="single" w:sz="4" w:space="0" w:color="auto"/>
              <w:bottom w:val="single" w:sz="4" w:space="0" w:color="auto"/>
              <w:right w:val="single" w:sz="4" w:space="0" w:color="auto"/>
            </w:tcBorders>
          </w:tcPr>
          <w:p w14:paraId="2B72F3DF" w14:textId="77777777" w:rsidR="004E6C70" w:rsidRPr="00A72949" w:rsidRDefault="004E6C70" w:rsidP="00E73145">
            <w:pPr>
              <w:pStyle w:val="InstructionsText"/>
              <w:rPr>
                <w:rStyle w:val="FormatvorlageInstructionsTabelleText"/>
                <w:rFonts w:ascii="Times New Roman" w:hAnsi="Times New Roman"/>
                <w:sz w:val="24"/>
                <w:highlight w:val="yellow"/>
              </w:rPr>
            </w:pPr>
            <w:r w:rsidRPr="00A72949">
              <w:rPr>
                <w:rStyle w:val="FormatvorlageInstructionsTabelleText"/>
                <w:rFonts w:ascii="Times New Roman" w:hAnsi="Times New Roman"/>
                <w:sz w:val="24"/>
              </w:rPr>
              <w:t>0070</w:t>
            </w:r>
          </w:p>
        </w:tc>
        <w:tc>
          <w:tcPr>
            <w:tcW w:w="7512" w:type="dxa"/>
            <w:tcBorders>
              <w:top w:val="single" w:sz="4" w:space="0" w:color="auto"/>
              <w:left w:val="single" w:sz="4" w:space="0" w:color="auto"/>
              <w:bottom w:val="single" w:sz="4" w:space="0" w:color="auto"/>
              <w:right w:val="single" w:sz="4" w:space="0" w:color="auto"/>
            </w:tcBorders>
          </w:tcPr>
          <w:p w14:paraId="74026E8D"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 čoho: problémové</w:t>
            </w:r>
          </w:p>
          <w:p w14:paraId="1C580E70" w14:textId="06DE6F01"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Problémové úvery</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preddavky uvedené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3 ods. 4 delegovaného nariadenia (EÚ) .../... (Úrad pre publikácie: doplňte odkaz na</w:t>
            </w:r>
            <w:r w:rsidRPr="00A72949">
              <w:t xml:space="preserve"> regulačné technické predpisy</w:t>
            </w:r>
            <w:r w:rsidR="00A72949">
              <w:t xml:space="preserve"> o </w:t>
            </w:r>
            <w:r w:rsidRPr="00A72949">
              <w:t>SOT)</w:t>
            </w:r>
            <w:r w:rsidR="00A72949">
              <w:rPr>
                <w:rStyle w:val="InstructionsTabelleberschrift"/>
                <w:rFonts w:ascii="Times New Roman" w:hAnsi="Times New Roman"/>
                <w:b w:val="0"/>
                <w:sz w:val="24"/>
                <w:u w:val="none"/>
              </w:rPr>
              <w:t xml:space="preserve"> a v </w:t>
            </w:r>
            <w:r w:rsidRPr="00A72949">
              <w:rPr>
                <w:rStyle w:val="InstructionsTabelleberschrift"/>
                <w:rFonts w:ascii="Times New Roman" w:hAnsi="Times New Roman"/>
                <w:b w:val="0"/>
                <w:sz w:val="24"/>
                <w:u w:val="none"/>
              </w:rPr>
              <w:t>článku 47a ods. 3</w:t>
            </w:r>
            <w:r w:rsidRPr="00A72949">
              <w:t xml:space="preserve"> nariadenia (EÚ) </w:t>
            </w:r>
            <w:r w:rsidR="00A72949">
              <w:t>č. </w:t>
            </w:r>
            <w:r w:rsidRPr="00A72949">
              <w:t>575/2013</w:t>
            </w:r>
            <w:r w:rsidRPr="00A72949">
              <w:rPr>
                <w:rStyle w:val="InstructionsTabelleberschrift"/>
                <w:rFonts w:ascii="Times New Roman" w:hAnsi="Times New Roman"/>
                <w:b w:val="0"/>
                <w:sz w:val="24"/>
                <w:u w:val="none"/>
              </w:rPr>
              <w:t xml:space="preserve">. </w:t>
            </w:r>
          </w:p>
        </w:tc>
      </w:tr>
      <w:tr w:rsidR="004E6C70" w:rsidRPr="00A72949" w14:paraId="285BB2BE" w14:textId="77777777" w:rsidTr="00E73145">
        <w:tc>
          <w:tcPr>
            <w:tcW w:w="1276" w:type="dxa"/>
            <w:tcBorders>
              <w:top w:val="single" w:sz="4" w:space="0" w:color="auto"/>
              <w:left w:val="single" w:sz="4" w:space="0" w:color="auto"/>
              <w:bottom w:val="single" w:sz="4" w:space="0" w:color="auto"/>
              <w:right w:val="single" w:sz="4" w:space="0" w:color="auto"/>
            </w:tcBorders>
          </w:tcPr>
          <w:p w14:paraId="0A9EA773" w14:textId="77777777" w:rsidR="004E6C70" w:rsidRPr="00A72949" w:rsidRDefault="004E6C70" w:rsidP="00E73145">
            <w:pPr>
              <w:pStyle w:val="InstructionsText"/>
              <w:rPr>
                <w:rStyle w:val="FormatvorlageInstructionsTabelleText"/>
                <w:rFonts w:ascii="Times New Roman" w:hAnsi="Times New Roman"/>
                <w:sz w:val="24"/>
                <w:highlight w:val="yellow"/>
              </w:rPr>
            </w:pPr>
            <w:r w:rsidRPr="00A72949">
              <w:rPr>
                <w:rStyle w:val="FormatvorlageInstructionsTabelleText"/>
                <w:rFonts w:ascii="Times New Roman" w:hAnsi="Times New Roman"/>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38AAA71" w14:textId="77777777" w:rsidR="004E6C70" w:rsidRPr="00A72949" w:rsidRDefault="004E6C70" w:rsidP="00E73145">
            <w:pPr>
              <w:pStyle w:val="InstructionsText"/>
              <w:rPr>
                <w:rStyle w:val="InstructionsTabelleberschrift"/>
                <w:rFonts w:ascii="Times New Roman" w:hAnsi="Times New Roman"/>
                <w:bCs w:val="0"/>
                <w:sz w:val="24"/>
              </w:rPr>
            </w:pPr>
            <w:proofErr w:type="spellStart"/>
            <w:r w:rsidRPr="00A72949">
              <w:rPr>
                <w:rStyle w:val="InstructionsTabelleberschrift"/>
                <w:rFonts w:ascii="Times New Roman" w:hAnsi="Times New Roman"/>
                <w:sz w:val="24"/>
              </w:rPr>
              <w:t>Retailové</w:t>
            </w:r>
            <w:proofErr w:type="spellEnd"/>
          </w:p>
          <w:p w14:paraId="79B96559" w14:textId="18FF0C8F" w:rsidR="004E6C70" w:rsidRPr="00A72949" w:rsidRDefault="004E6C70" w:rsidP="00E73145">
            <w:pPr>
              <w:pStyle w:val="InstructionsText"/>
            </w:pPr>
            <w:r w:rsidRPr="00A72949">
              <w:t>Úvery</w:t>
            </w:r>
            <w:r w:rsidR="00A72949">
              <w:t xml:space="preserve"> a </w:t>
            </w:r>
            <w:r w:rsidRPr="00A72949">
              <w:t xml:space="preserve">preddavky fyzickej osobe alebo MSP, ak expozícia voči </w:t>
            </w:r>
            <w:r w:rsidRPr="00A72949">
              <w:rPr>
                <w:rStyle w:val="cf01"/>
                <w:rFonts w:ascii="Times New Roman" w:hAnsi="Times New Roman"/>
                <w:sz w:val="24"/>
              </w:rPr>
              <w:t>malému</w:t>
            </w:r>
            <w:r w:rsidR="00A72949">
              <w:rPr>
                <w:rStyle w:val="cf01"/>
                <w:rFonts w:ascii="Times New Roman" w:hAnsi="Times New Roman"/>
                <w:sz w:val="24"/>
              </w:rPr>
              <w:t xml:space="preserve"> a </w:t>
            </w:r>
            <w:r w:rsidRPr="00A72949">
              <w:rPr>
                <w:rStyle w:val="cf01"/>
                <w:rFonts w:ascii="Times New Roman" w:hAnsi="Times New Roman"/>
                <w:sz w:val="24"/>
              </w:rPr>
              <w:t>strednému podniku</w:t>
            </w:r>
            <w:r w:rsidRPr="00A72949">
              <w:t xml:space="preserve"> („MSP“) má spĺňať podmienky pre triedu </w:t>
            </w:r>
            <w:proofErr w:type="spellStart"/>
            <w:r w:rsidRPr="00A72949">
              <w:t>retailových</w:t>
            </w:r>
            <w:proofErr w:type="spellEnd"/>
            <w:r w:rsidRPr="00A72949">
              <w:t xml:space="preserve"> expozícií podľa štandardizovaného prístupu alebo prístupu založeného na interných ratingoch (IRB) pre kreditné riziko, ako sa stanovuje</w:t>
            </w:r>
            <w:r w:rsidR="00A72949">
              <w:t xml:space="preserve"> v </w:t>
            </w:r>
            <w:r w:rsidRPr="00A72949">
              <w:t>prvej časti hlave II kapitolách 2</w:t>
            </w:r>
            <w:r w:rsidR="00A72949">
              <w:t xml:space="preserve"> a </w:t>
            </w:r>
            <w:r w:rsidRPr="00A72949">
              <w:t xml:space="preserve">3 nariadenia (EÚ) </w:t>
            </w:r>
            <w:r w:rsidR="00A72949">
              <w:t>č. </w:t>
            </w:r>
            <w:r w:rsidRPr="00A72949">
              <w:t>575/2013, alebo spoločnosti, ktorá je oprávnená na zaobchádzanie stanovené</w:t>
            </w:r>
            <w:r w:rsidR="00A72949">
              <w:t xml:space="preserve"> v </w:t>
            </w:r>
            <w:r w:rsidRPr="00A72949">
              <w:t xml:space="preserve">článku 153 ods. 4 nariadenia (EÚ) </w:t>
            </w:r>
            <w:r w:rsidR="00A72949">
              <w:t>č. </w:t>
            </w:r>
            <w:r w:rsidRPr="00A72949">
              <w:t>575/2013,</w:t>
            </w:r>
            <w:r w:rsidR="00A72949">
              <w:t xml:space="preserve"> a </w:t>
            </w:r>
            <w:r w:rsidRPr="00A72949">
              <w:t>ak súhrnné vklady daného MSP alebo spoločnosti na skupinovom základe nepresahujú 1 milión EUR.</w:t>
            </w:r>
          </w:p>
          <w:p w14:paraId="5871FF4B" w14:textId="70C55032" w:rsidR="004E6C70" w:rsidRPr="00A72949" w:rsidRDefault="004E6C70" w:rsidP="00E73145">
            <w:pPr>
              <w:pStyle w:val="InstructionsText"/>
              <w:rPr>
                <w:rStyle w:val="InstructionsTabelleberschrift"/>
                <w:rFonts w:ascii="Times New Roman" w:hAnsi="Times New Roman"/>
                <w:b w:val="0"/>
                <w:bCs w:val="0"/>
                <w:sz w:val="24"/>
                <w:u w:val="none"/>
              </w:rPr>
            </w:pPr>
            <w:r w:rsidRPr="00A72949">
              <w:t xml:space="preserve">V tomto riadku sa vykazujú bezproblémové aj problémové </w:t>
            </w:r>
            <w:proofErr w:type="spellStart"/>
            <w:r w:rsidRPr="00A72949">
              <w:t>retailové</w:t>
            </w:r>
            <w:proofErr w:type="spellEnd"/>
            <w:r w:rsidRPr="00A72949">
              <w:t xml:space="preserve"> úvery</w:t>
            </w:r>
            <w:r w:rsidR="00A72949">
              <w:t xml:space="preserve"> a </w:t>
            </w:r>
            <w:r w:rsidRPr="00A72949">
              <w:t>preddavky.</w:t>
            </w:r>
          </w:p>
        </w:tc>
      </w:tr>
      <w:tr w:rsidR="004E6C70" w:rsidRPr="00A72949" w14:paraId="4F43A27F" w14:textId="77777777" w:rsidTr="00E73145">
        <w:tc>
          <w:tcPr>
            <w:tcW w:w="1276" w:type="dxa"/>
            <w:tcBorders>
              <w:top w:val="single" w:sz="4" w:space="0" w:color="auto"/>
              <w:left w:val="single" w:sz="4" w:space="0" w:color="auto"/>
              <w:bottom w:val="single" w:sz="4" w:space="0" w:color="auto"/>
              <w:right w:val="single" w:sz="4" w:space="0" w:color="auto"/>
            </w:tcBorders>
          </w:tcPr>
          <w:p w14:paraId="60E4FC5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4BB15CDD"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Z čoho: zabezpečené nehnuteľným majetkom určeným na bývanie</w:t>
            </w:r>
          </w:p>
          <w:p w14:paraId="6E445A28" w14:textId="5EAA9274" w:rsidR="004E6C70" w:rsidRPr="00A72949" w:rsidRDefault="004E6C70" w:rsidP="00E73145">
            <w:pPr>
              <w:suppressAutoHyphens/>
              <w:rPr>
                <w:rStyle w:val="InstructionsTabelleberschrift"/>
                <w:rFonts w:ascii="Times New Roman" w:hAnsi="Times New Roman"/>
                <w:b w:val="0"/>
                <w:bCs w:val="0"/>
                <w:sz w:val="24"/>
              </w:rPr>
            </w:pPr>
            <w:proofErr w:type="spellStart"/>
            <w:r w:rsidRPr="00A72949">
              <w:rPr>
                <w:rStyle w:val="InstructionsTabelleberschrift"/>
                <w:rFonts w:ascii="Times New Roman" w:hAnsi="Times New Roman"/>
                <w:b w:val="0"/>
                <w:sz w:val="24"/>
                <w:u w:val="none"/>
              </w:rPr>
              <w:t>Retailové</w:t>
            </w:r>
            <w:proofErr w:type="spellEnd"/>
            <w:r w:rsidRPr="00A72949">
              <w:rPr>
                <w:rFonts w:ascii="Times New Roman" w:hAnsi="Times New Roman"/>
                <w:sz w:val="24"/>
              </w:rPr>
              <w:t xml:space="preserve"> úvery formálne zabezpečené kolaterálom vo forme nehnuteľného majetku určeného na bývanie bez ohľadu na pomer úver/kolaterál („pomer výšky úveru</w:t>
            </w:r>
            <w:r w:rsidR="00A72949">
              <w:rPr>
                <w:rFonts w:ascii="Times New Roman" w:hAnsi="Times New Roman"/>
                <w:sz w:val="24"/>
              </w:rPr>
              <w:t xml:space="preserve"> k </w:t>
            </w:r>
            <w:r w:rsidRPr="00A72949">
              <w:rPr>
                <w:rFonts w:ascii="Times New Roman" w:hAnsi="Times New Roman"/>
                <w:sz w:val="24"/>
              </w:rPr>
              <w:t>hodnote zabezpečenia“)</w:t>
            </w:r>
            <w:r w:rsidR="00A72949">
              <w:rPr>
                <w:rFonts w:ascii="Times New Roman" w:hAnsi="Times New Roman"/>
                <w:sz w:val="24"/>
              </w:rPr>
              <w:t xml:space="preserve"> a </w:t>
            </w:r>
            <w:r w:rsidRPr="00A72949">
              <w:rPr>
                <w:rFonts w:ascii="Times New Roman" w:hAnsi="Times New Roman"/>
                <w:sz w:val="24"/>
              </w:rPr>
              <w:t>právnu formu kolaterálu.</w:t>
            </w:r>
          </w:p>
        </w:tc>
      </w:tr>
      <w:tr w:rsidR="004E6C70" w:rsidRPr="00A72949" w14:paraId="401FB447" w14:textId="77777777" w:rsidTr="00E73145">
        <w:tc>
          <w:tcPr>
            <w:tcW w:w="1276" w:type="dxa"/>
            <w:tcBorders>
              <w:top w:val="single" w:sz="4" w:space="0" w:color="auto"/>
              <w:left w:val="single" w:sz="4" w:space="0" w:color="auto"/>
              <w:bottom w:val="single" w:sz="4" w:space="0" w:color="auto"/>
              <w:right w:val="single" w:sz="4" w:space="0" w:color="auto"/>
            </w:tcBorders>
          </w:tcPr>
          <w:p w14:paraId="70BDC69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B796521"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Veľkoobchodné nefinančné</w:t>
            </w:r>
          </w:p>
          <w:p w14:paraId="3B2972A3" w14:textId="0448F16B" w:rsidR="004E6C70" w:rsidRPr="00A72949" w:rsidRDefault="004E6C70" w:rsidP="00E73145">
            <w:pPr>
              <w:pStyle w:val="InstructionsText"/>
              <w:rPr>
                <w:rStyle w:val="InstructionsTabelleberschrift"/>
                <w:rFonts w:ascii="Times New Roman" w:hAnsi="Times New Roman"/>
                <w:b w:val="0"/>
                <w:bCs w:val="0"/>
                <w:sz w:val="24"/>
                <w:u w:val="none"/>
              </w:rPr>
            </w:pPr>
            <w:r w:rsidRPr="00A72949">
              <w:t>Úvery</w:t>
            </w:r>
            <w:r w:rsidR="00A72949">
              <w:t xml:space="preserve"> a </w:t>
            </w:r>
            <w:r w:rsidRPr="00A72949">
              <w:t>preddavky orgánom verejnej správy</w:t>
            </w:r>
            <w:r w:rsidR="00A72949">
              <w:t xml:space="preserve"> a </w:t>
            </w:r>
            <w:r w:rsidRPr="00A72949">
              <w:t>nefinančným korporáciám, ako sa uvádza</w:t>
            </w:r>
            <w:r w:rsidR="00A72949">
              <w:t xml:space="preserve"> v </w:t>
            </w:r>
            <w:r w:rsidRPr="00A72949">
              <w:t>časti 1 bode 42 písm. b)</w:t>
            </w:r>
            <w:r w:rsidR="00A72949">
              <w:t xml:space="preserve"> a </w:t>
            </w:r>
            <w:r w:rsidRPr="00A72949">
              <w:t>e) prílohy</w:t>
            </w:r>
            <w:r w:rsidR="00A72949">
              <w:t xml:space="preserve"> V k </w:t>
            </w:r>
            <w:r w:rsidRPr="00A72949">
              <w:t xml:space="preserve">tomuto </w:t>
            </w:r>
            <w:r w:rsidRPr="00A72949">
              <w:lastRenderedPageBreak/>
              <w:t>nariadeniu. Tento riadok nezahŕňa expozície zahrnuté</w:t>
            </w:r>
            <w:r w:rsidR="00A72949">
              <w:t xml:space="preserve"> v </w:t>
            </w:r>
            <w:r w:rsidRPr="00A72949">
              <w:t>riadku 0080.</w:t>
            </w:r>
          </w:p>
        </w:tc>
      </w:tr>
      <w:tr w:rsidR="004E6C70" w:rsidRPr="00A72949" w14:paraId="5034AA12" w14:textId="77777777" w:rsidTr="00E73145">
        <w:tc>
          <w:tcPr>
            <w:tcW w:w="1276" w:type="dxa"/>
            <w:tcBorders>
              <w:top w:val="single" w:sz="4" w:space="0" w:color="auto"/>
              <w:left w:val="single" w:sz="4" w:space="0" w:color="auto"/>
              <w:bottom w:val="single" w:sz="4" w:space="0" w:color="auto"/>
              <w:right w:val="single" w:sz="4" w:space="0" w:color="auto"/>
            </w:tcBorders>
          </w:tcPr>
          <w:p w14:paraId="1B53D23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0110</w:t>
            </w:r>
          </w:p>
        </w:tc>
        <w:tc>
          <w:tcPr>
            <w:tcW w:w="7512" w:type="dxa"/>
            <w:tcBorders>
              <w:top w:val="single" w:sz="4" w:space="0" w:color="auto"/>
              <w:left w:val="single" w:sz="4" w:space="0" w:color="auto"/>
              <w:bottom w:val="single" w:sz="4" w:space="0" w:color="auto"/>
              <w:right w:val="single" w:sz="4" w:space="0" w:color="auto"/>
            </w:tcBorders>
            <w:hideMark/>
          </w:tcPr>
          <w:p w14:paraId="79B3B029" w14:textId="77777777" w:rsidR="004E6C70" w:rsidRPr="00A72949" w:rsidRDefault="004E6C70" w:rsidP="00E73145">
            <w:pPr>
              <w:pStyle w:val="InstructionsText"/>
              <w:rPr>
                <w:rStyle w:val="FormatvorlageInstructionsTabelleText"/>
                <w:rFonts w:ascii="Times New Roman" w:hAnsi="Times New Roman"/>
                <w:b/>
                <w:bCs w:val="0"/>
                <w:sz w:val="24"/>
                <w:u w:val="single"/>
              </w:rPr>
            </w:pPr>
            <w:r w:rsidRPr="00A72949">
              <w:rPr>
                <w:rStyle w:val="FormatvorlageInstructionsTabelleText"/>
                <w:rFonts w:ascii="Times New Roman" w:hAnsi="Times New Roman"/>
                <w:b/>
                <w:sz w:val="24"/>
                <w:u w:val="single"/>
              </w:rPr>
              <w:t>Veľkoobchodné finančné</w:t>
            </w:r>
          </w:p>
          <w:p w14:paraId="7D7A1997" w14:textId="3E2072F4"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Úvery</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preddavky ostatným finančným korporáciám, ako sa uvádza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časti 1 bode 42 písm. d) prílohy</w:t>
            </w:r>
            <w:r w:rsidR="00A72949">
              <w:rPr>
                <w:rStyle w:val="FormatvorlageInstructionsTabelleText"/>
                <w:rFonts w:ascii="Times New Roman" w:hAnsi="Times New Roman"/>
                <w:sz w:val="24"/>
              </w:rPr>
              <w:t xml:space="preserve"> V k </w:t>
            </w:r>
            <w:r w:rsidRPr="00A72949">
              <w:rPr>
                <w:rStyle w:val="FormatvorlageInstructionsTabelleText"/>
                <w:rFonts w:ascii="Times New Roman" w:hAnsi="Times New Roman"/>
                <w:sz w:val="24"/>
              </w:rPr>
              <w:t>tomuto</w:t>
            </w:r>
            <w:r w:rsidRPr="00A72949">
              <w:t xml:space="preserve"> nariadeniu</w:t>
            </w:r>
            <w:r w:rsidRPr="00A72949">
              <w:rPr>
                <w:rStyle w:val="FormatvorlageInstructionsTabelleText"/>
                <w:rFonts w:ascii="Times New Roman" w:hAnsi="Times New Roman"/>
                <w:sz w:val="24"/>
              </w:rPr>
              <w:t xml:space="preserve">. </w:t>
            </w:r>
          </w:p>
        </w:tc>
      </w:tr>
      <w:tr w:rsidR="004E6C70" w:rsidRPr="00A72949" w14:paraId="60C2AF2E" w14:textId="77777777" w:rsidTr="00E73145">
        <w:tc>
          <w:tcPr>
            <w:tcW w:w="1276" w:type="dxa"/>
            <w:tcBorders>
              <w:top w:val="single" w:sz="4" w:space="0" w:color="auto"/>
              <w:left w:val="single" w:sz="4" w:space="0" w:color="auto"/>
              <w:bottom w:val="single" w:sz="4" w:space="0" w:color="auto"/>
              <w:right w:val="single" w:sz="4" w:space="0" w:color="auto"/>
            </w:tcBorders>
          </w:tcPr>
          <w:p w14:paraId="0F6D43E4"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6DD24303"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Dlhové cenné papiere</w:t>
            </w:r>
          </w:p>
          <w:p w14:paraId="3661CB58" w14:textId="1B0AC904"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Dlhové nástroje držané inštitúciou emitované ako cenné papiere, ktoré nie sú úvermi,</w:t>
            </w:r>
            <w:r w:rsidRPr="00A72949">
              <w:t xml:space="preserve"> ako sa uvádza</w:t>
            </w:r>
            <w:r w:rsidR="00A72949">
              <w:t xml:space="preserve"> v </w:t>
            </w:r>
            <w:r w:rsidRPr="00A72949">
              <w:t>časti 1 bode 31 prílohy</w:t>
            </w:r>
            <w:r w:rsidR="00A72949">
              <w:t xml:space="preserve"> V k </w:t>
            </w:r>
            <w:r w:rsidRPr="00A72949">
              <w:t>tomuto nariadeniu</w:t>
            </w:r>
            <w:r w:rsidRPr="00A72949">
              <w:rPr>
                <w:rStyle w:val="InstructionsTabelleberschrift"/>
                <w:rFonts w:ascii="Times New Roman" w:hAnsi="Times New Roman"/>
                <w:b w:val="0"/>
                <w:sz w:val="24"/>
                <w:u w:val="none"/>
              </w:rPr>
              <w:t>,</w:t>
            </w:r>
            <w:r w:rsidRPr="00A72949">
              <w:t xml:space="preserve"> vrátane krytých dlhopisov</w:t>
            </w:r>
            <w:r w:rsidR="00A72949">
              <w:t xml:space="preserve"> a </w:t>
            </w:r>
            <w:proofErr w:type="spellStart"/>
            <w:r w:rsidRPr="00A72949">
              <w:t>sekuritizačných</w:t>
            </w:r>
            <w:proofErr w:type="spellEnd"/>
            <w:r w:rsidRPr="00A72949">
              <w:t xml:space="preserve"> expozícií.</w:t>
            </w:r>
          </w:p>
        </w:tc>
      </w:tr>
      <w:tr w:rsidR="004E6C70" w:rsidRPr="00A72949" w:rsidDel="00551014" w14:paraId="0CA5D080" w14:textId="77777777" w:rsidTr="00E73145">
        <w:tc>
          <w:tcPr>
            <w:tcW w:w="1276" w:type="dxa"/>
            <w:tcBorders>
              <w:top w:val="single" w:sz="4" w:space="0" w:color="auto"/>
              <w:left w:val="single" w:sz="4" w:space="0" w:color="auto"/>
              <w:bottom w:val="single" w:sz="4" w:space="0" w:color="auto"/>
              <w:right w:val="single" w:sz="4" w:space="0" w:color="auto"/>
            </w:tcBorders>
          </w:tcPr>
          <w:p w14:paraId="27C76B1A" w14:textId="77777777" w:rsidR="004E6C70" w:rsidRPr="00A72949" w:rsidDel="00551014"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0140</w:t>
            </w:r>
          </w:p>
        </w:tc>
        <w:tc>
          <w:tcPr>
            <w:tcW w:w="7512" w:type="dxa"/>
            <w:tcBorders>
              <w:top w:val="single" w:sz="4" w:space="0" w:color="auto"/>
              <w:left w:val="single" w:sz="4" w:space="0" w:color="auto"/>
              <w:bottom w:val="single" w:sz="4" w:space="0" w:color="auto"/>
              <w:right w:val="single" w:sz="4" w:space="0" w:color="auto"/>
            </w:tcBorders>
          </w:tcPr>
          <w:p w14:paraId="286493CC"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Deriváty, ktorými sa zabezpečujú aktíva</w:t>
            </w:r>
          </w:p>
          <w:p w14:paraId="3586BA4C" w14:textId="6890E43D" w:rsidR="004E6C70" w:rsidRPr="00A72949" w:rsidDel="00551014"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Deriváty</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zmysle vymedzenia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2 ods. 1 bode 29 nariadenia Európskeho parlamentu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Rady (EÚ) </w:t>
            </w:r>
            <w:r w:rsidR="00A72949">
              <w:rPr>
                <w:rStyle w:val="InstructionsTabelleberschrift"/>
                <w:rFonts w:ascii="Times New Roman" w:hAnsi="Times New Roman"/>
                <w:b w:val="0"/>
                <w:sz w:val="24"/>
                <w:u w:val="none"/>
              </w:rPr>
              <w:t>č. </w:t>
            </w:r>
            <w:r w:rsidRPr="00A72949">
              <w:rPr>
                <w:rStyle w:val="InstructionsTabelleberschrift"/>
                <w:rFonts w:ascii="Times New Roman" w:hAnsi="Times New Roman"/>
                <w:b w:val="0"/>
                <w:sz w:val="24"/>
                <w:u w:val="none"/>
              </w:rPr>
              <w:t>600/2014</w:t>
            </w:r>
            <w:r w:rsidRPr="00A72949">
              <w:rPr>
                <w:rStyle w:val="FootnoteReference"/>
              </w:rPr>
              <w:footnoteReference w:id="2"/>
            </w:r>
            <w:r w:rsidRPr="00A72949">
              <w:rPr>
                <w:rStyle w:val="InstructionsTabelleberschrift"/>
                <w:rFonts w:ascii="Times New Roman" w:hAnsi="Times New Roman"/>
                <w:b w:val="0"/>
                <w:sz w:val="24"/>
                <w:u w:val="none"/>
              </w:rPr>
              <w:t>.</w:t>
            </w:r>
            <w:r w:rsidRPr="00A72949">
              <w:rPr>
                <w:rStyle w:val="InstructionsTabelleberschrift"/>
                <w:rFonts w:ascii="Times New Roman" w:hAnsi="Times New Roman"/>
                <w:sz w:val="24"/>
                <w:u w:val="none"/>
              </w:rPr>
              <w:t xml:space="preserve"> </w:t>
            </w:r>
            <w:r w:rsidRPr="00A72949">
              <w:rPr>
                <w:rStyle w:val="InstructionsTabelleberschrift"/>
                <w:rFonts w:ascii="Times New Roman" w:hAnsi="Times New Roman"/>
                <w:b w:val="0"/>
                <w:sz w:val="24"/>
                <w:u w:val="none"/>
              </w:rPr>
              <w:t>Inštitúcie</w:t>
            </w:r>
            <w:r w:rsidRPr="00A72949">
              <w:t xml:space="preserve"> vykazujú deriváty držané</w:t>
            </w:r>
            <w:r w:rsidR="00A72949">
              <w:t xml:space="preserve"> v </w:t>
            </w:r>
            <w:r w:rsidRPr="00A72949">
              <w:t xml:space="preserve">režime účtovania </w:t>
            </w:r>
            <w:proofErr w:type="spellStart"/>
            <w:r w:rsidRPr="00A72949">
              <w:t>hedžingu</w:t>
            </w:r>
            <w:proofErr w:type="spellEnd"/>
            <w:r w:rsidRPr="00A72949">
              <w:t xml:space="preserve"> podľa uplatniteľného účtovného rámca, pričom zabezpečenou položkou je aktívum citlivé na úrokovú sadzbu. </w:t>
            </w:r>
          </w:p>
        </w:tc>
      </w:tr>
      <w:tr w:rsidR="004E6C70" w:rsidRPr="00A72949" w:rsidDel="00551014" w14:paraId="76D5B7BF" w14:textId="77777777" w:rsidTr="00E73145">
        <w:tc>
          <w:tcPr>
            <w:tcW w:w="1276" w:type="dxa"/>
            <w:tcBorders>
              <w:top w:val="single" w:sz="4" w:space="0" w:color="auto"/>
              <w:left w:val="single" w:sz="4" w:space="0" w:color="auto"/>
              <w:bottom w:val="single" w:sz="4" w:space="0" w:color="auto"/>
              <w:right w:val="single" w:sz="4" w:space="0" w:color="auto"/>
            </w:tcBorders>
          </w:tcPr>
          <w:p w14:paraId="503C7EA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0160</w:t>
            </w:r>
          </w:p>
        </w:tc>
        <w:tc>
          <w:tcPr>
            <w:tcW w:w="7512" w:type="dxa"/>
            <w:tcBorders>
              <w:top w:val="single" w:sz="4" w:space="0" w:color="auto"/>
              <w:left w:val="single" w:sz="4" w:space="0" w:color="auto"/>
              <w:bottom w:val="single" w:sz="4" w:space="0" w:color="auto"/>
              <w:right w:val="single" w:sz="4" w:space="0" w:color="auto"/>
            </w:tcBorders>
          </w:tcPr>
          <w:p w14:paraId="3BD31FA3" w14:textId="77777777" w:rsidR="004E6C70" w:rsidRPr="00A72949" w:rsidRDefault="004E6C70" w:rsidP="00E73145">
            <w:pPr>
              <w:pStyle w:val="InstructionsText"/>
              <w:rPr>
                <w:rStyle w:val="InstructionsTabelleberschrift"/>
                <w:rFonts w:ascii="Times New Roman" w:hAnsi="Times New Roman"/>
                <w:sz w:val="24"/>
              </w:rPr>
            </w:pPr>
            <w:proofErr w:type="spellStart"/>
            <w:r w:rsidRPr="00A72949">
              <w:rPr>
                <w:rStyle w:val="InstructionsTabelleberschrift"/>
                <w:rFonts w:ascii="Times New Roman" w:hAnsi="Times New Roman"/>
                <w:sz w:val="24"/>
              </w:rPr>
              <w:t>Hedžing</w:t>
            </w:r>
            <w:proofErr w:type="spellEnd"/>
            <w:r w:rsidRPr="00A72949">
              <w:rPr>
                <w:rStyle w:val="InstructionsTabelleberschrift"/>
                <w:rFonts w:ascii="Times New Roman" w:hAnsi="Times New Roman"/>
                <w:sz w:val="24"/>
              </w:rPr>
              <w:t xml:space="preserve"> dlhových cenných papierov</w:t>
            </w:r>
          </w:p>
          <w:p w14:paraId="2D7183B0" w14:textId="08230446" w:rsidR="004E6C70" w:rsidRPr="00A72949" w:rsidRDefault="004E6C70" w:rsidP="00E73145">
            <w:pPr>
              <w:pStyle w:val="InstructionsText"/>
              <w:rPr>
                <w:rStyle w:val="InstructionsTabelleberschrift"/>
                <w:rFonts w:ascii="Times New Roman" w:hAnsi="Times New Roman"/>
                <w:b w:val="0"/>
                <w:sz w:val="24"/>
                <w:u w:val="none"/>
              </w:rPr>
            </w:pPr>
            <w:r w:rsidRPr="00A72949">
              <w:t>Deriváty</w:t>
            </w:r>
            <w:r w:rsidR="00A72949">
              <w:t xml:space="preserve"> v </w:t>
            </w:r>
            <w:r w:rsidRPr="00A72949">
              <w:t xml:space="preserve">rámci účtovania </w:t>
            </w:r>
            <w:proofErr w:type="spellStart"/>
            <w:r w:rsidRPr="00A72949">
              <w:t>hedžingu</w:t>
            </w:r>
            <w:proofErr w:type="spellEnd"/>
            <w:r w:rsidRPr="00A72949">
              <w:t xml:space="preserve">, </w:t>
            </w:r>
            <w:r w:rsidRPr="00A72949">
              <w:rPr>
                <w:rStyle w:val="InstructionsTabelleberschrift"/>
                <w:rFonts w:ascii="Times New Roman" w:hAnsi="Times New Roman"/>
                <w:b w:val="0"/>
                <w:sz w:val="24"/>
                <w:u w:val="none"/>
              </w:rPr>
              <w:t xml:space="preserve">ktorými sa zabezpečujú aktíva, ktoré sú dlhovými cennými papiermi. </w:t>
            </w:r>
          </w:p>
        </w:tc>
      </w:tr>
      <w:tr w:rsidR="004E6C70" w:rsidRPr="00A72949" w:rsidDel="00551014" w14:paraId="2A6DB4CA" w14:textId="77777777" w:rsidTr="00E73145">
        <w:tc>
          <w:tcPr>
            <w:tcW w:w="1276" w:type="dxa"/>
            <w:tcBorders>
              <w:top w:val="single" w:sz="4" w:space="0" w:color="auto"/>
              <w:left w:val="single" w:sz="4" w:space="0" w:color="auto"/>
              <w:bottom w:val="single" w:sz="4" w:space="0" w:color="auto"/>
              <w:right w:val="single" w:sz="4" w:space="0" w:color="auto"/>
            </w:tcBorders>
          </w:tcPr>
          <w:p w14:paraId="7FF71F2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0170</w:t>
            </w:r>
          </w:p>
        </w:tc>
        <w:tc>
          <w:tcPr>
            <w:tcW w:w="7512" w:type="dxa"/>
            <w:tcBorders>
              <w:top w:val="single" w:sz="4" w:space="0" w:color="auto"/>
              <w:left w:val="single" w:sz="4" w:space="0" w:color="auto"/>
              <w:bottom w:val="single" w:sz="4" w:space="0" w:color="auto"/>
              <w:right w:val="single" w:sz="4" w:space="0" w:color="auto"/>
            </w:tcBorders>
          </w:tcPr>
          <w:p w14:paraId="46733CA3" w14:textId="77777777" w:rsidR="004E6C70" w:rsidRPr="00A72949" w:rsidRDefault="004E6C70" w:rsidP="00E73145">
            <w:pPr>
              <w:pStyle w:val="InstructionsText"/>
              <w:rPr>
                <w:rStyle w:val="InstructionsTabelleberschrift"/>
                <w:rFonts w:ascii="Times New Roman" w:hAnsi="Times New Roman"/>
                <w:sz w:val="24"/>
              </w:rPr>
            </w:pPr>
            <w:proofErr w:type="spellStart"/>
            <w:r w:rsidRPr="00A72949">
              <w:rPr>
                <w:rStyle w:val="InstructionsTabelleberschrift"/>
                <w:rFonts w:ascii="Times New Roman" w:hAnsi="Times New Roman"/>
                <w:sz w:val="24"/>
              </w:rPr>
              <w:t>Hedžing</w:t>
            </w:r>
            <w:proofErr w:type="spellEnd"/>
            <w:r w:rsidRPr="00A72949">
              <w:rPr>
                <w:rStyle w:val="InstructionsTabelleberschrift"/>
                <w:rFonts w:ascii="Times New Roman" w:hAnsi="Times New Roman"/>
                <w:sz w:val="24"/>
              </w:rPr>
              <w:t xml:space="preserve"> ostatných aktív</w:t>
            </w:r>
          </w:p>
          <w:p w14:paraId="4DEA23D6" w14:textId="1DB823BF" w:rsidR="004E6C70" w:rsidRPr="00A72949" w:rsidRDefault="004E6C70" w:rsidP="00E73145">
            <w:pPr>
              <w:pStyle w:val="InstructionsText"/>
              <w:rPr>
                <w:rStyle w:val="InstructionsTabelleberschrift"/>
                <w:rFonts w:ascii="Times New Roman" w:hAnsi="Times New Roman"/>
                <w:sz w:val="24"/>
              </w:rPr>
            </w:pPr>
            <w:r w:rsidRPr="00A72949">
              <w:t>Deriváty</w:t>
            </w:r>
            <w:r w:rsidR="00A72949">
              <w:t xml:space="preserve"> v </w:t>
            </w:r>
            <w:r w:rsidRPr="00A72949">
              <w:t xml:space="preserve">rámci účtovania </w:t>
            </w:r>
            <w:proofErr w:type="spellStart"/>
            <w:r w:rsidRPr="00A72949">
              <w:t>hedžingu</w:t>
            </w:r>
            <w:proofErr w:type="spellEnd"/>
            <w:r w:rsidRPr="00A72949">
              <w:t xml:space="preserve">, </w:t>
            </w:r>
            <w:r w:rsidRPr="00A72949">
              <w:rPr>
                <w:rStyle w:val="InstructionsTabelleberschrift"/>
                <w:rFonts w:ascii="Times New Roman" w:hAnsi="Times New Roman"/>
                <w:b w:val="0"/>
                <w:sz w:val="24"/>
                <w:u w:val="none"/>
              </w:rPr>
              <w:t>ktorými sa zabezpečujú aktíva, ktoré nie sú dlhovými cennými papiermi.</w:t>
            </w:r>
          </w:p>
        </w:tc>
      </w:tr>
      <w:tr w:rsidR="004E6C70" w:rsidRPr="00A72949" w14:paraId="400C6C15" w14:textId="77777777" w:rsidTr="00E73145">
        <w:tc>
          <w:tcPr>
            <w:tcW w:w="1276" w:type="dxa"/>
            <w:tcBorders>
              <w:top w:val="single" w:sz="4" w:space="0" w:color="auto"/>
              <w:left w:val="single" w:sz="4" w:space="0" w:color="auto"/>
              <w:bottom w:val="single" w:sz="4" w:space="0" w:color="auto"/>
              <w:right w:val="single" w:sz="4" w:space="0" w:color="auto"/>
            </w:tcBorders>
          </w:tcPr>
          <w:p w14:paraId="4DBD806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79F2B84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Ostatné</w:t>
            </w:r>
          </w:p>
          <w:p w14:paraId="6F94F1C8"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V tomto riadku sa vykazujú ostatné súvahové aktíva citlivé na úrokové sadzby</w:t>
            </w:r>
            <w:r w:rsidRPr="00A72949">
              <w:t>, ktoré nepatria do vyššie uvedených riadkov.</w:t>
            </w:r>
          </w:p>
        </w:tc>
      </w:tr>
      <w:tr w:rsidR="004E6C70" w:rsidRPr="00A72949" w14:paraId="599EFF81" w14:textId="77777777" w:rsidTr="00E73145">
        <w:tc>
          <w:tcPr>
            <w:tcW w:w="1276" w:type="dxa"/>
            <w:tcBorders>
              <w:top w:val="single" w:sz="4" w:space="0" w:color="auto"/>
              <w:left w:val="single" w:sz="4" w:space="0" w:color="auto"/>
              <w:bottom w:val="single" w:sz="4" w:space="0" w:color="auto"/>
              <w:right w:val="single" w:sz="4" w:space="0" w:color="auto"/>
            </w:tcBorders>
          </w:tcPr>
          <w:p w14:paraId="379B472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5B05A817" w14:textId="77777777" w:rsidR="004E6C70" w:rsidRPr="00A72949" w:rsidRDefault="004E6C70" w:rsidP="00E73145">
            <w:pPr>
              <w:pStyle w:val="InstructionsText"/>
              <w:rPr>
                <w:rStyle w:val="InstructionsTabelleberschrift"/>
                <w:rFonts w:ascii="Times New Roman" w:hAnsi="Times New Roman"/>
                <w:bCs w:val="0"/>
                <w:sz w:val="24"/>
              </w:rPr>
            </w:pPr>
            <w:bookmarkStart w:id="48" w:name="_Hlk120269837"/>
            <w:r w:rsidRPr="00A72949">
              <w:rPr>
                <w:rStyle w:val="InstructionsTabelleberschrift"/>
                <w:rFonts w:ascii="Times New Roman" w:hAnsi="Times New Roman"/>
                <w:sz w:val="24"/>
              </w:rPr>
              <w:t>Podsúvahové aktíva: podmienené aktíva</w:t>
            </w:r>
          </w:p>
          <w:bookmarkEnd w:id="48"/>
          <w:p w14:paraId="678C0682" w14:textId="6991F996" w:rsid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Podsúvahové aktíva uvedené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prílohe I</w:t>
            </w:r>
            <w:r w:rsidR="00A72949">
              <w:rPr>
                <w:rStyle w:val="InstructionsTabelleberschrift"/>
                <w:rFonts w:ascii="Times New Roman" w:hAnsi="Times New Roman"/>
                <w:b w:val="0"/>
                <w:sz w:val="24"/>
                <w:u w:val="none"/>
              </w:rPr>
              <w:t xml:space="preserve"> k </w:t>
            </w:r>
            <w:r w:rsidRPr="00A72949">
              <w:t xml:space="preserve">nariadeniu (EÚ) </w:t>
            </w:r>
            <w:r w:rsidR="00A72949">
              <w:t>č. </w:t>
            </w:r>
            <w:r w:rsidRPr="00A72949">
              <w:t xml:space="preserve">575/2013, </w:t>
            </w:r>
            <w:r w:rsidRPr="00A72949">
              <w:rPr>
                <w:rStyle w:val="InstructionsTabelleberschrift"/>
                <w:rFonts w:ascii="Times New Roman" w:hAnsi="Times New Roman"/>
                <w:b w:val="0"/>
                <w:sz w:val="24"/>
                <w:u w:val="none"/>
              </w:rPr>
              <w:t>ktoré sú citlivé na úrokovú sadzbu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ktoré patria do rozsahu pôsobnosti delegovaného nariadenia (EÚ) .../... (Úrad pre publikácie: doplňte odkaz na</w:t>
            </w:r>
            <w:r w:rsidRPr="00A72949">
              <w:t xml:space="preserve"> regulačné technické predpisy</w:t>
            </w:r>
            <w:r w:rsidR="00A72949">
              <w:t xml:space="preserve"> o </w:t>
            </w:r>
            <w:r w:rsidRPr="00A72949">
              <w:t>SOT)</w:t>
            </w:r>
            <w:r w:rsidR="00A72949">
              <w:rPr>
                <w:rStyle w:val="InstructionsTabelleberschrift"/>
                <w:rFonts w:ascii="Times New Roman" w:hAnsi="Times New Roman"/>
                <w:b w:val="0"/>
                <w:sz w:val="24"/>
                <w:u w:val="none"/>
              </w:rPr>
              <w:t>.</w:t>
            </w:r>
          </w:p>
          <w:p w14:paraId="59140493" w14:textId="5D87A65E" w:rsidR="004E6C70" w:rsidRP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Do tohto riadku sa zahŕňajú aj úverové prísľuby</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potenciálnymi dlžníkmi</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pevnou úrokovou sadzbou.</w:t>
            </w:r>
          </w:p>
          <w:p w14:paraId="7000613B" w14:textId="650AFB06"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Úverový prísľub sa vykazuje ako kombinácia krátkej</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dlhej pozície. Ide</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úverový prísľub</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pevnou úrokovou sadzbou,</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rámci ktorého má inštitúcia dlhú pozíciu</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úvere pri vzniku prísľubu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krátku pozíciu</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momente, keď sa má úver čerpať. Inštitúcie vykazujú dlhé pozície ako aktíva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krátku pozíciu ako záväzky.</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tomto riadku vykazujú len podmienené nástroje, ktoré sa kvalifikujú ako aktíva.</w:t>
            </w:r>
          </w:p>
        </w:tc>
      </w:tr>
      <w:tr w:rsidR="004E6C70" w:rsidRPr="00A72949" w14:paraId="7A7A4DA5" w14:textId="77777777" w:rsidTr="00E73145">
        <w:tc>
          <w:tcPr>
            <w:tcW w:w="1276" w:type="dxa"/>
            <w:tcBorders>
              <w:top w:val="single" w:sz="4" w:space="0" w:color="auto"/>
              <w:left w:val="single" w:sz="4" w:space="0" w:color="auto"/>
              <w:bottom w:val="single" w:sz="4" w:space="0" w:color="auto"/>
              <w:right w:val="single" w:sz="4" w:space="0" w:color="auto"/>
            </w:tcBorders>
          </w:tcPr>
          <w:p w14:paraId="43BCE76E" w14:textId="77777777" w:rsidR="004E6C70" w:rsidRPr="00A72949" w:rsidDel="001D16D7"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0200</w:t>
            </w:r>
          </w:p>
        </w:tc>
        <w:tc>
          <w:tcPr>
            <w:tcW w:w="7512" w:type="dxa"/>
            <w:tcBorders>
              <w:top w:val="single" w:sz="4" w:space="0" w:color="auto"/>
              <w:left w:val="single" w:sz="4" w:space="0" w:color="auto"/>
              <w:bottom w:val="single" w:sz="4" w:space="0" w:color="auto"/>
              <w:right w:val="single" w:sz="4" w:space="0" w:color="auto"/>
            </w:tcBorders>
          </w:tcPr>
          <w:p w14:paraId="4107528F"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Celkové záväzky</w:t>
            </w:r>
          </w:p>
          <w:p w14:paraId="69B1EA0C" w14:textId="33825610" w:rsid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Celkové záväzky citlivé na úrokové sadzby</w:t>
            </w:r>
            <w:r w:rsidR="00A72949">
              <w:t xml:space="preserve"> v </w:t>
            </w:r>
            <w:r w:rsidRPr="00A72949">
              <w:t xml:space="preserve">rozsahu pôsobnosti </w:t>
            </w:r>
            <w:r w:rsidRPr="00A72949">
              <w:lastRenderedPageBreak/>
              <w:t>delegovaného nariadenia (EÚ) .../... (Úrad pre publikácie: doplňte odkaz na regulačné technické predpisy</w:t>
            </w:r>
            <w:r w:rsidR="00A72949">
              <w:t xml:space="preserve"> o </w:t>
            </w:r>
            <w:r w:rsidRPr="00A72949">
              <w:t>SOT)</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bez ohľadu na ich postup účtovania. Tento riadok zahŕňa</w:t>
            </w:r>
            <w:r w:rsidR="00A72949">
              <w:rPr>
                <w:rStyle w:val="FormatvorlageInstructionsTabelleText"/>
                <w:rFonts w:ascii="Times New Roman" w:hAnsi="Times New Roman"/>
                <w:sz w:val="24"/>
              </w:rPr>
              <w:t>:</w:t>
            </w:r>
          </w:p>
          <w:p w14:paraId="3080CEEB" w14:textId="62CCE674"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 záväzky voči centrálnym bankám;</w:t>
            </w:r>
          </w:p>
          <w:p w14:paraId="588EE7A9" w14:textId="77777777" w:rsidR="004E6C70" w:rsidRPr="00A72949" w:rsidRDefault="004E6C70" w:rsidP="00E73145">
            <w:pPr>
              <w:pStyle w:val="InstructionsText"/>
              <w:rPr>
                <w:rStyle w:val="FormatvorlageInstructionsTabelleText"/>
                <w:rFonts w:ascii="Times New Roman" w:hAnsi="Times New Roman"/>
                <w:b/>
                <w:sz w:val="24"/>
                <w:u w:val="single"/>
              </w:rPr>
            </w:pPr>
            <w:r w:rsidRPr="00A72949">
              <w:rPr>
                <w:rStyle w:val="FormatvorlageInstructionsTabelleText"/>
                <w:rFonts w:ascii="Times New Roman" w:hAnsi="Times New Roman"/>
                <w:sz w:val="24"/>
              </w:rPr>
              <w:t>– medzibankové záväzky;</w:t>
            </w:r>
          </w:p>
          <w:p w14:paraId="7D5A1382"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emitované dlhové cenné papiere;</w:t>
            </w:r>
          </w:p>
          <w:p w14:paraId="03AB6F9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vklady splatné na požiadanie;</w:t>
            </w:r>
          </w:p>
          <w:p w14:paraId="62E5D0F2"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termínované vklady;</w:t>
            </w:r>
          </w:p>
          <w:p w14:paraId="258DB7D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deriváty, ktorými sa zabezpečujú záväzky;</w:t>
            </w:r>
          </w:p>
          <w:p w14:paraId="48D3A553" w14:textId="77777777" w:rsidR="004E6C70" w:rsidRP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 iné.</w:t>
            </w:r>
          </w:p>
        </w:tc>
      </w:tr>
      <w:tr w:rsidR="004E6C70" w:rsidRPr="00A72949" w14:paraId="5B528EFC" w14:textId="77777777" w:rsidTr="00E73145">
        <w:tc>
          <w:tcPr>
            <w:tcW w:w="1276" w:type="dxa"/>
            <w:tcBorders>
              <w:top w:val="single" w:sz="4" w:space="0" w:color="auto"/>
              <w:left w:val="single" w:sz="4" w:space="0" w:color="auto"/>
              <w:bottom w:val="single" w:sz="4" w:space="0" w:color="auto"/>
              <w:right w:val="single" w:sz="4" w:space="0" w:color="auto"/>
            </w:tcBorders>
          </w:tcPr>
          <w:p w14:paraId="4101B3B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170DAF71"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 čoho:</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 xml:space="preserve">dôsledku automatickej </w:t>
            </w:r>
            <w:proofErr w:type="spellStart"/>
            <w:r w:rsidRPr="00A72949">
              <w:rPr>
                <w:rStyle w:val="InstructionsTabelleberschrift"/>
                <w:rFonts w:ascii="Times New Roman" w:hAnsi="Times New Roman"/>
                <w:sz w:val="24"/>
              </w:rPr>
              <w:t>opcionality</w:t>
            </w:r>
            <w:proofErr w:type="spellEnd"/>
          </w:p>
          <w:p w14:paraId="753DB4EB" w14:textId="2625E6A3" w:rsidR="004E6C70" w:rsidRPr="00A72949" w:rsidRDefault="004E6C70" w:rsidP="00E73145">
            <w:pPr>
              <w:pStyle w:val="InstructionsText"/>
              <w:rPr>
                <w:rStyle w:val="InstructionsTabelleberschrift"/>
                <w:rFonts w:ascii="Times New Roman" w:hAnsi="Times New Roman"/>
                <w:sz w:val="24"/>
              </w:rPr>
            </w:pPr>
            <w:r w:rsidRPr="00A72949">
              <w:t>Príspevok vloženej</w:t>
            </w:r>
            <w:r w:rsidR="00A72949">
              <w:t xml:space="preserve"> a </w:t>
            </w:r>
            <w:r w:rsidRPr="00A72949">
              <w:t xml:space="preserve">explicitnej automatickej </w:t>
            </w:r>
            <w:proofErr w:type="spellStart"/>
            <w:r w:rsidRPr="00A72949">
              <w:t>opcionality</w:t>
            </w:r>
            <w:proofErr w:type="spellEnd"/>
            <w:r w:rsidR="00A72949">
              <w:t xml:space="preserve"> k </w:t>
            </w:r>
            <w:r w:rsidRPr="00A72949">
              <w:t>celkovým záväzkom citlivým na úrokové sadzby</w:t>
            </w:r>
            <w:r w:rsidR="00A72949">
              <w:t xml:space="preserve"> v </w:t>
            </w:r>
            <w:r w:rsidRPr="00A72949">
              <w:t>rozsahu pôsobnosti delegovaného nariadenia (EÚ) .../... (Úrad pre publikácie: doplňte odkaz na regulačné technické predpisy</w:t>
            </w:r>
            <w:r w:rsidR="00A72949">
              <w:t xml:space="preserve"> o </w:t>
            </w:r>
            <w:r w:rsidRPr="00A72949">
              <w:t>SOT) bez ohľadu na ich postup účtovania.</w:t>
            </w:r>
          </w:p>
        </w:tc>
      </w:tr>
      <w:tr w:rsidR="004E6C70" w:rsidRPr="00A72949" w14:paraId="18FC70EC" w14:textId="77777777" w:rsidTr="00E73145">
        <w:tc>
          <w:tcPr>
            <w:tcW w:w="1276" w:type="dxa"/>
            <w:tcBorders>
              <w:top w:val="single" w:sz="4" w:space="0" w:color="auto"/>
              <w:left w:val="single" w:sz="4" w:space="0" w:color="auto"/>
              <w:bottom w:val="single" w:sz="4" w:space="0" w:color="auto"/>
              <w:right w:val="single" w:sz="4" w:space="0" w:color="auto"/>
            </w:tcBorders>
          </w:tcPr>
          <w:p w14:paraId="09443DE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235A85C1"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Centrálna banka</w:t>
            </w:r>
          </w:p>
          <w:p w14:paraId="0AAFE54D" w14:textId="03104CAF" w:rsidR="004E6C70" w:rsidRP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Záväzky</w:t>
            </w:r>
            <w:r w:rsidRPr="00A72949">
              <w:t xml:space="preserve"> voči centrálnym bankám, ako sa uvádza</w:t>
            </w:r>
            <w:r w:rsidR="00A72949">
              <w:t xml:space="preserve"> v </w:t>
            </w:r>
            <w:r w:rsidRPr="00A72949">
              <w:t>časti 1 bode 42 písm. a) prílohy</w:t>
            </w:r>
            <w:r w:rsidR="00A72949">
              <w:t xml:space="preserve"> V k </w:t>
            </w:r>
            <w:r w:rsidRPr="00A72949">
              <w:t>tomuto nariadeniu.</w:t>
            </w:r>
          </w:p>
        </w:tc>
      </w:tr>
      <w:tr w:rsidR="004E6C70" w:rsidRPr="00A72949" w14:paraId="417682C3" w14:textId="77777777" w:rsidTr="00E73145">
        <w:tc>
          <w:tcPr>
            <w:tcW w:w="1276" w:type="dxa"/>
            <w:tcBorders>
              <w:top w:val="single" w:sz="4" w:space="0" w:color="auto"/>
              <w:left w:val="single" w:sz="4" w:space="0" w:color="auto"/>
              <w:bottom w:val="single" w:sz="4" w:space="0" w:color="auto"/>
              <w:right w:val="single" w:sz="4" w:space="0" w:color="auto"/>
            </w:tcBorders>
          </w:tcPr>
          <w:p w14:paraId="2784DF2F" w14:textId="77777777" w:rsidR="004E6C70" w:rsidRPr="00A72949" w:rsidDel="00103272"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0230</w:t>
            </w:r>
          </w:p>
        </w:tc>
        <w:tc>
          <w:tcPr>
            <w:tcW w:w="7512" w:type="dxa"/>
            <w:tcBorders>
              <w:top w:val="single" w:sz="4" w:space="0" w:color="auto"/>
              <w:left w:val="single" w:sz="4" w:space="0" w:color="auto"/>
              <w:bottom w:val="single" w:sz="4" w:space="0" w:color="auto"/>
              <w:right w:val="single" w:sz="4" w:space="0" w:color="auto"/>
            </w:tcBorders>
          </w:tcPr>
          <w:p w14:paraId="2F72D28F"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Medzibankové</w:t>
            </w:r>
          </w:p>
          <w:p w14:paraId="63049289" w14:textId="06370C41"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Všetky záväzky, ktorých protistranou je úverová inštitúcia</w:t>
            </w:r>
            <w:r w:rsidRPr="00A72949">
              <w:t>, ako sa uvádza</w:t>
            </w:r>
            <w:r w:rsidR="00A72949">
              <w:t xml:space="preserve"> v </w:t>
            </w:r>
            <w:r w:rsidRPr="00A72949">
              <w:t>časti 1 bode 42 písm. c) prílohy</w:t>
            </w:r>
            <w:r w:rsidR="00A72949">
              <w:t xml:space="preserve"> V k </w:t>
            </w:r>
            <w:r w:rsidRPr="00A72949">
              <w:t>tomuto nariadeniu,</w:t>
            </w:r>
            <w:r w:rsidR="00A72949">
              <w:t xml:space="preserve"> s </w:t>
            </w:r>
            <w:r w:rsidRPr="00A72949">
              <w:t>výnimkou cenných papierov</w:t>
            </w:r>
            <w:r w:rsidR="00A72949">
              <w:t xml:space="preserve"> a </w:t>
            </w:r>
            <w:r w:rsidRPr="00A72949">
              <w:t>derivátových expozícií.</w:t>
            </w:r>
          </w:p>
        </w:tc>
      </w:tr>
      <w:tr w:rsidR="004E6C70" w:rsidRPr="00A72949" w14:paraId="18F7A1D2" w14:textId="77777777" w:rsidTr="00E73145">
        <w:tc>
          <w:tcPr>
            <w:tcW w:w="1276" w:type="dxa"/>
            <w:tcBorders>
              <w:top w:val="single" w:sz="4" w:space="0" w:color="auto"/>
              <w:left w:val="single" w:sz="4" w:space="0" w:color="auto"/>
              <w:bottom w:val="single" w:sz="4" w:space="0" w:color="auto"/>
              <w:right w:val="single" w:sz="4" w:space="0" w:color="auto"/>
            </w:tcBorders>
          </w:tcPr>
          <w:p w14:paraId="7A83496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7CB1A4E4"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Emitované dlhové cenné papiere</w:t>
            </w:r>
          </w:p>
          <w:p w14:paraId="1E400474" w14:textId="62CA0F16" w:rsidR="004E6C70" w:rsidRPr="00A72949" w:rsidRDefault="004E6C70" w:rsidP="00E73145">
            <w:pPr>
              <w:pStyle w:val="Baseparagraphnumbered"/>
              <w:numPr>
                <w:ilvl w:val="0"/>
                <w:numId w:val="0"/>
              </w:numPr>
              <w:suppressAutoHyphens/>
              <w:jc w:val="left"/>
              <w:rPr>
                <w:rStyle w:val="InstructionsTabelleberschrift"/>
                <w:rFonts w:ascii="Times New Roman" w:hAnsi="Times New Roman"/>
                <w:b w:val="0"/>
                <w:sz w:val="24"/>
                <w:szCs w:val="24"/>
                <w:u w:val="none"/>
              </w:rPr>
            </w:pPr>
            <w:r w:rsidRPr="00A72949">
              <w:rPr>
                <w:rStyle w:val="InstructionsTabelleberschrift"/>
                <w:rFonts w:ascii="Times New Roman" w:hAnsi="Times New Roman"/>
                <w:b w:val="0"/>
                <w:sz w:val="24"/>
                <w:u w:val="none"/>
              </w:rPr>
              <w:t>Dlhové nástroje, ktoré inštitúcia emitovala ako cenné papiere</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ktoré nie sú vkladmi, ako sa uvádza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časti 1 bode 37 prílohy</w:t>
            </w:r>
            <w:r w:rsidR="00A72949">
              <w:rPr>
                <w:rStyle w:val="InstructionsTabelleberschrift"/>
                <w:rFonts w:ascii="Times New Roman" w:hAnsi="Times New Roman"/>
                <w:b w:val="0"/>
                <w:sz w:val="24"/>
                <w:u w:val="none"/>
              </w:rPr>
              <w:t xml:space="preserve"> V k </w:t>
            </w:r>
            <w:r w:rsidRPr="00A72949">
              <w:rPr>
                <w:rStyle w:val="InstructionsTabelleberschrift"/>
                <w:rFonts w:ascii="Times New Roman" w:hAnsi="Times New Roman"/>
                <w:b w:val="0"/>
                <w:sz w:val="24"/>
                <w:u w:val="none"/>
              </w:rPr>
              <w:t>tomuto</w:t>
            </w:r>
            <w:r w:rsidRPr="00A72949">
              <w:t xml:space="preserve"> nariadeniu.</w:t>
            </w:r>
          </w:p>
        </w:tc>
      </w:tr>
      <w:tr w:rsidR="004E6C70" w:rsidRPr="00A72949" w14:paraId="4A79F6E0" w14:textId="77777777" w:rsidTr="00E73145">
        <w:tc>
          <w:tcPr>
            <w:tcW w:w="1276" w:type="dxa"/>
            <w:tcBorders>
              <w:top w:val="single" w:sz="4" w:space="0" w:color="auto"/>
              <w:left w:val="single" w:sz="4" w:space="0" w:color="auto"/>
              <w:bottom w:val="single" w:sz="4" w:space="0" w:color="auto"/>
              <w:right w:val="single" w:sz="4" w:space="0" w:color="auto"/>
            </w:tcBorders>
          </w:tcPr>
          <w:p w14:paraId="6F07BA4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1682DA9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xml:space="preserve">Z čoho: vedľajší kapitál </w:t>
            </w:r>
            <w:proofErr w:type="spellStart"/>
            <w:r w:rsidRPr="00A72949">
              <w:rPr>
                <w:rStyle w:val="InstructionsTabelleberschrift"/>
                <w:rFonts w:ascii="Times New Roman" w:hAnsi="Times New Roman"/>
                <w:sz w:val="24"/>
              </w:rPr>
              <w:t>Tier</w:t>
            </w:r>
            <w:proofErr w:type="spellEnd"/>
            <w:r w:rsidRPr="00A72949">
              <w:rPr>
                <w:rStyle w:val="InstructionsTabelleberschrift"/>
                <w:rFonts w:ascii="Times New Roman" w:hAnsi="Times New Roman"/>
                <w:sz w:val="24"/>
              </w:rPr>
              <w:t xml:space="preserve"> 1 alebo kapitál </w:t>
            </w:r>
            <w:proofErr w:type="spellStart"/>
            <w:r w:rsidRPr="00A72949">
              <w:rPr>
                <w:rStyle w:val="InstructionsTabelleberschrift"/>
                <w:rFonts w:ascii="Times New Roman" w:hAnsi="Times New Roman"/>
                <w:sz w:val="24"/>
              </w:rPr>
              <w:t>Tier</w:t>
            </w:r>
            <w:proofErr w:type="spellEnd"/>
            <w:r w:rsidRPr="00A72949">
              <w:rPr>
                <w:rStyle w:val="InstructionsTabelleberschrift"/>
                <w:rFonts w:ascii="Times New Roman" w:hAnsi="Times New Roman"/>
                <w:sz w:val="24"/>
              </w:rPr>
              <w:t xml:space="preserve"> 2</w:t>
            </w:r>
          </w:p>
          <w:p w14:paraId="35098D2E" w14:textId="25656D37" w:rsidR="004E6C70" w:rsidRPr="00A72949" w:rsidRDefault="004E6C70" w:rsidP="00E73145">
            <w:pPr>
              <w:pStyle w:val="InstructionsText"/>
            </w:pPr>
            <w:r w:rsidRPr="00A72949">
              <w:rPr>
                <w:rStyle w:val="InstructionsTabelleberschrift"/>
                <w:rFonts w:ascii="Times New Roman" w:hAnsi="Times New Roman"/>
                <w:b w:val="0"/>
                <w:sz w:val="24"/>
                <w:u w:val="none"/>
              </w:rPr>
              <w:t>Dlhové cenné papiere emitované</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súlade</w:t>
            </w:r>
            <w:r w:rsidR="00A72949">
              <w:rPr>
                <w:rStyle w:val="InstructionsTabelleberschrift"/>
                <w:rFonts w:ascii="Times New Roman" w:hAnsi="Times New Roman"/>
                <w:b w:val="0"/>
                <w:sz w:val="24"/>
                <w:u w:val="none"/>
              </w:rPr>
              <w:t xml:space="preserve"> s </w:t>
            </w:r>
            <w:r w:rsidRPr="00A72949">
              <w:rPr>
                <w:rStyle w:val="FormatvorlageInstructionsTabelleText"/>
                <w:rFonts w:ascii="Times New Roman" w:hAnsi="Times New Roman"/>
                <w:sz w:val="24"/>
              </w:rPr>
              <w:t>článkom 61 alebo 71</w:t>
            </w:r>
            <w:r w:rsidRPr="00A72949">
              <w:t xml:space="preserve"> nariadenia (EÚ) </w:t>
            </w:r>
            <w:r w:rsidR="00A72949">
              <w:t>č. </w:t>
            </w:r>
            <w:r w:rsidRPr="00A72949">
              <w:t>575/2013</w:t>
            </w:r>
            <w:r w:rsidR="00A72949">
              <w:t xml:space="preserve"> s </w:t>
            </w:r>
            <w:r w:rsidRPr="00A72949">
              <w:t>výnimkou trvalých vlastných zdrojov bez akýchkoľvek dátumov uplatnenia kúpnej opcie [článok 3 delegovaného nariadenia (EÚ) .../... (Úrad pre publikácie: doplňte odkaz na regulačné technické predpisy</w:t>
            </w:r>
            <w:r w:rsidR="00A72949">
              <w:t xml:space="preserve"> o </w:t>
            </w:r>
            <w:r w:rsidRPr="00A72949">
              <w:t>SOT)].</w:t>
            </w:r>
          </w:p>
        </w:tc>
      </w:tr>
      <w:tr w:rsidR="004E6C70" w:rsidRPr="00A72949" w14:paraId="34F99191" w14:textId="77777777" w:rsidTr="00E73145">
        <w:tc>
          <w:tcPr>
            <w:tcW w:w="1276" w:type="dxa"/>
            <w:tcBorders>
              <w:top w:val="single" w:sz="4" w:space="0" w:color="auto"/>
              <w:left w:val="single" w:sz="4" w:space="0" w:color="auto"/>
              <w:bottom w:val="single" w:sz="4" w:space="0" w:color="auto"/>
              <w:right w:val="single" w:sz="4" w:space="0" w:color="auto"/>
            </w:tcBorders>
          </w:tcPr>
          <w:p w14:paraId="4400CF0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6E144A90"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 xml:space="preserve">NMD: </w:t>
            </w:r>
            <w:proofErr w:type="spellStart"/>
            <w:r w:rsidRPr="00A72949">
              <w:rPr>
                <w:rStyle w:val="InstructionsTabelleberschrift"/>
                <w:rFonts w:ascii="Times New Roman" w:hAnsi="Times New Roman"/>
                <w:sz w:val="24"/>
              </w:rPr>
              <w:t>retailové</w:t>
            </w:r>
            <w:proofErr w:type="spellEnd"/>
            <w:r w:rsidRPr="00A72949">
              <w:rPr>
                <w:rStyle w:val="InstructionsTabelleberschrift"/>
                <w:rFonts w:ascii="Times New Roman" w:hAnsi="Times New Roman"/>
                <w:sz w:val="24"/>
              </w:rPr>
              <w:t xml:space="preserve"> transakčné</w:t>
            </w:r>
          </w:p>
          <w:p w14:paraId="1B7D6788" w14:textId="68DC6DB6" w:rsidR="004E6C70" w:rsidRPr="00A72949" w:rsidRDefault="004E6C70" w:rsidP="00E73145">
            <w:pPr>
              <w:pStyle w:val="InstructionsText"/>
              <w:rPr>
                <w:rStyle w:val="InstructionsTabelleberschrift"/>
                <w:rFonts w:ascii="Times New Roman" w:hAnsi="Times New Roman"/>
                <w:b w:val="0"/>
                <w:bCs w:val="0"/>
                <w:sz w:val="24"/>
                <w:u w:val="none"/>
              </w:rPr>
            </w:pPr>
            <w:proofErr w:type="spellStart"/>
            <w:r w:rsidRPr="00A72949">
              <w:t>Retailové</w:t>
            </w:r>
            <w:proofErr w:type="spellEnd"/>
            <w:r w:rsidRPr="00A72949">
              <w:t xml:space="preserve"> vklady splatné na požiadanie držané na transakčnom účte</w:t>
            </w:r>
            <w:r w:rsidR="00A72949">
              <w:t xml:space="preserve"> v </w:t>
            </w:r>
            <w:r w:rsidRPr="00A72949">
              <w:t>zmysle vymedzenia</w:t>
            </w:r>
            <w:r w:rsidR="00A72949">
              <w:t xml:space="preserve"> v </w:t>
            </w:r>
            <w:r w:rsidRPr="00A72949">
              <w:t>článku 1 bode 10 delegovaného nariadenia (EÚ) .../... (Úrad pre publikácie: doplňte odkaz na regulačné technické predpisy</w:t>
            </w:r>
            <w:r w:rsidR="00A72949">
              <w:t xml:space="preserve"> o </w:t>
            </w:r>
            <w:r w:rsidRPr="00A72949">
              <w:t xml:space="preserve">SA). </w:t>
            </w:r>
            <w:proofErr w:type="spellStart"/>
            <w:r w:rsidRPr="00A72949">
              <w:t>Retailové</w:t>
            </w:r>
            <w:proofErr w:type="spellEnd"/>
            <w:r w:rsidRPr="00A72949">
              <w:t xml:space="preserve"> transakčné NMD zahŕňajú neúročené</w:t>
            </w:r>
            <w:r w:rsidR="00A72949">
              <w:t xml:space="preserve"> a </w:t>
            </w:r>
            <w:r w:rsidRPr="00A72949">
              <w:t xml:space="preserve">iné </w:t>
            </w:r>
            <w:proofErr w:type="spellStart"/>
            <w:r w:rsidRPr="00A72949">
              <w:t>retailové</w:t>
            </w:r>
            <w:proofErr w:type="spellEnd"/>
            <w:r w:rsidRPr="00A72949">
              <w:t xml:space="preserve"> účty, ktorých zložka odmeňovania nie je pre klienta relevantná pri rozhodovaní</w:t>
            </w:r>
            <w:r w:rsidR="00A72949">
              <w:t xml:space="preserve"> o </w:t>
            </w:r>
            <w:r w:rsidRPr="00A72949">
              <w:t>držbe peňazí na účte.</w:t>
            </w:r>
          </w:p>
        </w:tc>
      </w:tr>
      <w:tr w:rsidR="004E6C70" w:rsidRPr="00A72949" w14:paraId="2E22FF27" w14:textId="77777777" w:rsidTr="00E73145">
        <w:tc>
          <w:tcPr>
            <w:tcW w:w="1276" w:type="dxa"/>
            <w:tcBorders>
              <w:top w:val="single" w:sz="4" w:space="0" w:color="auto"/>
              <w:left w:val="single" w:sz="4" w:space="0" w:color="auto"/>
              <w:bottom w:val="single" w:sz="4" w:space="0" w:color="auto"/>
              <w:right w:val="single" w:sz="4" w:space="0" w:color="auto"/>
            </w:tcBorders>
          </w:tcPr>
          <w:p w14:paraId="6552344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 xml:space="preserve">0290, 0330, </w:t>
            </w:r>
            <w:r w:rsidRPr="00A72949">
              <w:rPr>
                <w:rStyle w:val="FormatvorlageInstructionsTabelleText"/>
                <w:rFonts w:ascii="Times New Roman" w:hAnsi="Times New Roman"/>
                <w:sz w:val="24"/>
              </w:rPr>
              <w:lastRenderedPageBreak/>
              <w:t>0370</w:t>
            </w:r>
          </w:p>
        </w:tc>
        <w:tc>
          <w:tcPr>
            <w:tcW w:w="7512" w:type="dxa"/>
            <w:tcBorders>
              <w:top w:val="single" w:sz="4" w:space="0" w:color="auto"/>
              <w:left w:val="single" w:sz="4" w:space="0" w:color="auto"/>
              <w:bottom w:val="single" w:sz="4" w:space="0" w:color="auto"/>
              <w:right w:val="single" w:sz="4" w:space="0" w:color="auto"/>
            </w:tcBorders>
            <w:hideMark/>
          </w:tcPr>
          <w:p w14:paraId="1DAB6D85"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lastRenderedPageBreak/>
              <w:t>Z čoho: základná zložka</w:t>
            </w:r>
          </w:p>
          <w:p w14:paraId="54953ADE" w14:textId="4CF4160F" w:rsidR="004E6C70" w:rsidRPr="00A72949" w:rsidRDefault="004E6C70" w:rsidP="00E73145">
            <w:pPr>
              <w:pStyle w:val="InstructionsText"/>
            </w:pPr>
            <w:r w:rsidRPr="00A72949">
              <w:t>Základná zložka vkladov splatných na požiadanie</w:t>
            </w:r>
            <w:r w:rsidR="00A72949">
              <w:t xml:space="preserve"> v </w:t>
            </w:r>
            <w:r w:rsidRPr="00A72949">
              <w:t>zmysle vymedzenia</w:t>
            </w:r>
            <w:r w:rsidR="00A72949">
              <w:t xml:space="preserve"> </w:t>
            </w:r>
            <w:r w:rsidR="00A72949">
              <w:lastRenderedPageBreak/>
              <w:t>v </w:t>
            </w:r>
            <w:r w:rsidRPr="00A72949">
              <w:t>článku 1 bode 15 delegovaného nariadenia (EÚ) .../... (Úrad pre publikácie: doplňte odkaz na regulačné technické predpisy</w:t>
            </w:r>
            <w:r w:rsidR="00A72949">
              <w:t xml:space="preserve"> o </w:t>
            </w:r>
            <w:r w:rsidRPr="00A72949">
              <w:t>SA).</w:t>
            </w:r>
          </w:p>
          <w:p w14:paraId="7C002F49" w14:textId="5478C330" w:rsidR="004E6C70" w:rsidRPr="00A72949" w:rsidRDefault="004E6C70" w:rsidP="00E73145">
            <w:pPr>
              <w:pStyle w:val="InstructionsText"/>
              <w:rPr>
                <w:rStyle w:val="InstructionsTabelleberschrift"/>
                <w:rFonts w:ascii="Times New Roman" w:hAnsi="Times New Roman"/>
                <w:sz w:val="24"/>
              </w:rPr>
            </w:pPr>
            <w:r w:rsidRPr="00A72949">
              <w:t>Inštitúcie modelujú NMD, ktoré sú stabilné</w:t>
            </w:r>
            <w:r w:rsidR="00A72949">
              <w:t xml:space="preserve"> a </w:t>
            </w:r>
            <w:r w:rsidRPr="00A72949">
              <w:t>pravdepodobne sa nebudú preceňovať ani pri významných zmenách</w:t>
            </w:r>
            <w:r w:rsidR="00A72949">
              <w:t xml:space="preserve"> v </w:t>
            </w:r>
            <w:r w:rsidRPr="00A72949">
              <w:t>prostredí úrokových sadzieb, alebo iné vklady, ktorých elasticita voči zmenám úrokových sadzieb je obmedzená.</w:t>
            </w:r>
          </w:p>
        </w:tc>
      </w:tr>
      <w:tr w:rsidR="004E6C70" w:rsidRPr="00A72949" w14:paraId="7F4F16A0" w14:textId="77777777" w:rsidTr="00E73145">
        <w:tc>
          <w:tcPr>
            <w:tcW w:w="1276" w:type="dxa"/>
            <w:tcBorders>
              <w:top w:val="single" w:sz="4" w:space="0" w:color="auto"/>
              <w:left w:val="single" w:sz="4" w:space="0" w:color="auto"/>
              <w:bottom w:val="single" w:sz="4" w:space="0" w:color="auto"/>
              <w:right w:val="single" w:sz="4" w:space="0" w:color="auto"/>
            </w:tcBorders>
          </w:tcPr>
          <w:p w14:paraId="0FA349E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0300, 0340, 0380</w:t>
            </w:r>
          </w:p>
        </w:tc>
        <w:tc>
          <w:tcPr>
            <w:tcW w:w="7512" w:type="dxa"/>
            <w:tcBorders>
              <w:top w:val="single" w:sz="4" w:space="0" w:color="auto"/>
              <w:left w:val="single" w:sz="4" w:space="0" w:color="auto"/>
              <w:bottom w:val="single" w:sz="4" w:space="0" w:color="auto"/>
              <w:right w:val="single" w:sz="4" w:space="0" w:color="auto"/>
            </w:tcBorders>
            <w:hideMark/>
          </w:tcPr>
          <w:p w14:paraId="654E6595"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 čoho: oslobodené od päťročného horného ohraničenia</w:t>
            </w:r>
          </w:p>
          <w:p w14:paraId="689D8DA0" w14:textId="22C5EC33"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Expozície voči regulovaným úsporám podľa článku 428f ods. 2 písm. a)</w:t>
            </w:r>
            <w:r w:rsidRPr="00A72949">
              <w:t xml:space="preserve"> nariadenia (EÚ) </w:t>
            </w:r>
            <w:r w:rsidR="00A72949">
              <w:t>č. </w:t>
            </w:r>
            <w:r w:rsidRPr="00A72949">
              <w:t>575/2013</w:t>
            </w:r>
            <w:r w:rsidRPr="00A72949">
              <w:rPr>
                <w:rStyle w:val="InstructionsTabelleberschrift"/>
                <w:rFonts w:ascii="Times New Roman" w:hAnsi="Times New Roman"/>
                <w:b w:val="0"/>
                <w:sz w:val="24"/>
                <w:u w:val="none"/>
              </w:rPr>
              <w:t>, nie však výlučne</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súvislosti</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centralizovanou časťou, alebo expozície</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významnými hospodárskymi alebo fiškálnymi obmedzeniami</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prípade výberu prostriedkov, pri ktorých inštitúcia neobmedzuje </w:t>
            </w:r>
            <w:r w:rsidRPr="00A72949">
              <w:rPr>
                <w:rStyle w:val="InstructionsTabelleberschrift"/>
                <w:rFonts w:ascii="Times New Roman" w:hAnsi="Times New Roman"/>
                <w:b w:val="0"/>
                <w:color w:val="000000"/>
                <w:sz w:val="24"/>
                <w:u w:val="none"/>
              </w:rPr>
              <w:t>maximálny vážený priemer dátumu precenenia</w:t>
            </w:r>
            <w:r w:rsidRPr="00A72949">
              <w:rPr>
                <w:rStyle w:val="InstructionsTabelleberschrift"/>
                <w:rFonts w:ascii="Times New Roman" w:hAnsi="Times New Roman"/>
                <w:b w:val="0"/>
                <w:sz w:val="24"/>
                <w:u w:val="none"/>
              </w:rPr>
              <w:t xml:space="preserve"> na 5 rokov.</w:t>
            </w:r>
          </w:p>
        </w:tc>
      </w:tr>
      <w:tr w:rsidR="004E6C70" w:rsidRPr="00A72949" w14:paraId="717CBEA9" w14:textId="77777777" w:rsidTr="00E73145">
        <w:tc>
          <w:tcPr>
            <w:tcW w:w="1276" w:type="dxa"/>
            <w:tcBorders>
              <w:top w:val="single" w:sz="4" w:space="0" w:color="auto"/>
              <w:left w:val="single" w:sz="4" w:space="0" w:color="auto"/>
              <w:bottom w:val="single" w:sz="4" w:space="0" w:color="auto"/>
              <w:right w:val="single" w:sz="4" w:space="0" w:color="auto"/>
            </w:tcBorders>
          </w:tcPr>
          <w:p w14:paraId="182400B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383C71C7"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 xml:space="preserve">NMD: </w:t>
            </w:r>
            <w:proofErr w:type="spellStart"/>
            <w:r w:rsidRPr="00A72949">
              <w:rPr>
                <w:rStyle w:val="InstructionsTabelleberschrift"/>
                <w:rFonts w:ascii="Times New Roman" w:hAnsi="Times New Roman"/>
                <w:sz w:val="24"/>
              </w:rPr>
              <w:t>retailové</w:t>
            </w:r>
            <w:proofErr w:type="spellEnd"/>
            <w:r w:rsidRPr="00A72949">
              <w:rPr>
                <w:rStyle w:val="InstructionsTabelleberschrift"/>
                <w:rFonts w:ascii="Times New Roman" w:hAnsi="Times New Roman"/>
                <w:sz w:val="24"/>
              </w:rPr>
              <w:t xml:space="preserve"> netransakčné</w:t>
            </w:r>
          </w:p>
          <w:p w14:paraId="01E5BE75" w14:textId="648FCB1F" w:rsidR="004E6C70" w:rsidRPr="00A72949" w:rsidRDefault="004E6C70" w:rsidP="00E73145">
            <w:pPr>
              <w:pStyle w:val="InstructionsText"/>
            </w:pPr>
            <w:proofErr w:type="spellStart"/>
            <w:r w:rsidRPr="00A72949">
              <w:t>Retailové</w:t>
            </w:r>
            <w:proofErr w:type="spellEnd"/>
            <w:r w:rsidRPr="00A72949">
              <w:t xml:space="preserve"> vklady splatné na požiadanie držané na netransakčnom účte</w:t>
            </w:r>
            <w:r w:rsidR="00A72949">
              <w:t xml:space="preserve"> v </w:t>
            </w:r>
            <w:r w:rsidRPr="00A72949">
              <w:t>zmysle vymedzenia</w:t>
            </w:r>
            <w:r w:rsidR="00A72949">
              <w:t xml:space="preserve"> v </w:t>
            </w:r>
            <w:r w:rsidRPr="00A72949">
              <w:t>článku 1 bode 11 delegovaného nariadenia (EÚ) .../... (Úrad pre publikácie: doplňte odkaz na regulačné technické predpisy</w:t>
            </w:r>
            <w:r w:rsidR="00A72949">
              <w:t xml:space="preserve"> o </w:t>
            </w:r>
            <w:r w:rsidRPr="00A72949">
              <w:t>SA).</w:t>
            </w:r>
          </w:p>
          <w:p w14:paraId="6AE4A82C" w14:textId="77777777" w:rsidR="00A72949" w:rsidRDefault="004E6C70" w:rsidP="00E73145">
            <w:pPr>
              <w:pStyle w:val="InstructionsText"/>
            </w:pPr>
            <w:r w:rsidRPr="00A72949">
              <w:t xml:space="preserve">Iné </w:t>
            </w:r>
            <w:proofErr w:type="spellStart"/>
            <w:r w:rsidRPr="00A72949">
              <w:t>retailové</w:t>
            </w:r>
            <w:proofErr w:type="spellEnd"/>
            <w:r w:rsidRPr="00A72949">
              <w:t xml:space="preserve"> vklady, ktoré sa nepovažujú za „vklady splatné na požiadanie: </w:t>
            </w:r>
            <w:proofErr w:type="spellStart"/>
            <w:r w:rsidRPr="00A72949">
              <w:t>retailové</w:t>
            </w:r>
            <w:proofErr w:type="spellEnd"/>
            <w:r w:rsidRPr="00A72949">
              <w:t xml:space="preserve"> transakcie“, sa považujú za držané na netransakčnom účte</w:t>
            </w:r>
            <w:r w:rsidR="00A72949">
              <w:t>.</w:t>
            </w:r>
          </w:p>
          <w:p w14:paraId="4CC660CF" w14:textId="0457D0CC" w:rsidR="004E6C70" w:rsidRPr="00A72949" w:rsidRDefault="004E6C70" w:rsidP="00E73145">
            <w:pPr>
              <w:pStyle w:val="InstructionsText"/>
              <w:rPr>
                <w:rStyle w:val="InstructionsTabelleberschrift"/>
                <w:rFonts w:ascii="Times New Roman" w:hAnsi="Times New Roman"/>
                <w:sz w:val="24"/>
              </w:rPr>
            </w:pPr>
            <w:proofErr w:type="spellStart"/>
            <w:r w:rsidRPr="00A72949">
              <w:t>Retailové</w:t>
            </w:r>
            <w:proofErr w:type="spellEnd"/>
            <w:r w:rsidRPr="00A72949">
              <w:t xml:space="preserve"> netransakčné vklady zahŕňajú najmä </w:t>
            </w:r>
            <w:proofErr w:type="spellStart"/>
            <w:r w:rsidRPr="00A72949">
              <w:t>retailové</w:t>
            </w:r>
            <w:proofErr w:type="spellEnd"/>
            <w:r w:rsidRPr="00A72949">
              <w:t xml:space="preserve"> účty (vrátane regulovaných účtov), ktorých zložka odmeňovania je pre klienta relevantná pri rozhodovaní</w:t>
            </w:r>
            <w:r w:rsidR="00A72949">
              <w:t xml:space="preserve"> o </w:t>
            </w:r>
            <w:r w:rsidRPr="00A72949">
              <w:t>držbe peňazí na účte.</w:t>
            </w:r>
          </w:p>
        </w:tc>
      </w:tr>
      <w:tr w:rsidR="004E6C70" w:rsidRPr="00A72949" w14:paraId="1B6B80E9" w14:textId="77777777" w:rsidTr="00E73145">
        <w:tc>
          <w:tcPr>
            <w:tcW w:w="1276" w:type="dxa"/>
            <w:tcBorders>
              <w:top w:val="single" w:sz="4" w:space="0" w:color="auto"/>
              <w:left w:val="single" w:sz="4" w:space="0" w:color="auto"/>
              <w:bottom w:val="single" w:sz="4" w:space="0" w:color="auto"/>
              <w:right w:val="single" w:sz="4" w:space="0" w:color="auto"/>
            </w:tcBorders>
          </w:tcPr>
          <w:p w14:paraId="59AB54F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1CE6DC59"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NMD: Veľkoobchodné nefinančné</w:t>
            </w:r>
          </w:p>
          <w:p w14:paraId="5FA015A7" w14:textId="5F4252E5"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Veľkoobchodné</w:t>
            </w:r>
            <w:r w:rsidRPr="00A72949">
              <w:t xml:space="preserve"> vklady</w:t>
            </w:r>
            <w:r w:rsidR="00A72949">
              <w:t xml:space="preserve"> v </w:t>
            </w:r>
            <w:r w:rsidRPr="00A72949">
              <w:t>zmysle vymedzenia</w:t>
            </w:r>
            <w:r w:rsidR="00A72949">
              <w:t xml:space="preserve"> v </w:t>
            </w:r>
            <w:r w:rsidRPr="00A72949">
              <w:t>článku 1 bode 12 delegovaného nariadenia (EÚ) .../... (Úrad pre publikácie: doplňte odkaz na regulačné technické predpisy</w:t>
            </w:r>
            <w:r w:rsidR="00A72949">
              <w:t xml:space="preserve"> o </w:t>
            </w:r>
            <w:r w:rsidRPr="00A72949">
              <w:t>SA), ktoré sú NMD od orgánov verejnej správy</w:t>
            </w:r>
            <w:r w:rsidR="00A72949">
              <w:t xml:space="preserve"> a </w:t>
            </w:r>
            <w:r w:rsidRPr="00A72949">
              <w:t>nefinančných korporácií, ako sa uvádza</w:t>
            </w:r>
            <w:r w:rsidR="00A72949">
              <w:t xml:space="preserve"> v </w:t>
            </w:r>
            <w:r w:rsidRPr="00A72949">
              <w:t xml:space="preserve">časti 1 </w:t>
            </w:r>
            <w:r w:rsidRPr="00A72949">
              <w:rPr>
                <w:rStyle w:val="InstructionsTabelleberschrift"/>
                <w:rFonts w:ascii="Times New Roman" w:hAnsi="Times New Roman"/>
                <w:b w:val="0"/>
                <w:sz w:val="24"/>
                <w:u w:val="none"/>
              </w:rPr>
              <w:t>bode 42 písm. b)</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e) prílohy</w:t>
            </w:r>
            <w:r w:rsidR="00A72949">
              <w:rPr>
                <w:rStyle w:val="InstructionsTabelleberschrift"/>
                <w:rFonts w:ascii="Times New Roman" w:hAnsi="Times New Roman"/>
                <w:b w:val="0"/>
                <w:sz w:val="24"/>
                <w:u w:val="none"/>
              </w:rPr>
              <w:t xml:space="preserve"> V k </w:t>
            </w:r>
            <w:r w:rsidRPr="00A72949">
              <w:t>tomuto nariadeniu</w:t>
            </w:r>
            <w:r w:rsidRPr="00A72949">
              <w:rPr>
                <w:rStyle w:val="InstructionsTabelleberschrift"/>
                <w:rFonts w:ascii="Times New Roman" w:hAnsi="Times New Roman"/>
                <w:b w:val="0"/>
                <w:sz w:val="24"/>
                <w:u w:val="none"/>
              </w:rPr>
              <w:t xml:space="preserve">. </w:t>
            </w:r>
          </w:p>
        </w:tc>
      </w:tr>
      <w:tr w:rsidR="004E6C70" w:rsidRPr="00A72949" w14:paraId="306D9CE1" w14:textId="77777777" w:rsidTr="00E73145">
        <w:tc>
          <w:tcPr>
            <w:tcW w:w="1276" w:type="dxa"/>
            <w:tcBorders>
              <w:top w:val="single" w:sz="4" w:space="0" w:color="auto"/>
              <w:left w:val="single" w:sz="4" w:space="0" w:color="auto"/>
              <w:bottom w:val="single" w:sz="4" w:space="0" w:color="auto"/>
              <w:right w:val="single" w:sz="4" w:space="0" w:color="auto"/>
            </w:tcBorders>
          </w:tcPr>
          <w:p w14:paraId="063D2AF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73A4E6D1"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NMD: veľkoobchodné finančné</w:t>
            </w:r>
          </w:p>
          <w:p w14:paraId="1837D185" w14:textId="1199CD95" w:rsidR="004E6C70" w:rsidRPr="00A72949" w:rsidRDefault="004E6C70" w:rsidP="00E73145">
            <w:pPr>
              <w:suppressAutoHyphens/>
              <w:spacing w:after="139"/>
              <w:ind w:right="66"/>
              <w:rPr>
                <w:rStyle w:val="InstructionsTabelleberschrift"/>
                <w:rFonts w:ascii="Times New Roman" w:hAnsi="Times New Roman"/>
                <w:b w:val="0"/>
                <w:bCs w:val="0"/>
                <w:u w:val="none"/>
              </w:rPr>
            </w:pPr>
            <w:r w:rsidRPr="00A72949">
              <w:rPr>
                <w:rStyle w:val="InstructionsTabelleberschrift"/>
                <w:rFonts w:ascii="Times New Roman" w:hAnsi="Times New Roman"/>
                <w:b w:val="0"/>
                <w:sz w:val="24"/>
                <w:u w:val="none"/>
              </w:rPr>
              <w:t>Veľkoobchodné vklady</w:t>
            </w:r>
            <w:r w:rsidR="00A72949">
              <w:rPr>
                <w:rFonts w:ascii="Times New Roman" w:hAnsi="Times New Roman"/>
                <w:sz w:val="24"/>
              </w:rPr>
              <w:t xml:space="preserve"> v </w:t>
            </w:r>
            <w:r w:rsidRPr="00A72949">
              <w:rPr>
                <w:rFonts w:ascii="Times New Roman" w:hAnsi="Times New Roman"/>
                <w:sz w:val="24"/>
              </w:rPr>
              <w:t>zmysle vymedzenia</w:t>
            </w:r>
            <w:r w:rsidR="00A72949">
              <w:rPr>
                <w:rFonts w:ascii="Times New Roman" w:hAnsi="Times New Roman"/>
                <w:sz w:val="24"/>
              </w:rPr>
              <w:t xml:space="preserve"> v </w:t>
            </w:r>
            <w:r w:rsidRPr="00A72949">
              <w:rPr>
                <w:rFonts w:ascii="Times New Roman" w:hAnsi="Times New Roman"/>
                <w:sz w:val="24"/>
              </w:rPr>
              <w:t>článku 1 bode 12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 xml:space="preserve">SA), ktoré sú NMD od protistrán podľa časti 1 bodu 42 písm. </w:t>
            </w:r>
            <w:r w:rsidRPr="00A72949">
              <w:rPr>
                <w:rStyle w:val="InstructionsTabelleberschrift"/>
                <w:rFonts w:ascii="Times New Roman" w:hAnsi="Times New Roman"/>
                <w:b w:val="0"/>
                <w:sz w:val="24"/>
                <w:u w:val="none"/>
              </w:rPr>
              <w:t>d) prílohy</w:t>
            </w:r>
            <w:r w:rsidR="00A72949">
              <w:rPr>
                <w:rStyle w:val="InstructionsTabelleberschrift"/>
                <w:rFonts w:ascii="Times New Roman" w:hAnsi="Times New Roman"/>
                <w:b w:val="0"/>
                <w:sz w:val="24"/>
                <w:u w:val="none"/>
              </w:rPr>
              <w:t xml:space="preserve"> V k </w:t>
            </w:r>
            <w:r w:rsidRPr="00A72949">
              <w:rPr>
                <w:rStyle w:val="InstructionsTabelleberschrift"/>
                <w:rFonts w:ascii="Times New Roman" w:hAnsi="Times New Roman"/>
                <w:b w:val="0"/>
                <w:sz w:val="24"/>
                <w:u w:val="none"/>
              </w:rPr>
              <w:t xml:space="preserve">tomuto nariadeniu. </w:t>
            </w:r>
          </w:p>
        </w:tc>
      </w:tr>
      <w:tr w:rsidR="004E6C70" w:rsidRPr="00A72949" w14:paraId="633A98AB" w14:textId="77777777" w:rsidTr="00E73145">
        <w:tc>
          <w:tcPr>
            <w:tcW w:w="1276" w:type="dxa"/>
            <w:tcBorders>
              <w:top w:val="single" w:sz="4" w:space="0" w:color="auto"/>
              <w:left w:val="single" w:sz="4" w:space="0" w:color="auto"/>
              <w:bottom w:val="single" w:sz="4" w:space="0" w:color="auto"/>
              <w:right w:val="single" w:sz="4" w:space="0" w:color="auto"/>
            </w:tcBorders>
          </w:tcPr>
          <w:p w14:paraId="78283B1A"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3A704CB5"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Z čoho: prevádzkové vklady</w:t>
            </w:r>
          </w:p>
          <w:p w14:paraId="013B83C4" w14:textId="77777777" w:rsidR="004E6C70" w:rsidRPr="00A72949" w:rsidRDefault="004E6C70" w:rsidP="00E73145">
            <w:pPr>
              <w:pStyle w:val="InstructionsText"/>
              <w:rPr>
                <w:rStyle w:val="InstructionsTabelleberschrift"/>
                <w:rFonts w:ascii="Times New Roman" w:hAnsi="Times New Roman"/>
                <w:sz w:val="24"/>
              </w:rPr>
            </w:pPr>
            <w:r w:rsidRPr="00A72949">
              <w:t>NMD, ktoré sa klasifikujú ako prevádzkové vklady podľa článku 27 ods. 1 písm. a) delegovaného nariadenia Komisie (EÚ) 2015/61</w:t>
            </w:r>
            <w:r w:rsidRPr="00A72949">
              <w:rPr>
                <w:rStyle w:val="FootnoteReference"/>
                <w:rFonts w:ascii="Times New Roman" w:hAnsi="Times New Roman"/>
                <w:sz w:val="24"/>
                <w:szCs w:val="24"/>
                <w:vertAlign w:val="superscript"/>
              </w:rPr>
              <w:footnoteReference w:id="3"/>
            </w:r>
            <w:r w:rsidRPr="00A72949">
              <w:t>.</w:t>
            </w:r>
          </w:p>
        </w:tc>
      </w:tr>
      <w:tr w:rsidR="004E6C70" w:rsidRPr="00A72949" w14:paraId="21B42844" w14:textId="77777777" w:rsidTr="00E73145">
        <w:tc>
          <w:tcPr>
            <w:tcW w:w="1276" w:type="dxa"/>
            <w:tcBorders>
              <w:top w:val="single" w:sz="4" w:space="0" w:color="auto"/>
              <w:left w:val="single" w:sz="4" w:space="0" w:color="auto"/>
              <w:bottom w:val="single" w:sz="4" w:space="0" w:color="auto"/>
              <w:right w:val="single" w:sz="4" w:space="0" w:color="auto"/>
            </w:tcBorders>
          </w:tcPr>
          <w:p w14:paraId="59FFC73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48B62C6"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Termínované vklady</w:t>
            </w:r>
          </w:p>
          <w:p w14:paraId="32592A2F" w14:textId="23B7929F" w:rsidR="004E6C70" w:rsidRPr="00A72949" w:rsidRDefault="004E6C70" w:rsidP="00E73145">
            <w:pPr>
              <w:suppressAutoHyphens/>
              <w:spacing w:after="139"/>
              <w:ind w:right="66"/>
              <w:rPr>
                <w:rStyle w:val="InstructionsTabelleberschrift"/>
                <w:rFonts w:ascii="Times New Roman" w:hAnsi="Times New Roman"/>
                <w:b w:val="0"/>
                <w:bCs w:val="0"/>
                <w:sz w:val="24"/>
                <w:u w:val="none"/>
              </w:rPr>
            </w:pPr>
            <w:r w:rsidRPr="00A72949">
              <w:rPr>
                <w:rFonts w:ascii="Times New Roman" w:hAnsi="Times New Roman"/>
                <w:sz w:val="24"/>
              </w:rPr>
              <w:t xml:space="preserve">Neprevoditeľné vklady, ktoré vkladateľ nesmie vybrať pred dohodnutou splatnosťou alebo ktoré predčasne vybrať možno za predpokladu, že sa </w:t>
            </w:r>
            <w:r w:rsidRPr="00A72949">
              <w:rPr>
                <w:rFonts w:ascii="Times New Roman" w:hAnsi="Times New Roman"/>
                <w:sz w:val="24"/>
              </w:rPr>
              <w:lastRenderedPageBreak/>
              <w:t>vkladateľovi uložia náklady</w:t>
            </w:r>
            <w:r w:rsidR="00A72949">
              <w:rPr>
                <w:rFonts w:ascii="Times New Roman" w:hAnsi="Times New Roman"/>
                <w:sz w:val="24"/>
              </w:rPr>
              <w:t xml:space="preserve"> a </w:t>
            </w:r>
            <w:r w:rsidRPr="00A72949">
              <w:rPr>
                <w:rFonts w:ascii="Times New Roman" w:hAnsi="Times New Roman"/>
                <w:sz w:val="24"/>
              </w:rPr>
              <w:t>poplatky za predčasný výber (predčasné splatenie). Táto položka zahŕňa administratívne regulované sporiace vklady, ak kritérium týkajúce sa splatnosti nie je relevantné. Hoci vklady</w:t>
            </w:r>
            <w:r w:rsidR="00A72949">
              <w:rPr>
                <w:rFonts w:ascii="Times New Roman" w:hAnsi="Times New Roman"/>
                <w:sz w:val="24"/>
              </w:rPr>
              <w:t xml:space="preserve"> s </w:t>
            </w:r>
            <w:r w:rsidRPr="00A72949">
              <w:rPr>
                <w:rFonts w:ascii="Times New Roman" w:hAnsi="Times New Roman"/>
                <w:sz w:val="24"/>
              </w:rPr>
              <w:t>dohodnutou splatnosťou môžu obsahovať možnosť predčasného vyplatenia po predchádzajúcom oznámení, alebo môžu byť vyplatiteľné na požiadanie</w:t>
            </w:r>
            <w:r w:rsidR="00A72949">
              <w:rPr>
                <w:rFonts w:ascii="Times New Roman" w:hAnsi="Times New Roman"/>
                <w:sz w:val="24"/>
              </w:rPr>
              <w:t xml:space="preserve"> s </w:t>
            </w:r>
            <w:r w:rsidRPr="00A72949">
              <w:rPr>
                <w:rFonts w:ascii="Times New Roman" w:hAnsi="Times New Roman"/>
                <w:sz w:val="24"/>
              </w:rPr>
              <w:t>určitými sankciami, uvedené znaky sa na účely klasifikácie nepoužívajú. Tento riadok nezahŕňa expozície zahrnuté</w:t>
            </w:r>
            <w:r w:rsidR="00A72949">
              <w:rPr>
                <w:rFonts w:ascii="Times New Roman" w:hAnsi="Times New Roman"/>
                <w:sz w:val="24"/>
              </w:rPr>
              <w:t xml:space="preserve"> v </w:t>
            </w:r>
            <w:r w:rsidRPr="00A72949">
              <w:rPr>
                <w:rFonts w:ascii="Times New Roman" w:hAnsi="Times New Roman"/>
                <w:sz w:val="24"/>
              </w:rPr>
              <w:t>riadkoch 0220</w:t>
            </w:r>
            <w:r w:rsidR="00A72949">
              <w:rPr>
                <w:rFonts w:ascii="Times New Roman" w:hAnsi="Times New Roman"/>
                <w:sz w:val="24"/>
              </w:rPr>
              <w:t xml:space="preserve"> a </w:t>
            </w:r>
            <w:r w:rsidRPr="00A72949">
              <w:rPr>
                <w:rFonts w:ascii="Times New Roman" w:hAnsi="Times New Roman"/>
                <w:sz w:val="24"/>
              </w:rPr>
              <w:t>0230.</w:t>
            </w:r>
          </w:p>
        </w:tc>
      </w:tr>
      <w:tr w:rsidR="004E6C70" w:rsidRPr="00A72949" w14:paraId="599F5E61" w14:textId="77777777" w:rsidTr="00E73145">
        <w:tc>
          <w:tcPr>
            <w:tcW w:w="1276" w:type="dxa"/>
            <w:tcBorders>
              <w:top w:val="single" w:sz="4" w:space="0" w:color="auto"/>
              <w:left w:val="single" w:sz="4" w:space="0" w:color="auto"/>
              <w:bottom w:val="single" w:sz="4" w:space="0" w:color="auto"/>
              <w:right w:val="single" w:sz="4" w:space="0" w:color="auto"/>
            </w:tcBorders>
          </w:tcPr>
          <w:p w14:paraId="17796E5B"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288B4EA2" w14:textId="77777777" w:rsidR="004E6C70" w:rsidRPr="00A72949" w:rsidRDefault="004E6C70" w:rsidP="00E73145">
            <w:pPr>
              <w:pStyle w:val="InstructionsText"/>
              <w:rPr>
                <w:rStyle w:val="InstructionsTabelleberschrift"/>
                <w:rFonts w:ascii="Times New Roman" w:hAnsi="Times New Roman"/>
                <w:sz w:val="24"/>
              </w:rPr>
            </w:pPr>
            <w:proofErr w:type="spellStart"/>
            <w:r w:rsidRPr="00A72949">
              <w:rPr>
                <w:rStyle w:val="InstructionsTabelleberschrift"/>
                <w:rFonts w:ascii="Times New Roman" w:hAnsi="Times New Roman"/>
                <w:sz w:val="24"/>
              </w:rPr>
              <w:t>Retailové</w:t>
            </w:r>
            <w:proofErr w:type="spellEnd"/>
          </w:p>
          <w:p w14:paraId="035471D3"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xml:space="preserve">Tento riadok zahŕňa termínované vklady od </w:t>
            </w:r>
            <w:proofErr w:type="spellStart"/>
            <w:r w:rsidRPr="00A72949">
              <w:rPr>
                <w:rStyle w:val="InstructionsTabelleberschrift"/>
                <w:rFonts w:ascii="Times New Roman" w:hAnsi="Times New Roman"/>
                <w:b w:val="0"/>
                <w:sz w:val="24"/>
                <w:u w:val="none"/>
              </w:rPr>
              <w:t>retailových</w:t>
            </w:r>
            <w:proofErr w:type="spellEnd"/>
            <w:r w:rsidRPr="00A72949">
              <w:rPr>
                <w:rStyle w:val="InstructionsTabelleberschrift"/>
                <w:rFonts w:ascii="Times New Roman" w:hAnsi="Times New Roman"/>
                <w:b w:val="0"/>
                <w:sz w:val="24"/>
                <w:u w:val="none"/>
              </w:rPr>
              <w:t xml:space="preserve"> klientov</w:t>
            </w:r>
            <w:r w:rsidRPr="00A72949">
              <w:rPr>
                <w:b/>
              </w:rPr>
              <w:t xml:space="preserve">. </w:t>
            </w:r>
          </w:p>
        </w:tc>
      </w:tr>
      <w:tr w:rsidR="004E6C70" w:rsidRPr="00A72949" w14:paraId="09B6D3BE" w14:textId="77777777" w:rsidTr="00E73145">
        <w:tc>
          <w:tcPr>
            <w:tcW w:w="1276" w:type="dxa"/>
            <w:tcBorders>
              <w:top w:val="single" w:sz="4" w:space="0" w:color="auto"/>
              <w:left w:val="single" w:sz="4" w:space="0" w:color="auto"/>
              <w:bottom w:val="single" w:sz="4" w:space="0" w:color="auto"/>
              <w:right w:val="single" w:sz="4" w:space="0" w:color="auto"/>
            </w:tcBorders>
          </w:tcPr>
          <w:p w14:paraId="51F487F4"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D108EE2"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Veľkoobchodné nefinančné</w:t>
            </w:r>
          </w:p>
          <w:p w14:paraId="6F463583" w14:textId="77777777" w:rsidR="004E6C70" w:rsidRPr="00A72949" w:rsidRDefault="004E6C70" w:rsidP="00E73145">
            <w:pPr>
              <w:pStyle w:val="InstructionsText"/>
            </w:pPr>
            <w:r w:rsidRPr="00A72949">
              <w:t>Termínované vklady od veľkoobchodných nefinančných klientov.</w:t>
            </w:r>
          </w:p>
          <w:p w14:paraId="737FD261" w14:textId="45C68534"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Veľkoobchodné vklady</w:t>
            </w:r>
            <w:r w:rsidR="00A72949">
              <w:t xml:space="preserve"> v </w:t>
            </w:r>
            <w:r w:rsidRPr="00A72949">
              <w:t>zmysle vymedzenia</w:t>
            </w:r>
            <w:r w:rsidR="00A72949">
              <w:t xml:space="preserve"> v </w:t>
            </w:r>
            <w:r w:rsidRPr="00A72949">
              <w:t>článku 1 bode 12 delegovaného nariadenia (EÚ) .../... (Úrad pre publikácie: doplňte odkaz na regulačné technické predpisy</w:t>
            </w:r>
            <w:r w:rsidR="00A72949">
              <w:t xml:space="preserve"> o </w:t>
            </w:r>
            <w:r w:rsidRPr="00A72949">
              <w:t>SA), ktoré sú vkladmi inými než NMD od orgánov verejnej správy</w:t>
            </w:r>
            <w:r w:rsidR="00A72949">
              <w:t xml:space="preserve"> a </w:t>
            </w:r>
            <w:r w:rsidRPr="00A72949">
              <w:t>nefinančných korporácií, ako sa uvádza</w:t>
            </w:r>
            <w:r w:rsidR="00A72949">
              <w:t xml:space="preserve"> v </w:t>
            </w:r>
            <w:r w:rsidRPr="00A72949">
              <w:rPr>
                <w:rStyle w:val="InstructionsTabelleberschrift"/>
                <w:rFonts w:ascii="Times New Roman" w:hAnsi="Times New Roman"/>
                <w:b w:val="0"/>
                <w:sz w:val="24"/>
                <w:u w:val="none"/>
              </w:rPr>
              <w:t>časti 1 bode 42 písm. b)</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e) prílohy</w:t>
            </w:r>
            <w:r w:rsidR="00A72949">
              <w:rPr>
                <w:rStyle w:val="InstructionsTabelleberschrift"/>
                <w:rFonts w:ascii="Times New Roman" w:hAnsi="Times New Roman"/>
                <w:b w:val="0"/>
                <w:sz w:val="24"/>
                <w:u w:val="none"/>
              </w:rPr>
              <w:t xml:space="preserve"> V k </w:t>
            </w:r>
            <w:r w:rsidRPr="00A72949">
              <w:rPr>
                <w:rStyle w:val="InstructionsTabelleberschrift"/>
                <w:rFonts w:ascii="Times New Roman" w:hAnsi="Times New Roman"/>
                <w:b w:val="0"/>
                <w:sz w:val="24"/>
                <w:u w:val="none"/>
              </w:rPr>
              <w:t>tomuto</w:t>
            </w:r>
            <w:r w:rsidRPr="00A72949">
              <w:t xml:space="preserve"> nariadeniu</w:t>
            </w:r>
            <w:r w:rsidRPr="00A72949">
              <w:rPr>
                <w:rStyle w:val="InstructionsTabelleberschrift"/>
                <w:rFonts w:ascii="Times New Roman" w:hAnsi="Times New Roman"/>
                <w:b w:val="0"/>
                <w:sz w:val="24"/>
                <w:u w:val="none"/>
              </w:rPr>
              <w:t xml:space="preserve">. </w:t>
            </w:r>
          </w:p>
        </w:tc>
      </w:tr>
      <w:tr w:rsidR="004E6C70" w:rsidRPr="00A72949" w14:paraId="2EEC939D" w14:textId="77777777" w:rsidTr="00E73145">
        <w:tc>
          <w:tcPr>
            <w:tcW w:w="1276" w:type="dxa"/>
            <w:tcBorders>
              <w:top w:val="single" w:sz="4" w:space="0" w:color="auto"/>
              <w:left w:val="single" w:sz="4" w:space="0" w:color="auto"/>
              <w:bottom w:val="single" w:sz="4" w:space="0" w:color="auto"/>
              <w:right w:val="single" w:sz="4" w:space="0" w:color="auto"/>
            </w:tcBorders>
          </w:tcPr>
          <w:p w14:paraId="45E5E74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1FE68508" w14:textId="77777777" w:rsidR="004E6C70" w:rsidRPr="00A72949" w:rsidRDefault="004E6C70" w:rsidP="00E73145">
            <w:pPr>
              <w:pStyle w:val="InstructionsText"/>
              <w:rPr>
                <w:rStyle w:val="InstructionsTabelleberschrift"/>
                <w:rFonts w:ascii="Times New Roman" w:hAnsi="Times New Roman"/>
                <w:bCs w:val="0"/>
                <w:sz w:val="24"/>
              </w:rPr>
            </w:pPr>
            <w:r w:rsidRPr="00A72949">
              <w:rPr>
                <w:rStyle w:val="InstructionsTabelleberschrift"/>
                <w:rFonts w:ascii="Times New Roman" w:hAnsi="Times New Roman"/>
                <w:sz w:val="24"/>
              </w:rPr>
              <w:t>Veľkoobchodné finančné</w:t>
            </w:r>
          </w:p>
          <w:p w14:paraId="698A4F82" w14:textId="77777777" w:rsidR="004E6C70" w:rsidRPr="00A72949" w:rsidRDefault="004E6C70" w:rsidP="00E73145">
            <w:pPr>
              <w:pStyle w:val="InstructionsText"/>
            </w:pPr>
            <w:r w:rsidRPr="00A72949">
              <w:t>Termínované vklady od veľkoobchodných finančných klientov.</w:t>
            </w:r>
          </w:p>
          <w:p w14:paraId="7A1912A1" w14:textId="4AC1F0A8" w:rsidR="004E6C70" w:rsidRPr="00A72949" w:rsidRDefault="004E6C70" w:rsidP="00E73145">
            <w:pPr>
              <w:suppressAutoHyphens/>
              <w:spacing w:after="139"/>
              <w:ind w:right="66"/>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Veľkoobchodné vklady</w:t>
            </w:r>
            <w:r w:rsidR="00A72949">
              <w:rPr>
                <w:rFonts w:ascii="Times New Roman" w:hAnsi="Times New Roman"/>
                <w:sz w:val="24"/>
              </w:rPr>
              <w:t xml:space="preserve"> v </w:t>
            </w:r>
            <w:r w:rsidRPr="00A72949">
              <w:rPr>
                <w:rFonts w:ascii="Times New Roman" w:hAnsi="Times New Roman"/>
                <w:sz w:val="24"/>
              </w:rPr>
              <w:t>zmysle vymedzenia</w:t>
            </w:r>
            <w:r w:rsidR="00A72949">
              <w:rPr>
                <w:rFonts w:ascii="Times New Roman" w:hAnsi="Times New Roman"/>
                <w:sz w:val="24"/>
              </w:rPr>
              <w:t xml:space="preserve"> v </w:t>
            </w:r>
            <w:r w:rsidRPr="00A72949">
              <w:rPr>
                <w:rFonts w:ascii="Times New Roman" w:hAnsi="Times New Roman"/>
                <w:sz w:val="24"/>
              </w:rPr>
              <w:t>článku 1 bode 12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 ktoré sú</w:t>
            </w:r>
            <w:r w:rsidRPr="00A72949">
              <w:rPr>
                <w:rFonts w:ascii="Times New Roman" w:hAnsi="Times New Roman"/>
              </w:rPr>
              <w:t xml:space="preserve"> </w:t>
            </w:r>
            <w:r w:rsidRPr="00A72949">
              <w:rPr>
                <w:rFonts w:ascii="Times New Roman" w:hAnsi="Times New Roman"/>
                <w:sz w:val="24"/>
              </w:rPr>
              <w:t xml:space="preserve">vkladmi inými než NMD od protistrán podľa časti 1 bodu 42 písm. </w:t>
            </w:r>
            <w:r w:rsidRPr="00A72949">
              <w:rPr>
                <w:rStyle w:val="InstructionsTabelleberschrift"/>
                <w:rFonts w:ascii="Times New Roman" w:hAnsi="Times New Roman"/>
                <w:b w:val="0"/>
                <w:sz w:val="24"/>
                <w:u w:val="none"/>
              </w:rPr>
              <w:t>d) prílohy</w:t>
            </w:r>
            <w:r w:rsidR="00A72949">
              <w:rPr>
                <w:rStyle w:val="InstructionsTabelleberschrift"/>
                <w:rFonts w:ascii="Times New Roman" w:hAnsi="Times New Roman"/>
                <w:b w:val="0"/>
                <w:sz w:val="24"/>
                <w:u w:val="none"/>
              </w:rPr>
              <w:t xml:space="preserve"> V k </w:t>
            </w:r>
            <w:r w:rsidRPr="00A72949">
              <w:rPr>
                <w:rFonts w:ascii="Times New Roman" w:hAnsi="Times New Roman"/>
                <w:sz w:val="24"/>
              </w:rPr>
              <w:t>tomuto nariadeniu</w:t>
            </w:r>
            <w:r w:rsidRPr="00A72949">
              <w:rPr>
                <w:rStyle w:val="InstructionsTabelleberschrift"/>
                <w:rFonts w:ascii="Times New Roman" w:hAnsi="Times New Roman"/>
                <w:b w:val="0"/>
                <w:sz w:val="24"/>
                <w:u w:val="none"/>
              </w:rPr>
              <w:t xml:space="preserve">. </w:t>
            </w:r>
          </w:p>
        </w:tc>
      </w:tr>
      <w:tr w:rsidR="004E6C70" w:rsidRPr="00A72949" w:rsidDel="00576E55" w14:paraId="78A212C0" w14:textId="77777777" w:rsidTr="00E73145">
        <w:tc>
          <w:tcPr>
            <w:tcW w:w="1276" w:type="dxa"/>
            <w:tcBorders>
              <w:top w:val="single" w:sz="4" w:space="0" w:color="auto"/>
              <w:left w:val="single" w:sz="4" w:space="0" w:color="auto"/>
              <w:bottom w:val="single" w:sz="4" w:space="0" w:color="auto"/>
              <w:right w:val="single" w:sz="4" w:space="0" w:color="auto"/>
            </w:tcBorders>
          </w:tcPr>
          <w:p w14:paraId="44E7C1E1" w14:textId="77777777" w:rsidR="004E6C70" w:rsidRPr="00A72949" w:rsidDel="00576E55"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0470</w:t>
            </w:r>
          </w:p>
        </w:tc>
        <w:tc>
          <w:tcPr>
            <w:tcW w:w="7512" w:type="dxa"/>
            <w:tcBorders>
              <w:top w:val="single" w:sz="4" w:space="0" w:color="auto"/>
              <w:left w:val="single" w:sz="4" w:space="0" w:color="auto"/>
              <w:bottom w:val="single" w:sz="4" w:space="0" w:color="auto"/>
              <w:right w:val="single" w:sz="4" w:space="0" w:color="auto"/>
            </w:tcBorders>
          </w:tcPr>
          <w:p w14:paraId="0A05B866"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Deriváty, ktorými sa zabezpečujú záväzky</w:t>
            </w:r>
          </w:p>
          <w:p w14:paraId="187FC480" w14:textId="77E9931C" w:rsidR="004E6C70" w:rsidRPr="00A72949" w:rsidDel="00576E55"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Deriváty</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zmysle vymedzenia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článku 2 ods. 1 bode 29 nariadenia (EÚ) </w:t>
            </w:r>
            <w:r w:rsidR="00A72949">
              <w:rPr>
                <w:rStyle w:val="InstructionsTabelleberschrift"/>
                <w:rFonts w:ascii="Times New Roman" w:hAnsi="Times New Roman"/>
                <w:b w:val="0"/>
                <w:sz w:val="24"/>
                <w:u w:val="none"/>
              </w:rPr>
              <w:t>č. </w:t>
            </w:r>
            <w:r w:rsidRPr="00A72949">
              <w:rPr>
                <w:rStyle w:val="InstructionsTabelleberschrift"/>
                <w:rFonts w:ascii="Times New Roman" w:hAnsi="Times New Roman"/>
                <w:b w:val="0"/>
                <w:sz w:val="24"/>
                <w:u w:val="none"/>
              </w:rPr>
              <w:t>600/2014.</w:t>
            </w:r>
            <w:r w:rsidRPr="00A72949">
              <w:rPr>
                <w:rStyle w:val="InstructionsTabelleberschrift"/>
                <w:rFonts w:ascii="Times New Roman" w:hAnsi="Times New Roman"/>
                <w:sz w:val="24"/>
                <w:u w:val="none"/>
              </w:rPr>
              <w:t xml:space="preserve"> </w:t>
            </w:r>
            <w:r w:rsidRPr="00A72949">
              <w:rPr>
                <w:rStyle w:val="InstructionsTabelleberschrift"/>
                <w:rFonts w:ascii="Times New Roman" w:hAnsi="Times New Roman"/>
                <w:b w:val="0"/>
                <w:sz w:val="24"/>
                <w:u w:val="none"/>
              </w:rPr>
              <w:t>Inštitúcie</w:t>
            </w:r>
            <w:r w:rsidRPr="00A72949">
              <w:t xml:space="preserve"> vykazujú deriváty držané</w:t>
            </w:r>
            <w:r w:rsidR="00A72949">
              <w:t xml:space="preserve"> v </w:t>
            </w:r>
            <w:r w:rsidRPr="00A72949">
              <w:t xml:space="preserve">režime účtovania </w:t>
            </w:r>
            <w:proofErr w:type="spellStart"/>
            <w:r w:rsidRPr="00A72949">
              <w:t>hedžingu</w:t>
            </w:r>
            <w:proofErr w:type="spellEnd"/>
            <w:r w:rsidRPr="00A72949">
              <w:t xml:space="preserve"> podľa uplatniteľného účtovného rámca, pričom zabezpečenou položkou je záväzok citlivý na úrokovú sadzbu.</w:t>
            </w:r>
          </w:p>
        </w:tc>
      </w:tr>
      <w:tr w:rsidR="004E6C70" w:rsidRPr="00A72949" w:rsidDel="00576E55" w14:paraId="5104F2C5" w14:textId="77777777" w:rsidTr="00E73145">
        <w:tc>
          <w:tcPr>
            <w:tcW w:w="1276" w:type="dxa"/>
            <w:tcBorders>
              <w:top w:val="single" w:sz="4" w:space="0" w:color="auto"/>
              <w:left w:val="single" w:sz="4" w:space="0" w:color="auto"/>
              <w:bottom w:val="single" w:sz="4" w:space="0" w:color="auto"/>
              <w:right w:val="single" w:sz="4" w:space="0" w:color="auto"/>
            </w:tcBorders>
          </w:tcPr>
          <w:p w14:paraId="7CB64F0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0490</w:t>
            </w:r>
          </w:p>
        </w:tc>
        <w:tc>
          <w:tcPr>
            <w:tcW w:w="7512" w:type="dxa"/>
            <w:tcBorders>
              <w:top w:val="single" w:sz="4" w:space="0" w:color="auto"/>
              <w:left w:val="single" w:sz="4" w:space="0" w:color="auto"/>
              <w:bottom w:val="single" w:sz="4" w:space="0" w:color="auto"/>
              <w:right w:val="single" w:sz="4" w:space="0" w:color="auto"/>
            </w:tcBorders>
          </w:tcPr>
          <w:p w14:paraId="790396F0" w14:textId="77777777" w:rsidR="004E6C70" w:rsidRPr="00A72949" w:rsidRDefault="004E6C70" w:rsidP="00E73145">
            <w:pPr>
              <w:pStyle w:val="InstructionsText"/>
              <w:rPr>
                <w:rStyle w:val="InstructionsTabelleberschrift"/>
                <w:rFonts w:ascii="Times New Roman" w:hAnsi="Times New Roman"/>
                <w:sz w:val="24"/>
              </w:rPr>
            </w:pPr>
            <w:proofErr w:type="spellStart"/>
            <w:r w:rsidRPr="00A72949">
              <w:rPr>
                <w:rStyle w:val="InstructionsTabelleberschrift"/>
                <w:rFonts w:ascii="Times New Roman" w:hAnsi="Times New Roman"/>
                <w:sz w:val="24"/>
              </w:rPr>
              <w:t>Hedžing</w:t>
            </w:r>
            <w:proofErr w:type="spellEnd"/>
            <w:r w:rsidRPr="00A72949">
              <w:rPr>
                <w:rStyle w:val="InstructionsTabelleberschrift"/>
                <w:rFonts w:ascii="Times New Roman" w:hAnsi="Times New Roman"/>
                <w:sz w:val="24"/>
              </w:rPr>
              <w:t xml:space="preserve"> dlhových cenných papierov</w:t>
            </w:r>
          </w:p>
          <w:p w14:paraId="19C260B6" w14:textId="71EBBC18" w:rsidR="004E6C70" w:rsidRPr="00A72949" w:rsidRDefault="004E6C70" w:rsidP="00E73145">
            <w:pPr>
              <w:pStyle w:val="InstructionsText"/>
              <w:rPr>
                <w:rStyle w:val="InstructionsTabelleberschrift"/>
                <w:rFonts w:ascii="Times New Roman" w:hAnsi="Times New Roman"/>
                <w:sz w:val="24"/>
              </w:rPr>
            </w:pPr>
            <w:r w:rsidRPr="00A72949">
              <w:t>Deriváty</w:t>
            </w:r>
            <w:r w:rsidR="00A72949">
              <w:t xml:space="preserve"> v </w:t>
            </w:r>
            <w:r w:rsidRPr="00A72949">
              <w:t xml:space="preserve">rámci účtovania </w:t>
            </w:r>
            <w:proofErr w:type="spellStart"/>
            <w:r w:rsidRPr="00A72949">
              <w:t>hedžingu</w:t>
            </w:r>
            <w:proofErr w:type="spellEnd"/>
            <w:r w:rsidRPr="00A72949">
              <w:t xml:space="preserve">, </w:t>
            </w:r>
            <w:r w:rsidRPr="00A72949">
              <w:rPr>
                <w:rStyle w:val="InstructionsTabelleberschrift"/>
                <w:rFonts w:ascii="Times New Roman" w:hAnsi="Times New Roman"/>
                <w:b w:val="0"/>
                <w:sz w:val="24"/>
                <w:u w:val="none"/>
              </w:rPr>
              <w:t xml:space="preserve">ktorými sa zabezpečujú záväzky, ktoré sú dlhovými cennými papiermi. </w:t>
            </w:r>
          </w:p>
        </w:tc>
      </w:tr>
      <w:tr w:rsidR="004E6C70" w:rsidRPr="00A72949" w:rsidDel="00576E55" w14:paraId="2AF0C7C7" w14:textId="77777777" w:rsidTr="00E73145">
        <w:tc>
          <w:tcPr>
            <w:tcW w:w="1276" w:type="dxa"/>
            <w:tcBorders>
              <w:top w:val="single" w:sz="4" w:space="0" w:color="auto"/>
              <w:left w:val="single" w:sz="4" w:space="0" w:color="auto"/>
              <w:bottom w:val="single" w:sz="4" w:space="0" w:color="auto"/>
              <w:right w:val="single" w:sz="4" w:space="0" w:color="auto"/>
            </w:tcBorders>
          </w:tcPr>
          <w:p w14:paraId="45E2427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0500</w:t>
            </w:r>
          </w:p>
        </w:tc>
        <w:tc>
          <w:tcPr>
            <w:tcW w:w="7512" w:type="dxa"/>
            <w:tcBorders>
              <w:top w:val="single" w:sz="4" w:space="0" w:color="auto"/>
              <w:left w:val="single" w:sz="4" w:space="0" w:color="auto"/>
              <w:bottom w:val="single" w:sz="4" w:space="0" w:color="auto"/>
              <w:right w:val="single" w:sz="4" w:space="0" w:color="auto"/>
            </w:tcBorders>
          </w:tcPr>
          <w:p w14:paraId="141B987C" w14:textId="77777777" w:rsidR="004E6C70" w:rsidRPr="00A72949" w:rsidRDefault="004E6C70" w:rsidP="00E73145">
            <w:pPr>
              <w:pStyle w:val="InstructionsText"/>
              <w:rPr>
                <w:rStyle w:val="InstructionsTabelleberschrift"/>
                <w:rFonts w:ascii="Times New Roman" w:hAnsi="Times New Roman"/>
                <w:sz w:val="24"/>
              </w:rPr>
            </w:pPr>
            <w:proofErr w:type="spellStart"/>
            <w:r w:rsidRPr="00A72949">
              <w:rPr>
                <w:rStyle w:val="InstructionsTabelleberschrift"/>
                <w:rFonts w:ascii="Times New Roman" w:hAnsi="Times New Roman"/>
                <w:sz w:val="24"/>
              </w:rPr>
              <w:t>Hedžing</w:t>
            </w:r>
            <w:proofErr w:type="spellEnd"/>
            <w:r w:rsidRPr="00A72949">
              <w:rPr>
                <w:rStyle w:val="InstructionsTabelleberschrift"/>
                <w:rFonts w:ascii="Times New Roman" w:hAnsi="Times New Roman"/>
                <w:sz w:val="24"/>
              </w:rPr>
              <w:t xml:space="preserve"> ostatných záväzkov</w:t>
            </w:r>
          </w:p>
          <w:p w14:paraId="01B57FB4" w14:textId="26AA037C" w:rsidR="004E6C70" w:rsidRPr="00A72949" w:rsidRDefault="004E6C70" w:rsidP="00E73145">
            <w:pPr>
              <w:pStyle w:val="InstructionsText"/>
              <w:rPr>
                <w:rStyle w:val="InstructionsTabelleberschrift"/>
                <w:rFonts w:ascii="Times New Roman" w:hAnsi="Times New Roman"/>
                <w:sz w:val="24"/>
              </w:rPr>
            </w:pPr>
            <w:r w:rsidRPr="00A72949">
              <w:t>Deriváty</w:t>
            </w:r>
            <w:r w:rsidR="00A72949">
              <w:t xml:space="preserve"> v </w:t>
            </w:r>
            <w:r w:rsidRPr="00A72949">
              <w:t xml:space="preserve">rámci účtovania </w:t>
            </w:r>
            <w:proofErr w:type="spellStart"/>
            <w:r w:rsidRPr="00A72949">
              <w:t>hedžingu</w:t>
            </w:r>
            <w:proofErr w:type="spellEnd"/>
            <w:r w:rsidRPr="00A72949">
              <w:t xml:space="preserve">, </w:t>
            </w:r>
            <w:r w:rsidRPr="00A72949">
              <w:rPr>
                <w:rStyle w:val="InstructionsTabelleberschrift"/>
                <w:rFonts w:ascii="Times New Roman" w:hAnsi="Times New Roman"/>
                <w:b w:val="0"/>
                <w:sz w:val="24"/>
                <w:u w:val="none"/>
              </w:rPr>
              <w:t>ktorými sa zabezpečujú záväzky, ktoré nie sú dlhovými cennými papiermi.</w:t>
            </w:r>
          </w:p>
        </w:tc>
      </w:tr>
      <w:tr w:rsidR="004E6C70" w:rsidRPr="00A72949" w14:paraId="3FE67586" w14:textId="77777777" w:rsidTr="00E73145">
        <w:tc>
          <w:tcPr>
            <w:tcW w:w="1276" w:type="dxa"/>
            <w:tcBorders>
              <w:top w:val="single" w:sz="4" w:space="0" w:color="auto"/>
              <w:left w:val="single" w:sz="4" w:space="0" w:color="auto"/>
              <w:bottom w:val="single" w:sz="4" w:space="0" w:color="auto"/>
              <w:right w:val="single" w:sz="4" w:space="0" w:color="auto"/>
            </w:tcBorders>
          </w:tcPr>
          <w:p w14:paraId="722CD74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D4C12F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Ostatné</w:t>
            </w:r>
          </w:p>
          <w:p w14:paraId="2A815D56"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V tomto riadku sa vykazujú ostatné súvahové záväzky citlivé na úrokové sadzby</w:t>
            </w:r>
            <w:r w:rsidRPr="00A72949">
              <w:t>, ktoré neboli klasifikované vo vyššie uvedených riadkoch.</w:t>
            </w:r>
          </w:p>
        </w:tc>
      </w:tr>
      <w:tr w:rsidR="004E6C70" w:rsidRPr="00A72949" w14:paraId="488CB80D" w14:textId="77777777" w:rsidTr="00E73145">
        <w:tc>
          <w:tcPr>
            <w:tcW w:w="1276" w:type="dxa"/>
            <w:tcBorders>
              <w:top w:val="single" w:sz="4" w:space="0" w:color="auto"/>
              <w:left w:val="single" w:sz="4" w:space="0" w:color="auto"/>
              <w:bottom w:val="single" w:sz="4" w:space="0" w:color="auto"/>
              <w:right w:val="single" w:sz="4" w:space="0" w:color="auto"/>
            </w:tcBorders>
          </w:tcPr>
          <w:p w14:paraId="073761E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72B2EA86"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xml:space="preserve">Podsúvahové záväzky: </w:t>
            </w:r>
            <w:bookmarkStart w:id="49" w:name="_Hlk116393169"/>
            <w:r w:rsidRPr="00A72949">
              <w:rPr>
                <w:rStyle w:val="InstructionsTabelleberschrift"/>
                <w:rFonts w:ascii="Times New Roman" w:hAnsi="Times New Roman"/>
                <w:sz w:val="24"/>
              </w:rPr>
              <w:t>podmienené záväzky</w:t>
            </w:r>
            <w:bookmarkEnd w:id="49"/>
          </w:p>
          <w:p w14:paraId="54DC0533"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Podsúvahové položky zahŕňajú produkty, ako sú úverové prísľuby citlivé na úrokové sadzby.</w:t>
            </w:r>
          </w:p>
          <w:p w14:paraId="6C38DDCE" w14:textId="41C1B4C0" w:rsid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lastRenderedPageBreak/>
              <w:t>Podmienené záväzky sa považujú za kombináciu krátkej</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dlhej pozície. Konkrétne, ak má inštitúcia úverovú linku</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inými inštitúciami, inštitúcia bude mať dlhú pozíciu, keď sa má úver čerpať,</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krátku pozíciu</w:t>
            </w:r>
            <w:r w:rsidR="00A72949">
              <w:rPr>
                <w:rStyle w:val="InstructionsTabelleberschrift"/>
                <w:rFonts w:ascii="Times New Roman" w:hAnsi="Times New Roman"/>
                <w:b w:val="0"/>
                <w:sz w:val="24"/>
                <w:u w:val="none"/>
              </w:rPr>
              <w:t xml:space="preserve"> k </w:t>
            </w:r>
            <w:r w:rsidRPr="00A72949">
              <w:rPr>
                <w:rStyle w:val="InstructionsTabelleberschrift"/>
                <w:rFonts w:ascii="Times New Roman" w:hAnsi="Times New Roman"/>
                <w:b w:val="0"/>
                <w:sz w:val="24"/>
                <w:u w:val="none"/>
              </w:rPr>
              <w:t>dátumu otvorenia úverovej linky</w:t>
            </w:r>
            <w:r w:rsidR="00A72949">
              <w:rPr>
                <w:rStyle w:val="InstructionsTabelleberschrift"/>
                <w:rFonts w:ascii="Times New Roman" w:hAnsi="Times New Roman"/>
                <w:b w:val="0"/>
                <w:sz w:val="24"/>
                <w:u w:val="none"/>
              </w:rPr>
              <w:t>.</w:t>
            </w:r>
          </w:p>
          <w:p w14:paraId="473E9FFE" w14:textId="0DB6B66B" w:rsidR="004E6C70" w:rsidRPr="00A72949" w:rsidRDefault="004E6C70" w:rsidP="00E73145">
            <w:pPr>
              <w:pStyle w:val="InstructionsText"/>
              <w:rPr>
                <w:rStyle w:val="InstructionsTabelleberschrift"/>
                <w:rFonts w:ascii="Times New Roman" w:hAnsi="Times New Roman"/>
                <w:b w:val="0"/>
                <w:bCs w:val="0"/>
                <w:sz w:val="24"/>
                <w:highlight w:val="yellow"/>
                <w:u w:val="none"/>
              </w:rPr>
            </w:pPr>
            <w:r w:rsidRPr="00A72949">
              <w:rPr>
                <w:rStyle w:val="InstructionsTabelleberschrift"/>
                <w:rFonts w:ascii="Times New Roman" w:hAnsi="Times New Roman"/>
                <w:b w:val="0"/>
                <w:sz w:val="24"/>
                <w:u w:val="none"/>
              </w:rPr>
              <w:t>Dlhé pozície sa vykazujú ako aktíva, zatiaľ čo krátke pozície sa vykazujú ako záväzky.</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tomto riadku sa vykazujú len podmienené nástroje, ktoré sa kvalifikujú ako záväzky.</w:t>
            </w:r>
          </w:p>
        </w:tc>
      </w:tr>
      <w:tr w:rsidR="004E6C70" w:rsidRPr="00A72949" w14:paraId="26AF2240" w14:textId="77777777" w:rsidTr="00E73145">
        <w:tc>
          <w:tcPr>
            <w:tcW w:w="1276" w:type="dxa"/>
            <w:tcBorders>
              <w:top w:val="single" w:sz="4" w:space="0" w:color="auto"/>
              <w:left w:val="single" w:sz="4" w:space="0" w:color="auto"/>
              <w:bottom w:val="single" w:sz="4" w:space="0" w:color="auto"/>
              <w:right w:val="single" w:sz="4" w:space="0" w:color="auto"/>
            </w:tcBorders>
          </w:tcPr>
          <w:p w14:paraId="597DB05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45E245A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Ostatné deriváty (čisté aktívum/záväzok)</w:t>
            </w:r>
          </w:p>
          <w:p w14:paraId="149802C6" w14:textId="57215B0F"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xml:space="preserve">Úrokové deriváty, ktoré nie sú navrhnuté ako účtovné </w:t>
            </w:r>
            <w:proofErr w:type="spellStart"/>
            <w:r w:rsidRPr="00A72949">
              <w:rPr>
                <w:rStyle w:val="InstructionsTabelleberschrift"/>
                <w:rFonts w:ascii="Times New Roman" w:hAnsi="Times New Roman"/>
                <w:b w:val="0"/>
                <w:sz w:val="24"/>
                <w:u w:val="none"/>
              </w:rPr>
              <w:t>hedžingy</w:t>
            </w:r>
            <w:proofErr w:type="spellEnd"/>
            <w:r w:rsidRPr="00A72949">
              <w:rPr>
                <w:rStyle w:val="InstructionsTabelleberschrift"/>
                <w:rFonts w:ascii="Times New Roman" w:hAnsi="Times New Roman"/>
                <w:b w:val="0"/>
                <w:sz w:val="24"/>
                <w:u w:val="none"/>
              </w:rPr>
              <w:t xml:space="preserve">, ako sú ekonomické </w:t>
            </w:r>
            <w:proofErr w:type="spellStart"/>
            <w:r w:rsidRPr="00A72949">
              <w:rPr>
                <w:rStyle w:val="InstructionsTabelleberschrift"/>
                <w:rFonts w:ascii="Times New Roman" w:hAnsi="Times New Roman"/>
                <w:b w:val="0"/>
                <w:sz w:val="24"/>
                <w:u w:val="none"/>
              </w:rPr>
              <w:t>hedžingy</w:t>
            </w:r>
            <w:proofErr w:type="spellEnd"/>
            <w:r w:rsidRPr="00A72949">
              <w:rPr>
                <w:rStyle w:val="InstructionsTabelleberschrift"/>
                <w:rFonts w:ascii="Times New Roman" w:hAnsi="Times New Roman"/>
                <w:b w:val="0"/>
                <w:sz w:val="24"/>
                <w:u w:val="none"/>
              </w:rPr>
              <w:t xml:space="preserve"> úrokových sadzieb, ktoré sú určené na zabezpečenie úrokového rizika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bankovej knihe, ale nie sú</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režime účtovného </w:t>
            </w:r>
            <w:proofErr w:type="spellStart"/>
            <w:r w:rsidRPr="00A72949">
              <w:rPr>
                <w:rStyle w:val="InstructionsTabelleberschrift"/>
                <w:rFonts w:ascii="Times New Roman" w:hAnsi="Times New Roman"/>
                <w:b w:val="0"/>
                <w:sz w:val="24"/>
                <w:u w:val="none"/>
              </w:rPr>
              <w:t>hedžingu</w:t>
            </w:r>
            <w:proofErr w:type="spellEnd"/>
            <w:r w:rsidRPr="00A72949">
              <w:rPr>
                <w:rStyle w:val="InstructionsTabelleberschrift"/>
                <w:rFonts w:ascii="Times New Roman" w:hAnsi="Times New Roman"/>
                <w:b w:val="0"/>
                <w:sz w:val="24"/>
                <w:u w:val="none"/>
              </w:rPr>
              <w:t>.</w:t>
            </w:r>
          </w:p>
        </w:tc>
      </w:tr>
      <w:tr w:rsidR="004E6C70" w:rsidRPr="00A72949" w14:paraId="3956F28F" w14:textId="77777777" w:rsidTr="00E73145">
        <w:tc>
          <w:tcPr>
            <w:tcW w:w="1276" w:type="dxa"/>
            <w:tcBorders>
              <w:top w:val="single" w:sz="4" w:space="0" w:color="auto"/>
              <w:left w:val="single" w:sz="4" w:space="0" w:color="auto"/>
              <w:bottom w:val="single" w:sz="4" w:space="0" w:color="auto"/>
              <w:right w:val="single" w:sz="4" w:space="0" w:color="auto"/>
            </w:tcBorders>
          </w:tcPr>
          <w:p w14:paraId="27C1AD32" w14:textId="77777777" w:rsidR="004E6C70" w:rsidRPr="00A72949" w:rsidDel="001D16D7"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0540 – 0640</w:t>
            </w:r>
          </w:p>
        </w:tc>
        <w:tc>
          <w:tcPr>
            <w:tcW w:w="7512" w:type="dxa"/>
            <w:tcBorders>
              <w:top w:val="single" w:sz="4" w:space="0" w:color="auto"/>
              <w:left w:val="single" w:sz="4" w:space="0" w:color="auto"/>
              <w:bottom w:val="single" w:sz="4" w:space="0" w:color="auto"/>
              <w:right w:val="single" w:sz="4" w:space="0" w:color="auto"/>
            </w:tcBorders>
          </w:tcPr>
          <w:p w14:paraId="4C1E16A1"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Doplňujúce položky</w:t>
            </w:r>
          </w:p>
        </w:tc>
      </w:tr>
      <w:tr w:rsidR="004E6C70" w:rsidRPr="00A72949" w14:paraId="045E0FDE" w14:textId="77777777" w:rsidTr="00E73145">
        <w:tc>
          <w:tcPr>
            <w:tcW w:w="1276" w:type="dxa"/>
            <w:tcBorders>
              <w:top w:val="single" w:sz="4" w:space="0" w:color="auto"/>
              <w:left w:val="single" w:sz="4" w:space="0" w:color="auto"/>
              <w:bottom w:val="single" w:sz="4" w:space="0" w:color="auto"/>
              <w:right w:val="single" w:sz="4" w:space="0" w:color="auto"/>
            </w:tcBorders>
          </w:tcPr>
          <w:p w14:paraId="57A42A25" w14:textId="77777777" w:rsidR="004E6C70" w:rsidRPr="00A72949" w:rsidDel="00C13246"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0540</w:t>
            </w:r>
          </w:p>
        </w:tc>
        <w:tc>
          <w:tcPr>
            <w:tcW w:w="7512" w:type="dxa"/>
            <w:tcBorders>
              <w:top w:val="single" w:sz="4" w:space="0" w:color="auto"/>
              <w:left w:val="single" w:sz="4" w:space="0" w:color="auto"/>
              <w:bottom w:val="single" w:sz="4" w:space="0" w:color="auto"/>
              <w:right w:val="single" w:sz="4" w:space="0" w:color="auto"/>
            </w:tcBorders>
          </w:tcPr>
          <w:p w14:paraId="4FF1B13F"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Čisté deriváty</w:t>
            </w:r>
          </w:p>
          <w:p w14:paraId="062995A2" w14:textId="155DCEF6"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Čistý príspevok všetkých úrokových derivátov</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bankovej knihe, pričom sa zohľadňujú tie úrokové deriváty, ktorými sa zabezpečujú aktíva (riadok 0140) alebo záväzky (riadok 0470)</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rámci režimu účtovného </w:t>
            </w:r>
            <w:proofErr w:type="spellStart"/>
            <w:r w:rsidRPr="00A72949">
              <w:rPr>
                <w:rStyle w:val="InstructionsTabelleberschrift"/>
                <w:rFonts w:ascii="Times New Roman" w:hAnsi="Times New Roman"/>
                <w:b w:val="0"/>
                <w:sz w:val="24"/>
                <w:u w:val="none"/>
              </w:rPr>
              <w:t>hedžingu</w:t>
            </w:r>
            <w:proofErr w:type="spellEnd"/>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bankovej knihe</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ekonomické </w:t>
            </w:r>
            <w:proofErr w:type="spellStart"/>
            <w:r w:rsidRPr="00A72949">
              <w:rPr>
                <w:rStyle w:val="InstructionsTabelleberschrift"/>
                <w:rFonts w:ascii="Times New Roman" w:hAnsi="Times New Roman"/>
                <w:b w:val="0"/>
                <w:sz w:val="24"/>
                <w:u w:val="none"/>
              </w:rPr>
              <w:t>hedžingy</w:t>
            </w:r>
            <w:proofErr w:type="spellEnd"/>
            <w:r w:rsidRPr="00A72949">
              <w:rPr>
                <w:rStyle w:val="InstructionsTabelleberschrift"/>
                <w:rFonts w:ascii="Times New Roman" w:hAnsi="Times New Roman"/>
                <w:b w:val="0"/>
                <w:sz w:val="24"/>
                <w:u w:val="none"/>
              </w:rPr>
              <w:t xml:space="preserve"> úrokových sadzieb (riadok 0530) iných úrokových derivátov</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bankovej knihe, ktoré nie sú navrhnuté ako účtovné </w:t>
            </w:r>
            <w:proofErr w:type="spellStart"/>
            <w:r w:rsidRPr="00A72949">
              <w:rPr>
                <w:rStyle w:val="InstructionsTabelleberschrift"/>
                <w:rFonts w:ascii="Times New Roman" w:hAnsi="Times New Roman"/>
                <w:b w:val="0"/>
                <w:sz w:val="24"/>
                <w:u w:val="none"/>
              </w:rPr>
              <w:t>hedžingy</w:t>
            </w:r>
            <w:proofErr w:type="spellEnd"/>
            <w:r w:rsidRPr="00A72949">
              <w:rPr>
                <w:rStyle w:val="InstructionsTabelleberschrift"/>
                <w:rFonts w:ascii="Times New Roman" w:hAnsi="Times New Roman"/>
                <w:b w:val="0"/>
                <w:sz w:val="24"/>
                <w:u w:val="none"/>
              </w:rPr>
              <w:t>.</w:t>
            </w:r>
          </w:p>
        </w:tc>
      </w:tr>
      <w:tr w:rsidR="004E6C70" w:rsidRPr="00A72949" w14:paraId="0C86B2D3" w14:textId="77777777" w:rsidTr="00E73145">
        <w:tc>
          <w:tcPr>
            <w:tcW w:w="1276" w:type="dxa"/>
            <w:tcBorders>
              <w:top w:val="single" w:sz="4" w:space="0" w:color="auto"/>
              <w:left w:val="single" w:sz="4" w:space="0" w:color="auto"/>
              <w:bottom w:val="single" w:sz="4" w:space="0" w:color="auto"/>
              <w:right w:val="single" w:sz="4" w:space="0" w:color="auto"/>
            </w:tcBorders>
          </w:tcPr>
          <w:p w14:paraId="27936AFA" w14:textId="77777777" w:rsidR="004E6C70" w:rsidRPr="00A72949" w:rsidDel="00C13246"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0550</w:t>
            </w:r>
          </w:p>
        </w:tc>
        <w:tc>
          <w:tcPr>
            <w:tcW w:w="7512" w:type="dxa"/>
            <w:tcBorders>
              <w:top w:val="single" w:sz="4" w:space="0" w:color="auto"/>
              <w:left w:val="single" w:sz="4" w:space="0" w:color="auto"/>
              <w:bottom w:val="single" w:sz="4" w:space="0" w:color="auto"/>
              <w:right w:val="single" w:sz="4" w:space="0" w:color="auto"/>
            </w:tcBorders>
          </w:tcPr>
          <w:p w14:paraId="5D7BBC8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Čistá úroková pozícia bez derivátov</w:t>
            </w:r>
          </w:p>
          <w:p w14:paraId="6EFD7537" w14:textId="551D31BA"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Všetky úrokové expozície</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bankovej knihe</w:t>
            </w:r>
            <w:r w:rsidRPr="00A72949">
              <w:t xml:space="preserve"> vrátane podsúvahových expozícií</w:t>
            </w:r>
            <w:r w:rsidR="00A72949">
              <w:t xml:space="preserve"> a s </w:t>
            </w:r>
            <w:r w:rsidRPr="00A72949">
              <w:rPr>
                <w:rStyle w:val="InstructionsTabelleberschrift"/>
                <w:rFonts w:ascii="Times New Roman" w:hAnsi="Times New Roman"/>
                <w:b w:val="0"/>
                <w:sz w:val="24"/>
                <w:u w:val="none"/>
              </w:rPr>
              <w:t>výnimkou úrokových derivátov. Najmä všetky aktíva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záväzky</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výnimkou účinku derivátov.</w:t>
            </w:r>
          </w:p>
        </w:tc>
      </w:tr>
      <w:tr w:rsidR="004E6C70" w:rsidRPr="00A72949" w14:paraId="37901D97" w14:textId="77777777" w:rsidTr="00E73145">
        <w:tc>
          <w:tcPr>
            <w:tcW w:w="1276" w:type="dxa"/>
            <w:tcBorders>
              <w:top w:val="single" w:sz="4" w:space="0" w:color="auto"/>
              <w:left w:val="single" w:sz="4" w:space="0" w:color="auto"/>
              <w:bottom w:val="single" w:sz="4" w:space="0" w:color="auto"/>
              <w:right w:val="single" w:sz="4" w:space="0" w:color="auto"/>
            </w:tcBorders>
          </w:tcPr>
          <w:p w14:paraId="2686F53D" w14:textId="77777777" w:rsidR="004E6C70" w:rsidRPr="00A72949" w:rsidDel="00C13246"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0560</w:t>
            </w:r>
          </w:p>
        </w:tc>
        <w:tc>
          <w:tcPr>
            <w:tcW w:w="7512" w:type="dxa"/>
            <w:tcBorders>
              <w:top w:val="single" w:sz="4" w:space="0" w:color="auto"/>
              <w:left w:val="single" w:sz="4" w:space="0" w:color="auto"/>
              <w:bottom w:val="single" w:sz="4" w:space="0" w:color="auto"/>
              <w:right w:val="single" w:sz="4" w:space="0" w:color="auto"/>
            </w:tcBorders>
          </w:tcPr>
          <w:p w14:paraId="227ADB8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sz w:val="24"/>
              </w:rPr>
              <w:t>Čistá úroková pozícia vrátane derivátov</w:t>
            </w:r>
          </w:p>
          <w:p w14:paraId="5E45D1D7" w14:textId="282F3184"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Všetky aktíva</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záväzky vrátane</w:t>
            </w:r>
            <w:r w:rsidRPr="00A72949">
              <w:t xml:space="preserve"> podsúvahových expozícií</w:t>
            </w:r>
            <w:r w:rsidR="00A72949">
              <w:t xml:space="preserve"> a </w:t>
            </w:r>
            <w:r w:rsidRPr="00A72949">
              <w:rPr>
                <w:rStyle w:val="InstructionsTabelleberschrift"/>
                <w:rFonts w:ascii="Times New Roman" w:hAnsi="Times New Roman"/>
                <w:b w:val="0"/>
                <w:sz w:val="24"/>
                <w:u w:val="none"/>
              </w:rPr>
              <w:t>úrokových derivátov.</w:t>
            </w:r>
          </w:p>
        </w:tc>
      </w:tr>
      <w:tr w:rsidR="004E6C70" w:rsidRPr="00A72949" w14:paraId="0AAEE631" w14:textId="77777777" w:rsidTr="00E73145">
        <w:tc>
          <w:tcPr>
            <w:tcW w:w="1276" w:type="dxa"/>
            <w:tcBorders>
              <w:top w:val="single" w:sz="4" w:space="0" w:color="auto"/>
              <w:left w:val="single" w:sz="4" w:space="0" w:color="auto"/>
              <w:bottom w:val="single" w:sz="4" w:space="0" w:color="auto"/>
              <w:right w:val="single" w:sz="4" w:space="0" w:color="auto"/>
            </w:tcBorders>
          </w:tcPr>
          <w:p w14:paraId="2ECC06B1" w14:textId="77777777" w:rsidR="004E6C70" w:rsidRPr="00A72949" w:rsidDel="001D16D7"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0570</w:t>
            </w:r>
          </w:p>
        </w:tc>
        <w:tc>
          <w:tcPr>
            <w:tcW w:w="7512" w:type="dxa"/>
            <w:tcBorders>
              <w:top w:val="single" w:sz="4" w:space="0" w:color="auto"/>
              <w:left w:val="single" w:sz="4" w:space="0" w:color="auto"/>
              <w:bottom w:val="single" w:sz="4" w:space="0" w:color="auto"/>
              <w:right w:val="single" w:sz="4" w:space="0" w:color="auto"/>
            </w:tcBorders>
          </w:tcPr>
          <w:p w14:paraId="64299029" w14:textId="17EFA48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Celkové aktíva</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vplyvom na MV</w:t>
            </w:r>
          </w:p>
          <w:p w14:paraId="298C6943" w14:textId="22B11242" w:rsidR="004E6C70" w:rsidRPr="00A72949" w:rsidRDefault="004E6C70" w:rsidP="00E73145">
            <w:pPr>
              <w:pStyle w:val="InstructionsText"/>
              <w:rPr>
                <w:rStyle w:val="InstructionsTabelleberschrift"/>
                <w:rFonts w:ascii="Times New Roman" w:hAnsi="Times New Roman"/>
                <w:b w:val="0"/>
                <w:bCs w:val="0"/>
                <w:sz w:val="24"/>
                <w:u w:val="none"/>
              </w:rPr>
            </w:pPr>
            <w:r w:rsidRPr="00A72949">
              <w:t>Celkové aktíva, pri ktorých sú zmeny MV relevantné pre výsledok hospodárenia alebo vlastné imanie,</w:t>
            </w:r>
            <w:r w:rsidR="00A72949">
              <w:t xml:space="preserve"> s </w:t>
            </w:r>
            <w:r w:rsidRPr="00A72949">
              <w:t xml:space="preserve">výnimkou neúčtovných </w:t>
            </w:r>
            <w:proofErr w:type="spellStart"/>
            <w:r w:rsidRPr="00A72949">
              <w:t>hedžingových</w:t>
            </w:r>
            <w:proofErr w:type="spellEnd"/>
            <w:r w:rsidRPr="00A72949">
              <w:t xml:space="preserve"> derivátov vykázaných</w:t>
            </w:r>
            <w:r w:rsidR="00A72949">
              <w:t xml:space="preserve"> v </w:t>
            </w:r>
            <w:r w:rsidRPr="00A72949">
              <w:t>riadku 0530.</w:t>
            </w:r>
            <w:r w:rsidR="00A72949">
              <w:t xml:space="preserve"> V </w:t>
            </w:r>
            <w:r w:rsidRPr="00A72949">
              <w:t>prípade inštitúcií, ktoré uplatňujú štandardy IFRS podľa nariadenia Európskeho parlamentu</w:t>
            </w:r>
            <w:r w:rsidR="00A72949">
              <w:t xml:space="preserve"> a </w:t>
            </w:r>
            <w:r w:rsidRPr="00A72949">
              <w:t xml:space="preserve">Rady (ES) </w:t>
            </w:r>
            <w:r w:rsidR="00A72949">
              <w:t>č. </w:t>
            </w:r>
            <w:r w:rsidRPr="00A72949">
              <w:t>1606/2002</w:t>
            </w:r>
            <w:r w:rsidRPr="00A72949">
              <w:rPr>
                <w:rStyle w:val="FootnoteReference"/>
              </w:rPr>
              <w:footnoteReference w:id="4"/>
            </w:r>
            <w:r w:rsidRPr="00A72949">
              <w:t>, aktíva</w:t>
            </w:r>
            <w:r w:rsidR="00A72949">
              <w:t xml:space="preserve"> v </w:t>
            </w:r>
            <w:r w:rsidRPr="00A72949">
              <w:t>bankovej knihe, ktoré sa účtujú</w:t>
            </w:r>
            <w:r w:rsidR="00A72949">
              <w:t xml:space="preserve"> v </w:t>
            </w:r>
            <w:r w:rsidRPr="00A72949">
              <w:t>reálnej hodnote podľa uplatniteľného účtovného rámca (buď cez výsledok hospodárenia alebo ostatné súčasti komplexného výsledku), spolu</w:t>
            </w:r>
            <w:r w:rsidR="00A72949">
              <w:t xml:space="preserve"> s </w:t>
            </w:r>
            <w:r w:rsidRPr="00A72949">
              <w:t>dlhovými cennými papiermi</w:t>
            </w:r>
            <w:r w:rsidR="00A72949">
              <w:t xml:space="preserve"> a </w:t>
            </w:r>
            <w:r w:rsidRPr="00A72949">
              <w:t>inými nástrojmi účtovanými</w:t>
            </w:r>
            <w:r w:rsidR="00A72949">
              <w:t xml:space="preserve"> v </w:t>
            </w:r>
            <w:r w:rsidRPr="00A72949">
              <w:t xml:space="preserve">amortizovanej hodnote, ktoré podliehajú účtovaniu </w:t>
            </w:r>
            <w:proofErr w:type="spellStart"/>
            <w:r w:rsidRPr="00A72949">
              <w:t>hedžingu</w:t>
            </w:r>
            <w:proofErr w:type="spellEnd"/>
            <w:r w:rsidRPr="00A72949">
              <w:t xml:space="preserve"> reálnej hodnoty.</w:t>
            </w:r>
            <w:r w:rsidR="00A72949">
              <w:t xml:space="preserve"> V </w:t>
            </w:r>
            <w:r w:rsidRPr="00A72949">
              <w:t>tomto oddiele sa vykazujú deriváty, ktorými sa zabezpečujú aktíva</w:t>
            </w:r>
            <w:r w:rsidR="00A72949">
              <w:t xml:space="preserve"> v </w:t>
            </w:r>
            <w:r w:rsidRPr="00A72949">
              <w:t>bankovej knihe</w:t>
            </w:r>
            <w:r w:rsidR="00A72949">
              <w:t xml:space="preserve"> v </w:t>
            </w:r>
            <w:r w:rsidRPr="00A72949">
              <w:t xml:space="preserve">režime účtovania </w:t>
            </w:r>
            <w:proofErr w:type="spellStart"/>
            <w:r w:rsidRPr="00A72949">
              <w:t>hedžingu</w:t>
            </w:r>
            <w:proofErr w:type="spellEnd"/>
            <w:r w:rsidRPr="00A72949">
              <w:t>,</w:t>
            </w:r>
            <w:r w:rsidR="00A72949">
              <w:t xml:space="preserve"> s </w:t>
            </w:r>
            <w:r w:rsidRPr="00A72949">
              <w:t>výnimkou efektívnej zložky tých účtovných derivátov zabezpečujúcich peňažné toky, ktorými sa zabezpečujú položky</w:t>
            </w:r>
            <w:r w:rsidR="00A72949">
              <w:t xml:space="preserve"> </w:t>
            </w:r>
            <w:r w:rsidR="00A72949">
              <w:lastRenderedPageBreak/>
              <w:t>v </w:t>
            </w:r>
            <w:r w:rsidRPr="00A72949">
              <w:t>amortizovanej hodnote uvedené</w:t>
            </w:r>
            <w:r w:rsidR="00A72949">
              <w:t xml:space="preserve"> v </w:t>
            </w:r>
            <w:r w:rsidRPr="00A72949">
              <w:t xml:space="preserve">článku 33 ods. 1 písm. a) nariadenia (EÚ) </w:t>
            </w:r>
            <w:r w:rsidR="00A72949">
              <w:t>č. </w:t>
            </w:r>
            <w:r w:rsidRPr="00A72949">
              <w:t>575/2013.</w:t>
            </w:r>
          </w:p>
        </w:tc>
      </w:tr>
      <w:tr w:rsidR="004E6C70" w:rsidRPr="00A72949" w14:paraId="3B492DAC" w14:textId="77777777" w:rsidTr="00E73145">
        <w:tc>
          <w:tcPr>
            <w:tcW w:w="1276" w:type="dxa"/>
            <w:tcBorders>
              <w:top w:val="single" w:sz="4" w:space="0" w:color="auto"/>
              <w:left w:val="single" w:sz="4" w:space="0" w:color="auto"/>
              <w:bottom w:val="single" w:sz="4" w:space="0" w:color="auto"/>
              <w:right w:val="single" w:sz="4" w:space="0" w:color="auto"/>
            </w:tcBorders>
          </w:tcPr>
          <w:p w14:paraId="72C197C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07E88D0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Dlhové cenné papiere</w:t>
            </w:r>
          </w:p>
          <w:p w14:paraId="7F780AF4" w14:textId="0D8C75E7" w:rsidR="004E6C70" w:rsidRPr="00A72949" w:rsidRDefault="004E6C70" w:rsidP="00E73145">
            <w:pPr>
              <w:pStyle w:val="InstructionsText"/>
              <w:rPr>
                <w:rStyle w:val="InstructionsTabelleberschrift"/>
                <w:rFonts w:ascii="Times New Roman" w:hAnsi="Times New Roman"/>
                <w:b w:val="0"/>
                <w:sz w:val="24"/>
                <w:u w:val="none"/>
              </w:rPr>
            </w:pPr>
            <w:r w:rsidRPr="00A72949">
              <w:t>Dlhové cenné papiere, pri ktorých sa MV mení, sú relevantné pre výsledok hospodárenia alebo vlastné imanie. Patria sem dlhové cenné papiere</w:t>
            </w:r>
            <w:r w:rsidR="00A72949">
              <w:t xml:space="preserve"> v </w:t>
            </w:r>
            <w:r w:rsidRPr="00A72949">
              <w:t>reálnej hodnote spolu</w:t>
            </w:r>
            <w:r w:rsidR="00A72949">
              <w:t xml:space="preserve"> s </w:t>
            </w:r>
            <w:r w:rsidRPr="00A72949">
              <w:t>dlhovými cennými papiermi účtovanými</w:t>
            </w:r>
            <w:r w:rsidR="00A72949">
              <w:t xml:space="preserve"> v </w:t>
            </w:r>
            <w:r w:rsidRPr="00A72949">
              <w:t xml:space="preserve">amortizovanej hodnote, ktoré podliehajú účtovnému </w:t>
            </w:r>
            <w:proofErr w:type="spellStart"/>
            <w:r w:rsidRPr="00A72949">
              <w:t>hedžingu</w:t>
            </w:r>
            <w:proofErr w:type="spellEnd"/>
            <w:r w:rsidRPr="00A72949">
              <w:t xml:space="preserve"> reálnej hodnoty.</w:t>
            </w:r>
          </w:p>
        </w:tc>
      </w:tr>
      <w:tr w:rsidR="004E6C70" w:rsidRPr="00A72949" w14:paraId="73B01961" w14:textId="77777777" w:rsidTr="00E73145">
        <w:tc>
          <w:tcPr>
            <w:tcW w:w="1276" w:type="dxa"/>
            <w:tcBorders>
              <w:top w:val="single" w:sz="4" w:space="0" w:color="auto"/>
              <w:left w:val="single" w:sz="4" w:space="0" w:color="auto"/>
              <w:bottom w:val="single" w:sz="4" w:space="0" w:color="auto"/>
              <w:right w:val="single" w:sz="4" w:space="0" w:color="auto"/>
            </w:tcBorders>
          </w:tcPr>
          <w:p w14:paraId="016A033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0590</w:t>
            </w:r>
          </w:p>
        </w:tc>
        <w:tc>
          <w:tcPr>
            <w:tcW w:w="7512" w:type="dxa"/>
            <w:tcBorders>
              <w:top w:val="single" w:sz="4" w:space="0" w:color="auto"/>
              <w:left w:val="single" w:sz="4" w:space="0" w:color="auto"/>
              <w:bottom w:val="single" w:sz="4" w:space="0" w:color="auto"/>
              <w:right w:val="single" w:sz="4" w:space="0" w:color="auto"/>
            </w:tcBorders>
          </w:tcPr>
          <w:p w14:paraId="5B0A25C0"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Deriváty</w:t>
            </w:r>
          </w:p>
          <w:p w14:paraId="50746102" w14:textId="35586AEC" w:rsid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Deriváty</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zmysle vymedzenia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článku 2 ods. 1 bode 29 nariadenia (EÚ) </w:t>
            </w:r>
            <w:r w:rsidR="00A72949">
              <w:rPr>
                <w:rStyle w:val="InstructionsTabelleberschrift"/>
                <w:rFonts w:ascii="Times New Roman" w:hAnsi="Times New Roman"/>
                <w:b w:val="0"/>
                <w:sz w:val="24"/>
                <w:u w:val="none"/>
              </w:rPr>
              <w:t>č. </w:t>
            </w:r>
            <w:r w:rsidRPr="00A72949">
              <w:rPr>
                <w:rStyle w:val="InstructionsTabelleberschrift"/>
                <w:rFonts w:ascii="Times New Roman" w:hAnsi="Times New Roman"/>
                <w:b w:val="0"/>
                <w:sz w:val="24"/>
                <w:u w:val="none"/>
              </w:rPr>
              <w:t>600/2014</w:t>
            </w:r>
            <w:r w:rsidR="00A72949">
              <w:rPr>
                <w:rStyle w:val="InstructionsTabelleberschrift"/>
                <w:rFonts w:ascii="Times New Roman" w:hAnsi="Times New Roman"/>
                <w:b w:val="0"/>
                <w:sz w:val="24"/>
                <w:u w:val="none"/>
              </w:rPr>
              <w:t>.</w:t>
            </w:r>
          </w:p>
          <w:p w14:paraId="3ECA5873" w14:textId="227F1007" w:rsidR="004E6C70" w:rsidRPr="00A72949" w:rsidRDefault="004E6C70" w:rsidP="00E73145">
            <w:pPr>
              <w:pStyle w:val="InstructionsText"/>
              <w:rPr>
                <w:rStyle w:val="InstructionsTabelleberschrift"/>
                <w:rFonts w:ascii="Times New Roman" w:hAnsi="Times New Roman"/>
                <w:sz w:val="24"/>
                <w:u w:val="none"/>
              </w:rPr>
            </w:pPr>
            <w:r w:rsidRPr="00A72949">
              <w:t>V tomto riadku sa vykazujú deriváty, ktorými sa zabezpečujú aktíva</w:t>
            </w:r>
            <w:r w:rsidR="00A72949">
              <w:t xml:space="preserve"> v </w:t>
            </w:r>
            <w:r w:rsidRPr="00A72949">
              <w:t xml:space="preserve">režime účtovania </w:t>
            </w:r>
            <w:proofErr w:type="spellStart"/>
            <w:r w:rsidRPr="00A72949">
              <w:t>hedžingu</w:t>
            </w:r>
            <w:proofErr w:type="spellEnd"/>
            <w:r w:rsidRPr="00A72949">
              <w:t>,</w:t>
            </w:r>
            <w:r w:rsidR="00A72949">
              <w:t xml:space="preserve"> s </w:t>
            </w:r>
            <w:r w:rsidRPr="00A72949">
              <w:t xml:space="preserve">výnimkou derivátov určených ako </w:t>
            </w:r>
            <w:proofErr w:type="spellStart"/>
            <w:r w:rsidRPr="00A72949">
              <w:t>hedžingy</w:t>
            </w:r>
            <w:proofErr w:type="spellEnd"/>
            <w:r w:rsidRPr="00A72949">
              <w:t xml:space="preserve"> peňažných tokov, ktorými sa zabezpečujú položky</w:t>
            </w:r>
            <w:r w:rsidR="00A72949">
              <w:t xml:space="preserve"> v </w:t>
            </w:r>
            <w:r w:rsidRPr="00A72949">
              <w:t>amortizovanej hodnote.</w:t>
            </w:r>
          </w:p>
        </w:tc>
      </w:tr>
      <w:tr w:rsidR="004E6C70" w:rsidRPr="00A72949" w14:paraId="3A347D83" w14:textId="77777777" w:rsidTr="00E73145">
        <w:tc>
          <w:tcPr>
            <w:tcW w:w="1276" w:type="dxa"/>
            <w:tcBorders>
              <w:top w:val="single" w:sz="4" w:space="0" w:color="auto"/>
              <w:left w:val="single" w:sz="4" w:space="0" w:color="auto"/>
              <w:bottom w:val="single" w:sz="4" w:space="0" w:color="auto"/>
              <w:right w:val="single" w:sz="4" w:space="0" w:color="auto"/>
            </w:tcBorders>
          </w:tcPr>
          <w:p w14:paraId="45CA83C4"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0600</w:t>
            </w:r>
          </w:p>
        </w:tc>
        <w:tc>
          <w:tcPr>
            <w:tcW w:w="7512" w:type="dxa"/>
            <w:tcBorders>
              <w:top w:val="single" w:sz="4" w:space="0" w:color="auto"/>
              <w:left w:val="single" w:sz="4" w:space="0" w:color="auto"/>
              <w:bottom w:val="single" w:sz="4" w:space="0" w:color="auto"/>
              <w:right w:val="single" w:sz="4" w:space="0" w:color="auto"/>
            </w:tcBorders>
          </w:tcPr>
          <w:p w14:paraId="052DD4D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Ostatné</w:t>
            </w:r>
          </w:p>
          <w:p w14:paraId="4A4AFF64" w14:textId="79D10478" w:rsidR="004E6C70" w:rsidRPr="00A72949" w:rsidRDefault="004E6C70" w:rsidP="00E73145">
            <w:pPr>
              <w:pStyle w:val="InstructionsText"/>
              <w:rPr>
                <w:rStyle w:val="InstructionsTabelleberschrift"/>
                <w:rFonts w:ascii="Times New Roman" w:hAnsi="Times New Roman"/>
                <w:b w:val="0"/>
                <w:bCs w:val="0"/>
                <w:sz w:val="24"/>
                <w:u w:val="none"/>
              </w:rPr>
            </w:pPr>
            <w:r w:rsidRPr="00A72949">
              <w:t>Ostatné aktíva</w:t>
            </w:r>
            <w:r w:rsidR="00A72949">
              <w:t xml:space="preserve"> v </w:t>
            </w:r>
            <w:r w:rsidRPr="00A72949">
              <w:t>reálnej hodnote, spolu</w:t>
            </w:r>
            <w:r w:rsidR="00A72949">
              <w:t xml:space="preserve"> s </w:t>
            </w:r>
            <w:r w:rsidRPr="00A72949">
              <w:t>ostatnými aktívami</w:t>
            </w:r>
            <w:r w:rsidR="00A72949">
              <w:t xml:space="preserve"> v </w:t>
            </w:r>
            <w:r w:rsidRPr="00A72949">
              <w:t xml:space="preserve">amortizovanej hodnote, ktoré podliehajú účtovaniu </w:t>
            </w:r>
            <w:proofErr w:type="spellStart"/>
            <w:r w:rsidRPr="00A72949">
              <w:t>hedžingu</w:t>
            </w:r>
            <w:proofErr w:type="spellEnd"/>
            <w:r w:rsidRPr="00A72949">
              <w:t xml:space="preserve"> reálnej hodnoty.</w:t>
            </w:r>
          </w:p>
        </w:tc>
      </w:tr>
      <w:tr w:rsidR="004E6C70" w:rsidRPr="00A72949" w14:paraId="7650E9E3" w14:textId="77777777" w:rsidTr="00E73145">
        <w:tc>
          <w:tcPr>
            <w:tcW w:w="1276" w:type="dxa"/>
            <w:tcBorders>
              <w:top w:val="single" w:sz="4" w:space="0" w:color="auto"/>
              <w:left w:val="single" w:sz="4" w:space="0" w:color="auto"/>
              <w:bottom w:val="single" w:sz="4" w:space="0" w:color="auto"/>
              <w:right w:val="single" w:sz="4" w:space="0" w:color="auto"/>
            </w:tcBorders>
          </w:tcPr>
          <w:p w14:paraId="0ABFF0C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0610</w:t>
            </w:r>
          </w:p>
        </w:tc>
        <w:tc>
          <w:tcPr>
            <w:tcW w:w="7512" w:type="dxa"/>
            <w:tcBorders>
              <w:top w:val="single" w:sz="4" w:space="0" w:color="auto"/>
              <w:left w:val="single" w:sz="4" w:space="0" w:color="auto"/>
              <w:bottom w:val="single" w:sz="4" w:space="0" w:color="auto"/>
              <w:right w:val="single" w:sz="4" w:space="0" w:color="auto"/>
            </w:tcBorders>
          </w:tcPr>
          <w:p w14:paraId="00856C4C" w14:textId="1C146C85"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Celkové záväzky</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vplyvom na MV</w:t>
            </w:r>
          </w:p>
          <w:p w14:paraId="19985D34" w14:textId="7E0F8A40" w:rsidR="004E6C70" w:rsidRPr="00A72949" w:rsidRDefault="004E6C70" w:rsidP="00E73145">
            <w:pPr>
              <w:suppressAutoHyphens/>
              <w:spacing w:line="238" w:lineRule="auto"/>
              <w:ind w:left="1" w:right="60"/>
              <w:rPr>
                <w:rFonts w:ascii="Times New Roman" w:hAnsi="Times New Roman"/>
                <w:sz w:val="24"/>
              </w:rPr>
            </w:pPr>
            <w:r w:rsidRPr="00A72949">
              <w:rPr>
                <w:rFonts w:ascii="Times New Roman" w:hAnsi="Times New Roman"/>
                <w:sz w:val="24"/>
              </w:rPr>
              <w:t>Celkové záväzky, pri ktorých sú zmeny MV relevantné pre výsledok hospodárenia alebo vlastné imanie,</w:t>
            </w:r>
            <w:r w:rsidR="00A72949">
              <w:rPr>
                <w:rFonts w:ascii="Times New Roman" w:hAnsi="Times New Roman"/>
                <w:sz w:val="24"/>
              </w:rPr>
              <w:t xml:space="preserve"> s </w:t>
            </w:r>
            <w:r w:rsidRPr="00A72949">
              <w:rPr>
                <w:rFonts w:ascii="Times New Roman" w:hAnsi="Times New Roman"/>
                <w:sz w:val="24"/>
              </w:rPr>
              <w:t xml:space="preserve">výnimkou neúčtovných </w:t>
            </w:r>
            <w:proofErr w:type="spellStart"/>
            <w:r w:rsidRPr="00A72949">
              <w:rPr>
                <w:rFonts w:ascii="Times New Roman" w:hAnsi="Times New Roman"/>
                <w:sz w:val="24"/>
              </w:rPr>
              <w:t>hedžingových</w:t>
            </w:r>
            <w:proofErr w:type="spellEnd"/>
            <w:r w:rsidRPr="00A72949">
              <w:rPr>
                <w:rFonts w:ascii="Times New Roman" w:hAnsi="Times New Roman"/>
                <w:sz w:val="24"/>
              </w:rPr>
              <w:t xml:space="preserve"> derivátov vykazovaných</w:t>
            </w:r>
            <w:r w:rsidR="00A72949">
              <w:rPr>
                <w:rFonts w:ascii="Times New Roman" w:hAnsi="Times New Roman"/>
                <w:sz w:val="24"/>
              </w:rPr>
              <w:t xml:space="preserve"> v </w:t>
            </w:r>
            <w:r w:rsidRPr="00A72949">
              <w:rPr>
                <w:rFonts w:ascii="Times New Roman" w:hAnsi="Times New Roman"/>
                <w:sz w:val="24"/>
              </w:rPr>
              <w:t>riadku 0530.</w:t>
            </w:r>
          </w:p>
          <w:p w14:paraId="053C5336" w14:textId="5FB52E25" w:rsidR="004E6C70" w:rsidRPr="00A72949" w:rsidRDefault="004E6C70" w:rsidP="00E73145">
            <w:pPr>
              <w:pStyle w:val="InstructionsText"/>
              <w:rPr>
                <w:rStyle w:val="InstructionsTabelleberschrift"/>
                <w:rFonts w:ascii="Times New Roman" w:hAnsi="Times New Roman"/>
                <w:sz w:val="24"/>
              </w:rPr>
            </w:pPr>
            <w:r w:rsidRPr="00A72949">
              <w:t>Záväzky, ktoré sa účtujú</w:t>
            </w:r>
            <w:r w:rsidR="00A72949">
              <w:t xml:space="preserve"> v </w:t>
            </w:r>
            <w:r w:rsidRPr="00A72949">
              <w:t>reálnej hodnote podľa uplatniteľného účtovného rámca (buď cez výsledok hospodárenia alebo ostatné súčasti komplexného výsledku) spolu</w:t>
            </w:r>
            <w:r w:rsidR="00A72949">
              <w:t xml:space="preserve"> s </w:t>
            </w:r>
            <w:r w:rsidRPr="00A72949">
              <w:t>emitovanými dlhovými cennými papiermi</w:t>
            </w:r>
            <w:r w:rsidR="00A72949">
              <w:t xml:space="preserve"> a </w:t>
            </w:r>
            <w:r w:rsidRPr="00A72949">
              <w:t>inými záväzkami účtovanými</w:t>
            </w:r>
            <w:r w:rsidR="00A72949">
              <w:t xml:space="preserve"> v </w:t>
            </w:r>
            <w:r w:rsidRPr="00A72949">
              <w:t xml:space="preserve">amortizovanej hodnote, ktoré podliehajú účtovaniu </w:t>
            </w:r>
            <w:proofErr w:type="spellStart"/>
            <w:r w:rsidRPr="00A72949">
              <w:t>hedžingu</w:t>
            </w:r>
            <w:proofErr w:type="spellEnd"/>
            <w:r w:rsidRPr="00A72949">
              <w:t xml:space="preserve"> reálnej hodnoty.</w:t>
            </w:r>
            <w:r w:rsidR="00A72949">
              <w:t xml:space="preserve"> V </w:t>
            </w:r>
            <w:r w:rsidRPr="00A72949">
              <w:t>tomto oddiele sa vykazujú aj deriváty, ktorými sa zabezpečujú záväzky</w:t>
            </w:r>
            <w:r w:rsidR="00A72949">
              <w:t xml:space="preserve"> v </w:t>
            </w:r>
            <w:r w:rsidRPr="00A72949">
              <w:t xml:space="preserve">režime účtovania </w:t>
            </w:r>
            <w:proofErr w:type="spellStart"/>
            <w:r w:rsidRPr="00A72949">
              <w:t>hedžingu</w:t>
            </w:r>
            <w:proofErr w:type="spellEnd"/>
            <w:r w:rsidRPr="00A72949">
              <w:t>,</w:t>
            </w:r>
            <w:r w:rsidR="00A72949">
              <w:t xml:space="preserve"> s </w:t>
            </w:r>
            <w:r w:rsidRPr="00A72949">
              <w:t>výnimkou efektívnej zložky tých účtovných derivátov zabezpečujúcich peňažné toky, ktorými sa zabezpečujú položky</w:t>
            </w:r>
            <w:r w:rsidR="00A72949">
              <w:t xml:space="preserve"> v </w:t>
            </w:r>
            <w:r w:rsidRPr="00A72949">
              <w:t>amortizovanej hodnote</w:t>
            </w:r>
            <w:r w:rsidR="00A72949">
              <w:t xml:space="preserve"> v </w:t>
            </w:r>
            <w:r w:rsidRPr="00A72949">
              <w:t>súlade</w:t>
            </w:r>
            <w:r w:rsidR="00A72949">
              <w:t xml:space="preserve"> s </w:t>
            </w:r>
            <w:r w:rsidRPr="00A72949">
              <w:t xml:space="preserve">článkom 33 ods. 1 písm. a) nariadenia (EÚ) </w:t>
            </w:r>
            <w:r w:rsidR="00A72949">
              <w:t>č. </w:t>
            </w:r>
            <w:r w:rsidRPr="00A72949">
              <w:t>575/2013.</w:t>
            </w:r>
          </w:p>
        </w:tc>
      </w:tr>
      <w:tr w:rsidR="004E6C70" w:rsidRPr="00A72949" w14:paraId="286F1C39" w14:textId="77777777" w:rsidTr="00E73145">
        <w:tc>
          <w:tcPr>
            <w:tcW w:w="1276" w:type="dxa"/>
            <w:tcBorders>
              <w:top w:val="single" w:sz="4" w:space="0" w:color="auto"/>
              <w:left w:val="single" w:sz="4" w:space="0" w:color="auto"/>
              <w:bottom w:val="single" w:sz="4" w:space="0" w:color="auto"/>
              <w:right w:val="single" w:sz="4" w:space="0" w:color="auto"/>
            </w:tcBorders>
          </w:tcPr>
          <w:p w14:paraId="1929928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0620</w:t>
            </w:r>
          </w:p>
        </w:tc>
        <w:tc>
          <w:tcPr>
            <w:tcW w:w="7512" w:type="dxa"/>
            <w:tcBorders>
              <w:top w:val="single" w:sz="4" w:space="0" w:color="auto"/>
              <w:left w:val="single" w:sz="4" w:space="0" w:color="auto"/>
              <w:bottom w:val="single" w:sz="4" w:space="0" w:color="auto"/>
              <w:right w:val="single" w:sz="4" w:space="0" w:color="auto"/>
            </w:tcBorders>
          </w:tcPr>
          <w:p w14:paraId="6AE80ECD"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Emitované dlhové cenné papiere</w:t>
            </w:r>
          </w:p>
          <w:p w14:paraId="638CB7AC" w14:textId="7D49E33F" w:rsidR="004E6C70" w:rsidRPr="00A72949" w:rsidRDefault="004E6C70" w:rsidP="00E73145">
            <w:pPr>
              <w:pStyle w:val="InstructionsText"/>
              <w:rPr>
                <w:rStyle w:val="InstructionsTabelleberschrift"/>
                <w:rFonts w:ascii="Times New Roman" w:hAnsi="Times New Roman"/>
                <w:b w:val="0"/>
                <w:sz w:val="24"/>
                <w:u w:val="none"/>
              </w:rPr>
            </w:pPr>
            <w:r w:rsidRPr="00A72949">
              <w:t xml:space="preserve">Dlhové cenné papiere emitované inštitúciou </w:t>
            </w:r>
            <w:r w:rsidRPr="00A72949">
              <w:rPr>
                <w:rStyle w:val="InstructionsTabelleberschrift"/>
                <w:rFonts w:ascii="Times New Roman" w:hAnsi="Times New Roman"/>
                <w:b w:val="0"/>
                <w:sz w:val="24"/>
                <w:u w:val="none"/>
              </w:rPr>
              <w:t>ako cenné papiere, ktoré nie sú vkladmi,</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zmysle vymedzenia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časti 1 bode 37 prílohy</w:t>
            </w:r>
            <w:r w:rsidR="00A72949">
              <w:rPr>
                <w:rStyle w:val="InstructionsTabelleberschrift"/>
                <w:rFonts w:ascii="Times New Roman" w:hAnsi="Times New Roman"/>
                <w:b w:val="0"/>
                <w:sz w:val="24"/>
                <w:u w:val="none"/>
              </w:rPr>
              <w:t xml:space="preserve"> V k </w:t>
            </w:r>
            <w:r w:rsidRPr="00A72949">
              <w:t xml:space="preserve">tomuto nariadeniu, </w:t>
            </w:r>
            <w:r w:rsidRPr="00A72949">
              <w:rPr>
                <w:rStyle w:val="InstructionsTabelleberschrift"/>
                <w:rFonts w:ascii="Times New Roman" w:hAnsi="Times New Roman"/>
                <w:b w:val="0"/>
                <w:sz w:val="24"/>
                <w:u w:val="none"/>
              </w:rPr>
              <w:t>ktoré sa</w:t>
            </w:r>
            <w:r w:rsidRPr="00A72949">
              <w:t xml:space="preserve"> účtujú vtedy, keď sú zmeny MV relevantné pre výsledok hospodárenia alebo vlastné imanie.</w:t>
            </w:r>
          </w:p>
        </w:tc>
      </w:tr>
      <w:tr w:rsidR="004E6C70" w:rsidRPr="00A72949" w14:paraId="6E7E57CB" w14:textId="77777777" w:rsidTr="00E73145">
        <w:tc>
          <w:tcPr>
            <w:tcW w:w="1276" w:type="dxa"/>
            <w:tcBorders>
              <w:top w:val="single" w:sz="4" w:space="0" w:color="auto"/>
              <w:left w:val="single" w:sz="4" w:space="0" w:color="auto"/>
              <w:bottom w:val="single" w:sz="4" w:space="0" w:color="auto"/>
              <w:right w:val="single" w:sz="4" w:space="0" w:color="auto"/>
            </w:tcBorders>
          </w:tcPr>
          <w:p w14:paraId="499A8F4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0630</w:t>
            </w:r>
          </w:p>
        </w:tc>
        <w:tc>
          <w:tcPr>
            <w:tcW w:w="7512" w:type="dxa"/>
            <w:tcBorders>
              <w:top w:val="single" w:sz="4" w:space="0" w:color="auto"/>
              <w:left w:val="single" w:sz="4" w:space="0" w:color="auto"/>
              <w:bottom w:val="single" w:sz="4" w:space="0" w:color="auto"/>
              <w:right w:val="single" w:sz="4" w:space="0" w:color="auto"/>
            </w:tcBorders>
          </w:tcPr>
          <w:p w14:paraId="49773EB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Deriváty</w:t>
            </w:r>
          </w:p>
          <w:p w14:paraId="5859A58C" w14:textId="6999012F" w:rsid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Deriváty</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zmysle vymedzenia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 xml:space="preserve">článku 2 ods. 1 bode 29 nariadenia (EÚ) </w:t>
            </w:r>
            <w:r w:rsidR="00A72949">
              <w:rPr>
                <w:rStyle w:val="InstructionsTabelleberschrift"/>
                <w:rFonts w:ascii="Times New Roman" w:hAnsi="Times New Roman"/>
                <w:b w:val="0"/>
                <w:sz w:val="24"/>
                <w:u w:val="none"/>
              </w:rPr>
              <w:t>č. </w:t>
            </w:r>
            <w:r w:rsidRPr="00A72949">
              <w:rPr>
                <w:rStyle w:val="InstructionsTabelleberschrift"/>
                <w:rFonts w:ascii="Times New Roman" w:hAnsi="Times New Roman"/>
                <w:b w:val="0"/>
                <w:sz w:val="24"/>
                <w:u w:val="none"/>
              </w:rPr>
              <w:t>600/2014</w:t>
            </w:r>
            <w:r w:rsidR="00A72949">
              <w:rPr>
                <w:rStyle w:val="InstructionsTabelleberschrift"/>
                <w:rFonts w:ascii="Times New Roman" w:hAnsi="Times New Roman"/>
                <w:b w:val="0"/>
                <w:sz w:val="24"/>
                <w:u w:val="none"/>
              </w:rPr>
              <w:t>.</w:t>
            </w:r>
          </w:p>
          <w:p w14:paraId="02721AE4" w14:textId="0A985C02" w:rsidR="004E6C70" w:rsidRPr="00A72949" w:rsidRDefault="004E6C70" w:rsidP="00E73145">
            <w:pPr>
              <w:pStyle w:val="InstructionsText"/>
            </w:pPr>
            <w:r w:rsidRPr="00A72949">
              <w:t>V tomto oddiele inštitúcie vykazujú deriváty, ktorými sa zabezpečujú záväzky</w:t>
            </w:r>
            <w:r w:rsidR="00A72949">
              <w:t xml:space="preserve"> v </w:t>
            </w:r>
            <w:r w:rsidRPr="00A72949">
              <w:t xml:space="preserve">režime účtovania </w:t>
            </w:r>
            <w:proofErr w:type="spellStart"/>
            <w:r w:rsidRPr="00A72949">
              <w:t>hedžingu</w:t>
            </w:r>
            <w:proofErr w:type="spellEnd"/>
            <w:r w:rsidRPr="00A72949">
              <w:t>,</w:t>
            </w:r>
            <w:r w:rsidR="00A72949">
              <w:t xml:space="preserve"> s </w:t>
            </w:r>
            <w:r w:rsidRPr="00A72949">
              <w:t xml:space="preserve">výnimkou derivátov určených ako </w:t>
            </w:r>
            <w:proofErr w:type="spellStart"/>
            <w:r w:rsidRPr="00A72949">
              <w:t>hedžing</w:t>
            </w:r>
            <w:proofErr w:type="spellEnd"/>
            <w:r w:rsidRPr="00A72949">
              <w:t xml:space="preserve"> peňažných tokov, ktorými sa zabezpečujú položky</w:t>
            </w:r>
            <w:r w:rsidR="00A72949">
              <w:t xml:space="preserve"> v </w:t>
            </w:r>
            <w:r w:rsidRPr="00A72949">
              <w:t xml:space="preserve">amortizovanej </w:t>
            </w:r>
            <w:r w:rsidRPr="00A72949">
              <w:lastRenderedPageBreak/>
              <w:t>hodnote.</w:t>
            </w:r>
          </w:p>
        </w:tc>
      </w:tr>
      <w:tr w:rsidR="004E6C70" w:rsidRPr="00A72949" w14:paraId="6C11A778" w14:textId="77777777" w:rsidTr="00E73145">
        <w:tc>
          <w:tcPr>
            <w:tcW w:w="1276" w:type="dxa"/>
            <w:tcBorders>
              <w:top w:val="single" w:sz="4" w:space="0" w:color="auto"/>
              <w:left w:val="single" w:sz="4" w:space="0" w:color="auto"/>
              <w:bottom w:val="single" w:sz="4" w:space="0" w:color="auto"/>
              <w:right w:val="single" w:sz="4" w:space="0" w:color="auto"/>
            </w:tcBorders>
          </w:tcPr>
          <w:p w14:paraId="7FFB051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5BFEA442"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Ostatné</w:t>
            </w:r>
          </w:p>
          <w:p w14:paraId="52F069A4" w14:textId="08B49832" w:rsidR="004E6C70" w:rsidRPr="00A72949" w:rsidRDefault="004E6C70" w:rsidP="00E73145">
            <w:pPr>
              <w:pStyle w:val="InstructionsText"/>
              <w:rPr>
                <w:rStyle w:val="InstructionsTabelleberschrift"/>
                <w:rFonts w:ascii="Times New Roman" w:hAnsi="Times New Roman"/>
                <w:b w:val="0"/>
                <w:bCs w:val="0"/>
                <w:sz w:val="24"/>
                <w:u w:val="none"/>
              </w:rPr>
            </w:pPr>
            <w:r w:rsidRPr="00A72949">
              <w:t>Ostatné záväzky</w:t>
            </w:r>
            <w:r w:rsidR="00A72949">
              <w:t xml:space="preserve"> v </w:t>
            </w:r>
            <w:r w:rsidRPr="00A72949">
              <w:t>reálnej hodnote, spolu</w:t>
            </w:r>
            <w:r w:rsidR="00A72949">
              <w:t xml:space="preserve"> s </w:t>
            </w:r>
            <w:r w:rsidRPr="00A72949">
              <w:t>ostatnými záväzkami</w:t>
            </w:r>
            <w:r w:rsidR="00A72949">
              <w:t xml:space="preserve"> v </w:t>
            </w:r>
            <w:r w:rsidRPr="00A72949">
              <w:t xml:space="preserve">amortizovanej hodnote, ktoré podliehajú účtovaniu </w:t>
            </w:r>
            <w:proofErr w:type="spellStart"/>
            <w:r w:rsidRPr="00A72949">
              <w:t>hedžingu</w:t>
            </w:r>
            <w:proofErr w:type="spellEnd"/>
            <w:r w:rsidRPr="00A72949">
              <w:t xml:space="preserve"> reálnej hodnoty.</w:t>
            </w:r>
          </w:p>
        </w:tc>
      </w:tr>
    </w:tbl>
    <w:p w14:paraId="7C52A033" w14:textId="77777777" w:rsidR="004E6C70" w:rsidRPr="00A72949" w:rsidRDefault="004E6C70" w:rsidP="004E6C70">
      <w:pPr>
        <w:suppressAutoHyphens/>
        <w:spacing w:after="0"/>
        <w:rPr>
          <w:rFonts w:ascii="Times New Roman" w:hAnsi="Times New Roman"/>
          <w:sz w:val="24"/>
        </w:rPr>
      </w:pPr>
    </w:p>
    <w:p w14:paraId="08D8BD3E" w14:textId="77777777" w:rsidR="004E6C70" w:rsidRPr="00A72949" w:rsidRDefault="004E6C70" w:rsidP="004E6C70">
      <w:pPr>
        <w:suppressAutoHyphens/>
        <w:spacing w:after="0"/>
        <w:rPr>
          <w:rStyle w:val="InstructionsTabelleText"/>
          <w:rFonts w:ascii="Times New Roman" w:hAnsi="Times New Roman"/>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4E6C70" w:rsidRPr="00A72949" w14:paraId="6AB34104" w14:textId="77777777" w:rsidTr="00E73145">
        <w:tc>
          <w:tcPr>
            <w:tcW w:w="1701" w:type="dxa"/>
            <w:shd w:val="clear" w:color="auto" w:fill="D9D9D9" w:themeFill="background1" w:themeFillShade="D9"/>
          </w:tcPr>
          <w:p w14:paraId="7DE0989C" w14:textId="77777777" w:rsidR="004E6C70" w:rsidRPr="00A72949" w:rsidRDefault="004E6C70" w:rsidP="00E73145">
            <w:pPr>
              <w:pStyle w:val="InstructionsText"/>
              <w:rPr>
                <w:rStyle w:val="InstructionsTabelleText"/>
                <w:rFonts w:ascii="Times New Roman" w:hAnsi="Times New Roman"/>
                <w:sz w:val="24"/>
              </w:rPr>
            </w:pPr>
            <w:r w:rsidRPr="00A72949">
              <w:rPr>
                <w:rStyle w:val="InstructionsTabelleText"/>
                <w:rFonts w:ascii="Times New Roman" w:hAnsi="Times New Roman"/>
                <w:sz w:val="24"/>
              </w:rPr>
              <w:t>Stĺpce</w:t>
            </w:r>
          </w:p>
        </w:tc>
        <w:tc>
          <w:tcPr>
            <w:tcW w:w="7308" w:type="dxa"/>
            <w:shd w:val="clear" w:color="auto" w:fill="D9D9D9" w:themeFill="background1" w:themeFillShade="D9"/>
          </w:tcPr>
          <w:p w14:paraId="2C4B9581" w14:textId="77A7FAE5" w:rsidR="004E6C70" w:rsidRPr="00A72949" w:rsidRDefault="004E6C70" w:rsidP="00E73145">
            <w:pPr>
              <w:pStyle w:val="InstructionsText"/>
              <w:rPr>
                <w:rStyle w:val="InstructionsTabelleText"/>
                <w:rFonts w:ascii="Times New Roman" w:hAnsi="Times New Roman"/>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14:paraId="7F27C832" w14:textId="77777777" w:rsidTr="00E73145">
        <w:tc>
          <w:tcPr>
            <w:tcW w:w="1701" w:type="dxa"/>
            <w:shd w:val="clear" w:color="auto" w:fill="auto"/>
          </w:tcPr>
          <w:p w14:paraId="79D2176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308" w:type="dxa"/>
            <w:shd w:val="clear" w:color="auto" w:fill="auto"/>
          </w:tcPr>
          <w:p w14:paraId="0BD8F2A3"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Účtovná hodnota</w:t>
            </w:r>
          </w:p>
          <w:p w14:paraId="1CE10273" w14:textId="11271A34" w:rsidR="004E6C70" w:rsidRPr="00A72949" w:rsidRDefault="004E6C70" w:rsidP="00E73145">
            <w:pPr>
              <w:pStyle w:val="InstructionsText"/>
              <w:rPr>
                <w:rStyle w:val="FormatvorlageInstructionsTabelleText"/>
                <w:rFonts w:ascii="Times New Roman" w:hAnsi="Times New Roman"/>
                <w:b/>
                <w:bCs w:val="0"/>
                <w:sz w:val="24"/>
                <w:u w:val="single"/>
              </w:rPr>
            </w:pPr>
            <w:r w:rsidRPr="00A72949">
              <w:rPr>
                <w:rStyle w:val="InstructionsTabelleberschrift"/>
                <w:rFonts w:ascii="Times New Roman" w:hAnsi="Times New Roman"/>
                <w:b w:val="0"/>
                <w:sz w:val="24"/>
                <w:u w:val="none"/>
              </w:rPr>
              <w:t>Časť 1 bod 27 prílohy</w:t>
            </w:r>
            <w:r w:rsidR="00A72949">
              <w:rPr>
                <w:rStyle w:val="InstructionsTabelleberschrift"/>
                <w:rFonts w:ascii="Times New Roman" w:hAnsi="Times New Roman"/>
                <w:b w:val="0"/>
                <w:sz w:val="24"/>
                <w:u w:val="none"/>
              </w:rPr>
              <w:t xml:space="preserve"> V k </w:t>
            </w:r>
            <w:r w:rsidRPr="00A72949">
              <w:rPr>
                <w:rStyle w:val="InstructionsTabelleberschrift"/>
                <w:rFonts w:ascii="Times New Roman" w:hAnsi="Times New Roman"/>
                <w:b w:val="0"/>
                <w:sz w:val="24"/>
                <w:u w:val="none"/>
              </w:rPr>
              <w:t>tomuto</w:t>
            </w:r>
            <w:r w:rsidRPr="00A72949">
              <w:t xml:space="preserve"> nariadeniu</w:t>
            </w:r>
            <w:r w:rsidRPr="00A72949">
              <w:rPr>
                <w:rStyle w:val="InstructionsTabelleberschrift"/>
                <w:rFonts w:ascii="Times New Roman" w:hAnsi="Times New Roman"/>
                <w:b w:val="0"/>
                <w:sz w:val="24"/>
                <w:u w:val="none"/>
              </w:rPr>
              <w:t>.</w:t>
            </w:r>
          </w:p>
        </w:tc>
      </w:tr>
      <w:tr w:rsidR="004E6C70" w:rsidRPr="00A72949" w14:paraId="10D3A2BF" w14:textId="77777777" w:rsidTr="00E73145">
        <w:tc>
          <w:tcPr>
            <w:tcW w:w="1701" w:type="dxa"/>
            <w:shd w:val="clear" w:color="auto" w:fill="auto"/>
          </w:tcPr>
          <w:p w14:paraId="34381EE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0020</w:t>
            </w:r>
          </w:p>
        </w:tc>
        <w:tc>
          <w:tcPr>
            <w:tcW w:w="7308" w:type="dxa"/>
            <w:shd w:val="clear" w:color="auto" w:fill="auto"/>
          </w:tcPr>
          <w:p w14:paraId="680542D3" w14:textId="77777777" w:rsidR="004E6C70" w:rsidRPr="00A72949" w:rsidRDefault="004E6C70" w:rsidP="00E73145">
            <w:pPr>
              <w:pStyle w:val="InstructionsText"/>
              <w:rPr>
                <w:rStyle w:val="FormatvorlageInstructionsTabelleText"/>
                <w:rFonts w:ascii="Times New Roman" w:hAnsi="Times New Roman"/>
                <w:b/>
                <w:bCs w:val="0"/>
                <w:sz w:val="24"/>
                <w:u w:val="single"/>
              </w:rPr>
            </w:pPr>
            <w:proofErr w:type="spellStart"/>
            <w:r w:rsidRPr="00A72949">
              <w:rPr>
                <w:rStyle w:val="FormatvorlageInstructionsTabelleText"/>
                <w:rFonts w:ascii="Times New Roman" w:hAnsi="Times New Roman"/>
                <w:b/>
                <w:sz w:val="24"/>
                <w:u w:val="single"/>
              </w:rPr>
              <w:t>Durácia</w:t>
            </w:r>
            <w:proofErr w:type="spellEnd"/>
          </w:p>
          <w:p w14:paraId="785DA3E3" w14:textId="77777777" w:rsidR="00A72949" w:rsidRDefault="004E6C70" w:rsidP="00E73145">
            <w:pPr>
              <w:suppressAutoHyphens/>
              <w:spacing w:after="0" w:line="259" w:lineRule="auto"/>
              <w:ind w:left="2"/>
              <w:jc w:val="left"/>
              <w:rPr>
                <w:rFonts w:ascii="Times New Roman" w:hAnsi="Times New Roman"/>
                <w:sz w:val="24"/>
              </w:rPr>
            </w:pPr>
            <w:r w:rsidRPr="00A72949">
              <w:rPr>
                <w:rFonts w:ascii="Times New Roman" w:hAnsi="Times New Roman"/>
                <w:sz w:val="24"/>
              </w:rPr>
              <w:t xml:space="preserve">Modifikovaná </w:t>
            </w:r>
            <w:proofErr w:type="spellStart"/>
            <w:r w:rsidRPr="00A72949">
              <w:rPr>
                <w:rFonts w:ascii="Times New Roman" w:hAnsi="Times New Roman"/>
                <w:sz w:val="24"/>
              </w:rPr>
              <w:t>durácia</w:t>
            </w:r>
            <w:proofErr w:type="spellEnd"/>
            <w:r w:rsidRPr="00A72949">
              <w:rPr>
                <w:rFonts w:ascii="Times New Roman" w:hAnsi="Times New Roman"/>
                <w:sz w:val="24"/>
              </w:rPr>
              <w:t xml:space="preserve"> („</w:t>
            </w:r>
            <w:proofErr w:type="spellStart"/>
            <w:r w:rsidRPr="00A72949">
              <w:rPr>
                <w:rFonts w:ascii="Times New Roman" w:hAnsi="Times New Roman"/>
                <w:sz w:val="24"/>
              </w:rPr>
              <w:t>Dmod</w:t>
            </w:r>
            <w:proofErr w:type="spellEnd"/>
            <w:r w:rsidRPr="00A72949">
              <w:rPr>
                <w:rFonts w:ascii="Times New Roman" w:hAnsi="Times New Roman"/>
                <w:sz w:val="24"/>
              </w:rPr>
              <w:t xml:space="preserve">“) vrátane automatickej </w:t>
            </w:r>
            <w:proofErr w:type="spellStart"/>
            <w:r w:rsidRPr="00A72949">
              <w:rPr>
                <w:rFonts w:ascii="Times New Roman" w:hAnsi="Times New Roman"/>
                <w:sz w:val="24"/>
              </w:rPr>
              <w:t>opcionality</w:t>
            </w:r>
            <w:proofErr w:type="spellEnd"/>
            <w:r w:rsidRPr="00A72949">
              <w:rPr>
                <w:rFonts w:ascii="Times New Roman" w:hAnsi="Times New Roman"/>
                <w:sz w:val="24"/>
              </w:rPr>
              <w:t xml:space="preserve">, kde: </w:t>
            </w:r>
            <w:proofErr w:type="spellStart"/>
            <w:r w:rsidRPr="00A72949">
              <w:rPr>
                <w:rFonts w:ascii="Times New Roman" w:hAnsi="Times New Roman"/>
                <w:sz w:val="24"/>
              </w:rPr>
              <w:t>Dmod</w:t>
            </w:r>
            <w:proofErr w:type="spellEnd"/>
            <w:r w:rsidRPr="00A72949">
              <w:rPr>
                <w:rFonts w:ascii="Times New Roman" w:hAnsi="Times New Roman"/>
                <w:sz w:val="24"/>
              </w:rPr>
              <w:t xml:space="preserve"> = – EV01/(ekonomická hodnota * 0,0001)</w:t>
            </w:r>
          </w:p>
          <w:p w14:paraId="6530810C" w14:textId="0B9BF048" w:rsidR="004E6C70" w:rsidRPr="00A72949" w:rsidRDefault="004E6C70" w:rsidP="00E73145">
            <w:pPr>
              <w:pStyle w:val="InstructionsText"/>
              <w:rPr>
                <w:rStyle w:val="FormatvorlageInstructionsTabelleText"/>
                <w:rFonts w:ascii="Times New Roman" w:hAnsi="Times New Roman"/>
                <w:sz w:val="24"/>
              </w:rPr>
            </w:pPr>
            <w:r w:rsidRPr="00A72949">
              <w:t xml:space="preserve">EV01 sa rovná citlivosti + 1 </w:t>
            </w:r>
            <w:proofErr w:type="spellStart"/>
            <w:r w:rsidRPr="00A72949">
              <w:t>bps</w:t>
            </w:r>
            <w:proofErr w:type="spellEnd"/>
            <w:r w:rsidRPr="00A72949">
              <w:t xml:space="preserve"> (paralelný šok) ekonomickej hodnoty.</w:t>
            </w:r>
          </w:p>
        </w:tc>
      </w:tr>
      <w:tr w:rsidR="004E6C70" w:rsidRPr="00A72949" w14:paraId="252E1EC2" w14:textId="77777777" w:rsidTr="00E73145">
        <w:tc>
          <w:tcPr>
            <w:tcW w:w="1701" w:type="dxa"/>
          </w:tcPr>
          <w:p w14:paraId="221736C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0030 – 0090</w:t>
            </w:r>
          </w:p>
        </w:tc>
        <w:tc>
          <w:tcPr>
            <w:tcW w:w="7308" w:type="dxa"/>
          </w:tcPr>
          <w:p w14:paraId="6F9C5AE2"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Ekonomická hodnota vlastného imania</w:t>
            </w:r>
          </w:p>
          <w:p w14:paraId="5C5788F6" w14:textId="032925BA"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sa riadia tými istými pokynmi, aké sú opísané</w:t>
            </w:r>
            <w:r w:rsidR="00A72949">
              <w:t xml:space="preserve"> v </w:t>
            </w:r>
            <w:r w:rsidRPr="00A72949">
              <w:t>položke {J 01.00; r0010-r0090}.</w:t>
            </w:r>
          </w:p>
        </w:tc>
      </w:tr>
      <w:tr w:rsidR="004E6C70" w:rsidRPr="00A72949" w14:paraId="5AE7EF9F" w14:textId="77777777" w:rsidTr="00E73145">
        <w:tc>
          <w:tcPr>
            <w:tcW w:w="1701" w:type="dxa"/>
          </w:tcPr>
          <w:p w14:paraId="755EC6B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0030</w:t>
            </w:r>
          </w:p>
        </w:tc>
        <w:tc>
          <w:tcPr>
            <w:tcW w:w="7308" w:type="dxa"/>
          </w:tcPr>
          <w:p w14:paraId="4FF9B324"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Úroveň EVE – základný scenár</w:t>
            </w:r>
          </w:p>
          <w:p w14:paraId="395A5E7F" w14:textId="768D62E6"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r0030}.</w:t>
            </w:r>
          </w:p>
        </w:tc>
      </w:tr>
      <w:tr w:rsidR="004E6C70" w:rsidRPr="00A72949" w14:paraId="3506FCE0" w14:textId="77777777" w:rsidTr="00E73145">
        <w:tc>
          <w:tcPr>
            <w:tcW w:w="1701" w:type="dxa"/>
          </w:tcPr>
          <w:p w14:paraId="0EE09D87"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0040</w:t>
            </w:r>
          </w:p>
        </w:tc>
        <w:tc>
          <w:tcPr>
            <w:tcW w:w="7308" w:type="dxa"/>
          </w:tcPr>
          <w:p w14:paraId="5A07F3B2"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 paralelný šok smerom nahor</w:t>
            </w:r>
          </w:p>
          <w:p w14:paraId="7E1CE195" w14:textId="1B8ACFEF"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sa riadia tými istými pokynmi, aké sú opísané</w:t>
            </w:r>
            <w:r w:rsidR="00A72949">
              <w:t xml:space="preserve"> v </w:t>
            </w:r>
            <w:r w:rsidRPr="00A72949">
              <w:t>položke {J 01.00; r0040}.</w:t>
            </w:r>
          </w:p>
        </w:tc>
      </w:tr>
      <w:tr w:rsidR="004E6C70" w:rsidRPr="00A72949" w14:paraId="05459CC4" w14:textId="77777777" w:rsidTr="00E73145">
        <w:tc>
          <w:tcPr>
            <w:tcW w:w="1701" w:type="dxa"/>
          </w:tcPr>
          <w:p w14:paraId="681FFF0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0050</w:t>
            </w:r>
          </w:p>
        </w:tc>
        <w:tc>
          <w:tcPr>
            <w:tcW w:w="7308" w:type="dxa"/>
          </w:tcPr>
          <w:p w14:paraId="2E86BD34"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 paralelný šok smerom nadol</w:t>
            </w:r>
          </w:p>
          <w:p w14:paraId="021546B1" w14:textId="3BACB04F"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r0050}.</w:t>
            </w:r>
          </w:p>
        </w:tc>
      </w:tr>
      <w:tr w:rsidR="004E6C70" w:rsidRPr="00A72949" w14:paraId="5B5EC92A" w14:textId="77777777" w:rsidTr="00E73145">
        <w:tc>
          <w:tcPr>
            <w:tcW w:w="1701" w:type="dxa"/>
          </w:tcPr>
          <w:p w14:paraId="5A9BC1FA"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0060</w:t>
            </w:r>
          </w:p>
        </w:tc>
        <w:tc>
          <w:tcPr>
            <w:tcW w:w="7308" w:type="dxa"/>
          </w:tcPr>
          <w:p w14:paraId="246D7C30"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 šok zostrmenia</w:t>
            </w:r>
          </w:p>
          <w:p w14:paraId="174208F8" w14:textId="442A520A"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r0060}.</w:t>
            </w:r>
          </w:p>
        </w:tc>
      </w:tr>
      <w:tr w:rsidR="004E6C70" w:rsidRPr="00A72949" w14:paraId="4399BA9B" w14:textId="77777777" w:rsidTr="00E73145">
        <w:tc>
          <w:tcPr>
            <w:tcW w:w="1701" w:type="dxa"/>
          </w:tcPr>
          <w:p w14:paraId="5E583D8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0070</w:t>
            </w:r>
          </w:p>
        </w:tc>
        <w:tc>
          <w:tcPr>
            <w:tcW w:w="7308" w:type="dxa"/>
          </w:tcPr>
          <w:p w14:paraId="7A3C5141"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 šok sploštenia</w:t>
            </w:r>
          </w:p>
          <w:p w14:paraId="7706312E" w14:textId="0318E195"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r0070}.</w:t>
            </w:r>
          </w:p>
        </w:tc>
      </w:tr>
      <w:tr w:rsidR="004E6C70" w:rsidRPr="00A72949" w14:paraId="4DD75B7C" w14:textId="77777777" w:rsidTr="00E73145">
        <w:tc>
          <w:tcPr>
            <w:tcW w:w="1701" w:type="dxa"/>
          </w:tcPr>
          <w:p w14:paraId="7B98A0C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0080</w:t>
            </w:r>
          </w:p>
        </w:tc>
        <w:tc>
          <w:tcPr>
            <w:tcW w:w="7308" w:type="dxa"/>
          </w:tcPr>
          <w:p w14:paraId="295BDAC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 šok pri krátkodobých sadzbách smerom nahor</w:t>
            </w:r>
          </w:p>
          <w:p w14:paraId="43E546BB" w14:textId="527F6329"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r0080}.</w:t>
            </w:r>
          </w:p>
        </w:tc>
      </w:tr>
      <w:tr w:rsidR="004E6C70" w:rsidRPr="00A72949" w14:paraId="361F6BE0" w14:textId="77777777" w:rsidTr="00E73145">
        <w:tc>
          <w:tcPr>
            <w:tcW w:w="1701" w:type="dxa"/>
          </w:tcPr>
          <w:p w14:paraId="59DD7EE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0090</w:t>
            </w:r>
          </w:p>
        </w:tc>
        <w:tc>
          <w:tcPr>
            <w:tcW w:w="7308" w:type="dxa"/>
          </w:tcPr>
          <w:p w14:paraId="215B7D54"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EVE – šok pri krátkodobých sadzbách smerom nadol</w:t>
            </w:r>
          </w:p>
          <w:p w14:paraId="4DE3C593" w14:textId="70C54BA4"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r0090}.</w:t>
            </w:r>
          </w:p>
        </w:tc>
      </w:tr>
      <w:tr w:rsidR="004E6C70" w:rsidRPr="00A72949" w14:paraId="7A5002F2" w14:textId="77777777" w:rsidTr="00E73145">
        <w:tc>
          <w:tcPr>
            <w:tcW w:w="1701" w:type="dxa"/>
          </w:tcPr>
          <w:p w14:paraId="6E7A312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0100 – 0120</w:t>
            </w:r>
          </w:p>
        </w:tc>
        <w:tc>
          <w:tcPr>
            <w:tcW w:w="7308" w:type="dxa"/>
          </w:tcPr>
          <w:p w14:paraId="60BDDCD8"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Čisté úrokové výnosy (NII)</w:t>
            </w:r>
          </w:p>
          <w:p w14:paraId="6ECE4593" w14:textId="3121347A"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sa riadia tými istými pokynmi, aké sú opísané</w:t>
            </w:r>
            <w:r w:rsidR="00A72949">
              <w:t xml:space="preserve"> v </w:t>
            </w:r>
            <w:r w:rsidRPr="00A72949">
              <w:t>položke {J 01.00; r0100-r0140}.</w:t>
            </w:r>
          </w:p>
        </w:tc>
      </w:tr>
      <w:tr w:rsidR="004E6C70" w:rsidRPr="00A72949" w14:paraId="17CAAAE6" w14:textId="77777777" w:rsidTr="00E73145">
        <w:tc>
          <w:tcPr>
            <w:tcW w:w="1701" w:type="dxa"/>
          </w:tcPr>
          <w:p w14:paraId="6A8E098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0100</w:t>
            </w:r>
          </w:p>
        </w:tc>
        <w:tc>
          <w:tcPr>
            <w:tcW w:w="7308" w:type="dxa"/>
          </w:tcPr>
          <w:p w14:paraId="660F82FC"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Úroveň NII – základný scenár</w:t>
            </w:r>
          </w:p>
          <w:p w14:paraId="7C20F7AD" w14:textId="75CD511C"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sa riadia tými istými pokynmi, aké sú opísané</w:t>
            </w:r>
            <w:r w:rsidR="00A72949">
              <w:t xml:space="preserve"> v </w:t>
            </w:r>
            <w:r w:rsidRPr="00A72949">
              <w:t>položke {J 01.00; r0120}.</w:t>
            </w:r>
          </w:p>
        </w:tc>
      </w:tr>
      <w:tr w:rsidR="004E6C70" w:rsidRPr="00A72949" w14:paraId="55B10489" w14:textId="77777777" w:rsidTr="00E73145">
        <w:tc>
          <w:tcPr>
            <w:tcW w:w="1701" w:type="dxa"/>
          </w:tcPr>
          <w:p w14:paraId="550B078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0110</w:t>
            </w:r>
          </w:p>
        </w:tc>
        <w:tc>
          <w:tcPr>
            <w:tcW w:w="7308" w:type="dxa"/>
          </w:tcPr>
          <w:p w14:paraId="232DAFCC"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NII – paralelný šok smerom nahor</w:t>
            </w:r>
          </w:p>
          <w:p w14:paraId="2ABDFD74" w14:textId="7C60FEBB"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r0130}.</w:t>
            </w:r>
          </w:p>
        </w:tc>
      </w:tr>
      <w:tr w:rsidR="004E6C70" w:rsidRPr="00A72949" w14:paraId="4AA84CD8" w14:textId="77777777" w:rsidTr="00E73145">
        <w:trPr>
          <w:trHeight w:val="50"/>
        </w:trPr>
        <w:tc>
          <w:tcPr>
            <w:tcW w:w="1701" w:type="dxa"/>
          </w:tcPr>
          <w:p w14:paraId="0307DAD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0120</w:t>
            </w:r>
          </w:p>
        </w:tc>
        <w:tc>
          <w:tcPr>
            <w:tcW w:w="7308" w:type="dxa"/>
          </w:tcPr>
          <w:p w14:paraId="5F63CA4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NII – paralelný šok smerom nadol</w:t>
            </w:r>
          </w:p>
          <w:p w14:paraId="125464B6" w14:textId="52E16B30"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r0140}.</w:t>
            </w:r>
          </w:p>
        </w:tc>
      </w:tr>
      <w:tr w:rsidR="004E6C70" w:rsidRPr="00A72949" w14:paraId="47AB661A" w14:textId="77777777" w:rsidTr="00E73145">
        <w:tc>
          <w:tcPr>
            <w:tcW w:w="1701" w:type="dxa"/>
          </w:tcPr>
          <w:p w14:paraId="3598D32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0130 – 0150</w:t>
            </w:r>
          </w:p>
        </w:tc>
        <w:tc>
          <w:tcPr>
            <w:tcW w:w="7308" w:type="dxa"/>
          </w:tcPr>
          <w:p w14:paraId="42EA8E50"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Trhová hodnota</w:t>
            </w:r>
          </w:p>
          <w:p w14:paraId="3B625D8B" w14:textId="3DE6A403"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sa riadia tými istými pokynmi, aké sú opísané</w:t>
            </w:r>
            <w:r w:rsidR="00A72949">
              <w:t xml:space="preserve"> v </w:t>
            </w:r>
            <w:r w:rsidRPr="00A72949">
              <w:t>položke {J 01.00; r0150-r0170}.</w:t>
            </w:r>
          </w:p>
        </w:tc>
      </w:tr>
      <w:tr w:rsidR="004E6C70" w:rsidRPr="00A72949" w14:paraId="5192D70A" w14:textId="77777777" w:rsidTr="00E73145">
        <w:trPr>
          <w:trHeight w:val="507"/>
        </w:trPr>
        <w:tc>
          <w:tcPr>
            <w:tcW w:w="1701" w:type="dxa"/>
          </w:tcPr>
          <w:p w14:paraId="1578CDA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0130</w:t>
            </w:r>
          </w:p>
        </w:tc>
        <w:tc>
          <w:tcPr>
            <w:tcW w:w="7308" w:type="dxa"/>
          </w:tcPr>
          <w:p w14:paraId="56769A8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Úroveň MV – základný scenár</w:t>
            </w:r>
          </w:p>
          <w:p w14:paraId="1F13B1A5" w14:textId="2210E352"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r0150}.</w:t>
            </w:r>
          </w:p>
        </w:tc>
      </w:tr>
      <w:tr w:rsidR="004E6C70" w:rsidRPr="00A72949" w14:paraId="3100EC29" w14:textId="77777777" w:rsidTr="00E73145">
        <w:tc>
          <w:tcPr>
            <w:tcW w:w="1701" w:type="dxa"/>
          </w:tcPr>
          <w:p w14:paraId="09507B2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0140</w:t>
            </w:r>
          </w:p>
        </w:tc>
        <w:tc>
          <w:tcPr>
            <w:tcW w:w="7308" w:type="dxa"/>
          </w:tcPr>
          <w:p w14:paraId="6F90EC1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MV – paralelný šok smerom nahor</w:t>
            </w:r>
          </w:p>
          <w:p w14:paraId="25BF2526" w14:textId="3FA8A2D0"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r0160}.</w:t>
            </w:r>
          </w:p>
        </w:tc>
      </w:tr>
      <w:tr w:rsidR="004E6C70" w:rsidRPr="00A72949" w14:paraId="34AFDF3A" w14:textId="77777777" w:rsidTr="00E73145">
        <w:tc>
          <w:tcPr>
            <w:tcW w:w="1701" w:type="dxa"/>
          </w:tcPr>
          <w:p w14:paraId="0B70B412"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0150</w:t>
            </w:r>
          </w:p>
        </w:tc>
        <w:tc>
          <w:tcPr>
            <w:tcW w:w="7308" w:type="dxa"/>
          </w:tcPr>
          <w:p w14:paraId="7DB8BB7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MV – paralelný šok smerom nadol</w:t>
            </w:r>
          </w:p>
          <w:p w14:paraId="32FD2637" w14:textId="58AEA88F"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r0170}.</w:t>
            </w:r>
          </w:p>
        </w:tc>
      </w:tr>
    </w:tbl>
    <w:p w14:paraId="5A138657" w14:textId="77777777" w:rsidR="004E6C70" w:rsidRPr="00A72949" w:rsidRDefault="004E6C70" w:rsidP="004E6C70">
      <w:pPr>
        <w:suppressAutoHyphens/>
        <w:spacing w:before="0" w:after="0"/>
        <w:jc w:val="left"/>
        <w:rPr>
          <w:rStyle w:val="InstructionsTabelleText"/>
          <w:rFonts w:ascii="Times New Roman" w:hAnsi="Times New Roman"/>
          <w:sz w:val="24"/>
        </w:rPr>
      </w:pPr>
      <w:r w:rsidRPr="00A72949">
        <w:br w:type="page"/>
      </w:r>
    </w:p>
    <w:p w14:paraId="3A15A261" w14:textId="7DED09AE" w:rsidR="004E6C70" w:rsidRPr="00A72949" w:rsidRDefault="004E6C70" w:rsidP="004E6C70">
      <w:pPr>
        <w:pStyle w:val="Heading2"/>
        <w:suppressAutoHyphens/>
      </w:pPr>
      <w:bookmarkStart w:id="50" w:name="_Toc188859505"/>
      <w:r w:rsidRPr="00A72949">
        <w:lastRenderedPageBreak/>
        <w:t>ČASŤ IV: PEŇAŽNÉ TOKY</w:t>
      </w:r>
      <w:r w:rsidR="00A72949">
        <w:t xml:space="preserve"> Z </w:t>
      </w:r>
      <w:r w:rsidRPr="00A72949">
        <w:t>PRECENENIA (J 05.00, J 06.00</w:t>
      </w:r>
      <w:r w:rsidR="00A72949">
        <w:t xml:space="preserve"> a </w:t>
      </w:r>
      <w:r w:rsidRPr="00A72949">
        <w:t>J 07.00)</w:t>
      </w:r>
      <w:bookmarkEnd w:id="50"/>
    </w:p>
    <w:p w14:paraId="6B0336DB"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51" w:name="_Toc188859506"/>
      <w:r w:rsidRPr="00A72949">
        <w:rPr>
          <w:b/>
          <w:sz w:val="24"/>
        </w:rPr>
        <w:t>1.</w:t>
      </w:r>
      <w:r w:rsidRPr="00A72949">
        <w:tab/>
      </w:r>
      <w:r w:rsidRPr="00A72949">
        <w:rPr>
          <w:b/>
          <w:sz w:val="24"/>
        </w:rPr>
        <w:t>Všeobecné poznámky</w:t>
      </w:r>
      <w:bookmarkEnd w:id="51"/>
    </w:p>
    <w:p w14:paraId="755C64AB" w14:textId="17F14814"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1.1.</w:t>
      </w:r>
      <w:r w:rsidRPr="00A72949">
        <w:tab/>
      </w:r>
      <w:r w:rsidRPr="00A72949">
        <w:rPr>
          <w:rFonts w:ascii="Times New Roman" w:hAnsi="Times New Roman"/>
          <w:sz w:val="24"/>
        </w:rPr>
        <w:t>Vzory J 05.00, J 06.00</w:t>
      </w:r>
      <w:r w:rsidR="00A72949">
        <w:rPr>
          <w:rFonts w:ascii="Times New Roman" w:hAnsi="Times New Roman"/>
          <w:sz w:val="24"/>
        </w:rPr>
        <w:t xml:space="preserve"> a </w:t>
      </w:r>
      <w:r w:rsidRPr="00A72949">
        <w:rPr>
          <w:rFonts w:ascii="Times New Roman" w:hAnsi="Times New Roman"/>
          <w:sz w:val="24"/>
        </w:rPr>
        <w:t>J 07.00 obsahujú podrobné informácie</w:t>
      </w:r>
      <w:r w:rsidR="00A72949">
        <w:rPr>
          <w:rFonts w:ascii="Times New Roman" w:hAnsi="Times New Roman"/>
          <w:sz w:val="24"/>
        </w:rPr>
        <w:t xml:space="preserve"> o </w:t>
      </w:r>
      <w:r w:rsidRPr="00A72949">
        <w:rPr>
          <w:rFonts w:ascii="Times New Roman" w:hAnsi="Times New Roman"/>
          <w:sz w:val="24"/>
        </w:rPr>
        <w:t>peňažných tokoch</w:t>
      </w:r>
      <w:r w:rsidR="00A72949">
        <w:rPr>
          <w:rFonts w:ascii="Times New Roman" w:hAnsi="Times New Roman"/>
          <w:sz w:val="24"/>
        </w:rPr>
        <w:t xml:space="preserve"> z </w:t>
      </w:r>
      <w:r w:rsidRPr="00A72949">
        <w:rPr>
          <w:rFonts w:ascii="Times New Roman" w:hAnsi="Times New Roman"/>
          <w:sz w:val="24"/>
        </w:rPr>
        <w:t>precenenia za súvahové položky vykázané vo vzoroch J 02.00, J 03.00</w:t>
      </w:r>
      <w:r w:rsidR="00A72949">
        <w:rPr>
          <w:rFonts w:ascii="Times New Roman" w:hAnsi="Times New Roman"/>
          <w:sz w:val="24"/>
        </w:rPr>
        <w:t xml:space="preserve"> a </w:t>
      </w:r>
      <w:r w:rsidRPr="00A72949">
        <w:rPr>
          <w:rFonts w:ascii="Times New Roman" w:hAnsi="Times New Roman"/>
          <w:sz w:val="24"/>
        </w:rPr>
        <w:t>J 04.00. Tieto informácie inštitúcie vykazujú</w:t>
      </w:r>
      <w:r w:rsidR="00A72949">
        <w:rPr>
          <w:rFonts w:ascii="Times New Roman" w:hAnsi="Times New Roman"/>
          <w:sz w:val="24"/>
        </w:rPr>
        <w:t xml:space="preserve"> z </w:t>
      </w:r>
      <w:r w:rsidRPr="00A72949">
        <w:rPr>
          <w:rFonts w:ascii="Times New Roman" w:hAnsi="Times New Roman"/>
          <w:sz w:val="24"/>
        </w:rPr>
        <w:t>perspektívy EVE, pričom zohľadňujú požiadavky</w:t>
      </w:r>
      <w:r w:rsidR="00A72949">
        <w:rPr>
          <w:rFonts w:ascii="Times New Roman" w:hAnsi="Times New Roman"/>
          <w:sz w:val="24"/>
        </w:rPr>
        <w:t xml:space="preserve"> a </w:t>
      </w:r>
      <w:r w:rsidRPr="00A72949">
        <w:rPr>
          <w:rFonts w:ascii="Times New Roman" w:hAnsi="Times New Roman"/>
          <w:sz w:val="24"/>
        </w:rPr>
        <w:t>predpoklady modelovania uvedené</w:t>
      </w:r>
      <w:r w:rsidR="00A72949">
        <w:rPr>
          <w:rFonts w:ascii="Times New Roman" w:hAnsi="Times New Roman"/>
          <w:sz w:val="24"/>
        </w:rPr>
        <w:t xml:space="preserve"> v </w:t>
      </w:r>
      <w:r w:rsidRPr="00A72949">
        <w:rPr>
          <w:rFonts w:ascii="Times New Roman" w:hAnsi="Times New Roman"/>
          <w:sz w:val="24"/>
        </w:rPr>
        <w:t>článku 3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r w:rsidR="00A72949">
        <w:rPr>
          <w:rFonts w:ascii="Times New Roman" w:hAnsi="Times New Roman"/>
          <w:sz w:val="24"/>
        </w:rPr>
        <w:t xml:space="preserve"> a </w:t>
      </w:r>
      <w:r w:rsidRPr="00A72949">
        <w:rPr>
          <w:rFonts w:ascii="Times New Roman" w:hAnsi="Times New Roman"/>
          <w:sz w:val="24"/>
        </w:rPr>
        <w:t>zmluvné</w:t>
      </w:r>
      <w:r w:rsidR="00A72949">
        <w:rPr>
          <w:rFonts w:ascii="Times New Roman" w:hAnsi="Times New Roman"/>
          <w:sz w:val="24"/>
        </w:rPr>
        <w:t xml:space="preserve"> a </w:t>
      </w:r>
      <w:r w:rsidRPr="00A72949">
        <w:rPr>
          <w:rFonts w:ascii="Times New Roman" w:hAnsi="Times New Roman"/>
          <w:sz w:val="24"/>
        </w:rPr>
        <w:t>behaviorálne informácie,</w:t>
      </w:r>
      <w:r w:rsidR="00A72949">
        <w:rPr>
          <w:rFonts w:ascii="Times New Roman" w:hAnsi="Times New Roman"/>
          <w:sz w:val="24"/>
        </w:rPr>
        <w:t xml:space="preserve"> a v </w:t>
      </w:r>
      <w:r w:rsidRPr="00A72949">
        <w:rPr>
          <w:rFonts w:ascii="Times New Roman" w:hAnsi="Times New Roman"/>
          <w:sz w:val="24"/>
        </w:rPr>
        <w:t xml:space="preserve">oboch prípadoch neberú ohľad na automatickú </w:t>
      </w:r>
      <w:proofErr w:type="spellStart"/>
      <w:r w:rsidRPr="00A72949">
        <w:rPr>
          <w:rFonts w:ascii="Times New Roman" w:hAnsi="Times New Roman"/>
          <w:sz w:val="24"/>
        </w:rPr>
        <w:t>opcionalitu</w:t>
      </w:r>
      <w:proofErr w:type="spellEnd"/>
      <w:r w:rsidRPr="00A72949">
        <w:rPr>
          <w:rFonts w:ascii="Times New Roman" w:hAnsi="Times New Roman"/>
          <w:sz w:val="24"/>
        </w:rPr>
        <w:t>. Pokyny pre riadky musia byť rovnaké ako pokyny opísané</w:t>
      </w:r>
      <w:r w:rsidR="00A72949">
        <w:rPr>
          <w:rFonts w:ascii="Times New Roman" w:hAnsi="Times New Roman"/>
          <w:sz w:val="24"/>
        </w:rPr>
        <w:t xml:space="preserve"> v </w:t>
      </w:r>
      <w:r w:rsidRPr="00A72949">
        <w:rPr>
          <w:rFonts w:ascii="Times New Roman" w:hAnsi="Times New Roman"/>
          <w:sz w:val="24"/>
        </w:rPr>
        <w:t>časti I oddiele</w:t>
      </w:r>
      <w:r w:rsidRPr="00A72949">
        <w:rPr>
          <w:rFonts w:ascii="Times New Roman" w:hAnsi="Times New Roman"/>
          <w:sz w:val="24"/>
        </w:rPr>
        <w:fldChar w:fldCharType="begin"/>
      </w:r>
      <w:r w:rsidRPr="00A72949">
        <w:rPr>
          <w:rFonts w:ascii="Times New Roman" w:hAnsi="Times New Roman"/>
          <w:sz w:val="24"/>
        </w:rPr>
        <w:instrText xml:space="preserve"> REF _Ref119418268 \r \h  \* MERGEFORMAT </w:instrText>
      </w:r>
      <w:r w:rsidRPr="00A72949">
        <w:rPr>
          <w:rFonts w:ascii="Times New Roman" w:hAnsi="Times New Roman"/>
          <w:sz w:val="24"/>
        </w:rPr>
      </w:r>
      <w:r w:rsidRPr="00A72949">
        <w:rPr>
          <w:rFonts w:ascii="Times New Roman" w:hAnsi="Times New Roman"/>
          <w:sz w:val="24"/>
        </w:rPr>
        <w:fldChar w:fldCharType="separate"/>
      </w:r>
      <w:r w:rsidRPr="00A72949">
        <w:rPr>
          <w:rFonts w:ascii="Times New Roman" w:hAnsi="Times New Roman"/>
          <w:sz w:val="24"/>
        </w:rPr>
        <w:t>11</w:t>
      </w:r>
      <w:r w:rsidRPr="00A72949">
        <w:rPr>
          <w:rFonts w:ascii="Times New Roman" w:hAnsi="Times New Roman"/>
          <w:sz w:val="24"/>
        </w:rPr>
        <w:fldChar w:fldCharType="end"/>
      </w:r>
      <w:r w:rsidRPr="00A72949">
        <w:t xml:space="preserve"> </w:t>
      </w:r>
      <w:r w:rsidRPr="00A72949">
        <w:rPr>
          <w:rFonts w:ascii="Times New Roman" w:hAnsi="Times New Roman"/>
          <w:sz w:val="24"/>
        </w:rPr>
        <w:t>tejto prílohy. Inštitúcie navyše náležite zvažujú konvencie vykazovania uvedené</w:t>
      </w:r>
      <w:r w:rsidR="00A72949">
        <w:rPr>
          <w:rFonts w:ascii="Times New Roman" w:hAnsi="Times New Roman"/>
          <w:sz w:val="24"/>
        </w:rPr>
        <w:t xml:space="preserve"> v </w:t>
      </w:r>
      <w:r w:rsidRPr="00A72949">
        <w:rPr>
          <w:rFonts w:ascii="Times New Roman" w:hAnsi="Times New Roman"/>
          <w:sz w:val="24"/>
        </w:rPr>
        <w:t>časti I,</w:t>
      </w:r>
      <w:r w:rsidR="00A72949">
        <w:rPr>
          <w:rFonts w:ascii="Times New Roman" w:hAnsi="Times New Roman"/>
          <w:sz w:val="24"/>
        </w:rPr>
        <w:t xml:space="preserve"> a </w:t>
      </w:r>
      <w:r w:rsidRPr="00A72949">
        <w:rPr>
          <w:rFonts w:ascii="Times New Roman" w:hAnsi="Times New Roman"/>
          <w:sz w:val="24"/>
        </w:rPr>
        <w:t>najmä tie, ktoré sa týkajú vymedzenia nástrojov</w:t>
      </w:r>
      <w:r w:rsidR="00A72949">
        <w:rPr>
          <w:rFonts w:ascii="Times New Roman" w:hAnsi="Times New Roman"/>
          <w:sz w:val="24"/>
        </w:rPr>
        <w:t xml:space="preserve"> s </w:t>
      </w:r>
      <w:r w:rsidRPr="00A72949">
        <w:rPr>
          <w:rFonts w:ascii="Times New Roman" w:hAnsi="Times New Roman"/>
          <w:sz w:val="24"/>
        </w:rPr>
        <w:t>pevnou/pohyblivou úrokovou sadzbou</w:t>
      </w:r>
      <w:r w:rsidR="00A72949">
        <w:rPr>
          <w:rFonts w:ascii="Times New Roman" w:hAnsi="Times New Roman"/>
          <w:sz w:val="24"/>
        </w:rPr>
        <w:t xml:space="preserve"> a </w:t>
      </w:r>
      <w:r w:rsidRPr="00A72949">
        <w:rPr>
          <w:rFonts w:ascii="Times New Roman" w:hAnsi="Times New Roman"/>
          <w:sz w:val="24"/>
        </w:rPr>
        <w:t>zaobchádzania</w:t>
      </w:r>
      <w:r w:rsidR="00A72949">
        <w:rPr>
          <w:rFonts w:ascii="Times New Roman" w:hAnsi="Times New Roman"/>
          <w:sz w:val="24"/>
        </w:rPr>
        <w:t xml:space="preserve"> s </w:t>
      </w:r>
      <w:r w:rsidRPr="00A72949">
        <w:rPr>
          <w:rFonts w:ascii="Times New Roman" w:hAnsi="Times New Roman"/>
          <w:sz w:val="24"/>
        </w:rPr>
        <w:t>opciami.</w:t>
      </w:r>
    </w:p>
    <w:p w14:paraId="230C21FD" w14:textId="1AC5F0E1"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1.2.</w:t>
      </w:r>
      <w:r w:rsidRPr="00A72949">
        <w:tab/>
      </w:r>
      <w:r w:rsidRPr="00A72949">
        <w:rPr>
          <w:rFonts w:ascii="Times New Roman" w:hAnsi="Times New Roman"/>
          <w:sz w:val="24"/>
        </w:rPr>
        <w:t>Inštitúcie vykazujú obsah týchto vzorov osobitne za každú menu,</w:t>
      </w:r>
      <w:r w:rsidR="00A72949">
        <w:rPr>
          <w:rFonts w:ascii="Times New Roman" w:hAnsi="Times New Roman"/>
          <w:sz w:val="24"/>
        </w:rPr>
        <w:t xml:space="preserve"> v </w:t>
      </w:r>
      <w:r w:rsidRPr="00A72949">
        <w:rPr>
          <w:rFonts w:ascii="Times New Roman" w:hAnsi="Times New Roman"/>
          <w:sz w:val="24"/>
        </w:rPr>
        <w:t>ktorej má inštitúcia pozície, ak účtovná hodnota finančných aktív alebo záväzkov denominovaných</w:t>
      </w:r>
      <w:r w:rsidR="00A72949">
        <w:rPr>
          <w:rFonts w:ascii="Times New Roman" w:hAnsi="Times New Roman"/>
          <w:sz w:val="24"/>
        </w:rPr>
        <w:t xml:space="preserve"> v </w:t>
      </w:r>
      <w:r w:rsidRPr="00A72949">
        <w:rPr>
          <w:rFonts w:ascii="Times New Roman" w:hAnsi="Times New Roman"/>
          <w:sz w:val="24"/>
        </w:rPr>
        <w:t>danej mene predstavuje 5</w:t>
      </w:r>
      <w:r w:rsidR="00A72949">
        <w:rPr>
          <w:rFonts w:ascii="Times New Roman" w:hAnsi="Times New Roman"/>
          <w:sz w:val="24"/>
        </w:rPr>
        <w:t> %</w:t>
      </w:r>
      <w:r w:rsidRPr="00A72949">
        <w:rPr>
          <w:rFonts w:ascii="Times New Roman" w:hAnsi="Times New Roman"/>
          <w:sz w:val="24"/>
        </w:rPr>
        <w:t xml:space="preserve"> alebo viac celkových finančných aktív alebo záväzkov</w:t>
      </w:r>
      <w:r w:rsidR="00A72949">
        <w:rPr>
          <w:rFonts w:ascii="Times New Roman" w:hAnsi="Times New Roman"/>
          <w:sz w:val="24"/>
        </w:rPr>
        <w:t xml:space="preserve"> v </w:t>
      </w:r>
      <w:r w:rsidRPr="00A72949">
        <w:rPr>
          <w:rFonts w:ascii="Times New Roman" w:hAnsi="Times New Roman"/>
          <w:sz w:val="24"/>
        </w:rPr>
        <w:t>bankovej knihe alebo menej ako 5</w:t>
      </w:r>
      <w:r w:rsidR="00A72949">
        <w:rPr>
          <w:rFonts w:ascii="Times New Roman" w:hAnsi="Times New Roman"/>
          <w:sz w:val="24"/>
        </w:rPr>
        <w:t> %</w:t>
      </w:r>
      <w:r w:rsidRPr="00A72949">
        <w:rPr>
          <w:rFonts w:ascii="Times New Roman" w:hAnsi="Times New Roman"/>
          <w:sz w:val="24"/>
        </w:rPr>
        <w:t>, ak je súčet finančných aktív alebo záväzkov zahrnutých do výpočtu nižší ako 90</w:t>
      </w:r>
      <w:r w:rsidR="00A72949">
        <w:rPr>
          <w:rFonts w:ascii="Times New Roman" w:hAnsi="Times New Roman"/>
          <w:sz w:val="24"/>
        </w:rPr>
        <w:t> %</w:t>
      </w:r>
      <w:r w:rsidRPr="00A72949">
        <w:rPr>
          <w:rFonts w:ascii="Times New Roman" w:hAnsi="Times New Roman"/>
          <w:sz w:val="24"/>
        </w:rPr>
        <w:t xml:space="preserve"> celkových finančných aktív (okrem hmotného majetku) alebo záväzkov</w:t>
      </w:r>
      <w:r w:rsidR="00A72949">
        <w:rPr>
          <w:rFonts w:ascii="Times New Roman" w:hAnsi="Times New Roman"/>
          <w:sz w:val="24"/>
        </w:rPr>
        <w:t xml:space="preserve"> v </w:t>
      </w:r>
      <w:r w:rsidRPr="00A72949">
        <w:rPr>
          <w:rFonts w:ascii="Times New Roman" w:hAnsi="Times New Roman"/>
          <w:sz w:val="24"/>
        </w:rPr>
        <w:t>bankovej knihe</w:t>
      </w:r>
      <w:r w:rsidR="00A72949">
        <w:rPr>
          <w:rFonts w:ascii="Times New Roman" w:hAnsi="Times New Roman"/>
          <w:sz w:val="24"/>
        </w:rPr>
        <w:t>.</w:t>
      </w:r>
    </w:p>
    <w:p w14:paraId="2AB5EC1C" w14:textId="6F12AC74"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1.3.</w:t>
      </w:r>
      <w:r w:rsidRPr="00A72949">
        <w:tab/>
      </w:r>
      <w:r w:rsidRPr="00A72949">
        <w:rPr>
          <w:rFonts w:ascii="Times New Roman" w:hAnsi="Times New Roman"/>
          <w:sz w:val="24"/>
        </w:rPr>
        <w:t>Inštitúcie vykazujú obsah týchto vzorov osobitne na základe zmluvných</w:t>
      </w:r>
      <w:r w:rsidR="00A72949">
        <w:rPr>
          <w:rFonts w:ascii="Times New Roman" w:hAnsi="Times New Roman"/>
          <w:sz w:val="24"/>
        </w:rPr>
        <w:t xml:space="preserve"> a </w:t>
      </w:r>
      <w:r w:rsidRPr="00A72949">
        <w:rPr>
          <w:rFonts w:ascii="Times New Roman" w:hAnsi="Times New Roman"/>
          <w:sz w:val="24"/>
        </w:rPr>
        <w:t>behaviorálnych podmienok (modelovanie: zmluvné alebo behaviorálne):</w:t>
      </w:r>
    </w:p>
    <w:p w14:paraId="202FAE3D" w14:textId="1A613CA2"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a)</w:t>
      </w:r>
      <w:r w:rsidRPr="00A72949">
        <w:tab/>
      </w:r>
      <w:r w:rsidRPr="00A72949">
        <w:rPr>
          <w:rFonts w:ascii="Times New Roman" w:hAnsi="Times New Roman"/>
          <w:sz w:val="24"/>
        </w:rPr>
        <w:t>zmluvné: podľa zmluvného dátumu precenenia</w:t>
      </w:r>
      <w:r w:rsidR="00A72949">
        <w:rPr>
          <w:rFonts w:ascii="Times New Roman" w:hAnsi="Times New Roman"/>
          <w:sz w:val="24"/>
        </w:rPr>
        <w:t xml:space="preserve"> v </w:t>
      </w:r>
      <w:r w:rsidRPr="00A72949">
        <w:rPr>
          <w:rFonts w:ascii="Times New Roman" w:hAnsi="Times New Roman"/>
          <w:sz w:val="24"/>
        </w:rPr>
        <w:t>zmysle vymedzenia</w:t>
      </w:r>
      <w:r w:rsidR="00A72949">
        <w:rPr>
          <w:rFonts w:ascii="Times New Roman" w:hAnsi="Times New Roman"/>
          <w:sz w:val="24"/>
        </w:rPr>
        <w:t xml:space="preserve"> v </w:t>
      </w:r>
      <w:r w:rsidRPr="00A72949">
        <w:rPr>
          <w:rFonts w:ascii="Times New Roman" w:hAnsi="Times New Roman"/>
          <w:sz w:val="24"/>
        </w:rPr>
        <w:t>článku 1 bode 2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SA) bez zohľadnenia behaviorálnych predpokladov. Zohľadňujú sa len zmluvné</w:t>
      </w:r>
      <w:r w:rsidR="00A72949">
        <w:rPr>
          <w:rFonts w:ascii="Times New Roman" w:hAnsi="Times New Roman"/>
          <w:sz w:val="24"/>
        </w:rPr>
        <w:t xml:space="preserve"> a </w:t>
      </w:r>
      <w:r w:rsidRPr="00A72949">
        <w:rPr>
          <w:rFonts w:ascii="Times New Roman" w:hAnsi="Times New Roman"/>
          <w:sz w:val="24"/>
        </w:rPr>
        <w:t>právne prvky (a neberú sa do úvahy automatické opcie</w:t>
      </w:r>
      <w:r w:rsidR="00A72949">
        <w:rPr>
          <w:rFonts w:ascii="Times New Roman" w:hAnsi="Times New Roman"/>
          <w:sz w:val="24"/>
        </w:rPr>
        <w:t xml:space="preserve"> a </w:t>
      </w:r>
      <w:r w:rsidRPr="00A72949">
        <w:rPr>
          <w:rFonts w:ascii="Times New Roman" w:hAnsi="Times New Roman"/>
          <w:sz w:val="24"/>
        </w:rPr>
        <w:t>zákonné horné/spodné ohraničenia).</w:t>
      </w:r>
      <w:r w:rsidR="00A72949">
        <w:rPr>
          <w:rFonts w:ascii="Times New Roman" w:hAnsi="Times New Roman"/>
          <w:sz w:val="24"/>
        </w:rPr>
        <w:t xml:space="preserve"> S </w:t>
      </w:r>
      <w:r w:rsidRPr="00A72949">
        <w:rPr>
          <w:rFonts w:ascii="Times New Roman" w:hAnsi="Times New Roman"/>
          <w:sz w:val="24"/>
        </w:rPr>
        <w:t>profilom peňažných tokov produktov splatných na požiadanie (vrátane NMD) sa zaobchádza ako</w:t>
      </w:r>
      <w:r w:rsidR="00A72949">
        <w:rPr>
          <w:rFonts w:ascii="Times New Roman" w:hAnsi="Times New Roman"/>
          <w:sz w:val="24"/>
        </w:rPr>
        <w:t xml:space="preserve"> s </w:t>
      </w:r>
      <w:r w:rsidRPr="00A72949">
        <w:rPr>
          <w:rFonts w:ascii="Times New Roman" w:hAnsi="Times New Roman"/>
          <w:sz w:val="24"/>
        </w:rPr>
        <w:t>krátkodobými variabilnými pozíciami (najkratšia časová skupina). Neuplatňuje sa žiadne behaviorálne predčasné ukončenie</w:t>
      </w:r>
      <w:r w:rsidR="00A72949">
        <w:rPr>
          <w:rFonts w:ascii="Times New Roman" w:hAnsi="Times New Roman"/>
          <w:sz w:val="24"/>
        </w:rPr>
        <w:t xml:space="preserve"> a </w:t>
      </w:r>
      <w:r w:rsidRPr="00A72949">
        <w:rPr>
          <w:rFonts w:ascii="Times New Roman" w:hAnsi="Times New Roman"/>
          <w:sz w:val="24"/>
        </w:rPr>
        <w:t>predčasné splatenie, čo znamená 0</w:t>
      </w:r>
      <w:r w:rsidR="00A72949">
        <w:rPr>
          <w:rFonts w:ascii="Times New Roman" w:hAnsi="Times New Roman"/>
          <w:sz w:val="24"/>
        </w:rPr>
        <w:t> %</w:t>
      </w:r>
      <w:r w:rsidRPr="00A72949">
        <w:rPr>
          <w:rFonts w:ascii="Times New Roman" w:hAnsi="Times New Roman"/>
          <w:sz w:val="24"/>
        </w:rPr>
        <w:t xml:space="preserve"> sadzba pre podmienené predčasné splatenie</w:t>
      </w:r>
      <w:r w:rsidR="00A72949">
        <w:rPr>
          <w:rFonts w:ascii="Times New Roman" w:hAnsi="Times New Roman"/>
          <w:sz w:val="24"/>
        </w:rPr>
        <w:t xml:space="preserve"> a </w:t>
      </w:r>
      <w:r w:rsidRPr="00A72949">
        <w:rPr>
          <w:rFonts w:ascii="Times New Roman" w:hAnsi="Times New Roman"/>
          <w:sz w:val="24"/>
        </w:rPr>
        <w:t>predčasné vyplatenie;</w:t>
      </w:r>
    </w:p>
    <w:p w14:paraId="603C1940" w14:textId="69AEA400" w:rsidR="004E6C70" w:rsidRPr="00A72949" w:rsidRDefault="004E6C70" w:rsidP="004E6C70">
      <w:pPr>
        <w:suppressAutoHyphens/>
        <w:ind w:left="567" w:hanging="567"/>
        <w:rPr>
          <w:rFonts w:ascii="Times New Roman" w:hAnsi="Times New Roman"/>
          <w:sz w:val="24"/>
        </w:rPr>
      </w:pPr>
      <w:r w:rsidRPr="00A72949">
        <w:rPr>
          <w:rFonts w:ascii="Times New Roman" w:hAnsi="Times New Roman"/>
          <w:sz w:val="24"/>
        </w:rPr>
        <w:t>b)</w:t>
      </w:r>
      <w:r w:rsidRPr="00A72949">
        <w:tab/>
      </w:r>
      <w:r w:rsidRPr="00A72949">
        <w:rPr>
          <w:rFonts w:ascii="Times New Roman" w:hAnsi="Times New Roman"/>
          <w:sz w:val="24"/>
        </w:rPr>
        <w:t>behaviorálne modelovanie</w:t>
      </w:r>
      <w:r w:rsidR="00A72949">
        <w:rPr>
          <w:rFonts w:ascii="Times New Roman" w:hAnsi="Times New Roman"/>
          <w:sz w:val="24"/>
        </w:rPr>
        <w:t xml:space="preserve"> v </w:t>
      </w:r>
      <w:r w:rsidRPr="00A72949">
        <w:rPr>
          <w:rFonts w:ascii="Times New Roman" w:hAnsi="Times New Roman"/>
          <w:sz w:val="24"/>
        </w:rPr>
        <w:t>základnom scenári: podľa namodelovaných peňažných tokov</w:t>
      </w:r>
      <w:r w:rsidR="00A72949">
        <w:rPr>
          <w:rFonts w:ascii="Times New Roman" w:hAnsi="Times New Roman"/>
          <w:sz w:val="24"/>
        </w:rPr>
        <w:t xml:space="preserve"> z </w:t>
      </w:r>
      <w:r w:rsidRPr="00A72949">
        <w:rPr>
          <w:rFonts w:ascii="Times New Roman" w:hAnsi="Times New Roman"/>
          <w:sz w:val="24"/>
        </w:rPr>
        <w:t>precenenia, ktoré</w:t>
      </w:r>
      <w:r w:rsidR="00A72949">
        <w:rPr>
          <w:rFonts w:ascii="Times New Roman" w:hAnsi="Times New Roman"/>
          <w:sz w:val="24"/>
        </w:rPr>
        <w:t xml:space="preserve"> v </w:t>
      </w:r>
      <w:r w:rsidRPr="00A72949">
        <w:rPr>
          <w:rFonts w:ascii="Times New Roman" w:hAnsi="Times New Roman"/>
          <w:sz w:val="24"/>
        </w:rPr>
        <w:t>relevantnom prípade zodpovedajú behaviorálnym predpokladom podľa základného scenára.</w:t>
      </w:r>
    </w:p>
    <w:p w14:paraId="18CC43D7" w14:textId="3A901C04" w:rsidR="00A72949" w:rsidRDefault="004E6C70" w:rsidP="004E6C70">
      <w:pPr>
        <w:tabs>
          <w:tab w:val="left" w:pos="567"/>
        </w:tabs>
        <w:suppressAutoHyphens/>
        <w:rPr>
          <w:rFonts w:ascii="Times New Roman" w:hAnsi="Times New Roman"/>
          <w:sz w:val="24"/>
        </w:rPr>
      </w:pPr>
      <w:bookmarkStart w:id="52" w:name="_Ref140654581"/>
      <w:r w:rsidRPr="00A72949">
        <w:rPr>
          <w:rFonts w:ascii="Times New Roman" w:hAnsi="Times New Roman"/>
          <w:sz w:val="24"/>
        </w:rPr>
        <w:t>1.4.</w:t>
      </w:r>
      <w:r w:rsidRPr="00A72949">
        <w:tab/>
      </w:r>
      <w:r w:rsidRPr="00A72949">
        <w:rPr>
          <w:rFonts w:ascii="Times New Roman" w:hAnsi="Times New Roman"/>
          <w:sz w:val="24"/>
        </w:rPr>
        <w:t>V prípade derivátov inštitúcie vykazujú čisté hodnoty peňažných tokov</w:t>
      </w:r>
      <w:r w:rsidR="00A72949">
        <w:rPr>
          <w:rFonts w:ascii="Times New Roman" w:hAnsi="Times New Roman"/>
          <w:sz w:val="24"/>
        </w:rPr>
        <w:t xml:space="preserve"> z </w:t>
      </w:r>
      <w:r w:rsidRPr="00A72949">
        <w:rPr>
          <w:rFonts w:ascii="Times New Roman" w:hAnsi="Times New Roman"/>
          <w:sz w:val="24"/>
        </w:rPr>
        <w:t>precenenia (t. j. nie</w:t>
      </w:r>
      <w:r w:rsidR="00A72949">
        <w:rPr>
          <w:rFonts w:ascii="Times New Roman" w:hAnsi="Times New Roman"/>
          <w:sz w:val="24"/>
        </w:rPr>
        <w:t xml:space="preserve"> v </w:t>
      </w:r>
      <w:r w:rsidRPr="00A72949">
        <w:rPr>
          <w:rFonts w:ascii="Times New Roman" w:hAnsi="Times New Roman"/>
          <w:sz w:val="24"/>
        </w:rPr>
        <w:t>rozčlenení podľa častí príjemcu/platiteľa).</w:t>
      </w:r>
      <w:r w:rsidR="00A72949">
        <w:rPr>
          <w:rFonts w:ascii="Times New Roman" w:hAnsi="Times New Roman"/>
          <w:sz w:val="24"/>
        </w:rPr>
        <w:t xml:space="preserve"> V </w:t>
      </w:r>
      <w:r w:rsidRPr="00A72949">
        <w:rPr>
          <w:rFonts w:ascii="Times New Roman" w:hAnsi="Times New Roman"/>
          <w:sz w:val="24"/>
        </w:rPr>
        <w:t>prípade derivátov, ktorými sa zabezpečujú aktíva, sa pri výpočte čistých súm za časovú skupinu dlhá časť (príjemca/aktívum) derivátu vykazuje</w:t>
      </w:r>
      <w:r w:rsidR="00A72949">
        <w:rPr>
          <w:rFonts w:ascii="Times New Roman" w:hAnsi="Times New Roman"/>
          <w:sz w:val="24"/>
        </w:rPr>
        <w:t xml:space="preserve"> s </w:t>
      </w:r>
      <w:r w:rsidRPr="00A72949">
        <w:rPr>
          <w:rFonts w:ascii="Times New Roman" w:hAnsi="Times New Roman"/>
          <w:sz w:val="24"/>
        </w:rPr>
        <w:t>kladným znamienkom, zatiaľ čo krátka časť (platiteľ/záväzok) sa vykazuje so záporným znamienkom. Výnimky</w:t>
      </w:r>
      <w:r w:rsidR="00A72949">
        <w:rPr>
          <w:rFonts w:ascii="Times New Roman" w:hAnsi="Times New Roman"/>
          <w:sz w:val="24"/>
        </w:rPr>
        <w:t xml:space="preserve"> z </w:t>
      </w:r>
      <w:r w:rsidRPr="00A72949">
        <w:rPr>
          <w:rFonts w:ascii="Times New Roman" w:hAnsi="Times New Roman"/>
          <w:sz w:val="24"/>
        </w:rPr>
        <w:t>tohto pravidla sa uplatňujú</w:t>
      </w:r>
      <w:r w:rsidR="00A72949">
        <w:rPr>
          <w:rFonts w:ascii="Times New Roman" w:hAnsi="Times New Roman"/>
          <w:sz w:val="24"/>
        </w:rPr>
        <w:t xml:space="preserve"> v </w:t>
      </w:r>
      <w:r w:rsidRPr="00A72949">
        <w:rPr>
          <w:rFonts w:ascii="Times New Roman" w:hAnsi="Times New Roman"/>
          <w:sz w:val="24"/>
        </w:rPr>
        <w:t>prípade kupónu príjemcu fixovaného</w:t>
      </w:r>
      <w:r w:rsidR="00A72949">
        <w:rPr>
          <w:rFonts w:ascii="Times New Roman" w:hAnsi="Times New Roman"/>
          <w:sz w:val="24"/>
        </w:rPr>
        <w:t xml:space="preserve"> v </w:t>
      </w:r>
      <w:r w:rsidRPr="00A72949">
        <w:rPr>
          <w:rFonts w:ascii="Times New Roman" w:hAnsi="Times New Roman"/>
          <w:sz w:val="24"/>
        </w:rPr>
        <w:t>prostredí so zápornými úrokovými sadzbami, ktorý sa vykazuje so záporným znamienkom aj vtedy, keď je súčasťou dlhej časti (príjemca/aktíva). Opak platí pre deriváty, ktorými sa zabezpečujú záväzky: pri výpočte čistých peňažných tokov</w:t>
      </w:r>
      <w:r w:rsidR="00A72949">
        <w:rPr>
          <w:rFonts w:ascii="Times New Roman" w:hAnsi="Times New Roman"/>
          <w:sz w:val="24"/>
        </w:rPr>
        <w:t xml:space="preserve"> z </w:t>
      </w:r>
      <w:r w:rsidRPr="00A72949">
        <w:rPr>
          <w:rFonts w:ascii="Times New Roman" w:hAnsi="Times New Roman"/>
          <w:sz w:val="24"/>
        </w:rPr>
        <w:t>precenenia sa dlhá časť (príjemca/aktívum) vykazuje so záporným znamienkom, zatiaľ čo krátka časť (platiteľ/záväzok) sa vykazuje</w:t>
      </w:r>
      <w:r w:rsidR="00A72949">
        <w:rPr>
          <w:rFonts w:ascii="Times New Roman" w:hAnsi="Times New Roman"/>
          <w:sz w:val="24"/>
        </w:rPr>
        <w:t xml:space="preserve"> s </w:t>
      </w:r>
      <w:r w:rsidRPr="00A72949">
        <w:rPr>
          <w:rFonts w:ascii="Times New Roman" w:hAnsi="Times New Roman"/>
          <w:sz w:val="24"/>
        </w:rPr>
        <w:t>kladným znamienkom</w:t>
      </w:r>
      <w:bookmarkEnd w:id="52"/>
      <w:r w:rsidR="00A72949">
        <w:rPr>
          <w:rFonts w:ascii="Times New Roman" w:hAnsi="Times New Roman"/>
          <w:sz w:val="24"/>
        </w:rPr>
        <w:t>.</w:t>
      </w:r>
    </w:p>
    <w:p w14:paraId="5B4BB5E8" w14:textId="5982BA46"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1.5.</w:t>
      </w:r>
      <w:r w:rsidRPr="00A72949">
        <w:tab/>
      </w:r>
      <w:r w:rsidRPr="00A72949">
        <w:rPr>
          <w:rFonts w:ascii="Times New Roman" w:hAnsi="Times New Roman"/>
          <w:sz w:val="24"/>
        </w:rPr>
        <w:t>Inštitúcie nevykazujú stĺpce týkajúce sa pomyselnej hodnoty, informácií</w:t>
      </w:r>
      <w:r w:rsidR="00A72949">
        <w:rPr>
          <w:rFonts w:ascii="Times New Roman" w:hAnsi="Times New Roman"/>
          <w:sz w:val="24"/>
        </w:rPr>
        <w:t xml:space="preserve"> o </w:t>
      </w:r>
      <w:r w:rsidRPr="00A72949">
        <w:rPr>
          <w:rFonts w:ascii="Times New Roman" w:hAnsi="Times New Roman"/>
          <w:sz w:val="24"/>
        </w:rPr>
        <w:t>automatických opciách</w:t>
      </w:r>
      <w:r w:rsidR="00A72949">
        <w:rPr>
          <w:rFonts w:ascii="Times New Roman" w:hAnsi="Times New Roman"/>
          <w:sz w:val="24"/>
        </w:rPr>
        <w:t xml:space="preserve"> a </w:t>
      </w:r>
      <w:r w:rsidRPr="00A72949">
        <w:rPr>
          <w:rFonts w:ascii="Times New Roman" w:hAnsi="Times New Roman"/>
          <w:sz w:val="24"/>
        </w:rPr>
        <w:t>behaviorálnom modelovaní, priemerného výnosu</w:t>
      </w:r>
      <w:r w:rsidR="00A72949">
        <w:rPr>
          <w:rFonts w:ascii="Times New Roman" w:hAnsi="Times New Roman"/>
          <w:sz w:val="24"/>
        </w:rPr>
        <w:t xml:space="preserve"> a </w:t>
      </w:r>
      <w:r w:rsidRPr="00A72949">
        <w:rPr>
          <w:rFonts w:ascii="Times New Roman" w:hAnsi="Times New Roman"/>
          <w:sz w:val="24"/>
        </w:rPr>
        <w:t>zmluvnej splatnosti</w:t>
      </w:r>
      <w:r w:rsidR="00A72949">
        <w:rPr>
          <w:rFonts w:ascii="Times New Roman" w:hAnsi="Times New Roman"/>
          <w:sz w:val="24"/>
        </w:rPr>
        <w:t xml:space="preserve"> v </w:t>
      </w:r>
      <w:r w:rsidRPr="00A72949">
        <w:rPr>
          <w:rFonts w:ascii="Times New Roman" w:hAnsi="Times New Roman"/>
          <w:sz w:val="24"/>
        </w:rPr>
        <w:t>hárkoch určených pre zmluvné podmienky.</w:t>
      </w:r>
    </w:p>
    <w:p w14:paraId="028E6737" w14:textId="77777777" w:rsidR="004E6C70" w:rsidRPr="00A72949" w:rsidRDefault="004E6C70" w:rsidP="004E6C70">
      <w:pPr>
        <w:suppressAutoHyphens/>
        <w:rPr>
          <w:rFonts w:ascii="Times New Roman" w:hAnsi="Times New Roman"/>
          <w:sz w:val="24"/>
        </w:rPr>
      </w:pPr>
      <w:r w:rsidRPr="00A72949">
        <w:br w:type="page"/>
      </w:r>
    </w:p>
    <w:p w14:paraId="2C1A6BF8" w14:textId="77777777" w:rsidR="004E6C70" w:rsidRPr="00A72949" w:rsidRDefault="004E6C70" w:rsidP="004E6C70">
      <w:pPr>
        <w:pStyle w:val="Instructionsberschrift2"/>
        <w:numPr>
          <w:ilvl w:val="0"/>
          <w:numId w:val="0"/>
        </w:numPr>
        <w:suppressAutoHyphens/>
        <w:rPr>
          <w:rFonts w:cs="Times New Roman"/>
          <w:b/>
          <w:bCs/>
          <w:sz w:val="24"/>
        </w:rPr>
      </w:pPr>
      <w:bookmarkStart w:id="53" w:name="_Toc188859507"/>
      <w:r w:rsidRPr="00A72949">
        <w:rPr>
          <w:b/>
          <w:sz w:val="24"/>
        </w:rPr>
        <w:lastRenderedPageBreak/>
        <w:t>2.</w:t>
      </w:r>
      <w:r w:rsidRPr="00A72949">
        <w:tab/>
      </w:r>
      <w:r w:rsidRPr="00A72949">
        <w:rPr>
          <w:b/>
          <w:sz w:val="24"/>
        </w:rPr>
        <w:t>Pokyny týkajúce sa konkrétnych pozícií:</w:t>
      </w:r>
      <w:bookmarkEnd w:id="53"/>
    </w:p>
    <w:p w14:paraId="0CACCB69" w14:textId="77777777" w:rsidR="004E6C70" w:rsidRPr="00A7294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72949" w14:paraId="18ABFF09" w14:textId="77777777" w:rsidTr="00E73145">
        <w:tc>
          <w:tcPr>
            <w:tcW w:w="1129" w:type="dxa"/>
            <w:shd w:val="clear" w:color="auto" w:fill="D9D9D9" w:themeFill="background1" w:themeFillShade="D9"/>
          </w:tcPr>
          <w:p w14:paraId="5C043C1B" w14:textId="77777777"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Stĺpce</w:t>
            </w:r>
          </w:p>
        </w:tc>
        <w:tc>
          <w:tcPr>
            <w:tcW w:w="7620" w:type="dxa"/>
            <w:shd w:val="clear" w:color="auto" w:fill="D9D9D9" w:themeFill="background1" w:themeFillShade="D9"/>
          </w:tcPr>
          <w:p w14:paraId="2982C428" w14:textId="7EEF9A01"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rsidDel="00910670" w14:paraId="054EE194" w14:textId="77777777" w:rsidTr="00E73145">
        <w:tc>
          <w:tcPr>
            <w:tcW w:w="1129" w:type="dxa"/>
          </w:tcPr>
          <w:p w14:paraId="1963C135" w14:textId="77777777" w:rsidR="004E6C70" w:rsidRPr="00A72949" w:rsidDel="00910670"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 – 0250</w:t>
            </w:r>
          </w:p>
        </w:tc>
        <w:tc>
          <w:tcPr>
            <w:tcW w:w="7620" w:type="dxa"/>
          </w:tcPr>
          <w:p w14:paraId="22F7C5ED"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Pevná úroková sadzba</w:t>
            </w:r>
          </w:p>
          <w:p w14:paraId="1670ED5E" w14:textId="3B0056BC" w:rsidR="004E6C70" w:rsidRPr="00A72949" w:rsidDel="00910670" w:rsidRDefault="004E6C70" w:rsidP="00E73145">
            <w:pPr>
              <w:pStyle w:val="InstructionsText"/>
              <w:rPr>
                <w:rStyle w:val="InstructionsTabelleberschrift"/>
                <w:rFonts w:ascii="Times New Roman" w:hAnsi="Times New Roman"/>
                <w:sz w:val="24"/>
              </w:rPr>
            </w:pPr>
            <w:r w:rsidRPr="00A72949">
              <w:t>Inštitúcie vykazujú odhady týkajúce sa nástrojov</w:t>
            </w:r>
            <w:r w:rsidR="00A72949">
              <w:t xml:space="preserve"> s </w:t>
            </w:r>
            <w:r w:rsidRPr="00A72949">
              <w:t>pevnou úrokovou sadzbou podľa konvencií uvedených</w:t>
            </w:r>
            <w:r w:rsidR="00A72949">
              <w:t xml:space="preserve"> v </w:t>
            </w:r>
            <w:r w:rsidRPr="00A72949">
              <w:t xml:space="preserve">časti I oddiele </w:t>
            </w:r>
            <w:r w:rsidRPr="00A72949">
              <w:fldChar w:fldCharType="begin"/>
            </w:r>
            <w:r w:rsidRPr="00A72949">
              <w:instrText xml:space="preserve"> REF _Ref125115357 \r \h  \* MERGEFORMAT </w:instrText>
            </w:r>
            <w:r w:rsidRPr="00A72949">
              <w:fldChar w:fldCharType="separate"/>
            </w:r>
            <w:r w:rsidRPr="00A72949">
              <w:t>3</w:t>
            </w:r>
            <w:r w:rsidRPr="00A72949">
              <w:fldChar w:fldCharType="end"/>
            </w:r>
            <w:r w:rsidRPr="00A72949">
              <w:t xml:space="preserve"> tejto prílohy.</w:t>
            </w:r>
          </w:p>
        </w:tc>
      </w:tr>
      <w:tr w:rsidR="004E6C70" w:rsidRPr="00A72949" w:rsidDel="00910670" w14:paraId="7A1DEC4E" w14:textId="77777777" w:rsidTr="00E73145">
        <w:tc>
          <w:tcPr>
            <w:tcW w:w="1129" w:type="dxa"/>
          </w:tcPr>
          <w:p w14:paraId="3E30A79C" w14:textId="77777777" w:rsidR="004E6C70" w:rsidRPr="00A72949" w:rsidDel="00910670"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0260 – 0390</w:t>
            </w:r>
          </w:p>
        </w:tc>
        <w:tc>
          <w:tcPr>
            <w:tcW w:w="7620" w:type="dxa"/>
          </w:tcPr>
          <w:p w14:paraId="6B9AD20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Pohyblivá úroková sadzba</w:t>
            </w:r>
          </w:p>
          <w:p w14:paraId="2D7845E3" w14:textId="4E1D1330" w:rsidR="004E6C70" w:rsidRPr="00A72949" w:rsidDel="00910670" w:rsidRDefault="004E6C70" w:rsidP="00E73145">
            <w:pPr>
              <w:pStyle w:val="InstructionsText"/>
              <w:rPr>
                <w:rStyle w:val="InstructionsTabelleberschrift"/>
                <w:rFonts w:ascii="Times New Roman" w:hAnsi="Times New Roman"/>
                <w:sz w:val="24"/>
              </w:rPr>
            </w:pPr>
            <w:r w:rsidRPr="00A72949">
              <w:t>Inštitúcie vykazujú odhady týkajúce sa nástrojov</w:t>
            </w:r>
            <w:r w:rsidR="00A72949">
              <w:t xml:space="preserve"> s </w:t>
            </w:r>
            <w:r w:rsidRPr="00A72949">
              <w:rPr>
                <w:rStyle w:val="InstructionsTabelleberschrift"/>
                <w:rFonts w:ascii="Times New Roman" w:hAnsi="Times New Roman"/>
                <w:b w:val="0"/>
                <w:sz w:val="24"/>
                <w:u w:val="none"/>
              </w:rPr>
              <w:t>pohyblivou</w:t>
            </w:r>
            <w:r w:rsidRPr="00A72949">
              <w:t xml:space="preserve"> úrokovou sadzbou podľa konvencií uvedených</w:t>
            </w:r>
            <w:r w:rsidR="00A72949">
              <w:t xml:space="preserve"> v </w:t>
            </w:r>
            <w:r w:rsidRPr="00A72949">
              <w:t xml:space="preserve">časti I oddiele </w:t>
            </w:r>
            <w:r w:rsidRPr="00A72949">
              <w:fldChar w:fldCharType="begin"/>
            </w:r>
            <w:r w:rsidRPr="00A72949">
              <w:instrText xml:space="preserve"> REF _Ref125115357 \r \h  \* MERGEFORMAT </w:instrText>
            </w:r>
            <w:r w:rsidRPr="00A72949">
              <w:fldChar w:fldCharType="separate"/>
            </w:r>
            <w:r w:rsidRPr="00A72949">
              <w:t>3</w:t>
            </w:r>
            <w:r w:rsidRPr="00A72949">
              <w:fldChar w:fldCharType="end"/>
            </w:r>
            <w:r w:rsidRPr="00A72949">
              <w:t xml:space="preserve"> tejto prílohy</w:t>
            </w:r>
            <w:r w:rsidRPr="00A72949">
              <w:rPr>
                <w:b/>
              </w:rPr>
              <w:t>.</w:t>
            </w:r>
          </w:p>
        </w:tc>
      </w:tr>
      <w:tr w:rsidR="004E6C70" w:rsidRPr="00A72949" w:rsidDel="00910670" w14:paraId="1271F471" w14:textId="77777777" w:rsidTr="00E73145">
        <w:tc>
          <w:tcPr>
            <w:tcW w:w="1129" w:type="dxa"/>
          </w:tcPr>
          <w:p w14:paraId="68FF5A2E" w14:textId="77777777" w:rsidR="004E6C70" w:rsidRPr="00A72949" w:rsidDel="00910670"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620" w:type="dxa"/>
          </w:tcPr>
          <w:p w14:paraId="27337BA4"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Pomyselná hodnota</w:t>
            </w:r>
          </w:p>
          <w:p w14:paraId="7D1B0FC0"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Inštitúcie vykazujú nesplatenú sumu istiny nástrojov.</w:t>
            </w:r>
          </w:p>
          <w:p w14:paraId="12383C67" w14:textId="77777777" w:rsidR="004E6C70" w:rsidRPr="00A72949" w:rsidDel="00910670" w:rsidRDefault="004E6C70" w:rsidP="00E73145">
            <w:pPr>
              <w:pStyle w:val="InstructionsText"/>
              <w:rPr>
                <w:rStyle w:val="InstructionsTabelleberschrift"/>
                <w:rFonts w:ascii="Times New Roman" w:hAnsi="Times New Roman"/>
                <w:b w:val="0"/>
                <w:sz w:val="24"/>
                <w:u w:val="none"/>
              </w:rPr>
            </w:pPr>
            <w:r w:rsidRPr="00A72949">
              <w:t>V prípade derivátov sa vykazuje nesplatená suma istiny časti aktíva (príjemca) (t. j. bez vzájomného započítania súm častí príjemcu/platiteľa).</w:t>
            </w:r>
          </w:p>
        </w:tc>
      </w:tr>
      <w:tr w:rsidR="004E6C70" w:rsidRPr="00A72949" w14:paraId="1FB80DAD" w14:textId="77777777" w:rsidTr="00E73145">
        <w:tc>
          <w:tcPr>
            <w:tcW w:w="1129" w:type="dxa"/>
          </w:tcPr>
          <w:p w14:paraId="38BB4F4B" w14:textId="577C0321"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0020</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0270</w:t>
            </w:r>
          </w:p>
        </w:tc>
        <w:tc>
          <w:tcPr>
            <w:tcW w:w="7620" w:type="dxa"/>
          </w:tcPr>
          <w:p w14:paraId="04DDCB96" w14:textId="0E976889"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 xml:space="preserve">vloženou alebo explicitnou automatickou </w:t>
            </w:r>
            <w:proofErr w:type="spellStart"/>
            <w:r w:rsidRPr="00A72949">
              <w:rPr>
                <w:rStyle w:val="InstructionsTabelleberschrift"/>
                <w:rFonts w:ascii="Times New Roman" w:hAnsi="Times New Roman"/>
                <w:sz w:val="24"/>
              </w:rPr>
              <w:t>opcionalitou</w:t>
            </w:r>
            <w:proofErr w:type="spellEnd"/>
            <w:r w:rsidRPr="00A72949">
              <w:rPr>
                <w:rStyle w:val="InstructionsTabelleberschrift"/>
                <w:rFonts w:ascii="Times New Roman" w:hAnsi="Times New Roman"/>
                <w:sz w:val="24"/>
              </w:rPr>
              <w:t xml:space="preserve"> – kúpené</w:t>
            </w:r>
          </w:p>
          <w:p w14:paraId="4BD7FD14" w14:textId="078EA3AE"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Percentuálny podiel pomyselnej hodnoty vykázanej</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stĺpcoch 0010</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0260, na ktorý sa vzťahujú kúpené automatické úrokové opcie. </w:t>
            </w:r>
            <w:proofErr w:type="spellStart"/>
            <w:r w:rsidRPr="00A72949">
              <w:rPr>
                <w:rStyle w:val="InstructionsTabelleberschrift"/>
                <w:rFonts w:ascii="Times New Roman" w:hAnsi="Times New Roman"/>
                <w:b w:val="0"/>
                <w:sz w:val="24"/>
                <w:u w:val="none"/>
              </w:rPr>
              <w:t>Opcionalita</w:t>
            </w:r>
            <w:proofErr w:type="spellEnd"/>
            <w:r w:rsidRPr="00A72949">
              <w:rPr>
                <w:rStyle w:val="InstructionsTabelleberschrift"/>
                <w:rFonts w:ascii="Times New Roman" w:hAnsi="Times New Roman"/>
                <w:b w:val="0"/>
                <w:sz w:val="24"/>
                <w:u w:val="none"/>
              </w:rPr>
              <w:t xml:space="preserve"> môže vyplynúť zo samostatných nástrojov, ktoré inštitúcia kúpila (vrátane </w:t>
            </w:r>
            <w:r w:rsidRPr="00A72949">
              <w:rPr>
                <w:rStyle w:val="InstructionsTabelleberschrift"/>
                <w:rFonts w:ascii="Times New Roman" w:hAnsi="Times New Roman"/>
                <w:b w:val="0"/>
                <w:i/>
                <w:sz w:val="24"/>
                <w:u w:val="none"/>
              </w:rPr>
              <w:t>spodných ohraničení, horných ohraničení</w:t>
            </w:r>
            <w:r w:rsidR="00A72949">
              <w:rPr>
                <w:rStyle w:val="InstructionsTabelleberschrift"/>
                <w:rFonts w:ascii="Times New Roman" w:hAnsi="Times New Roman"/>
                <w:b w:val="0"/>
                <w:sz w:val="24"/>
                <w:u w:val="none"/>
              </w:rPr>
              <w:t xml:space="preserve"> a </w:t>
            </w:r>
            <w:proofErr w:type="spellStart"/>
            <w:r w:rsidRPr="00A72949">
              <w:rPr>
                <w:rStyle w:val="InstructionsTabelleberschrift"/>
                <w:rFonts w:ascii="Times New Roman" w:hAnsi="Times New Roman"/>
                <w:b w:val="0"/>
                <w:i/>
                <w:sz w:val="24"/>
                <w:u w:val="none"/>
              </w:rPr>
              <w:t>swapcií</w:t>
            </w:r>
            <w:proofErr w:type="spellEnd"/>
            <w:r w:rsidRPr="00A72949">
              <w:rPr>
                <w:rStyle w:val="InstructionsTabelleberschrift"/>
                <w:rFonts w:ascii="Times New Roman" w:hAnsi="Times New Roman"/>
                <w:b w:val="0"/>
                <w:sz w:val="24"/>
                <w:u w:val="none"/>
              </w:rPr>
              <w:t>), alebo môže byť „vložená“</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zmluvných podmienkach iných štandardných bankových produktov.</w:t>
            </w:r>
          </w:p>
          <w:p w14:paraId="3814BBF6" w14:textId="37B62F07" w:rsidR="004E6C70" w:rsidRPr="00A72949" w:rsidRDefault="004E6C70" w:rsidP="00E73145">
            <w:pPr>
              <w:pStyle w:val="InstructionsText"/>
              <w:rPr>
                <w:rStyle w:val="InstructionsTabelleberschrift"/>
                <w:rFonts w:ascii="Times New Roman" w:hAnsi="Times New Roman"/>
                <w:b w:val="0"/>
                <w:bCs w:val="0"/>
                <w:sz w:val="24"/>
                <w:u w:val="none"/>
              </w:rPr>
            </w:pPr>
            <w:r w:rsidRPr="00A72949">
              <w:t>Vložené automatické úrokové opcie sa vykazujú spolu</w:t>
            </w:r>
            <w:r w:rsidR="00A72949">
              <w:t xml:space="preserve"> s </w:t>
            </w:r>
            <w:r w:rsidRPr="00A72949">
              <w:t>príslušným hostiteľským nástrojom (či už ide</w:t>
            </w:r>
            <w:r w:rsidR="00A72949">
              <w:t xml:space="preserve"> o </w:t>
            </w:r>
            <w:r w:rsidRPr="00A72949">
              <w:t>aktívum alebo záväzok). Explicitné automatické úrokové opcie sa vykazujú ako derivátové nástroje.</w:t>
            </w:r>
          </w:p>
          <w:p w14:paraId="68DA980A" w14:textId="329D680D" w:rsid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b w:val="0"/>
                <w:sz w:val="24"/>
                <w:u w:val="none"/>
              </w:rPr>
              <w:t>Vložené automatické kúpené opcie zahŕňajú</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prípade pozícií</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pohyblivou úrokovou sadzbou: i) kúpené spodné ohraničenia nad aktívami</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pohyblivou úrokovou sadzbou (úvery alebo dlhové cenné papiere); ii) kúpené horné ohraničenia nad emitovanými dlhovými cennými papiermi</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pohyblivou úrokovou sadzbou atď</w:t>
            </w:r>
            <w:r w:rsidR="00A72949">
              <w:rPr>
                <w:rStyle w:val="InstructionsTabelleberschrift"/>
                <w:rFonts w:ascii="Times New Roman" w:hAnsi="Times New Roman"/>
                <w:b w:val="0"/>
                <w:sz w:val="24"/>
                <w:u w:val="none"/>
              </w:rPr>
              <w:t>.</w:t>
            </w:r>
          </w:p>
          <w:p w14:paraId="3805F80A" w14:textId="2B829CFF"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Vložené automatické kúpené opcie zahŕňajú</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prípade pozícií</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pevnou úrokovou sadzbou: i) aktíva dlhových cenných papierov</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pevnou úrokovou sadzbou</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 xml:space="preserve">možnosťou predčasného splatenia pre inštitúciu (vložená kúpená </w:t>
            </w:r>
            <w:proofErr w:type="spellStart"/>
            <w:r w:rsidRPr="00A72949">
              <w:rPr>
                <w:rStyle w:val="InstructionsTabelleberschrift"/>
                <w:rFonts w:ascii="Times New Roman" w:hAnsi="Times New Roman"/>
                <w:b w:val="0"/>
                <w:sz w:val="24"/>
                <w:u w:val="none"/>
              </w:rPr>
              <w:t>swapcia</w:t>
            </w:r>
            <w:proofErr w:type="spellEnd"/>
            <w:r w:rsidRPr="00A72949">
              <w:rPr>
                <w:rStyle w:val="InstructionsTabelleberschrift"/>
                <w:rFonts w:ascii="Times New Roman" w:hAnsi="Times New Roman"/>
                <w:b w:val="0"/>
                <w:sz w:val="24"/>
                <w:u w:val="none"/>
              </w:rPr>
              <w:t xml:space="preserve"> platiteľa); ii) záväzky emitovaných dlhových cenných papierov</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pevnou úrokovou sadzbou</w:t>
            </w:r>
            <w:r w:rsidR="00A72949">
              <w:rPr>
                <w:rStyle w:val="InstructionsTabelleberschrift"/>
                <w:rFonts w:ascii="Times New Roman" w:hAnsi="Times New Roman"/>
                <w:b w:val="0"/>
                <w:sz w:val="24"/>
                <w:u w:val="none"/>
              </w:rPr>
              <w:t xml:space="preserve"> s </w:t>
            </w:r>
            <w:r w:rsidRPr="00A72949">
              <w:rPr>
                <w:rStyle w:val="InstructionsTabelleberschrift"/>
                <w:rFonts w:ascii="Times New Roman" w:hAnsi="Times New Roman"/>
                <w:b w:val="0"/>
                <w:sz w:val="24"/>
                <w:u w:val="none"/>
              </w:rPr>
              <w:t xml:space="preserve">možnosťou predčasného splatenia pre inštitúciu (vložená kúpená </w:t>
            </w:r>
            <w:proofErr w:type="spellStart"/>
            <w:r w:rsidRPr="00A72949">
              <w:rPr>
                <w:rStyle w:val="InstructionsTabelleberschrift"/>
                <w:rFonts w:ascii="Times New Roman" w:hAnsi="Times New Roman"/>
                <w:b w:val="0"/>
                <w:sz w:val="24"/>
                <w:u w:val="none"/>
              </w:rPr>
              <w:t>swapcia</w:t>
            </w:r>
            <w:proofErr w:type="spellEnd"/>
            <w:r w:rsidRPr="00A72949">
              <w:rPr>
                <w:rStyle w:val="InstructionsTabelleberschrift"/>
                <w:rFonts w:ascii="Times New Roman" w:hAnsi="Times New Roman"/>
                <w:b w:val="0"/>
                <w:sz w:val="24"/>
                <w:u w:val="none"/>
              </w:rPr>
              <w:t xml:space="preserve"> príjemcu).</w:t>
            </w:r>
          </w:p>
          <w:p w14:paraId="58096D80" w14:textId="7ED24E06"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xml:space="preserve">Explicitné automatické kúpené opcie sú deriváty, ktoré zahŕňajú: i) explicitné kúpené spodné ohraničenia; ii) explicitné kúpené </w:t>
            </w:r>
            <w:proofErr w:type="spellStart"/>
            <w:r w:rsidRPr="00A72949">
              <w:rPr>
                <w:rStyle w:val="InstructionsTabelleberschrift"/>
                <w:rFonts w:ascii="Times New Roman" w:hAnsi="Times New Roman"/>
                <w:b w:val="0"/>
                <w:sz w:val="24"/>
                <w:u w:val="none"/>
              </w:rPr>
              <w:t>swapcie</w:t>
            </w:r>
            <w:proofErr w:type="spellEnd"/>
            <w:r w:rsidRPr="00A72949">
              <w:rPr>
                <w:rStyle w:val="InstructionsTabelleberschrift"/>
                <w:rFonts w:ascii="Times New Roman" w:hAnsi="Times New Roman"/>
                <w:b w:val="0"/>
                <w:sz w:val="24"/>
                <w:u w:val="none"/>
              </w:rPr>
              <w:t xml:space="preserve"> platiteľov (inštitúcia má právo vstúpiť do úrokového swapu,</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rámci ktorého bude platiť pevnú sadzbu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prijímať variabilnú sadzbu). iii) explicitné kúpené horné ohraničenia; iv) explicitná kúpená </w:t>
            </w:r>
            <w:proofErr w:type="spellStart"/>
            <w:r w:rsidRPr="00A72949">
              <w:rPr>
                <w:rStyle w:val="InstructionsTabelleberschrift"/>
                <w:rFonts w:ascii="Times New Roman" w:hAnsi="Times New Roman"/>
                <w:b w:val="0"/>
                <w:sz w:val="24"/>
                <w:u w:val="none"/>
              </w:rPr>
              <w:t>swapcia</w:t>
            </w:r>
            <w:proofErr w:type="spellEnd"/>
            <w:r w:rsidRPr="00A72949">
              <w:rPr>
                <w:rStyle w:val="InstructionsTabelleberschrift"/>
                <w:rFonts w:ascii="Times New Roman" w:hAnsi="Times New Roman"/>
                <w:b w:val="0"/>
                <w:sz w:val="24"/>
                <w:u w:val="none"/>
              </w:rPr>
              <w:t xml:space="preserve"> príjemcov (inštitúcia má právo vstúpiť do úrokového swapu,</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rámci ktorého bude prijímať pevnú sadzbu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platiť variabilnú sadzbu).</w:t>
            </w:r>
          </w:p>
          <w:p w14:paraId="7CBAA77B" w14:textId="2E058186" w:rsidR="004E6C70" w:rsidRPr="00A72949" w:rsidRDefault="004E6C70" w:rsidP="00E73145">
            <w:pPr>
              <w:pStyle w:val="InstructionsText"/>
              <w:rPr>
                <w:rStyle w:val="InstructionsTabelleberschrift"/>
                <w:rFonts w:ascii="Times New Roman" w:hAnsi="Times New Roman"/>
                <w:sz w:val="24"/>
              </w:rPr>
            </w:pPr>
            <w:r w:rsidRPr="00A72949">
              <w:t>Pokiaľ ide</w:t>
            </w:r>
            <w:r w:rsidR="00A72949">
              <w:t xml:space="preserve"> o </w:t>
            </w:r>
            <w:r w:rsidRPr="00A72949">
              <w:t xml:space="preserve">opcie, inštitúcie pri výpočte percentuálnej expozície náležite </w:t>
            </w:r>
            <w:r w:rsidRPr="00A72949">
              <w:lastRenderedPageBreak/>
              <w:t>zohľadňujú konvencie uvedené</w:t>
            </w:r>
            <w:r w:rsidR="00A72949">
              <w:t xml:space="preserve"> v </w:t>
            </w:r>
            <w:r w:rsidRPr="00A72949">
              <w:t xml:space="preserve">časti I oddiele </w:t>
            </w:r>
            <w:r w:rsidRPr="00A72949">
              <w:fldChar w:fldCharType="begin"/>
            </w:r>
            <w:r w:rsidRPr="00A72949">
              <w:instrText xml:space="preserve"> REF _Ref122265153 \r \h  \* MERGEFORMAT </w:instrText>
            </w:r>
            <w:r w:rsidRPr="00A72949">
              <w:fldChar w:fldCharType="separate"/>
            </w:r>
            <w:r w:rsidRPr="00A72949">
              <w:t>3</w:t>
            </w:r>
            <w:r w:rsidRPr="00A72949">
              <w:fldChar w:fldCharType="end"/>
            </w:r>
            <w:r w:rsidRPr="00A72949">
              <w:t>.</w:t>
            </w:r>
          </w:p>
        </w:tc>
      </w:tr>
      <w:tr w:rsidR="004E6C70" w:rsidRPr="00A72949" w14:paraId="2D990F56" w14:textId="77777777" w:rsidTr="00E73145">
        <w:tc>
          <w:tcPr>
            <w:tcW w:w="1129" w:type="dxa"/>
          </w:tcPr>
          <w:p w14:paraId="72F16037" w14:textId="09B9197D"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0030</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0280</w:t>
            </w:r>
          </w:p>
        </w:tc>
        <w:tc>
          <w:tcPr>
            <w:tcW w:w="7620" w:type="dxa"/>
          </w:tcPr>
          <w:p w14:paraId="31050AED" w14:textId="302DAF2F"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 xml:space="preserve">vloženou alebo explicitnou automatickou </w:t>
            </w:r>
            <w:proofErr w:type="spellStart"/>
            <w:r w:rsidRPr="00A72949">
              <w:rPr>
                <w:rStyle w:val="InstructionsTabelleberschrift"/>
                <w:rFonts w:ascii="Times New Roman" w:hAnsi="Times New Roman"/>
                <w:sz w:val="24"/>
              </w:rPr>
              <w:t>opcionalitou</w:t>
            </w:r>
            <w:proofErr w:type="spellEnd"/>
            <w:r w:rsidRPr="00A72949">
              <w:rPr>
                <w:rStyle w:val="InstructionsTabelleberschrift"/>
                <w:rFonts w:ascii="Times New Roman" w:hAnsi="Times New Roman"/>
                <w:sz w:val="24"/>
              </w:rPr>
              <w:t xml:space="preserve"> – predané</w:t>
            </w:r>
          </w:p>
          <w:p w14:paraId="29810422" w14:textId="240DD06B"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Percentuálny podiel pomyselnej hodnoty vykázanej</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stĺpcoch 0010</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0260, na ktorý sa vzťahujú predané automatické úrokové opcie. </w:t>
            </w:r>
            <w:proofErr w:type="spellStart"/>
            <w:r w:rsidRPr="00A72949">
              <w:rPr>
                <w:rStyle w:val="InstructionsTabelleberschrift"/>
                <w:rFonts w:ascii="Times New Roman" w:hAnsi="Times New Roman"/>
                <w:b w:val="0"/>
                <w:sz w:val="24"/>
                <w:u w:val="none"/>
              </w:rPr>
              <w:t>Opcionalita</w:t>
            </w:r>
            <w:proofErr w:type="spellEnd"/>
            <w:r w:rsidRPr="00A72949">
              <w:rPr>
                <w:rStyle w:val="InstructionsTabelleberschrift"/>
                <w:rFonts w:ascii="Times New Roman" w:hAnsi="Times New Roman"/>
                <w:b w:val="0"/>
                <w:sz w:val="24"/>
                <w:u w:val="none"/>
              </w:rPr>
              <w:t xml:space="preserve"> môže vyplynúť zo samostatných nástrojov, ktoré inštitúcia predala (vrátane </w:t>
            </w:r>
            <w:r w:rsidRPr="00A72949">
              <w:rPr>
                <w:rStyle w:val="InstructionsTabelleberschrift"/>
                <w:rFonts w:ascii="Times New Roman" w:hAnsi="Times New Roman"/>
                <w:b w:val="0"/>
                <w:i/>
                <w:sz w:val="24"/>
                <w:u w:val="none"/>
              </w:rPr>
              <w:t>spodných ohraničení, horných ohraničení</w:t>
            </w:r>
            <w:r w:rsidR="00A72949">
              <w:rPr>
                <w:rStyle w:val="InstructionsTabelleberschrift"/>
                <w:rFonts w:ascii="Times New Roman" w:hAnsi="Times New Roman"/>
                <w:b w:val="0"/>
                <w:sz w:val="24"/>
                <w:u w:val="none"/>
              </w:rPr>
              <w:t xml:space="preserve"> a </w:t>
            </w:r>
            <w:proofErr w:type="spellStart"/>
            <w:r w:rsidRPr="00A72949">
              <w:rPr>
                <w:rStyle w:val="InstructionsTabelleberschrift"/>
                <w:rFonts w:ascii="Times New Roman" w:hAnsi="Times New Roman"/>
                <w:b w:val="0"/>
                <w:i/>
                <w:sz w:val="24"/>
                <w:u w:val="none"/>
              </w:rPr>
              <w:t>swapcií</w:t>
            </w:r>
            <w:proofErr w:type="spellEnd"/>
            <w:r w:rsidRPr="00A72949">
              <w:rPr>
                <w:rStyle w:val="InstructionsTabelleberschrift"/>
                <w:rFonts w:ascii="Times New Roman" w:hAnsi="Times New Roman"/>
                <w:b w:val="0"/>
                <w:sz w:val="24"/>
                <w:u w:val="none"/>
              </w:rPr>
              <w:t>), alebo môže byť „vložená“</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zmluvných podmienkach iných štandardných bankových produktov.</w:t>
            </w:r>
          </w:p>
          <w:p w14:paraId="5588649E" w14:textId="7F9BD3FE" w:rsidR="004E6C70" w:rsidRPr="00A72949" w:rsidRDefault="004E6C70" w:rsidP="00E73145">
            <w:pPr>
              <w:suppressAutoHyphens/>
              <w:spacing w:after="118" w:line="244" w:lineRule="auto"/>
              <w:ind w:right="82"/>
              <w:rPr>
                <w:rStyle w:val="InstructionsTabelleberschrift"/>
                <w:rFonts w:ascii="Times New Roman" w:hAnsi="Times New Roman"/>
                <w:b w:val="0"/>
                <w:bCs w:val="0"/>
                <w:sz w:val="24"/>
                <w:u w:val="none"/>
              </w:rPr>
            </w:pPr>
            <w:r w:rsidRPr="00A72949">
              <w:rPr>
                <w:rFonts w:ascii="Times New Roman" w:hAnsi="Times New Roman"/>
                <w:sz w:val="24"/>
              </w:rPr>
              <w:t>Vložené automatické úrokové opcie sa vykazujú spolu</w:t>
            </w:r>
            <w:r w:rsidR="00A72949">
              <w:rPr>
                <w:rFonts w:ascii="Times New Roman" w:hAnsi="Times New Roman"/>
                <w:sz w:val="24"/>
              </w:rPr>
              <w:t xml:space="preserve"> s </w:t>
            </w:r>
            <w:r w:rsidRPr="00A72949">
              <w:rPr>
                <w:rFonts w:ascii="Times New Roman" w:hAnsi="Times New Roman"/>
                <w:sz w:val="24"/>
              </w:rPr>
              <w:t>príslušným hostiteľským nástrojom (či už ide</w:t>
            </w:r>
            <w:r w:rsidR="00A72949">
              <w:rPr>
                <w:rFonts w:ascii="Times New Roman" w:hAnsi="Times New Roman"/>
                <w:sz w:val="24"/>
              </w:rPr>
              <w:t xml:space="preserve"> o </w:t>
            </w:r>
            <w:r w:rsidRPr="00A72949">
              <w:rPr>
                <w:rFonts w:ascii="Times New Roman" w:hAnsi="Times New Roman"/>
                <w:sz w:val="24"/>
              </w:rPr>
              <w:t>aktívum alebo záväzok). Explicitné automatické úrokové opcie sa vykazujú ako derivátové nástroje.</w:t>
            </w:r>
          </w:p>
          <w:p w14:paraId="31897C6B" w14:textId="6D9DB8AD" w:rsidR="00A72949" w:rsidRDefault="004E6C70" w:rsidP="00E73145">
            <w:pPr>
              <w:pStyle w:val="InstructionsText"/>
            </w:pPr>
            <w:r w:rsidRPr="00A72949">
              <w:t>Vložené automatické predané úrokové opcie zahŕňajú</w:t>
            </w:r>
            <w:r w:rsidR="00A72949">
              <w:t xml:space="preserve"> v </w:t>
            </w:r>
            <w:r w:rsidRPr="00A72949">
              <w:t>prípade pozícií</w:t>
            </w:r>
            <w:r w:rsidR="00A72949">
              <w:t xml:space="preserve"> s </w:t>
            </w:r>
            <w:r w:rsidRPr="00A72949">
              <w:t>pohyblivou úrokovou sadzbou: i) predané horné ohraničenia nad aktívami</w:t>
            </w:r>
            <w:r w:rsidR="00A72949">
              <w:t xml:space="preserve"> s </w:t>
            </w:r>
            <w:r w:rsidRPr="00A72949">
              <w:t>pohyblivou úrokovou sadzbou (úvery</w:t>
            </w:r>
            <w:r w:rsidR="00A72949">
              <w:t xml:space="preserve"> a </w:t>
            </w:r>
            <w:r w:rsidRPr="00A72949">
              <w:t>dlhové cenné papiere); ii) predané spodné ohraničenia nad emitovanými dlhovými cennými papiermi</w:t>
            </w:r>
            <w:r w:rsidR="00A72949">
              <w:t xml:space="preserve"> s </w:t>
            </w:r>
            <w:r w:rsidRPr="00A72949">
              <w:t>pohyblivou úrokovou sadzbou atď</w:t>
            </w:r>
            <w:r w:rsidR="00A72949">
              <w:t>.</w:t>
            </w:r>
          </w:p>
          <w:p w14:paraId="592746A4" w14:textId="3CA110D1" w:rsidR="004E6C70" w:rsidRPr="00A72949" w:rsidRDefault="004E6C70" w:rsidP="00E73145">
            <w:pPr>
              <w:pStyle w:val="InstructionsText"/>
            </w:pPr>
            <w:r w:rsidRPr="00A72949">
              <w:t>V prípade pozícií</w:t>
            </w:r>
            <w:r w:rsidR="00A72949">
              <w:t xml:space="preserve"> s </w:t>
            </w:r>
            <w:r w:rsidRPr="00A72949">
              <w:t>pevnou úrokovou sadzbou vložené automatické predané úrokové opcie zahŕňajú: i) dlhové cenné papiere</w:t>
            </w:r>
            <w:r w:rsidR="00A72949">
              <w:t xml:space="preserve"> s </w:t>
            </w:r>
            <w:r w:rsidRPr="00A72949">
              <w:t>pevnou úrokovou sadzbou</w:t>
            </w:r>
            <w:r w:rsidR="00A72949">
              <w:t xml:space="preserve"> s </w:t>
            </w:r>
            <w:r w:rsidRPr="00A72949">
              <w:t xml:space="preserve">možnosťou predčasného splatenia pre emitenta (vložená predaná </w:t>
            </w:r>
            <w:proofErr w:type="spellStart"/>
            <w:r w:rsidRPr="00A72949">
              <w:t>swapcia</w:t>
            </w:r>
            <w:proofErr w:type="spellEnd"/>
            <w:r w:rsidRPr="00A72949">
              <w:t xml:space="preserve"> príjemcu); ii) predané spodné ohraničenia pre NMD</w:t>
            </w:r>
            <w:r w:rsidR="00A72949">
              <w:t xml:space="preserve"> a </w:t>
            </w:r>
            <w:r w:rsidRPr="00A72949">
              <w:t>termínované vklady vrátane zákonných</w:t>
            </w:r>
            <w:r w:rsidR="00A72949">
              <w:t xml:space="preserve"> a </w:t>
            </w:r>
            <w:r w:rsidRPr="00A72949">
              <w:t>implikovaných spodných ohraničení</w:t>
            </w:r>
            <w:r w:rsidR="00A72949">
              <w:t xml:space="preserve"> a </w:t>
            </w:r>
            <w:r w:rsidRPr="00A72949">
              <w:t>iii) dlhové cenné papiere</w:t>
            </w:r>
            <w:r w:rsidR="00A72949">
              <w:t xml:space="preserve"> s </w:t>
            </w:r>
            <w:r w:rsidRPr="00A72949">
              <w:t>pevnou úrokovou sadzbou emitované</w:t>
            </w:r>
            <w:r w:rsidR="00A72949">
              <w:t xml:space="preserve"> s </w:t>
            </w:r>
            <w:r w:rsidRPr="00A72949">
              <w:t xml:space="preserve">možnosťou predčasného splatenia pre investora (vložená predaná </w:t>
            </w:r>
            <w:proofErr w:type="spellStart"/>
            <w:r w:rsidRPr="00A72949">
              <w:t>swapcia</w:t>
            </w:r>
            <w:proofErr w:type="spellEnd"/>
            <w:r w:rsidRPr="00A72949">
              <w:t xml:space="preserve"> platiteľa).</w:t>
            </w:r>
          </w:p>
          <w:p w14:paraId="52CDEE4C" w14:textId="42C9537B"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xml:space="preserve">Explicitné automatické predané opcie sú deriváty, ktoré zahŕňajú i) explicitné predané horné ohraničenia; ii) explicitné predané </w:t>
            </w:r>
            <w:proofErr w:type="spellStart"/>
            <w:r w:rsidRPr="00A72949">
              <w:rPr>
                <w:rStyle w:val="InstructionsTabelleberschrift"/>
                <w:rFonts w:ascii="Times New Roman" w:hAnsi="Times New Roman"/>
                <w:b w:val="0"/>
                <w:sz w:val="24"/>
                <w:u w:val="none"/>
              </w:rPr>
              <w:t>swapcie</w:t>
            </w:r>
            <w:proofErr w:type="spellEnd"/>
            <w:r w:rsidRPr="00A72949">
              <w:rPr>
                <w:rStyle w:val="InstructionsTabelleberschrift"/>
                <w:rFonts w:ascii="Times New Roman" w:hAnsi="Times New Roman"/>
                <w:b w:val="0"/>
                <w:sz w:val="24"/>
                <w:u w:val="none"/>
              </w:rPr>
              <w:t xml:space="preserve"> príjemcov (inštitúcia má povinnosť vstúpiť do úrokových swapov,</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rámci ktorých bude platiť pevnú sadzbu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 xml:space="preserve">prijímať variabilnú sadzbu). iii) explicitné predané spodné ohraničenia; iv) explicitné predané </w:t>
            </w:r>
            <w:proofErr w:type="spellStart"/>
            <w:r w:rsidRPr="00A72949">
              <w:rPr>
                <w:rStyle w:val="InstructionsTabelleberschrift"/>
                <w:rFonts w:ascii="Times New Roman" w:hAnsi="Times New Roman"/>
                <w:b w:val="0"/>
                <w:sz w:val="24"/>
                <w:u w:val="none"/>
              </w:rPr>
              <w:t>swapcie</w:t>
            </w:r>
            <w:proofErr w:type="spellEnd"/>
            <w:r w:rsidRPr="00A72949">
              <w:rPr>
                <w:rStyle w:val="InstructionsTabelleberschrift"/>
                <w:rFonts w:ascii="Times New Roman" w:hAnsi="Times New Roman"/>
                <w:b w:val="0"/>
                <w:sz w:val="24"/>
                <w:u w:val="none"/>
              </w:rPr>
              <w:t xml:space="preserve"> platiteľov (inštitúcia má povinnosť vstúpiť do úrokových swapov,</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rámci ktorých bude prijímať pevnú sadzbu</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platiť variabilnú sadzbu).</w:t>
            </w:r>
          </w:p>
          <w:p w14:paraId="413BC8F4" w14:textId="52F8FE4D" w:rsidR="004E6C70" w:rsidRPr="00A72949" w:rsidRDefault="004E6C70" w:rsidP="00E73145">
            <w:pPr>
              <w:pStyle w:val="InstructionsText"/>
              <w:rPr>
                <w:rStyle w:val="InstructionsTabelleberschrift"/>
                <w:rFonts w:ascii="Times New Roman" w:hAnsi="Times New Roman"/>
                <w:sz w:val="24"/>
              </w:rPr>
            </w:pPr>
            <w:r w:rsidRPr="00A72949">
              <w:t>Pokiaľ ide</w:t>
            </w:r>
            <w:r w:rsidR="00A72949">
              <w:t xml:space="preserve"> o </w:t>
            </w:r>
            <w:r w:rsidRPr="00A72949">
              <w:t>opcie, inštitúcie pri výpočte percentuálnej sumy náležite zohľadňujú konvencie uvedené</w:t>
            </w:r>
            <w:r w:rsidR="00A72949">
              <w:t xml:space="preserve"> v </w:t>
            </w:r>
            <w:r w:rsidRPr="00A72949">
              <w:t xml:space="preserve">časti I oddiele </w:t>
            </w:r>
            <w:r w:rsidRPr="00A72949">
              <w:fldChar w:fldCharType="begin"/>
            </w:r>
            <w:r w:rsidRPr="00A72949">
              <w:instrText xml:space="preserve"> REF _Ref122265153 \r \h  \* MERGEFORMAT </w:instrText>
            </w:r>
            <w:r w:rsidRPr="00A72949">
              <w:fldChar w:fldCharType="separate"/>
            </w:r>
            <w:r w:rsidRPr="00A72949">
              <w:t>3</w:t>
            </w:r>
            <w:r w:rsidRPr="00A72949">
              <w:fldChar w:fldCharType="end"/>
            </w:r>
            <w:r w:rsidRPr="00A72949">
              <w:t>.</w:t>
            </w:r>
          </w:p>
        </w:tc>
      </w:tr>
      <w:tr w:rsidR="004E6C70" w:rsidRPr="00A72949" w14:paraId="6F388C9E" w14:textId="77777777" w:rsidTr="00E73145">
        <w:tc>
          <w:tcPr>
            <w:tcW w:w="1129" w:type="dxa"/>
          </w:tcPr>
          <w:p w14:paraId="63EE0FC9" w14:textId="192E1D5D"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0040</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0290</w:t>
            </w:r>
          </w:p>
        </w:tc>
        <w:tc>
          <w:tcPr>
            <w:tcW w:w="7620" w:type="dxa"/>
          </w:tcPr>
          <w:p w14:paraId="3EE07F0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 podliehajúce behaviorálnemu modelovaniu</w:t>
            </w:r>
          </w:p>
          <w:p w14:paraId="4576877C" w14:textId="5D6862EE"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Percentuálny podiel pomyselnej hodnoty vykázanej</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stĺpcoch 0010</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0260, ktorá podlieha behaviorálnemu modelovaniu, pri ktorom načasovanie alebo výška peňažných tokov závisí od správania klientov.</w:t>
            </w:r>
          </w:p>
        </w:tc>
      </w:tr>
      <w:tr w:rsidR="004E6C70" w:rsidRPr="00A72949" w14:paraId="156C786C" w14:textId="77777777" w:rsidTr="00E73145">
        <w:tc>
          <w:tcPr>
            <w:tcW w:w="1129" w:type="dxa"/>
          </w:tcPr>
          <w:p w14:paraId="67776ACE" w14:textId="375F81F6"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0050</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0300</w:t>
            </w:r>
          </w:p>
        </w:tc>
        <w:tc>
          <w:tcPr>
            <w:tcW w:w="7620" w:type="dxa"/>
          </w:tcPr>
          <w:p w14:paraId="6B493FC5"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Vážený priemerný výnos</w:t>
            </w:r>
          </w:p>
          <w:p w14:paraId="742047B9"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Priemerný výnos na ročnom základe vážený pomyselnou hodnotou.</w:t>
            </w:r>
          </w:p>
        </w:tc>
      </w:tr>
      <w:tr w:rsidR="004E6C70" w:rsidRPr="00A72949" w14:paraId="3F9E1C53" w14:textId="77777777" w:rsidTr="00E73145">
        <w:tc>
          <w:tcPr>
            <w:tcW w:w="1129" w:type="dxa"/>
          </w:tcPr>
          <w:p w14:paraId="7D549694" w14:textId="16A1BCC9"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0060</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0310</w:t>
            </w:r>
          </w:p>
        </w:tc>
        <w:tc>
          <w:tcPr>
            <w:tcW w:w="7620" w:type="dxa"/>
          </w:tcPr>
          <w:p w14:paraId="3121B9A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Vážená priemerná splatnosť (zmluvná)</w:t>
            </w:r>
          </w:p>
          <w:p w14:paraId="75DD233F" w14:textId="58C95809"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Priemerná zmluvná splatnosť meraná</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rokoch vážená pomyselnou hodnotou.</w:t>
            </w:r>
          </w:p>
        </w:tc>
      </w:tr>
      <w:tr w:rsidR="004E6C70" w:rsidRPr="00A72949" w14:paraId="085503AE" w14:textId="77777777" w:rsidTr="00E73145">
        <w:tc>
          <w:tcPr>
            <w:tcW w:w="1129" w:type="dxa"/>
          </w:tcPr>
          <w:p w14:paraId="2FB1807C" w14:textId="4674965E"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0070 – 0250</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 xml:space="preserve">0320 – </w:t>
            </w:r>
            <w:r w:rsidRPr="00A72949">
              <w:rPr>
                <w:rStyle w:val="FormatvorlageInstructionsTabelleText"/>
                <w:rFonts w:ascii="Times New Roman" w:hAnsi="Times New Roman"/>
                <w:sz w:val="24"/>
              </w:rPr>
              <w:lastRenderedPageBreak/>
              <w:t>0390</w:t>
            </w:r>
          </w:p>
        </w:tc>
        <w:tc>
          <w:tcPr>
            <w:tcW w:w="7620" w:type="dxa"/>
          </w:tcPr>
          <w:p w14:paraId="479AD0D7" w14:textId="223F1A19"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lastRenderedPageBreak/>
              <w:t>Harmonogram preceňovania pre všetky pomyselné peňažné toky</w:t>
            </w:r>
            <w:r w:rsidR="00A72949">
              <w:rPr>
                <w:rStyle w:val="InstructionsTabelleberschrift"/>
                <w:rFonts w:ascii="Times New Roman" w:hAnsi="Times New Roman"/>
                <w:sz w:val="24"/>
              </w:rPr>
              <w:t xml:space="preserve"> z </w:t>
            </w:r>
            <w:r w:rsidRPr="00A72949">
              <w:rPr>
                <w:rStyle w:val="InstructionsTabelleberschrift"/>
                <w:rFonts w:ascii="Times New Roman" w:hAnsi="Times New Roman"/>
                <w:sz w:val="24"/>
              </w:rPr>
              <w:t>precenenia</w:t>
            </w:r>
          </w:p>
          <w:p w14:paraId="194AA000" w14:textId="379C9FC1" w:rsidR="004E6C70" w:rsidRPr="00A72949" w:rsidRDefault="004E6C70" w:rsidP="00E73145">
            <w:pPr>
              <w:pStyle w:val="InstructionsText"/>
            </w:pPr>
            <w:r w:rsidRPr="00A72949">
              <w:lastRenderedPageBreak/>
              <w:t>Inštitúcie vykazujú všetky budúce pomyselné peňažné toky</w:t>
            </w:r>
            <w:r w:rsidR="00A72949">
              <w:t xml:space="preserve"> z </w:t>
            </w:r>
            <w:r w:rsidRPr="00A72949">
              <w:t>precenenia vyplývajúce</w:t>
            </w:r>
            <w:r w:rsidR="00A72949">
              <w:t xml:space="preserve"> z </w:t>
            </w:r>
            <w:r w:rsidRPr="00A72949">
              <w:t>pozícií citlivých na úrokové sadzby</w:t>
            </w:r>
            <w:r w:rsidR="00A72949">
              <w:t xml:space="preserve"> v </w:t>
            </w:r>
            <w:r w:rsidRPr="00A72949">
              <w:t xml:space="preserve">rozsahu pôsobnosti </w:t>
            </w:r>
            <w:r w:rsidRPr="00A72949">
              <w:rPr>
                <w:rStyle w:val="InstructionsTabelleberschrift"/>
                <w:rFonts w:ascii="Times New Roman" w:hAnsi="Times New Roman"/>
                <w:b w:val="0"/>
                <w:sz w:val="24"/>
                <w:u w:val="none"/>
              </w:rPr>
              <w:t>delegovaného nariadenia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SOT</w:t>
            </w:r>
            <w:r w:rsidRPr="00A72949">
              <w:t xml:space="preserve">) do vopred vymedzených časových skupín (do ktorých patria podľa ich dátumov precenenia). </w:t>
            </w:r>
            <w:r w:rsidRPr="00A72949">
              <w:rPr>
                <w:rStyle w:val="FormatvorlageInstructionsTabelleText"/>
                <w:rFonts w:ascii="Times New Roman" w:hAnsi="Times New Roman"/>
                <w:sz w:val="24"/>
              </w:rPr>
              <w:t>[vymedzenie pojmov „pomyselné peňažné toky</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„dátum precenenia“, ako sa stanovuje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1 bodoch 1</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2</w:t>
            </w:r>
            <w:r w:rsidRPr="00A72949">
              <w:t xml:space="preserve"> delegovaného nariadenia (EÚ) .../... (Úrad pre publikácie: doplňte odkaz na regulačné technické predpisy</w:t>
            </w:r>
            <w:r w:rsidR="00A72949">
              <w:t xml:space="preserve"> o </w:t>
            </w:r>
            <w:r w:rsidRPr="00A72949">
              <w:t>SA)]</w:t>
            </w:r>
            <w:r w:rsidRPr="00A72949">
              <w:rPr>
                <w:rStyle w:val="FormatvorlageInstructionsTabelleText"/>
                <w:rFonts w:ascii="Times New Roman" w:hAnsi="Times New Roman"/>
                <w:sz w:val="24"/>
              </w:rPr>
              <w:t>.</w:t>
            </w:r>
          </w:p>
          <w:p w14:paraId="5EE8D5F2" w14:textId="16292AA6" w:rsidR="004E6C70" w:rsidRPr="00A72949" w:rsidRDefault="004E6C70" w:rsidP="00E73145">
            <w:pPr>
              <w:pStyle w:val="InstructionsText"/>
            </w:pPr>
            <w:r w:rsidRPr="00A72949">
              <w:t>Automatické úrokové opcie bez ohľadu na to, či sú explicitné alebo vložené, sa odoberú</w:t>
            </w:r>
            <w:r w:rsidR="00A72949">
              <w:t xml:space="preserve"> z </w:t>
            </w:r>
            <w:r w:rsidRPr="00A72949">
              <w:t>ich hostiteľských zmlúv</w:t>
            </w:r>
            <w:r w:rsidR="00A72949">
              <w:t xml:space="preserve"> a </w:t>
            </w:r>
            <w:r w:rsidRPr="00A72949">
              <w:t>nezohľadňujú sa pri zaraďovaní pomyselných peňažných tokov</w:t>
            </w:r>
            <w:r w:rsidR="00A72949">
              <w:t xml:space="preserve"> z </w:t>
            </w:r>
            <w:r w:rsidRPr="00A72949">
              <w:t>precenenia.</w:t>
            </w:r>
          </w:p>
          <w:p w14:paraId="272C53BD" w14:textId="5BDE914C" w:rsidR="00A72949" w:rsidRDefault="004E6C70" w:rsidP="00E73145">
            <w:pPr>
              <w:pStyle w:val="InstructionsText"/>
            </w:pPr>
            <w:r w:rsidRPr="00A72949">
              <w:t>Deriváty, ktoré nie sú automatickými úrokovými opciami, sa konvertujú na pozície</w:t>
            </w:r>
            <w:r w:rsidR="00A72949">
              <w:t xml:space="preserve"> v </w:t>
            </w:r>
            <w:r w:rsidRPr="00A72949">
              <w:t>príslušnom podkladovom nástroji</w:t>
            </w:r>
            <w:r w:rsidR="00A72949">
              <w:t xml:space="preserve"> a </w:t>
            </w:r>
            <w:r w:rsidRPr="00A72949">
              <w:t>rozdelia sa na pozície platiteľa</w:t>
            </w:r>
            <w:r w:rsidR="00A72949">
              <w:t xml:space="preserve"> a </w:t>
            </w:r>
            <w:r w:rsidRPr="00A72949">
              <w:t>príjemcu (krátke</w:t>
            </w:r>
            <w:r w:rsidR="00A72949">
              <w:t xml:space="preserve"> a </w:t>
            </w:r>
            <w:r w:rsidRPr="00A72949">
              <w:t>dlhé pozície)</w:t>
            </w:r>
            <w:r w:rsidR="00A72949">
              <w:t xml:space="preserve"> v </w:t>
            </w:r>
            <w:r w:rsidRPr="00A72949">
              <w:t xml:space="preserve">príslušnom podkladovom nástroji. Hodnotami, ktoré sa zohľadňujú, sú hodnoty istiny podkladového aktíva alebo pomyselného podkladového aktíva. </w:t>
            </w:r>
            <w:proofErr w:type="spellStart"/>
            <w:r w:rsidRPr="00A72949">
              <w:t>Futures</w:t>
            </w:r>
            <w:proofErr w:type="spellEnd"/>
            <w:r w:rsidR="00A72949">
              <w:t xml:space="preserve"> a </w:t>
            </w:r>
            <w:proofErr w:type="spellStart"/>
            <w:r w:rsidRPr="00A72949">
              <w:t>forwardové</w:t>
            </w:r>
            <w:proofErr w:type="spellEnd"/>
            <w:r w:rsidRPr="00A72949">
              <w:t xml:space="preserve"> zmluvy vrátane dohôd</w:t>
            </w:r>
            <w:r w:rsidR="00A72949">
              <w:t xml:space="preserve"> o </w:t>
            </w:r>
            <w:proofErr w:type="spellStart"/>
            <w:r w:rsidRPr="00A72949">
              <w:t>forwardovej</w:t>
            </w:r>
            <w:proofErr w:type="spellEnd"/>
            <w:r w:rsidRPr="00A72949">
              <w:t xml:space="preserve"> úrokovej miere sa považujú za kombináciu krátkych</w:t>
            </w:r>
            <w:r w:rsidR="00A72949">
              <w:t xml:space="preserve"> a </w:t>
            </w:r>
            <w:r w:rsidRPr="00A72949">
              <w:t>dlhých pozícií</w:t>
            </w:r>
            <w:r w:rsidR="00A72949">
              <w:t>.</w:t>
            </w:r>
          </w:p>
          <w:p w14:paraId="1FDD500F" w14:textId="682B7E02" w:rsidR="004E6C70" w:rsidRPr="00A72949" w:rsidRDefault="004E6C70" w:rsidP="00E73145">
            <w:pPr>
              <w:pStyle w:val="InstructionsText"/>
              <w:rPr>
                <w:rStyle w:val="InstructionsTabelleberschrift"/>
                <w:rFonts w:ascii="Times New Roman" w:hAnsi="Times New Roman"/>
                <w:b w:val="0"/>
                <w:u w:val="none"/>
              </w:rPr>
            </w:pPr>
            <w:r w:rsidRPr="00A72949">
              <w:t>Pokiaľ ide</w:t>
            </w:r>
            <w:r w:rsidR="00A72949">
              <w:t xml:space="preserve"> o </w:t>
            </w:r>
            <w:r w:rsidRPr="00A72949">
              <w:t>deriváty, keď inštitúcie prezentujú peňažné toky</w:t>
            </w:r>
            <w:r w:rsidR="00A72949">
              <w:t xml:space="preserve"> z </w:t>
            </w:r>
            <w:r w:rsidRPr="00A72949">
              <w:t xml:space="preserve">precenenia derivátov, ktoré nie sú automatickými úrokovými opciami, </w:t>
            </w:r>
            <w:r w:rsidRPr="00A72949">
              <w:fldChar w:fldCharType="begin"/>
            </w:r>
            <w:r w:rsidRPr="00A72949">
              <w:instrText xml:space="preserve"> REF _Ref140654581 \r \h  \* MERGEFORMAT </w:instrText>
            </w:r>
            <w:r w:rsidRPr="00A72949">
              <w:fldChar w:fldCharType="separate"/>
            </w:r>
            <w:r w:rsidRPr="00A72949">
              <w:t>24</w:t>
            </w:r>
            <w:r w:rsidRPr="00A72949">
              <w:fldChar w:fldCharType="end"/>
            </w:r>
            <w:r w:rsidRPr="00A72949">
              <w:t>náležite zohľadňujú konvencie uvedené</w:t>
            </w:r>
            <w:r w:rsidR="00A72949">
              <w:t xml:space="preserve"> v </w:t>
            </w:r>
            <w:r w:rsidRPr="00A72949">
              <w:t>odseku .</w:t>
            </w:r>
          </w:p>
        </w:tc>
      </w:tr>
    </w:tbl>
    <w:p w14:paraId="407ACE7A" w14:textId="77777777" w:rsidR="004E6C70" w:rsidRPr="00A72949" w:rsidRDefault="004E6C70" w:rsidP="004E6C70">
      <w:pPr>
        <w:suppressAutoHyphens/>
        <w:spacing w:after="0"/>
        <w:rPr>
          <w:rStyle w:val="InstructionsTabelleText"/>
          <w:rFonts w:ascii="Times New Roman" w:hAnsi="Times New Roman"/>
          <w:sz w:val="24"/>
        </w:rPr>
      </w:pPr>
    </w:p>
    <w:p w14:paraId="424FF4DD" w14:textId="77777777" w:rsidR="004E6C70" w:rsidRPr="00A72949" w:rsidRDefault="004E6C70" w:rsidP="004E6C70">
      <w:pPr>
        <w:suppressAutoHyphens/>
        <w:spacing w:before="0" w:after="0"/>
        <w:jc w:val="left"/>
        <w:rPr>
          <w:rStyle w:val="InstructionsTabelleText"/>
          <w:rFonts w:ascii="Times New Roman" w:hAnsi="Times New Roman"/>
          <w:sz w:val="24"/>
        </w:rPr>
      </w:pPr>
    </w:p>
    <w:p w14:paraId="10719443" w14:textId="77777777" w:rsidR="004E6C70" w:rsidRPr="00A72949" w:rsidRDefault="004E6C70" w:rsidP="004E6C70">
      <w:pPr>
        <w:suppressAutoHyphens/>
        <w:spacing w:before="0" w:after="0"/>
        <w:jc w:val="left"/>
        <w:rPr>
          <w:rFonts w:ascii="Times New Roman" w:eastAsia="Arial" w:hAnsi="Times New Roman"/>
          <w:b/>
          <w:sz w:val="24"/>
        </w:rPr>
      </w:pPr>
      <w:r w:rsidRPr="00A72949">
        <w:br w:type="page"/>
      </w:r>
    </w:p>
    <w:p w14:paraId="705176E0" w14:textId="3136A7E0" w:rsidR="004E6C70" w:rsidRPr="00A72949" w:rsidRDefault="004E6C70" w:rsidP="004E6C70">
      <w:pPr>
        <w:pStyle w:val="Heading2"/>
        <w:suppressAutoHyphens/>
      </w:pPr>
      <w:bookmarkStart w:id="54" w:name="_Toc188859508"/>
      <w:r w:rsidRPr="00A72949">
        <w:lastRenderedPageBreak/>
        <w:t>ČASŤ V: RELEVANTNÉ PARAMETRE (J 08.00</w:t>
      </w:r>
      <w:r w:rsidR="00A72949">
        <w:t xml:space="preserve"> a </w:t>
      </w:r>
      <w:r w:rsidRPr="00A72949">
        <w:t>J 09.00)</w:t>
      </w:r>
      <w:bookmarkEnd w:id="54"/>
    </w:p>
    <w:p w14:paraId="004A537C"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55" w:name="_Toc188859509"/>
      <w:r w:rsidRPr="00A72949">
        <w:rPr>
          <w:b/>
          <w:sz w:val="24"/>
        </w:rPr>
        <w:t>1.</w:t>
      </w:r>
      <w:r w:rsidRPr="00A72949">
        <w:tab/>
      </w:r>
      <w:r w:rsidRPr="00A72949">
        <w:rPr>
          <w:b/>
          <w:sz w:val="24"/>
        </w:rPr>
        <w:t>Všeobecné poznámky</w:t>
      </w:r>
      <w:bookmarkEnd w:id="55"/>
    </w:p>
    <w:p w14:paraId="3E7162EF" w14:textId="66813847"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1.1.</w:t>
      </w:r>
      <w:r w:rsidRPr="00A72949">
        <w:tab/>
      </w:r>
      <w:r w:rsidRPr="00A72949">
        <w:rPr>
          <w:rFonts w:ascii="Times New Roman" w:hAnsi="Times New Roman"/>
          <w:sz w:val="24"/>
        </w:rPr>
        <w:t>Vzory J 08.00</w:t>
      </w:r>
      <w:r w:rsidR="00A72949">
        <w:rPr>
          <w:rFonts w:ascii="Times New Roman" w:hAnsi="Times New Roman"/>
          <w:sz w:val="24"/>
        </w:rPr>
        <w:t xml:space="preserve"> a </w:t>
      </w:r>
      <w:r w:rsidRPr="00A72949">
        <w:rPr>
          <w:rFonts w:ascii="Times New Roman" w:hAnsi="Times New Roman"/>
          <w:sz w:val="24"/>
        </w:rPr>
        <w:t>J 09.00 obsahujú informácie</w:t>
      </w:r>
      <w:r w:rsidR="00A72949">
        <w:rPr>
          <w:rFonts w:ascii="Times New Roman" w:hAnsi="Times New Roman"/>
          <w:sz w:val="24"/>
        </w:rPr>
        <w:t xml:space="preserve"> o </w:t>
      </w:r>
      <w:r w:rsidRPr="00A72949">
        <w:rPr>
          <w:rFonts w:ascii="Times New Roman" w:hAnsi="Times New Roman"/>
          <w:sz w:val="24"/>
        </w:rPr>
        <w:t>relevantných parametroch na monitorovanie modelovania IRRBB. Väčšina informácií</w:t>
      </w:r>
      <w:r w:rsidR="00A72949">
        <w:rPr>
          <w:rFonts w:ascii="Times New Roman" w:hAnsi="Times New Roman"/>
          <w:sz w:val="24"/>
        </w:rPr>
        <w:t xml:space="preserve"> v </w:t>
      </w:r>
      <w:r w:rsidRPr="00A72949">
        <w:rPr>
          <w:rFonts w:ascii="Times New Roman" w:hAnsi="Times New Roman"/>
          <w:sz w:val="24"/>
        </w:rPr>
        <w:t>tomto vzore sa odvodzuje od informácií vykázaných vo vzoroch J 02.00 až J 07.00. Informácie sa vykazujú</w:t>
      </w:r>
      <w:r w:rsidR="00A72949">
        <w:rPr>
          <w:rFonts w:ascii="Times New Roman" w:hAnsi="Times New Roman"/>
          <w:sz w:val="24"/>
        </w:rPr>
        <w:t xml:space="preserve"> z </w:t>
      </w:r>
      <w:r w:rsidRPr="00A72949">
        <w:rPr>
          <w:rFonts w:ascii="Times New Roman" w:hAnsi="Times New Roman"/>
          <w:sz w:val="24"/>
        </w:rPr>
        <w:t>perspektívy EVE vrátane požiadaviek</w:t>
      </w:r>
      <w:r w:rsidR="00A72949">
        <w:rPr>
          <w:rFonts w:ascii="Times New Roman" w:hAnsi="Times New Roman"/>
          <w:sz w:val="24"/>
        </w:rPr>
        <w:t xml:space="preserve"> a </w:t>
      </w:r>
      <w:r w:rsidRPr="00A72949">
        <w:rPr>
          <w:rFonts w:ascii="Times New Roman" w:hAnsi="Times New Roman"/>
          <w:sz w:val="24"/>
        </w:rPr>
        <w:t>predpokladov modelovania uvedených</w:t>
      </w:r>
      <w:r w:rsidR="00A72949">
        <w:rPr>
          <w:rFonts w:ascii="Times New Roman" w:hAnsi="Times New Roman"/>
          <w:sz w:val="24"/>
        </w:rPr>
        <w:t xml:space="preserve"> v </w:t>
      </w:r>
      <w:r w:rsidRPr="00A72949">
        <w:rPr>
          <w:rFonts w:ascii="Times New Roman" w:hAnsi="Times New Roman"/>
          <w:sz w:val="24"/>
        </w:rPr>
        <w:t>článku 3 delegovaného nariadenia (EÚ) .../... (Úrad pre publikácie: doplňte odkaz na regulačné technické predpisy</w:t>
      </w:r>
      <w:r w:rsidR="00A72949">
        <w:rPr>
          <w:rFonts w:ascii="Times New Roman" w:hAnsi="Times New Roman"/>
          <w:sz w:val="24"/>
        </w:rPr>
        <w:t xml:space="preserve"> o </w:t>
      </w:r>
      <w:r w:rsidRPr="00A72949">
        <w:rPr>
          <w:rFonts w:ascii="Times New Roman" w:hAnsi="Times New Roman"/>
          <w:sz w:val="24"/>
        </w:rPr>
        <w:t>SOT)</w:t>
      </w:r>
      <w:r w:rsidR="00A72949">
        <w:rPr>
          <w:rFonts w:ascii="Times New Roman" w:hAnsi="Times New Roman"/>
          <w:sz w:val="24"/>
        </w:rPr>
        <w:t xml:space="preserve"> a </w:t>
      </w:r>
      <w:r w:rsidRPr="00A72949">
        <w:rPr>
          <w:rFonts w:ascii="Times New Roman" w:hAnsi="Times New Roman"/>
          <w:sz w:val="24"/>
        </w:rPr>
        <w:t xml:space="preserve">bez ohľadu na automatickú </w:t>
      </w:r>
      <w:proofErr w:type="spellStart"/>
      <w:r w:rsidRPr="00A72949">
        <w:rPr>
          <w:rFonts w:ascii="Times New Roman" w:hAnsi="Times New Roman"/>
          <w:sz w:val="24"/>
        </w:rPr>
        <w:t>opcionalitu</w:t>
      </w:r>
      <w:proofErr w:type="spellEnd"/>
      <w:r w:rsidRPr="00A72949">
        <w:rPr>
          <w:rFonts w:ascii="Times New Roman" w:hAnsi="Times New Roman"/>
          <w:sz w:val="24"/>
        </w:rPr>
        <w:t>,</w:t>
      </w:r>
      <w:r w:rsidR="00A72949">
        <w:rPr>
          <w:rFonts w:ascii="Times New Roman" w:hAnsi="Times New Roman"/>
          <w:sz w:val="24"/>
        </w:rPr>
        <w:t xml:space="preserve"> s </w:t>
      </w:r>
      <w:r w:rsidRPr="00A72949">
        <w:rPr>
          <w:rFonts w:ascii="Times New Roman" w:hAnsi="Times New Roman"/>
          <w:sz w:val="24"/>
        </w:rPr>
        <w:t>výnimkou riadkov 0120 až 0150.</w:t>
      </w:r>
    </w:p>
    <w:p w14:paraId="1EED4F15" w14:textId="799CBD1A" w:rsidR="004E6C70" w:rsidRP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1.2.</w:t>
      </w:r>
      <w:r w:rsidRPr="00A72949">
        <w:tab/>
      </w:r>
      <w:r w:rsidRPr="00A72949">
        <w:rPr>
          <w:rFonts w:ascii="Times New Roman" w:hAnsi="Times New Roman"/>
          <w:sz w:val="24"/>
        </w:rPr>
        <w:t>Tieto vzory sa vykazujú osobitne za každú menu,</w:t>
      </w:r>
      <w:r w:rsidR="00A72949">
        <w:rPr>
          <w:rFonts w:ascii="Times New Roman" w:hAnsi="Times New Roman"/>
          <w:sz w:val="24"/>
        </w:rPr>
        <w:t xml:space="preserve"> v </w:t>
      </w:r>
      <w:r w:rsidRPr="00A72949">
        <w:rPr>
          <w:rFonts w:ascii="Times New Roman" w:hAnsi="Times New Roman"/>
          <w:sz w:val="24"/>
        </w:rPr>
        <w:t>ktorej má inštitúcia pozície, ak účtovná hodnota finančných aktív alebo záväzkov denominovaných</w:t>
      </w:r>
      <w:r w:rsidR="00A72949">
        <w:rPr>
          <w:rFonts w:ascii="Times New Roman" w:hAnsi="Times New Roman"/>
          <w:sz w:val="24"/>
        </w:rPr>
        <w:t xml:space="preserve"> v </w:t>
      </w:r>
      <w:r w:rsidRPr="00A72949">
        <w:rPr>
          <w:rFonts w:ascii="Times New Roman" w:hAnsi="Times New Roman"/>
          <w:sz w:val="24"/>
        </w:rPr>
        <w:t>danej mene predstavuje 5</w:t>
      </w:r>
      <w:r w:rsidR="00A72949">
        <w:rPr>
          <w:rFonts w:ascii="Times New Roman" w:hAnsi="Times New Roman"/>
          <w:sz w:val="24"/>
        </w:rPr>
        <w:t> %</w:t>
      </w:r>
      <w:r w:rsidRPr="00A72949">
        <w:rPr>
          <w:rFonts w:ascii="Times New Roman" w:hAnsi="Times New Roman"/>
          <w:sz w:val="24"/>
        </w:rPr>
        <w:t xml:space="preserve"> alebo viac celkových finančných aktív alebo záväzkov</w:t>
      </w:r>
      <w:r w:rsidR="00A72949">
        <w:rPr>
          <w:rFonts w:ascii="Times New Roman" w:hAnsi="Times New Roman"/>
          <w:sz w:val="24"/>
        </w:rPr>
        <w:t xml:space="preserve"> v </w:t>
      </w:r>
      <w:r w:rsidRPr="00A72949">
        <w:rPr>
          <w:rFonts w:ascii="Times New Roman" w:hAnsi="Times New Roman"/>
          <w:sz w:val="24"/>
        </w:rPr>
        <w:t>bankovej knihe alebo menej ako 5</w:t>
      </w:r>
      <w:r w:rsidR="00A72949">
        <w:rPr>
          <w:rFonts w:ascii="Times New Roman" w:hAnsi="Times New Roman"/>
          <w:sz w:val="24"/>
        </w:rPr>
        <w:t> %</w:t>
      </w:r>
      <w:r w:rsidRPr="00A72949">
        <w:rPr>
          <w:rFonts w:ascii="Times New Roman" w:hAnsi="Times New Roman"/>
          <w:sz w:val="24"/>
        </w:rPr>
        <w:t>, ak je súčet finančných aktív alebo záväzkov zahrnutých do výpočtu nižší ako 90</w:t>
      </w:r>
      <w:r w:rsidR="00A72949">
        <w:rPr>
          <w:rFonts w:ascii="Times New Roman" w:hAnsi="Times New Roman"/>
          <w:sz w:val="24"/>
        </w:rPr>
        <w:t> %</w:t>
      </w:r>
      <w:r w:rsidRPr="00A72949">
        <w:rPr>
          <w:rFonts w:ascii="Times New Roman" w:hAnsi="Times New Roman"/>
          <w:sz w:val="24"/>
        </w:rPr>
        <w:t xml:space="preserve"> celkových finančných aktív (okrem hmotného majetku) alebo záväzkov</w:t>
      </w:r>
      <w:r w:rsidR="00A72949">
        <w:rPr>
          <w:rFonts w:ascii="Times New Roman" w:hAnsi="Times New Roman"/>
          <w:sz w:val="24"/>
        </w:rPr>
        <w:t xml:space="preserve"> v </w:t>
      </w:r>
      <w:r w:rsidRPr="00A72949">
        <w:rPr>
          <w:rFonts w:ascii="Times New Roman" w:hAnsi="Times New Roman"/>
          <w:sz w:val="24"/>
        </w:rPr>
        <w:t>bankovej knihe.</w:t>
      </w:r>
    </w:p>
    <w:p w14:paraId="10FF9BD8"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56" w:name="_Toc188859510"/>
      <w:r w:rsidRPr="00A72949">
        <w:rPr>
          <w:b/>
          <w:sz w:val="24"/>
        </w:rPr>
        <w:t>2.</w:t>
      </w:r>
      <w:r w:rsidRPr="00A72949">
        <w:tab/>
      </w:r>
      <w:r w:rsidRPr="00A72949">
        <w:rPr>
          <w:b/>
          <w:sz w:val="24"/>
        </w:rPr>
        <w:t>Pokyny týkajúce sa konkrétnych pozícií</w:t>
      </w:r>
      <w:bookmarkEnd w:id="56"/>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72949" w14:paraId="437ADAB5" w14:textId="77777777" w:rsidTr="00E73145">
        <w:tc>
          <w:tcPr>
            <w:tcW w:w="1129" w:type="dxa"/>
            <w:shd w:val="clear" w:color="auto" w:fill="D9D9D9" w:themeFill="background1" w:themeFillShade="D9"/>
          </w:tcPr>
          <w:p w14:paraId="390A5E53" w14:textId="77777777" w:rsidR="004E6C70" w:rsidRPr="00A72949" w:rsidRDefault="004E6C70" w:rsidP="00E73145">
            <w:pPr>
              <w:pStyle w:val="InstructionsText"/>
              <w:rPr>
                <w:rStyle w:val="InstructionsTabelleText"/>
                <w:rFonts w:ascii="Times New Roman" w:eastAsia="Arial" w:hAnsi="Times New Roman"/>
                <w:sz w:val="24"/>
              </w:rPr>
            </w:pPr>
            <w:r w:rsidRPr="00A72949">
              <w:rPr>
                <w:rStyle w:val="InstructionsTabelleText"/>
                <w:rFonts w:ascii="Times New Roman" w:hAnsi="Times New Roman"/>
                <w:sz w:val="24"/>
              </w:rPr>
              <w:t>Riadok</w:t>
            </w:r>
          </w:p>
        </w:tc>
        <w:tc>
          <w:tcPr>
            <w:tcW w:w="7620" w:type="dxa"/>
            <w:shd w:val="clear" w:color="auto" w:fill="D9D9D9" w:themeFill="background1" w:themeFillShade="D9"/>
          </w:tcPr>
          <w:p w14:paraId="5DD15A1C" w14:textId="19B7D1A3"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14:paraId="33902AF3" w14:textId="77777777" w:rsidTr="00E73145">
        <w:tc>
          <w:tcPr>
            <w:tcW w:w="1129" w:type="dxa"/>
          </w:tcPr>
          <w:p w14:paraId="5B25393B"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 – 0110</w:t>
            </w:r>
          </w:p>
        </w:tc>
        <w:tc>
          <w:tcPr>
            <w:tcW w:w="7620" w:type="dxa"/>
          </w:tcPr>
          <w:p w14:paraId="3E11605B" w14:textId="52851422"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NMD – behaviorálne modelovanie – priemerné dátumy precenenia pred modelovaním</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po ňom</w:t>
            </w:r>
          </w:p>
          <w:p w14:paraId="3BAA4752" w14:textId="056AE54D"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Priemerné dátumy precenenia sa vypočítavajú podľa kategórie NMD</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rozčlenení uvedenom</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časti II</w:t>
            </w:r>
            <w:r w:rsidRPr="00A72949">
              <w:t xml:space="preserve"> </w:t>
            </w:r>
            <w:r w:rsidRPr="00A72949">
              <w:fldChar w:fldCharType="begin"/>
            </w:r>
            <w:r w:rsidRPr="00A72949">
              <w:instrText xml:space="preserve"> REF _Ref119418268 \r \h  \* MERGEFORMAT </w:instrText>
            </w:r>
            <w:r w:rsidRPr="00A72949">
              <w:fldChar w:fldCharType="separate"/>
            </w:r>
            <w:r w:rsidRPr="00A72949">
              <w:t>11</w:t>
            </w:r>
            <w:r w:rsidRPr="00A72949">
              <w:fldChar w:fldCharType="end"/>
            </w:r>
            <w:r w:rsidRPr="00A72949">
              <w:t xml:space="preserve">oddiele tejto prílohy, </w:t>
            </w:r>
            <w:r w:rsidRPr="00A72949">
              <w:rPr>
                <w:rStyle w:val="FormatvorlageInstructionsTabelleText"/>
                <w:rFonts w:ascii="Times New Roman" w:hAnsi="Times New Roman"/>
                <w:sz w:val="24"/>
              </w:rPr>
              <w:t>pričom sa uplatňuje táto ďalšia úroveň rozčlenenia: a) časť, ktorá sa považuje za „základný“ objem [pre tie NMD, ktoré sa líšia od veľkoobchodných finančných nástrojov,</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podľa vymedzenia pojmu „základné“</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1 bode 15</w:t>
            </w:r>
            <w:r w:rsidRPr="00A72949">
              <w:t xml:space="preserve"> delegovaného nariadenia (EÚ) .../... (Úrad pre publikácie: doplňte odkaz na regulačné technické predpisy</w:t>
            </w:r>
            <w:r w:rsidR="00A72949">
              <w:t xml:space="preserve"> o </w:t>
            </w:r>
            <w:r w:rsidRPr="00A72949">
              <w:t>SA)]</w:t>
            </w:r>
            <w:r w:rsidRPr="00A72949">
              <w:rPr>
                <w:rStyle w:val="FormatvorlageInstructionsTabelleText"/>
                <w:rFonts w:ascii="Times New Roman" w:hAnsi="Times New Roman"/>
                <w:sz w:val="24"/>
              </w:rPr>
              <w:t>, b) rozsah regulovaných úspor uvedených</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428f ods. 2 písm. a)</w:t>
            </w:r>
            <w:r w:rsidRPr="00A72949">
              <w:t xml:space="preserve"> nariadenia (EÚ) </w:t>
            </w:r>
            <w:r w:rsidR="00A72949">
              <w:t>č. </w:t>
            </w:r>
            <w:r w:rsidRPr="00A72949">
              <w:t>575/201</w:t>
            </w:r>
            <w:r w:rsidRPr="00A72949">
              <w:rPr>
                <w:rStyle w:val="FormatvorlageInstructionsTabelleText"/>
                <w:rFonts w:ascii="Times New Roman" w:hAnsi="Times New Roman"/>
                <w:sz w:val="24"/>
              </w:rPr>
              <w:t>3 – neobmedzovaný na centralizovanú časť – alebo akékoľvek iné časti</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významnými hospodárskymi alebo fiškálnymi obmedzeniami</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prípade vybratia prostriedkov, na ktoré inštitúcia neuplatňuje horné ohraničenie ich splatnosti do precenenia (ako je päťročné horné ohraničenie); vo svojom internom riadení rizika IRRBB</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c) rozsah prevádzkových vkladov</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zmysle vymedzenia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27 ods. 1 písm. a)</w:t>
            </w:r>
            <w:r w:rsidRPr="00A72949">
              <w:t xml:space="preserve"> delegovaného nariadenia (EÚ) 2015/61</w:t>
            </w:r>
            <w:r w:rsidRPr="00A72949">
              <w:rPr>
                <w:rStyle w:val="FormatvorlageInstructionsTabelleText"/>
                <w:rFonts w:ascii="Times New Roman" w:hAnsi="Times New Roman"/>
                <w:sz w:val="24"/>
              </w:rPr>
              <w:t>.</w:t>
            </w:r>
          </w:p>
          <w:p w14:paraId="0E7EDA7A" w14:textId="6FB376AE"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FormatvorlageInstructionsTabelleText"/>
                <w:rFonts w:ascii="Times New Roman" w:hAnsi="Times New Roman"/>
                <w:sz w:val="24"/>
              </w:rPr>
              <w:t>Priemerné dátumy precenenia sa vypočítavajú ako vážený priemer „dátumov 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„pomyselných peňažných tokov</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 pozícií</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každej príslušnej kategórii/rozčlenení NMD [vymedzenie „pomyselných peňažných tokov</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„dátumu precenenia“, ako sa stanovuje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1 bodoch 1</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2</w:t>
            </w:r>
            <w:r w:rsidRPr="00A72949">
              <w:t xml:space="preserve"> delegovaného nariadenia (EÚ) .../... (Úrad pre publikácie: doplňte odkaz na regulačné technické predpisy</w:t>
            </w:r>
            <w:r w:rsidR="00A72949">
              <w:t xml:space="preserve"> o </w:t>
            </w:r>
            <w:r w:rsidRPr="00A72949">
              <w:t>SA)</w:t>
            </w:r>
            <w:r w:rsidRPr="00A72949">
              <w:rPr>
                <w:rStyle w:val="FormatvorlageInstructionsTabelleText"/>
                <w:rFonts w:ascii="Times New Roman" w:hAnsi="Times New Roman"/>
                <w:sz w:val="24"/>
              </w:rPr>
              <w:t>].</w:t>
            </w:r>
          </w:p>
        </w:tc>
      </w:tr>
      <w:tr w:rsidR="004E6C70" w:rsidRPr="00A72949" w14:paraId="28F23C6C" w14:textId="77777777" w:rsidTr="00E73145">
        <w:tc>
          <w:tcPr>
            <w:tcW w:w="1129" w:type="dxa"/>
          </w:tcPr>
          <w:p w14:paraId="3CCC81B2"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0120 – 0150</w:t>
            </w:r>
          </w:p>
        </w:tc>
        <w:tc>
          <w:tcPr>
            <w:tcW w:w="7620" w:type="dxa"/>
          </w:tcPr>
          <w:p w14:paraId="0C986634" w14:textId="3023D1BD"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NMD – behaviorálne modelovanie – PTR</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horizonte jedného roka</w:t>
            </w:r>
          </w:p>
          <w:p w14:paraId="4D9598E1" w14:textId="0117E1FB"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FormatvorlageInstructionsTabelleText"/>
                <w:rFonts w:ascii="Times New Roman" w:hAnsi="Times New Roman"/>
                <w:sz w:val="24"/>
              </w:rPr>
              <w:t>Miera premietnutia (PTR)</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zmysle vymedzenia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1 bode 14</w:t>
            </w:r>
            <w:r w:rsidRPr="00A72949">
              <w:t xml:space="preserve"> delegovaného nariadenia (EÚ) .../... (Úrad pre publikácie: doplňte odkaz na regulačné technické predpisy</w:t>
            </w:r>
            <w:r w:rsidR="00A72949">
              <w:t xml:space="preserve"> o </w:t>
            </w:r>
            <w:r w:rsidRPr="00A72949">
              <w:t xml:space="preserve">SA) </w:t>
            </w:r>
            <w:r w:rsidRPr="00A72949">
              <w:rPr>
                <w:rStyle w:val="FormatvorlageInstructionsTabelleText"/>
                <w:rFonts w:ascii="Times New Roman" w:hAnsi="Times New Roman"/>
                <w:sz w:val="24"/>
              </w:rPr>
              <w:t>sa vykazuje podľa kategórie NMD</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rozčlenení uvedenom</w:t>
            </w:r>
            <w:r w:rsidR="00A72949">
              <w:rPr>
                <w:rStyle w:val="FormatvorlageInstructionsTabelleText"/>
                <w:rFonts w:ascii="Times New Roman" w:hAnsi="Times New Roman"/>
                <w:sz w:val="24"/>
              </w:rPr>
              <w:t xml:space="preserve"> v </w:t>
            </w:r>
            <w:r w:rsidRPr="00A72949">
              <w:t xml:space="preserve">časti I oddiele </w:t>
            </w:r>
            <w:r w:rsidRPr="00A72949">
              <w:fldChar w:fldCharType="begin"/>
            </w:r>
            <w:r w:rsidRPr="00A72949">
              <w:instrText xml:space="preserve"> REF _Ref119418268 \r \h  \* MERGEFORMAT </w:instrText>
            </w:r>
            <w:r w:rsidRPr="00A72949">
              <w:fldChar w:fldCharType="separate"/>
            </w:r>
            <w:r w:rsidRPr="00A72949">
              <w:t>11</w:t>
            </w:r>
            <w:r w:rsidRPr="00A72949">
              <w:fldChar w:fldCharType="end"/>
            </w:r>
            <w:r w:rsidRPr="00A72949">
              <w:t xml:space="preserve"> tejto prílohy</w:t>
            </w:r>
            <w:r w:rsidR="00A72949">
              <w:t xml:space="preserve"> a </w:t>
            </w:r>
            <w:r w:rsidRPr="00A72949">
              <w:rPr>
                <w:rStyle w:val="FormatvorlageInstructionsTabelleText"/>
                <w:rFonts w:ascii="Times New Roman" w:hAnsi="Times New Roman"/>
                <w:sz w:val="24"/>
              </w:rPr>
              <w:t xml:space="preserve">za časový horizont </w:t>
            </w:r>
            <w:r w:rsidRPr="00A72949">
              <w:rPr>
                <w:rStyle w:val="FormatvorlageInstructionsTabelleText"/>
                <w:rFonts w:ascii="Times New Roman" w:hAnsi="Times New Roman"/>
                <w:sz w:val="24"/>
              </w:rPr>
              <w:lastRenderedPageBreak/>
              <w:t>jedného roka.</w:t>
            </w:r>
          </w:p>
          <w:p w14:paraId="7F16CE38" w14:textId="4F860570" w:rsidR="004E6C70" w:rsidRPr="00A72949" w:rsidRDefault="004E6C70" w:rsidP="00E73145">
            <w:pPr>
              <w:pStyle w:val="InstructionsText"/>
              <w:rPr>
                <w:rFonts w:eastAsia="Calibri"/>
              </w:rPr>
            </w:pPr>
            <w:r w:rsidRPr="00A72949">
              <w:t>Inštitúcie vykazujú ako PTR vážený priemerný percentuálny podiel úrokového šoku,</w:t>
            </w:r>
            <w:r w:rsidR="00A72949">
              <w:t xml:space="preserve"> o </w:t>
            </w:r>
            <w:r w:rsidRPr="00A72949">
              <w:t>ktorom sa predpokladá, že sa prevedie na ich NMD, podľa regulačných scenárov úrokových sadzieb</w:t>
            </w:r>
            <w:r w:rsidR="00A72949">
              <w:t xml:space="preserve"> a </w:t>
            </w:r>
            <w:r w:rsidRPr="00A72949">
              <w:t>metriky NII stanovených</w:t>
            </w:r>
            <w:r w:rsidR="00A72949">
              <w:t xml:space="preserve"> v </w:t>
            </w:r>
            <w:r w:rsidRPr="00A72949">
              <w:rPr>
                <w:rStyle w:val="InstructionsTabelleberschrift"/>
                <w:rFonts w:ascii="Times New Roman" w:hAnsi="Times New Roman"/>
                <w:b w:val="0"/>
                <w:sz w:val="24"/>
                <w:u w:val="none"/>
              </w:rPr>
              <w:t>delegovanom nariadení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FormatvorlageInstructionsTabelleText"/>
                <w:rFonts w:ascii="Times New Roman" w:hAnsi="Times New Roman"/>
                <w:sz w:val="24"/>
              </w:rPr>
              <w:t>SOT).</w:t>
            </w:r>
          </w:p>
        </w:tc>
      </w:tr>
      <w:tr w:rsidR="004E6C70" w:rsidRPr="00A72949" w14:paraId="6E4C608D" w14:textId="77777777" w:rsidTr="00E73145">
        <w:tc>
          <w:tcPr>
            <w:tcW w:w="1129" w:type="dxa"/>
          </w:tcPr>
          <w:p w14:paraId="7004BB4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0160 – 0220</w:t>
            </w:r>
          </w:p>
        </w:tc>
        <w:tc>
          <w:tcPr>
            <w:tcW w:w="7620" w:type="dxa"/>
          </w:tcPr>
          <w:p w14:paraId="00923811" w14:textId="7A38E873"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Pevná úroková sadzba – riziko predčasného splatenia – priemerné dátumy precenenia pred modelovaním</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po ňom</w:t>
            </w:r>
          </w:p>
          <w:p w14:paraId="047D958F" w14:textId="2E1DEEDE" w:rsidR="004E6C70" w:rsidRPr="00A72949" w:rsidRDefault="004E6C70" w:rsidP="00E73145">
            <w:pPr>
              <w:pStyle w:val="InstructionsText"/>
              <w:rPr>
                <w:rStyle w:val="FormatvorlageInstructionsTabelleText"/>
                <w:rFonts w:ascii="Times New Roman" w:hAnsi="Times New Roman"/>
                <w:bCs w:val="0"/>
                <w:sz w:val="24"/>
              </w:rPr>
            </w:pPr>
            <w:r w:rsidRPr="00A72949">
              <w:rPr>
                <w:rStyle w:val="FormatvorlageInstructionsTabelleText"/>
                <w:rFonts w:ascii="Times New Roman" w:hAnsi="Times New Roman"/>
                <w:sz w:val="24"/>
              </w:rPr>
              <w:t>Priemerné dátumy precenenia sa vypočítavajú podľa príslušnej kategórie, ako sa uvádza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časti I</w:t>
            </w:r>
            <w:r w:rsidRPr="00A72949">
              <w:t xml:space="preserve"> oddiele </w:t>
            </w:r>
            <w:r w:rsidRPr="00A72949">
              <w:fldChar w:fldCharType="begin"/>
            </w:r>
            <w:r w:rsidRPr="00A72949">
              <w:instrText xml:space="preserve"> REF _Ref119418268 \r \h  \* MERGEFORMAT </w:instrText>
            </w:r>
            <w:r w:rsidRPr="00A72949">
              <w:fldChar w:fldCharType="separate"/>
            </w:r>
            <w:r w:rsidRPr="00A72949">
              <w:t>11</w:t>
            </w:r>
            <w:r w:rsidRPr="00A72949">
              <w:fldChar w:fldCharType="end"/>
            </w:r>
            <w:r w:rsidRPr="00A72949">
              <w:t xml:space="preserve"> tejto prílohy </w:t>
            </w:r>
            <w:r w:rsidRPr="00A72949">
              <w:rPr>
                <w:rStyle w:val="FormatvorlageInstructionsTabelleText"/>
                <w:rFonts w:ascii="Times New Roman" w:hAnsi="Times New Roman"/>
                <w:sz w:val="24"/>
              </w:rPr>
              <w:t>pre „úvery</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preddavky“</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„dlhové cenné papiere“</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 na ktoré sa vzťahuje riziko predčasného splatenia.</w:t>
            </w:r>
          </w:p>
          <w:p w14:paraId="60DF36F6" w14:textId="016F5E0B"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FormatvorlageInstructionsTabelleText"/>
                <w:rFonts w:ascii="Times New Roman" w:hAnsi="Times New Roman"/>
                <w:sz w:val="24"/>
              </w:rPr>
              <w:t>Za pozície podliehajúce riziku predčasného splatenia považujú inštitúcie len tie pozície,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prípade ktorých klient neznáša všetky ekonomické náklady predčasného splatenia. Pozície, pri ktorých klient znáša všetky ekonomické náklady predčasného splatenia, sa na účely tohto výpočtu nepovažujú za pozície podliehajúce riziku predčasného splatenia. Priemerné dátumy precenenia sa vypočítavajú ako vážený priemer „dátumov 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„pomyselných peňažných tokov</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 pozícií</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každej príslušnej kategórii/rozčlenení „úverov</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preddavkov“</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„dlhových cenných papierov“</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 [vymedzenie „pomyselných peňažných tokov</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„dátumu precenenia“, ako sa stanovuje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1 bodoch 1</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2</w:t>
            </w:r>
            <w:r w:rsidRPr="00A72949">
              <w:t xml:space="preserve"> delegovaného nariadenia (EÚ) .../... (Úrad pre publikácie: doplňte odkaz na regulačné technické predpisy</w:t>
            </w:r>
            <w:r w:rsidR="00A72949">
              <w:t xml:space="preserve"> o </w:t>
            </w:r>
            <w:r w:rsidRPr="00A72949">
              <w:t>SA)</w:t>
            </w:r>
            <w:r w:rsidRPr="00A72949">
              <w:rPr>
                <w:rStyle w:val="FormatvorlageInstructionsTabelleText"/>
                <w:rFonts w:ascii="Times New Roman" w:hAnsi="Times New Roman"/>
                <w:sz w:val="24"/>
              </w:rPr>
              <w:t>].</w:t>
            </w:r>
          </w:p>
        </w:tc>
      </w:tr>
      <w:tr w:rsidR="004E6C70" w:rsidRPr="00A72949" w14:paraId="3D685CC2" w14:textId="77777777" w:rsidTr="00E73145">
        <w:tc>
          <w:tcPr>
            <w:tcW w:w="1129" w:type="dxa"/>
          </w:tcPr>
          <w:p w14:paraId="0320F25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0230 – 0290</w:t>
            </w:r>
          </w:p>
        </w:tc>
        <w:tc>
          <w:tcPr>
            <w:tcW w:w="7620" w:type="dxa"/>
          </w:tcPr>
          <w:p w14:paraId="21FEBE6A" w14:textId="77777777" w:rsidR="004E6C70" w:rsidRPr="00A72949" w:rsidRDefault="004E6C70" w:rsidP="00E73145">
            <w:pPr>
              <w:pStyle w:val="InstructionsText"/>
              <w:rPr>
                <w:rStyle w:val="FormatvorlageInstructionsTabelleText"/>
                <w:rFonts w:ascii="Times New Roman" w:hAnsi="Times New Roman"/>
                <w:b/>
                <w:sz w:val="24"/>
                <w:u w:val="single"/>
              </w:rPr>
            </w:pPr>
            <w:r w:rsidRPr="00A72949">
              <w:rPr>
                <w:rStyle w:val="FormatvorlageInstructionsTabelleText"/>
                <w:rFonts w:ascii="Times New Roman" w:hAnsi="Times New Roman"/>
                <w:b/>
                <w:sz w:val="24"/>
                <w:u w:val="single"/>
              </w:rPr>
              <w:t>Pevná úroková sadzba – riziko predčasného splatenia – miery podmieneného predčasného splatenia (</w:t>
            </w:r>
            <w:proofErr w:type="spellStart"/>
            <w:r w:rsidRPr="00A72949">
              <w:rPr>
                <w:rStyle w:val="FormatvorlageInstructionsTabelleText"/>
                <w:rFonts w:ascii="Times New Roman" w:hAnsi="Times New Roman"/>
                <w:b/>
                <w:sz w:val="24"/>
                <w:u w:val="single"/>
              </w:rPr>
              <w:t>anualizovaný</w:t>
            </w:r>
            <w:proofErr w:type="spellEnd"/>
            <w:r w:rsidRPr="00A72949">
              <w:rPr>
                <w:rStyle w:val="FormatvorlageInstructionsTabelleText"/>
                <w:rFonts w:ascii="Times New Roman" w:hAnsi="Times New Roman"/>
                <w:b/>
                <w:sz w:val="24"/>
                <w:u w:val="single"/>
              </w:rPr>
              <w:t xml:space="preserve"> priemer)</w:t>
            </w:r>
          </w:p>
          <w:p w14:paraId="44DBC02D" w14:textId="64CD57D7" w:rsidR="004E6C70" w:rsidRPr="00A72949" w:rsidRDefault="004E6C70" w:rsidP="00E73145">
            <w:pPr>
              <w:pStyle w:val="InstructionsText"/>
              <w:rPr>
                <w:rStyle w:val="FormatvorlageInstructionsTabelleText"/>
                <w:rFonts w:ascii="Times New Roman" w:hAnsi="Times New Roman"/>
                <w:bCs w:val="0"/>
                <w:sz w:val="24"/>
              </w:rPr>
            </w:pPr>
            <w:proofErr w:type="spellStart"/>
            <w:r w:rsidRPr="00A72949">
              <w:rPr>
                <w:rStyle w:val="FormatvorlageInstructionsTabelleText"/>
                <w:rFonts w:ascii="Times New Roman" w:hAnsi="Times New Roman"/>
                <w:sz w:val="24"/>
              </w:rPr>
              <w:t>Anualizovaná</w:t>
            </w:r>
            <w:proofErr w:type="spellEnd"/>
            <w:r w:rsidRPr="00A72949">
              <w:rPr>
                <w:rStyle w:val="FormatvorlageInstructionsTabelleText"/>
                <w:rFonts w:ascii="Times New Roman" w:hAnsi="Times New Roman"/>
                <w:sz w:val="24"/>
              </w:rPr>
              <w:t xml:space="preserve"> priemerná miera podmieneného predčasného splatenia sa vykazuje na </w:t>
            </w:r>
            <w:proofErr w:type="spellStart"/>
            <w:r w:rsidRPr="00A72949">
              <w:rPr>
                <w:rStyle w:val="FormatvorlageInstructionsTabelleText"/>
                <w:rFonts w:ascii="Times New Roman" w:hAnsi="Times New Roman"/>
                <w:sz w:val="24"/>
              </w:rPr>
              <w:t>anualizovanom</w:t>
            </w:r>
            <w:proofErr w:type="spellEnd"/>
            <w:r w:rsidRPr="00A72949">
              <w:rPr>
                <w:rStyle w:val="FormatvorlageInstructionsTabelleText"/>
                <w:rFonts w:ascii="Times New Roman" w:hAnsi="Times New Roman"/>
                <w:sz w:val="24"/>
              </w:rPr>
              <w:t xml:space="preserve"> základe podľa príslušnej kategórie, ako sa uvádza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časti I</w:t>
            </w:r>
            <w:r w:rsidRPr="00A72949">
              <w:t xml:space="preserve"> oddiele </w:t>
            </w:r>
            <w:r w:rsidRPr="00A72949">
              <w:fldChar w:fldCharType="begin"/>
            </w:r>
            <w:r w:rsidRPr="00A72949">
              <w:instrText xml:space="preserve"> REF _Ref119418268 \r \h  \* MERGEFORMAT </w:instrText>
            </w:r>
            <w:r w:rsidRPr="00A72949">
              <w:fldChar w:fldCharType="separate"/>
            </w:r>
            <w:r w:rsidRPr="00A72949">
              <w:t>11</w:t>
            </w:r>
            <w:r w:rsidRPr="00A72949">
              <w:fldChar w:fldCharType="end"/>
            </w:r>
            <w:r w:rsidRPr="00A72949">
              <w:t xml:space="preserve"> tejto prílohy</w:t>
            </w:r>
            <w:r w:rsidRPr="00A72949">
              <w:rPr>
                <w:rStyle w:val="FormatvorlageInstructionsTabelleText"/>
                <w:rFonts w:ascii="Times New Roman" w:hAnsi="Times New Roman"/>
                <w:sz w:val="24"/>
              </w:rPr>
              <w:t>, ako vážená ročná priemerná miera predčasného splatenia, podľa nesplatenej sumy</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každom ročnom období, až do ukončenia portfólia, „úverov</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preddavkov“</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„dlhových cenných papierov“</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 ktoré podliehajú riziku predčasného splatenia.</w:t>
            </w:r>
          </w:p>
        </w:tc>
      </w:tr>
      <w:tr w:rsidR="004E6C70" w:rsidRPr="00A72949" w14:paraId="578C6E6E" w14:textId="77777777" w:rsidTr="00E73145">
        <w:tc>
          <w:tcPr>
            <w:tcW w:w="1129" w:type="dxa"/>
          </w:tcPr>
          <w:p w14:paraId="67BB533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0300 – 0330</w:t>
            </w:r>
          </w:p>
        </w:tc>
        <w:tc>
          <w:tcPr>
            <w:tcW w:w="7620" w:type="dxa"/>
          </w:tcPr>
          <w:p w14:paraId="187475E5" w14:textId="52B71F9E"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Pevná úroková sadzba – riziko predčasného vyplatenia – priemerné dátumy precenenia pred modelovaním</w:t>
            </w:r>
            <w:r w:rsidR="00A72949">
              <w:rPr>
                <w:rStyle w:val="InstructionsTabelleberschrift"/>
                <w:rFonts w:ascii="Times New Roman" w:hAnsi="Times New Roman"/>
                <w:sz w:val="24"/>
              </w:rPr>
              <w:t xml:space="preserve"> a </w:t>
            </w:r>
            <w:r w:rsidRPr="00A72949">
              <w:rPr>
                <w:rStyle w:val="InstructionsTabelleberschrift"/>
                <w:rFonts w:ascii="Times New Roman" w:hAnsi="Times New Roman"/>
                <w:sz w:val="24"/>
              </w:rPr>
              <w:t>po ňom</w:t>
            </w:r>
          </w:p>
          <w:p w14:paraId="46DB90E8" w14:textId="3307B944" w:rsidR="004E6C70" w:rsidRPr="00A72949" w:rsidRDefault="004E6C70" w:rsidP="00E73145">
            <w:pPr>
              <w:pStyle w:val="InstructionsText"/>
              <w:rPr>
                <w:rStyle w:val="FormatvorlageInstructionsTabelleText"/>
                <w:rFonts w:ascii="Times New Roman" w:hAnsi="Times New Roman"/>
                <w:bCs w:val="0"/>
                <w:sz w:val="24"/>
              </w:rPr>
            </w:pPr>
            <w:r w:rsidRPr="00A72949">
              <w:rPr>
                <w:rStyle w:val="FormatvorlageInstructionsTabelleText"/>
                <w:rFonts w:ascii="Times New Roman" w:hAnsi="Times New Roman"/>
                <w:sz w:val="24"/>
              </w:rPr>
              <w:t>Priemerné dátumy precenenia sa vypočítavajú podľa príslušnej kategórie, ako sa uvádza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časti I</w:t>
            </w:r>
            <w:r w:rsidRPr="00A72949">
              <w:t xml:space="preserve"> oddiele </w:t>
            </w:r>
            <w:r w:rsidRPr="00A72949">
              <w:fldChar w:fldCharType="begin"/>
            </w:r>
            <w:r w:rsidRPr="00A72949">
              <w:instrText xml:space="preserve"> REF _Ref119418268 \r \h  \* MERGEFORMAT </w:instrText>
            </w:r>
            <w:r w:rsidRPr="00A72949">
              <w:fldChar w:fldCharType="separate"/>
            </w:r>
            <w:r w:rsidRPr="00A72949">
              <w:t>11</w:t>
            </w:r>
            <w:r w:rsidRPr="00A72949">
              <w:fldChar w:fldCharType="end"/>
            </w:r>
            <w:r w:rsidRPr="00A72949">
              <w:t xml:space="preserve"> tejto prílohy </w:t>
            </w:r>
            <w:r w:rsidRPr="00A72949">
              <w:rPr>
                <w:rStyle w:val="FormatvorlageInstructionsTabelleText"/>
                <w:rFonts w:ascii="Times New Roman" w:hAnsi="Times New Roman"/>
                <w:sz w:val="24"/>
              </w:rPr>
              <w:t>pre „termínované vklady“</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 na ktoré sa vzťahuje riziko predčasného vyplatenia.</w:t>
            </w:r>
          </w:p>
          <w:p w14:paraId="7052EF64" w14:textId="26B563A5" w:rsidR="004E6C70" w:rsidRPr="00A72949" w:rsidRDefault="004E6C70" w:rsidP="00E73145">
            <w:pPr>
              <w:pStyle w:val="InstructionsText"/>
              <w:rPr>
                <w:rStyle w:val="FormatvorlageInstructionsTabelleText"/>
                <w:rFonts w:ascii="Times New Roman" w:hAnsi="Times New Roman"/>
                <w:bCs w:val="0"/>
                <w:sz w:val="24"/>
              </w:rPr>
            </w:pPr>
            <w:r w:rsidRPr="00A72949">
              <w:rPr>
                <w:rStyle w:val="FormatvorlageInstructionsTabelleText"/>
                <w:rFonts w:ascii="Times New Roman" w:hAnsi="Times New Roman"/>
                <w:sz w:val="24"/>
              </w:rPr>
              <w:t>Priemerné dátumy precenenia sa vypočítavajú ako vážený priemer „dátumov 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„pomyselných peňažných tokov</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 súhrnných pozícií</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každej príslušnej kategórii/rozčlenení [vymedzenie „pomyselných peňažných tokov</w:t>
            </w:r>
            <w:r w:rsidR="00A72949">
              <w:rPr>
                <w:rStyle w:val="FormatvorlageInstructionsTabelleText"/>
                <w:rFonts w:ascii="Times New Roman" w:hAnsi="Times New Roman"/>
                <w:sz w:val="24"/>
              </w:rPr>
              <w:t xml:space="preserve"> z </w:t>
            </w:r>
            <w:r w:rsidRPr="00A72949">
              <w:rPr>
                <w:rStyle w:val="FormatvorlageInstructionsTabelleText"/>
                <w:rFonts w:ascii="Times New Roman" w:hAnsi="Times New Roman"/>
                <w:sz w:val="24"/>
              </w:rPr>
              <w:t>precenenia“</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„dátumu precenenia“, ako sa stanovuje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1 bodoch 1</w:t>
            </w:r>
            <w:r w:rsidR="00A72949">
              <w:rPr>
                <w:rStyle w:val="FormatvorlageInstructionsTabelleText"/>
                <w:rFonts w:ascii="Times New Roman" w:hAnsi="Times New Roman"/>
                <w:sz w:val="24"/>
              </w:rPr>
              <w:t xml:space="preserve"> a </w:t>
            </w:r>
            <w:r w:rsidRPr="00A72949">
              <w:rPr>
                <w:rStyle w:val="FormatvorlageInstructionsTabelleText"/>
                <w:rFonts w:ascii="Times New Roman" w:hAnsi="Times New Roman"/>
                <w:sz w:val="24"/>
              </w:rPr>
              <w:t>2</w:t>
            </w:r>
            <w:r w:rsidRPr="00A72949">
              <w:t xml:space="preserve"> delegovaného nariadenia (EÚ) .../... (Úrad pre publikácie: doplňte odkaz na regulačné technické predpisy</w:t>
            </w:r>
            <w:r w:rsidR="00A72949">
              <w:t xml:space="preserve"> o </w:t>
            </w:r>
            <w:r w:rsidRPr="00A72949">
              <w:t>SA)</w:t>
            </w:r>
            <w:r w:rsidRPr="00A72949">
              <w:rPr>
                <w:rStyle w:val="FormatvorlageInstructionsTabelleText"/>
                <w:rFonts w:ascii="Times New Roman" w:hAnsi="Times New Roman"/>
                <w:sz w:val="24"/>
              </w:rPr>
              <w:t>].</w:t>
            </w:r>
          </w:p>
          <w:p w14:paraId="38B6CABC" w14:textId="398E251E"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FormatvorlageInstructionsTabelleText"/>
                <w:rFonts w:ascii="Times New Roman" w:hAnsi="Times New Roman"/>
                <w:sz w:val="24"/>
              </w:rPr>
              <w:t xml:space="preserve">Za pozície podliehajúce riziku predčasného vyplatenia považujú inštitúcie </w:t>
            </w:r>
            <w:r w:rsidRPr="00A72949">
              <w:rPr>
                <w:rStyle w:val="FormatvorlageInstructionsTabelleText"/>
                <w:rFonts w:ascii="Times New Roman" w:hAnsi="Times New Roman"/>
                <w:sz w:val="24"/>
              </w:rPr>
              <w:lastRenderedPageBreak/>
              <w:t>len tie pozície,</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prípade ktorých klient neznáša všetky ekonomické náklady predčasného vyplatenia. Pozície, pri ktorých klient znáša všetky ekonomické náklady predčasného vyplatenia, sa na účely tohto výpočtu nepovažujú za pozície podliehajúce riziku predčasného vyplatenia.</w:t>
            </w:r>
          </w:p>
        </w:tc>
      </w:tr>
      <w:tr w:rsidR="004E6C70" w:rsidRPr="00A72949" w14:paraId="22821345" w14:textId="77777777" w:rsidTr="00E73145">
        <w:tc>
          <w:tcPr>
            <w:tcW w:w="1129" w:type="dxa"/>
          </w:tcPr>
          <w:p w14:paraId="41754D8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0340 – 0370</w:t>
            </w:r>
          </w:p>
        </w:tc>
        <w:tc>
          <w:tcPr>
            <w:tcW w:w="7620" w:type="dxa"/>
          </w:tcPr>
          <w:p w14:paraId="4C2BE62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Pevná úroková sadzba – riziko predčasného vyplatenia – miery predčasného vyplatenia (kumulatívny priemer)</w:t>
            </w:r>
          </w:p>
          <w:p w14:paraId="4B29ED51" w14:textId="40A30722"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FormatvorlageInstructionsTabelleText"/>
                <w:rFonts w:ascii="Times New Roman" w:hAnsi="Times New Roman"/>
                <w:sz w:val="24"/>
              </w:rPr>
              <w:t>Kumulatívna priemerná miera podmienečného predčasného vyplatenia sa vykazuje podľa príslušnej kategórie, ako sa uvádza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časti I</w:t>
            </w:r>
            <w:r w:rsidRPr="00A72949">
              <w:t xml:space="preserve"> oddiele </w:t>
            </w:r>
            <w:r w:rsidRPr="00A72949">
              <w:fldChar w:fldCharType="begin"/>
            </w:r>
            <w:r w:rsidRPr="00A72949">
              <w:instrText xml:space="preserve"> REF _Ref119418268 \r \h  \* MERGEFORMAT </w:instrText>
            </w:r>
            <w:r w:rsidRPr="00A72949">
              <w:fldChar w:fldCharType="separate"/>
            </w:r>
            <w:r w:rsidRPr="00A72949">
              <w:t>11</w:t>
            </w:r>
            <w:r w:rsidRPr="00A72949">
              <w:fldChar w:fldCharType="end"/>
            </w:r>
            <w:r w:rsidRPr="00A72949">
              <w:t xml:space="preserve"> tejto prílohy</w:t>
            </w:r>
            <w:r w:rsidRPr="00A72949">
              <w:rPr>
                <w:rStyle w:val="FormatvorlageInstructionsTabelleText"/>
                <w:rFonts w:ascii="Times New Roman" w:hAnsi="Times New Roman"/>
                <w:sz w:val="24"/>
              </w:rPr>
              <w:t>, ako pomer medzi predčasne vyplatenou sumou pozícií „terminovaných vkladov“</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 ktoré podliehajú riziku predčasného vyplatenia (podľa príslušnej kategórie), vydelenou celkovou nesplatenou sumou „termínovaných vkladov“</w:t>
            </w:r>
            <w:r w:rsidR="00A72949">
              <w:rPr>
                <w:rStyle w:val="FormatvorlageInstructionsTabelleText"/>
                <w:rFonts w:ascii="Times New Roman" w:hAnsi="Times New Roman"/>
                <w:sz w:val="24"/>
              </w:rPr>
              <w:t xml:space="preserve"> s </w:t>
            </w:r>
            <w:r w:rsidRPr="00A72949">
              <w:rPr>
                <w:rStyle w:val="FormatvorlageInstructionsTabelleText"/>
                <w:rFonts w:ascii="Times New Roman" w:hAnsi="Times New Roman"/>
                <w:sz w:val="24"/>
              </w:rPr>
              <w:t>pevnou úrokovou sadzbou, ktoré podliehajú riziku predčasného vyplatenia (podľa príslušnej kategórie).</w:t>
            </w:r>
          </w:p>
        </w:tc>
      </w:tr>
    </w:tbl>
    <w:p w14:paraId="732A058C" w14:textId="77777777" w:rsidR="004E6C70" w:rsidRPr="00A72949" w:rsidRDefault="004E6C70" w:rsidP="004E6C70">
      <w:pPr>
        <w:suppressAutoHyphens/>
        <w:spacing w:after="0"/>
        <w:rPr>
          <w:rStyle w:val="InstructionsTabelleText"/>
          <w:rFonts w:ascii="Times New Roman" w:hAnsi="Times New Roman"/>
          <w:sz w:val="24"/>
        </w:rPr>
      </w:pPr>
    </w:p>
    <w:p w14:paraId="2E23B0A4" w14:textId="77777777" w:rsidR="004E6C70" w:rsidRPr="00A72949" w:rsidRDefault="004E6C70" w:rsidP="004E6C70">
      <w:pPr>
        <w:suppressAutoHyphens/>
        <w:spacing w:after="0"/>
        <w:rPr>
          <w:rStyle w:val="InstructionsTabelleText"/>
          <w:rFonts w:ascii="Times New Roman" w:hAnsi="Times New Roman"/>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72949" w14:paraId="5CA87797" w14:textId="77777777" w:rsidTr="00E73145">
        <w:tc>
          <w:tcPr>
            <w:tcW w:w="1129" w:type="dxa"/>
            <w:shd w:val="clear" w:color="auto" w:fill="D9D9D9" w:themeFill="background1" w:themeFillShade="D9"/>
          </w:tcPr>
          <w:p w14:paraId="2A3C42E5" w14:textId="77777777"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Stĺpce</w:t>
            </w:r>
          </w:p>
        </w:tc>
        <w:tc>
          <w:tcPr>
            <w:tcW w:w="7620" w:type="dxa"/>
            <w:shd w:val="clear" w:color="auto" w:fill="D9D9D9" w:themeFill="background1" w:themeFillShade="D9"/>
          </w:tcPr>
          <w:p w14:paraId="64DF1153" w14:textId="3478CB1C"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rsidDel="00F47983" w14:paraId="71846104" w14:textId="77777777" w:rsidTr="00E73145">
        <w:tc>
          <w:tcPr>
            <w:tcW w:w="1129" w:type="dxa"/>
          </w:tcPr>
          <w:p w14:paraId="4600BEE9" w14:textId="77777777" w:rsidR="004E6C70" w:rsidRPr="00A72949" w:rsidDel="00F47983"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620" w:type="dxa"/>
          </w:tcPr>
          <w:p w14:paraId="25A8CF6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Pomyselná hodnota</w:t>
            </w:r>
          </w:p>
          <w:p w14:paraId="582A802F" w14:textId="709F27BC" w:rsidR="004E6C70" w:rsidRPr="00A72949" w:rsidDel="00F47983"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05.00; c0010}.</w:t>
            </w:r>
          </w:p>
        </w:tc>
      </w:tr>
      <w:tr w:rsidR="004E6C70" w:rsidRPr="00A72949" w14:paraId="1828CC34" w14:textId="77777777" w:rsidTr="00E73145">
        <w:tc>
          <w:tcPr>
            <w:tcW w:w="1129" w:type="dxa"/>
          </w:tcPr>
          <w:p w14:paraId="7E8ABD67"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0020</w:t>
            </w:r>
          </w:p>
        </w:tc>
        <w:tc>
          <w:tcPr>
            <w:tcW w:w="7620" w:type="dxa"/>
          </w:tcPr>
          <w:p w14:paraId="36AEB549" w14:textId="77777777" w:rsidR="00A72949" w:rsidRDefault="004E6C70" w:rsidP="00E73145">
            <w:pPr>
              <w:pStyle w:val="InstructionsText"/>
              <w:rPr>
                <w:rStyle w:val="InstructionsTabelleberschrift"/>
                <w:rFonts w:ascii="Times New Roman" w:hAnsi="Times New Roman"/>
                <w:b w:val="0"/>
                <w:sz w:val="24"/>
                <w:u w:val="none"/>
              </w:rPr>
            </w:pPr>
            <w:r w:rsidRPr="00A72949">
              <w:rPr>
                <w:rStyle w:val="InstructionsTabelleberschrift"/>
                <w:rFonts w:ascii="Times New Roman" w:hAnsi="Times New Roman"/>
                <w:sz w:val="24"/>
              </w:rPr>
              <w:t>Podliehajúce behaviorálnemu modelovaniu (%)</w:t>
            </w:r>
          </w:p>
          <w:p w14:paraId="75FD7971" w14:textId="3B654256"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sa riadia tými istými pokynmi, aké sú opísané</w:t>
            </w:r>
            <w:r w:rsidR="00A72949">
              <w:t xml:space="preserve"> v </w:t>
            </w:r>
            <w:r w:rsidRPr="00A72949">
              <w:t>položke {J 05.00; c0040}.</w:t>
            </w:r>
          </w:p>
        </w:tc>
      </w:tr>
      <w:tr w:rsidR="004E6C70" w:rsidRPr="00A72949" w14:paraId="656B573B" w14:textId="77777777" w:rsidTr="00E73145">
        <w:tc>
          <w:tcPr>
            <w:tcW w:w="1129" w:type="dxa"/>
          </w:tcPr>
          <w:p w14:paraId="702EACF2"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0030</w:t>
            </w:r>
          </w:p>
        </w:tc>
        <w:tc>
          <w:tcPr>
            <w:tcW w:w="7620" w:type="dxa"/>
          </w:tcPr>
          <w:p w14:paraId="49ADB9BF"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Základný scenár (zmluvný)</w:t>
            </w:r>
          </w:p>
          <w:p w14:paraId="7D49C2D4" w14:textId="4B2DA13F" w:rsid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Inštitúcie poskytujú príslušné parametre (t. j. priemerné dátumy precenenia) podľa zmluvných podmienok podkladových nástrojov</w:t>
            </w:r>
            <w:r w:rsidRPr="00A72949">
              <w:rPr>
                <w:rStyle w:val="InstructionsTabelleberschrift"/>
                <w:rFonts w:ascii="Times New Roman" w:hAnsi="Times New Roman"/>
                <w:b w:val="0"/>
                <w:sz w:val="24"/>
                <w:u w:val="none"/>
              </w:rPr>
              <w:t xml:space="preserve"> pre expozície, na ktoré sa vzťahujú zmluvné podmienky</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prvky, podľa základného úrokového scenára</w:t>
            </w:r>
            <w:r w:rsidR="00A72949">
              <w:rPr>
                <w:rStyle w:val="FormatvorlageInstructionsTabelleText"/>
                <w:rFonts w:ascii="Times New Roman" w:hAnsi="Times New Roman"/>
                <w:sz w:val="24"/>
              </w:rPr>
              <w:t>.</w:t>
            </w:r>
          </w:p>
          <w:p w14:paraId="451D2177" w14:textId="19B11C6E" w:rsidR="004E6C70" w:rsidRPr="00A72949" w:rsidRDefault="004E6C70" w:rsidP="00E73145">
            <w:pPr>
              <w:pStyle w:val="InstructionsText"/>
              <w:rPr>
                <w:rStyle w:val="FormatvorlageInstructionsTabelleText"/>
                <w:rFonts w:ascii="Times New Roman" w:hAnsi="Times New Roman"/>
                <w:bCs w:val="0"/>
                <w:sz w:val="24"/>
              </w:rPr>
            </w:pPr>
            <w:r w:rsidRPr="00A72949">
              <w:rPr>
                <w:rStyle w:val="InstructionsTabelleberschrift"/>
                <w:rFonts w:ascii="Times New Roman" w:hAnsi="Times New Roman"/>
                <w:b w:val="0"/>
                <w:sz w:val="24"/>
                <w:u w:val="none"/>
              </w:rPr>
              <w:t>Inštitúcie vykazujú údaje na základe špecifikácií uvedených</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98 ods. 5 písm. a)</w:t>
            </w:r>
            <w:r w:rsidRPr="00A72949">
              <w:t xml:space="preserve"> smernice 2013/36/EÚ</w:t>
            </w:r>
            <w:r w:rsidR="00A72949">
              <w:t xml:space="preserve"> a v </w:t>
            </w:r>
            <w:r w:rsidRPr="00A72949">
              <w:rPr>
                <w:rStyle w:val="InstructionsTabelleberschrift"/>
                <w:rFonts w:ascii="Times New Roman" w:hAnsi="Times New Roman"/>
                <w:b w:val="0"/>
                <w:sz w:val="24"/>
                <w:u w:val="none"/>
              </w:rPr>
              <w:t>článku 3 delegovaného nariadenia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FormatvorlageInstructionsTabelleText"/>
                <w:rFonts w:ascii="Times New Roman" w:hAnsi="Times New Roman"/>
                <w:sz w:val="24"/>
              </w:rPr>
              <w:t>SOT).</w:t>
            </w:r>
          </w:p>
          <w:p w14:paraId="09999EBC" w14:textId="0E4FD910" w:rsidR="004E6C70" w:rsidRPr="00A72949" w:rsidRDefault="004E6C70" w:rsidP="00E73145">
            <w:pPr>
              <w:pStyle w:val="InstructionsText"/>
              <w:rPr>
                <w:rStyle w:val="InstructionsTabelleberschrift"/>
                <w:rFonts w:ascii="Times New Roman" w:hAnsi="Times New Roman"/>
                <w:b w:val="0"/>
                <w:sz w:val="24"/>
                <w:u w:val="none"/>
              </w:rPr>
            </w:pPr>
            <w:r w:rsidRPr="00A72949">
              <w:rPr>
                <w:rStyle w:val="FormatvorlageInstructionsTabelleText"/>
                <w:rFonts w:ascii="Times New Roman" w:hAnsi="Times New Roman"/>
                <w:sz w:val="24"/>
              </w:rPr>
              <w:t>Behaviorálne modely alebo podmienené modely [ako sa uvádza</w:t>
            </w:r>
            <w:r w:rsidR="00A72949">
              <w:rPr>
                <w:rStyle w:val="FormatvorlageInstructionsTabelleText"/>
                <w:rFonts w:ascii="Times New Roman" w:hAnsi="Times New Roman"/>
                <w:sz w:val="24"/>
              </w:rPr>
              <w:t xml:space="preserve"> v </w:t>
            </w:r>
            <w:r w:rsidRPr="00A72949">
              <w:rPr>
                <w:rStyle w:val="FormatvorlageInstructionsTabelleText"/>
                <w:rFonts w:ascii="Times New Roman" w:hAnsi="Times New Roman"/>
                <w:sz w:val="24"/>
              </w:rPr>
              <w:t>článku 3 ods. 2 písm. c)</w:t>
            </w:r>
            <w:r w:rsidRPr="00A72949">
              <w:rPr>
                <w:rStyle w:val="InstructionsTabelleberschrift"/>
                <w:rFonts w:ascii="Times New Roman" w:hAnsi="Times New Roman"/>
                <w:b w:val="0"/>
                <w:sz w:val="24"/>
                <w:u w:val="none"/>
              </w:rPr>
              <w:t xml:space="preserve"> delegovaného nariadenia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FormatvorlageInstructionsTabelleText"/>
                <w:rFonts w:ascii="Times New Roman" w:hAnsi="Times New Roman"/>
                <w:sz w:val="24"/>
              </w:rPr>
              <w:t>SOT)] sa na účely odvodzovania parametrov nezohľadňujú.</w:t>
            </w:r>
          </w:p>
        </w:tc>
      </w:tr>
      <w:tr w:rsidR="004E6C70" w:rsidRPr="00A72949" w14:paraId="2092BA62" w14:textId="77777777" w:rsidTr="00E73145">
        <w:tc>
          <w:tcPr>
            <w:tcW w:w="1129" w:type="dxa"/>
          </w:tcPr>
          <w:p w14:paraId="61FE507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0040</w:t>
            </w:r>
          </w:p>
        </w:tc>
        <w:tc>
          <w:tcPr>
            <w:tcW w:w="7620" w:type="dxa"/>
          </w:tcPr>
          <w:p w14:paraId="7461E3D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Základný scenár (behaviorálny)</w:t>
            </w:r>
          </w:p>
          <w:p w14:paraId="2E89923C" w14:textId="1EA8841E" w:rsid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Inštitúcie poskytujú príslušné parametre (t. j. priemerné dátumy precenenia) použité</w:t>
            </w:r>
            <w:r w:rsidRPr="00A72949">
              <w:rPr>
                <w:rStyle w:val="InstructionsTabelleberschrift"/>
                <w:rFonts w:ascii="Times New Roman" w:hAnsi="Times New Roman"/>
                <w:b w:val="0"/>
                <w:sz w:val="24"/>
                <w:u w:val="none"/>
              </w:rPr>
              <w:t xml:space="preserve"> pre expozície, ktoré sú predmetom behaviorálneho modelovania,</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prípade ktorých načasovanie</w:t>
            </w:r>
            <w:r w:rsidR="00A72949">
              <w:rPr>
                <w:rStyle w:val="InstructionsTabelleberschrift"/>
                <w:rFonts w:ascii="Times New Roman" w:hAnsi="Times New Roman"/>
                <w:b w:val="0"/>
                <w:sz w:val="24"/>
                <w:u w:val="none"/>
              </w:rPr>
              <w:t xml:space="preserve"> a </w:t>
            </w:r>
            <w:r w:rsidRPr="00A72949">
              <w:rPr>
                <w:rStyle w:val="InstructionsTabelleberschrift"/>
                <w:rFonts w:ascii="Times New Roman" w:hAnsi="Times New Roman"/>
                <w:b w:val="0"/>
                <w:sz w:val="24"/>
                <w:u w:val="none"/>
              </w:rPr>
              <w:t>výška peňažných tokov závisia od správania klientov, podľa základného úrokového scenára</w:t>
            </w:r>
            <w:r w:rsidR="00A72949">
              <w:rPr>
                <w:rStyle w:val="FormatvorlageInstructionsTabelleText"/>
                <w:rFonts w:ascii="Times New Roman" w:hAnsi="Times New Roman"/>
                <w:sz w:val="24"/>
              </w:rPr>
              <w:t>.</w:t>
            </w:r>
          </w:p>
          <w:p w14:paraId="4A1EF466" w14:textId="75D4BF2E"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Inštitúcie vykazujú údaje na základe špecifikácií uvedených</w:t>
            </w:r>
            <w:r w:rsidR="00A72949">
              <w:rPr>
                <w:rStyle w:val="InstructionsTabelleberschrift"/>
                <w:rFonts w:ascii="Times New Roman" w:hAnsi="Times New Roman"/>
                <w:b w:val="0"/>
                <w:sz w:val="24"/>
                <w:u w:val="none"/>
              </w:rPr>
              <w:t xml:space="preserve"> v </w:t>
            </w:r>
            <w:r w:rsidRPr="00A72949">
              <w:rPr>
                <w:rStyle w:val="InstructionsTabelleberschrift"/>
                <w:rFonts w:ascii="Times New Roman" w:hAnsi="Times New Roman"/>
                <w:b w:val="0"/>
                <w:sz w:val="24"/>
                <w:u w:val="none"/>
              </w:rPr>
              <w:t>článku 98 ods. 5 písm. a)</w:t>
            </w:r>
            <w:r w:rsidRPr="00A72949">
              <w:t xml:space="preserve"> smernice 2013/36/EÚ</w:t>
            </w:r>
            <w:r w:rsidR="00A72949">
              <w:t xml:space="preserve"> a v </w:t>
            </w:r>
            <w:r w:rsidRPr="00A72949">
              <w:rPr>
                <w:rStyle w:val="InstructionsTabelleberschrift"/>
                <w:rFonts w:ascii="Times New Roman" w:hAnsi="Times New Roman"/>
                <w:b w:val="0"/>
                <w:sz w:val="24"/>
                <w:u w:val="none"/>
              </w:rPr>
              <w:t xml:space="preserve">článku 3 delegovaného nariadenia (EÚ) </w:t>
            </w:r>
            <w:r w:rsidRPr="00A72949">
              <w:rPr>
                <w:rStyle w:val="InstructionsTabelleberschrift"/>
                <w:rFonts w:ascii="Times New Roman" w:hAnsi="Times New Roman"/>
                <w:b w:val="0"/>
                <w:sz w:val="24"/>
                <w:u w:val="none"/>
              </w:rPr>
              <w:lastRenderedPageBreak/>
              <w:t>.../...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FormatvorlageInstructionsTabelleText"/>
                <w:rFonts w:ascii="Times New Roman" w:hAnsi="Times New Roman"/>
                <w:sz w:val="24"/>
              </w:rPr>
              <w:t>SOT).</w:t>
            </w:r>
          </w:p>
        </w:tc>
      </w:tr>
      <w:tr w:rsidR="004E6C70" w:rsidRPr="00A72949" w14:paraId="3A625409" w14:textId="77777777" w:rsidTr="00E73145">
        <w:tc>
          <w:tcPr>
            <w:tcW w:w="1129" w:type="dxa"/>
          </w:tcPr>
          <w:p w14:paraId="3805067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0050</w:t>
            </w:r>
          </w:p>
        </w:tc>
        <w:tc>
          <w:tcPr>
            <w:tcW w:w="7620" w:type="dxa"/>
          </w:tcPr>
          <w:p w14:paraId="6D3DDFFC"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Paralelný šok smerom nahor</w:t>
            </w:r>
          </w:p>
          <w:p w14:paraId="2864B436" w14:textId="676D7567" w:rsidR="004E6C70" w:rsidRPr="00A72949" w:rsidRDefault="004E6C70" w:rsidP="00E73145">
            <w:pPr>
              <w:pStyle w:val="InstructionsText"/>
              <w:rPr>
                <w:rStyle w:val="InstructionsTabelleberschrift"/>
                <w:rFonts w:ascii="Times New Roman" w:hAnsi="Times New Roman"/>
                <w:b w:val="0"/>
                <w:bCs w:val="0"/>
                <w:sz w:val="24"/>
                <w:u w:val="none"/>
              </w:rPr>
            </w:pPr>
            <w:r w:rsidRPr="00A72949">
              <w:t>Inštitúcie sa riadia tými istými pokynmi, aké sú opísané</w:t>
            </w:r>
            <w:r w:rsidR="00A72949">
              <w:t xml:space="preserve"> v </w:t>
            </w:r>
            <w:r w:rsidRPr="00A72949">
              <w:t>položke {J 01.00; r0040}.</w:t>
            </w:r>
          </w:p>
        </w:tc>
      </w:tr>
      <w:tr w:rsidR="004E6C70" w:rsidRPr="00A72949" w14:paraId="3E2E2A35" w14:textId="77777777" w:rsidTr="00E73145">
        <w:tc>
          <w:tcPr>
            <w:tcW w:w="1129" w:type="dxa"/>
          </w:tcPr>
          <w:p w14:paraId="693E9DA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0060</w:t>
            </w:r>
          </w:p>
        </w:tc>
        <w:tc>
          <w:tcPr>
            <w:tcW w:w="7620" w:type="dxa"/>
          </w:tcPr>
          <w:p w14:paraId="56AD08FC"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Paralelný šok smerom nadol</w:t>
            </w:r>
          </w:p>
          <w:p w14:paraId="79A15B08" w14:textId="79C6B224"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r0050}.</w:t>
            </w:r>
          </w:p>
        </w:tc>
      </w:tr>
      <w:tr w:rsidR="004E6C70" w:rsidRPr="00A72949" w14:paraId="2FC52CD9" w14:textId="77777777" w:rsidTr="00E73145">
        <w:tc>
          <w:tcPr>
            <w:tcW w:w="1129" w:type="dxa"/>
          </w:tcPr>
          <w:p w14:paraId="0C16071A"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0070</w:t>
            </w:r>
          </w:p>
        </w:tc>
        <w:tc>
          <w:tcPr>
            <w:tcW w:w="7620" w:type="dxa"/>
          </w:tcPr>
          <w:p w14:paraId="479DD576"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Šok zostrmenia</w:t>
            </w:r>
          </w:p>
          <w:p w14:paraId="61B67576" w14:textId="473E99C4"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r0060}.</w:t>
            </w:r>
          </w:p>
        </w:tc>
      </w:tr>
      <w:tr w:rsidR="004E6C70" w:rsidRPr="00A72949" w14:paraId="14E39E87" w14:textId="77777777" w:rsidTr="00E73145">
        <w:tc>
          <w:tcPr>
            <w:tcW w:w="1129" w:type="dxa"/>
          </w:tcPr>
          <w:p w14:paraId="3A5659C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0080</w:t>
            </w:r>
          </w:p>
        </w:tc>
        <w:tc>
          <w:tcPr>
            <w:tcW w:w="7620" w:type="dxa"/>
          </w:tcPr>
          <w:p w14:paraId="284965B0"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Šok sploštenia</w:t>
            </w:r>
          </w:p>
          <w:p w14:paraId="3B99C33C" w14:textId="0D12E0DE"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r0070}.</w:t>
            </w:r>
          </w:p>
        </w:tc>
      </w:tr>
      <w:tr w:rsidR="004E6C70" w:rsidRPr="00A72949" w14:paraId="264A562E" w14:textId="77777777" w:rsidTr="00E73145">
        <w:tc>
          <w:tcPr>
            <w:tcW w:w="1129" w:type="dxa"/>
          </w:tcPr>
          <w:p w14:paraId="7B4570B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0090</w:t>
            </w:r>
          </w:p>
        </w:tc>
        <w:tc>
          <w:tcPr>
            <w:tcW w:w="7620" w:type="dxa"/>
          </w:tcPr>
          <w:p w14:paraId="75233C35"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Šok pri krátkodobých sadzbách smerom nahor</w:t>
            </w:r>
          </w:p>
          <w:p w14:paraId="6E50A156" w14:textId="22CEDDE4"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r0080}.</w:t>
            </w:r>
          </w:p>
        </w:tc>
      </w:tr>
      <w:tr w:rsidR="004E6C70" w:rsidRPr="00A72949" w14:paraId="41A048B2" w14:textId="77777777" w:rsidTr="00E73145">
        <w:tc>
          <w:tcPr>
            <w:tcW w:w="1129" w:type="dxa"/>
          </w:tcPr>
          <w:p w14:paraId="0CD8F8F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0100</w:t>
            </w:r>
          </w:p>
        </w:tc>
        <w:tc>
          <w:tcPr>
            <w:tcW w:w="7620" w:type="dxa"/>
          </w:tcPr>
          <w:p w14:paraId="4A6266B0"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Šok pri krátkodobých sadzbách smerom nadol</w:t>
            </w:r>
          </w:p>
          <w:p w14:paraId="1FA615D5" w14:textId="63C9A8ED" w:rsidR="004E6C70" w:rsidRPr="00A72949" w:rsidRDefault="004E6C70" w:rsidP="00E73145">
            <w:pPr>
              <w:pStyle w:val="InstructionsText"/>
              <w:rPr>
                <w:rStyle w:val="InstructionsTabelleberschrift"/>
                <w:rFonts w:ascii="Times New Roman" w:hAnsi="Times New Roman"/>
                <w:sz w:val="24"/>
              </w:rPr>
            </w:pPr>
            <w:r w:rsidRPr="00A72949">
              <w:t>Inštitúcie sa riadia tými istými pokynmi, aké sú opísané</w:t>
            </w:r>
            <w:r w:rsidR="00A72949">
              <w:t xml:space="preserve"> v </w:t>
            </w:r>
            <w:r w:rsidRPr="00A72949">
              <w:t>položke {J 01.00; r0090}.</w:t>
            </w:r>
          </w:p>
        </w:tc>
      </w:tr>
    </w:tbl>
    <w:p w14:paraId="3D11B6F8" w14:textId="77777777" w:rsidR="004E6C70" w:rsidRPr="00A72949" w:rsidRDefault="004E6C70" w:rsidP="004E6C70">
      <w:pPr>
        <w:suppressAutoHyphens/>
        <w:spacing w:after="0"/>
        <w:rPr>
          <w:rStyle w:val="InstructionsTabelleText"/>
          <w:rFonts w:ascii="Times New Roman" w:hAnsi="Times New Roman"/>
          <w:sz w:val="24"/>
        </w:rPr>
      </w:pPr>
    </w:p>
    <w:p w14:paraId="6BA52DEB" w14:textId="77777777" w:rsidR="004E6C70" w:rsidRPr="00A72949" w:rsidRDefault="004E6C70" w:rsidP="004E6C70">
      <w:pPr>
        <w:suppressAutoHyphens/>
        <w:spacing w:before="0" w:after="0"/>
        <w:jc w:val="left"/>
        <w:rPr>
          <w:rStyle w:val="InstructionsTabelleText"/>
          <w:rFonts w:ascii="Times New Roman" w:hAnsi="Times New Roman"/>
          <w:sz w:val="24"/>
        </w:rPr>
      </w:pPr>
      <w:r w:rsidRPr="00A72949">
        <w:br w:type="page"/>
      </w:r>
    </w:p>
    <w:p w14:paraId="3ADF8ACE" w14:textId="7C6E20D2" w:rsidR="004E6C70" w:rsidRPr="00A72949" w:rsidRDefault="004E6C70" w:rsidP="004E6C70">
      <w:pPr>
        <w:pStyle w:val="Heading2"/>
        <w:suppressAutoHyphens/>
      </w:pPr>
      <w:bookmarkStart w:id="57" w:name="_Toc188859511"/>
      <w:r w:rsidRPr="00A72949">
        <w:lastRenderedPageBreak/>
        <w:t>ČASŤ VI: KVALITATÍVNE INFORMÁCIE (J 10.00</w:t>
      </w:r>
      <w:r w:rsidR="00A72949">
        <w:t xml:space="preserve"> a </w:t>
      </w:r>
      <w:r w:rsidRPr="00A72949">
        <w:t>J 11.00)</w:t>
      </w:r>
      <w:bookmarkEnd w:id="57"/>
    </w:p>
    <w:p w14:paraId="2CDCD32F" w14:textId="77777777"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58" w:name="_Toc188859512"/>
      <w:r w:rsidRPr="00A72949">
        <w:rPr>
          <w:b/>
          <w:sz w:val="24"/>
        </w:rPr>
        <w:t>1.</w:t>
      </w:r>
      <w:r w:rsidRPr="00A72949">
        <w:tab/>
      </w:r>
      <w:r w:rsidRPr="00A72949">
        <w:rPr>
          <w:b/>
          <w:sz w:val="24"/>
        </w:rPr>
        <w:t>Všeobecné poznámky</w:t>
      </w:r>
      <w:bookmarkEnd w:id="58"/>
    </w:p>
    <w:p w14:paraId="386D2028" w14:textId="05EC3625" w:rsidR="00A72949" w:rsidRDefault="004E6C70" w:rsidP="004E6C70">
      <w:pPr>
        <w:tabs>
          <w:tab w:val="left" w:pos="567"/>
        </w:tabs>
        <w:suppressAutoHyphens/>
        <w:rPr>
          <w:rFonts w:ascii="Times New Roman" w:hAnsi="Times New Roman"/>
          <w:sz w:val="24"/>
        </w:rPr>
      </w:pPr>
      <w:r w:rsidRPr="00A72949">
        <w:t>1.1.</w:t>
      </w:r>
      <w:r w:rsidRPr="00A72949">
        <w:tab/>
      </w:r>
      <w:r w:rsidRPr="00A72949">
        <w:rPr>
          <w:rFonts w:ascii="Times New Roman" w:hAnsi="Times New Roman"/>
          <w:sz w:val="24"/>
        </w:rPr>
        <w:t>Vzory J 10.00</w:t>
      </w:r>
      <w:r w:rsidR="00A72949">
        <w:rPr>
          <w:rFonts w:ascii="Times New Roman" w:hAnsi="Times New Roman"/>
          <w:sz w:val="24"/>
        </w:rPr>
        <w:t xml:space="preserve"> a </w:t>
      </w:r>
      <w:r w:rsidRPr="00A72949">
        <w:rPr>
          <w:rFonts w:ascii="Times New Roman" w:hAnsi="Times New Roman"/>
          <w:sz w:val="24"/>
        </w:rPr>
        <w:t>J 11.00 obsahujú kvalitatívne údaje</w:t>
      </w:r>
      <w:r w:rsidR="00A72949">
        <w:rPr>
          <w:rFonts w:ascii="Times New Roman" w:hAnsi="Times New Roman"/>
          <w:sz w:val="24"/>
        </w:rPr>
        <w:t xml:space="preserve"> o </w:t>
      </w:r>
      <w:r w:rsidRPr="00A72949">
        <w:rPr>
          <w:rFonts w:ascii="Times New Roman" w:hAnsi="Times New Roman"/>
          <w:sz w:val="24"/>
        </w:rPr>
        <w:t>metodikách používaných pri posudzovaní IRRBB</w:t>
      </w:r>
      <w:r w:rsidR="00A72949">
        <w:rPr>
          <w:rFonts w:ascii="Times New Roman" w:hAnsi="Times New Roman"/>
          <w:sz w:val="24"/>
        </w:rPr>
        <w:t>.</w:t>
      </w:r>
    </w:p>
    <w:p w14:paraId="78A584F6" w14:textId="37BF5B30" w:rsidR="00A72949" w:rsidRDefault="004E6C70" w:rsidP="004E6C70">
      <w:pPr>
        <w:tabs>
          <w:tab w:val="left" w:pos="567"/>
        </w:tabs>
        <w:suppressAutoHyphens/>
        <w:rPr>
          <w:rFonts w:ascii="Times New Roman" w:hAnsi="Times New Roman"/>
          <w:sz w:val="24"/>
        </w:rPr>
      </w:pPr>
      <w:r w:rsidRPr="00A72949">
        <w:rPr>
          <w:rFonts w:ascii="Times New Roman" w:hAnsi="Times New Roman"/>
          <w:sz w:val="24"/>
        </w:rPr>
        <w:t>1.2.</w:t>
      </w:r>
      <w:r w:rsidRPr="00A72949">
        <w:tab/>
      </w:r>
      <w:r w:rsidRPr="00A72949">
        <w:rPr>
          <w:rFonts w:ascii="Times New Roman" w:hAnsi="Times New Roman"/>
          <w:sz w:val="24"/>
        </w:rPr>
        <w:t>Inštitúcie vykazujú príslušné informácie na základe vopred určeného zoznamu možností. Riadky 0320 až 0360 sa vykazujú osobitne za každú menu,</w:t>
      </w:r>
      <w:r w:rsidR="00A72949">
        <w:rPr>
          <w:rFonts w:ascii="Times New Roman" w:hAnsi="Times New Roman"/>
          <w:sz w:val="24"/>
        </w:rPr>
        <w:t xml:space="preserve"> v </w:t>
      </w:r>
      <w:r w:rsidRPr="00A72949">
        <w:rPr>
          <w:rFonts w:ascii="Times New Roman" w:hAnsi="Times New Roman"/>
          <w:sz w:val="24"/>
        </w:rPr>
        <w:t>ktorej má inštitúcia pozície, ak účtovná hodnota finančných aktív alebo záväzkov denominovaných</w:t>
      </w:r>
      <w:r w:rsidR="00A72949">
        <w:rPr>
          <w:rFonts w:ascii="Times New Roman" w:hAnsi="Times New Roman"/>
          <w:sz w:val="24"/>
        </w:rPr>
        <w:t xml:space="preserve"> v </w:t>
      </w:r>
      <w:r w:rsidRPr="00A72949">
        <w:rPr>
          <w:rFonts w:ascii="Times New Roman" w:hAnsi="Times New Roman"/>
          <w:sz w:val="24"/>
        </w:rPr>
        <w:t>danej mene predstavuje 5</w:t>
      </w:r>
      <w:r w:rsidR="00A72949">
        <w:rPr>
          <w:rFonts w:ascii="Times New Roman" w:hAnsi="Times New Roman"/>
          <w:sz w:val="24"/>
        </w:rPr>
        <w:t> %</w:t>
      </w:r>
      <w:r w:rsidRPr="00A72949">
        <w:rPr>
          <w:rFonts w:ascii="Times New Roman" w:hAnsi="Times New Roman"/>
          <w:sz w:val="24"/>
        </w:rPr>
        <w:t xml:space="preserve"> alebo viac celkových finančných aktív alebo záväzkov</w:t>
      </w:r>
      <w:r w:rsidR="00A72949">
        <w:rPr>
          <w:rFonts w:ascii="Times New Roman" w:hAnsi="Times New Roman"/>
          <w:sz w:val="24"/>
        </w:rPr>
        <w:t xml:space="preserve"> v </w:t>
      </w:r>
      <w:r w:rsidRPr="00A72949">
        <w:rPr>
          <w:rFonts w:ascii="Times New Roman" w:hAnsi="Times New Roman"/>
          <w:sz w:val="24"/>
        </w:rPr>
        <w:t>bankovej knihe alebo menej ako 5</w:t>
      </w:r>
      <w:r w:rsidR="00A72949">
        <w:rPr>
          <w:rFonts w:ascii="Times New Roman" w:hAnsi="Times New Roman"/>
          <w:sz w:val="24"/>
        </w:rPr>
        <w:t> %</w:t>
      </w:r>
      <w:r w:rsidRPr="00A72949">
        <w:rPr>
          <w:rFonts w:ascii="Times New Roman" w:hAnsi="Times New Roman"/>
          <w:sz w:val="24"/>
        </w:rPr>
        <w:t>, ak je súčet finančných aktív alebo záväzkov zahrnutých do výpočtu nižší ako 90</w:t>
      </w:r>
      <w:r w:rsidR="00A72949">
        <w:rPr>
          <w:rFonts w:ascii="Times New Roman" w:hAnsi="Times New Roman"/>
          <w:sz w:val="24"/>
        </w:rPr>
        <w:t> %</w:t>
      </w:r>
      <w:r w:rsidRPr="00A72949">
        <w:rPr>
          <w:rFonts w:ascii="Times New Roman" w:hAnsi="Times New Roman"/>
          <w:sz w:val="24"/>
        </w:rPr>
        <w:t xml:space="preserve"> celkových finančných aktív (okrem hmotného majetku) alebo záväzkov</w:t>
      </w:r>
      <w:r w:rsidR="00A72949">
        <w:rPr>
          <w:rFonts w:ascii="Times New Roman" w:hAnsi="Times New Roman"/>
          <w:sz w:val="24"/>
        </w:rPr>
        <w:t xml:space="preserve"> v </w:t>
      </w:r>
      <w:r w:rsidRPr="00A72949">
        <w:rPr>
          <w:rFonts w:ascii="Times New Roman" w:hAnsi="Times New Roman"/>
          <w:sz w:val="24"/>
        </w:rPr>
        <w:t>bankovej knihe. Ostatné riadky (od 0010 do 0310) nezávisia od meny</w:t>
      </w:r>
      <w:r w:rsidR="00A72949">
        <w:rPr>
          <w:rFonts w:ascii="Times New Roman" w:hAnsi="Times New Roman"/>
          <w:sz w:val="24"/>
        </w:rPr>
        <w:t>.</w:t>
      </w:r>
    </w:p>
    <w:p w14:paraId="501C54B4" w14:textId="4D776689" w:rsidR="004E6C70" w:rsidRPr="00A72949" w:rsidRDefault="004E6C70" w:rsidP="004E6C70">
      <w:pPr>
        <w:pStyle w:val="Instructionsberschrift2"/>
        <w:numPr>
          <w:ilvl w:val="0"/>
          <w:numId w:val="0"/>
        </w:numPr>
        <w:tabs>
          <w:tab w:val="left" w:pos="567"/>
        </w:tabs>
        <w:suppressAutoHyphens/>
        <w:rPr>
          <w:rFonts w:cs="Times New Roman"/>
          <w:b/>
          <w:bCs/>
          <w:sz w:val="24"/>
        </w:rPr>
      </w:pPr>
      <w:bookmarkStart w:id="59" w:name="_Toc188859513"/>
      <w:r w:rsidRPr="00A72949">
        <w:rPr>
          <w:b/>
          <w:sz w:val="24"/>
        </w:rPr>
        <w:t>2.</w:t>
      </w:r>
      <w:r w:rsidRPr="00A72949">
        <w:tab/>
      </w:r>
      <w:r w:rsidRPr="00A72949">
        <w:rPr>
          <w:b/>
          <w:sz w:val="24"/>
        </w:rPr>
        <w:t>Pokyny týkajúce sa konkrétnych pozícií</w:t>
      </w:r>
      <w:bookmarkEnd w:id="5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E6C70" w:rsidRPr="00A72949" w14:paraId="62D6E3B1" w14:textId="77777777" w:rsidTr="00E73145">
        <w:tc>
          <w:tcPr>
            <w:tcW w:w="1129" w:type="dxa"/>
            <w:shd w:val="clear" w:color="auto" w:fill="D9D9D9" w:themeFill="background1" w:themeFillShade="D9"/>
          </w:tcPr>
          <w:p w14:paraId="69EA5009" w14:textId="77777777" w:rsidR="004E6C70" w:rsidRPr="00A72949" w:rsidRDefault="004E6C70" w:rsidP="00E73145">
            <w:pPr>
              <w:pStyle w:val="InstructionsText"/>
              <w:rPr>
                <w:rStyle w:val="InstructionsTabelleText"/>
                <w:rFonts w:ascii="Times New Roman" w:eastAsia="Arial" w:hAnsi="Times New Roman"/>
                <w:sz w:val="24"/>
              </w:rPr>
            </w:pPr>
            <w:r w:rsidRPr="00A72949">
              <w:rPr>
                <w:rStyle w:val="InstructionsTabelleText"/>
                <w:rFonts w:ascii="Times New Roman" w:hAnsi="Times New Roman"/>
                <w:sz w:val="24"/>
              </w:rPr>
              <w:t>Riadok</w:t>
            </w:r>
          </w:p>
        </w:tc>
        <w:tc>
          <w:tcPr>
            <w:tcW w:w="7620" w:type="dxa"/>
            <w:shd w:val="clear" w:color="auto" w:fill="D9D9D9" w:themeFill="background1" w:themeFillShade="D9"/>
          </w:tcPr>
          <w:p w14:paraId="5D0D5085" w14:textId="7B028D69" w:rsidR="004E6C70" w:rsidRPr="00A72949" w:rsidRDefault="004E6C70" w:rsidP="00E73145">
            <w:pPr>
              <w:pStyle w:val="InstructionsText"/>
              <w:rPr>
                <w:rStyle w:val="InstructionsTabelleText"/>
                <w:rFonts w:ascii="Times New Roman" w:hAnsi="Times New Roman"/>
                <w:bCs/>
                <w:sz w:val="24"/>
              </w:rPr>
            </w:pPr>
            <w:r w:rsidRPr="00A72949">
              <w:rPr>
                <w:rStyle w:val="InstructionsTabelleText"/>
                <w:rFonts w:ascii="Times New Roman" w:hAnsi="Times New Roman"/>
                <w:sz w:val="24"/>
              </w:rPr>
              <w:t>Odkazy na právne predpisy</w:t>
            </w:r>
            <w:r w:rsidR="00A72949">
              <w:rPr>
                <w:rStyle w:val="InstructionsTabelleText"/>
                <w:rFonts w:ascii="Times New Roman" w:hAnsi="Times New Roman"/>
                <w:sz w:val="24"/>
              </w:rPr>
              <w:t xml:space="preserve"> a </w:t>
            </w:r>
            <w:r w:rsidRPr="00A72949">
              <w:rPr>
                <w:rStyle w:val="InstructionsTabelleText"/>
                <w:rFonts w:ascii="Times New Roman" w:hAnsi="Times New Roman"/>
                <w:sz w:val="24"/>
              </w:rPr>
              <w:t>pokyny</w:t>
            </w:r>
          </w:p>
        </w:tc>
      </w:tr>
      <w:tr w:rsidR="004E6C70" w:rsidRPr="00A72949" w14:paraId="6C4AE740" w14:textId="77777777" w:rsidTr="00E73145">
        <w:tc>
          <w:tcPr>
            <w:tcW w:w="1129" w:type="dxa"/>
          </w:tcPr>
          <w:p w14:paraId="68E9F44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0010</w:t>
            </w:r>
          </w:p>
        </w:tc>
        <w:tc>
          <w:tcPr>
            <w:tcW w:w="7620" w:type="dxa"/>
          </w:tcPr>
          <w:p w14:paraId="724D7F71"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Prístup použitý na účely SOT (NII/EVE)</w:t>
            </w:r>
          </w:p>
          <w:p w14:paraId="221EF39C"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Inštitúcie uvádzajú prístup, ktorý sa použil na účely výpočtu SOT (NII/EVE):</w:t>
            </w:r>
          </w:p>
          <w:p w14:paraId="18746E55"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zjednodušený SA;</w:t>
            </w:r>
          </w:p>
          <w:p w14:paraId="45B9715E"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SA;</w:t>
            </w:r>
          </w:p>
          <w:p w14:paraId="763F0FB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 IMS.</w:t>
            </w:r>
          </w:p>
        </w:tc>
      </w:tr>
      <w:tr w:rsidR="004E6C70" w:rsidRPr="00A72949" w14:paraId="21C9A44F" w14:textId="77777777" w:rsidTr="00E73145">
        <w:tc>
          <w:tcPr>
            <w:tcW w:w="1129" w:type="dxa"/>
          </w:tcPr>
          <w:p w14:paraId="1096613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0020</w:t>
            </w:r>
          </w:p>
        </w:tc>
        <w:tc>
          <w:tcPr>
            <w:tcW w:w="7620" w:type="dxa"/>
          </w:tcPr>
          <w:p w14:paraId="741B274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Požiadavka príslušného orgánu (NII/EVE)</w:t>
            </w:r>
          </w:p>
          <w:p w14:paraId="50BFD65E" w14:textId="6089A027" w:rsidR="004E6C70" w:rsidRPr="00A72949" w:rsidRDefault="004E6C70" w:rsidP="00E73145">
            <w:pPr>
              <w:pStyle w:val="InstructionsText"/>
              <w:rPr>
                <w:rStyle w:val="InstructionsTabelleberschrift"/>
                <w:rFonts w:ascii="Times New Roman" w:hAnsi="Times New Roman"/>
                <w:b w:val="0"/>
                <w:bCs w:val="0"/>
                <w:sz w:val="24"/>
                <w:u w:val="none"/>
              </w:rPr>
            </w:pPr>
            <w:r w:rsidRPr="00A72949">
              <w:t>Článok 84 ods. 3</w:t>
            </w:r>
            <w:r w:rsidR="00A72949">
              <w:t xml:space="preserve"> a </w:t>
            </w:r>
            <w:r w:rsidRPr="00A72949">
              <w:t>4 smernice 2013/36/EÚ. Ak je metóda inštitúcie na výpočet EVE/NII založená na prístupe SA, inštitúcie vykazujú, či išlo</w:t>
            </w:r>
            <w:r w:rsidR="00A72949">
              <w:t xml:space="preserve"> o </w:t>
            </w:r>
            <w:r w:rsidRPr="00A72949">
              <w:t>požiadavku príslušného orgánu:</w:t>
            </w:r>
          </w:p>
          <w:p w14:paraId="6A8FB7E0"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268E0383"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31298B16"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 neuplatňuje sa.</w:t>
            </w:r>
          </w:p>
        </w:tc>
      </w:tr>
      <w:tr w:rsidR="004E6C70" w:rsidRPr="00A72949" w14:paraId="3F71DDCC" w14:textId="77777777" w:rsidTr="00E73145">
        <w:tc>
          <w:tcPr>
            <w:tcW w:w="1129" w:type="dxa"/>
          </w:tcPr>
          <w:p w14:paraId="4FB131F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0030</w:t>
            </w:r>
          </w:p>
        </w:tc>
        <w:tc>
          <w:tcPr>
            <w:tcW w:w="7620" w:type="dxa"/>
          </w:tcPr>
          <w:p w14:paraId="5BD653E0"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Metodika (NII)</w:t>
            </w:r>
          </w:p>
          <w:p w14:paraId="0B887B28" w14:textId="09600305"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NII zohľadnila medzera</w:t>
            </w:r>
            <w:r w:rsidR="00A72949">
              <w:t xml:space="preserve"> v </w:t>
            </w:r>
            <w:r w:rsidRPr="00A72949">
              <w:t>precenení, úplné precenenie alebo zmiešaný prístup</w:t>
            </w:r>
            <w:r w:rsidR="00A72949">
              <w:t>:</w:t>
            </w:r>
          </w:p>
          <w:p w14:paraId="25FFB003" w14:textId="6A4CE96A" w:rsidR="004E6C70" w:rsidRPr="00A72949" w:rsidRDefault="004E6C70" w:rsidP="00E73145">
            <w:pPr>
              <w:pStyle w:val="InstructionsText"/>
            </w:pPr>
            <w:r w:rsidRPr="00A72949">
              <w:t>– medzera</w:t>
            </w:r>
            <w:r w:rsidR="00A72949">
              <w:t xml:space="preserve"> v </w:t>
            </w:r>
            <w:r w:rsidRPr="00A72949">
              <w:t>precenení;</w:t>
            </w:r>
          </w:p>
          <w:p w14:paraId="5D1025D9" w14:textId="77777777" w:rsidR="004E6C70" w:rsidRPr="00A72949" w:rsidRDefault="004E6C70" w:rsidP="00E73145">
            <w:pPr>
              <w:pStyle w:val="InstructionsText"/>
            </w:pPr>
            <w:r w:rsidRPr="00A72949">
              <w:t>– úplné precenenie;</w:t>
            </w:r>
          </w:p>
          <w:p w14:paraId="4F88EFF7" w14:textId="77777777" w:rsidR="004E6C70" w:rsidRPr="00A72949" w:rsidRDefault="004E6C70" w:rsidP="00E73145">
            <w:pPr>
              <w:pStyle w:val="InstructionsText"/>
            </w:pPr>
            <w:r w:rsidRPr="00A72949">
              <w:t>– zmiešaný prístup;</w:t>
            </w:r>
          </w:p>
          <w:p w14:paraId="536AB36A" w14:textId="77777777" w:rsidR="004E6C70" w:rsidRPr="00A72949" w:rsidRDefault="004E6C70" w:rsidP="00E73145">
            <w:pPr>
              <w:pStyle w:val="InstructionsText"/>
            </w:pPr>
            <w:r w:rsidRPr="00A72949">
              <w:t>– iné.</w:t>
            </w:r>
          </w:p>
        </w:tc>
      </w:tr>
      <w:tr w:rsidR="004E6C70" w:rsidRPr="00A72949" w14:paraId="17AB1C91" w14:textId="77777777" w:rsidTr="00E73145">
        <w:tc>
          <w:tcPr>
            <w:tcW w:w="1129" w:type="dxa"/>
          </w:tcPr>
          <w:p w14:paraId="0E56B15B"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0040</w:t>
            </w:r>
          </w:p>
        </w:tc>
        <w:tc>
          <w:tcPr>
            <w:tcW w:w="7620" w:type="dxa"/>
          </w:tcPr>
          <w:p w14:paraId="2EDEA628" w14:textId="77777777" w:rsidR="004E6C70" w:rsidRPr="00A72949" w:rsidRDefault="004E6C70" w:rsidP="00E73145">
            <w:pPr>
              <w:suppressAutoHyphens/>
              <w:rPr>
                <w:rStyle w:val="InstructionsTabelleberschrift"/>
                <w:rFonts w:ascii="Times New Roman" w:hAnsi="Times New Roman"/>
                <w:sz w:val="24"/>
              </w:rPr>
            </w:pPr>
            <w:r w:rsidRPr="00A72949">
              <w:rPr>
                <w:rStyle w:val="InstructionsTabelleberschrift"/>
                <w:rFonts w:ascii="Times New Roman" w:hAnsi="Times New Roman"/>
                <w:sz w:val="24"/>
              </w:rPr>
              <w:t>Podmienené peňažné toky (NII)</w:t>
            </w:r>
          </w:p>
          <w:p w14:paraId="4C86438C" w14:textId="5235B2D3"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NII zohľadnili podmienené peňažné toky</w:t>
            </w:r>
            <w:r w:rsidR="00A72949">
              <w:t>:</w:t>
            </w:r>
          </w:p>
          <w:p w14:paraId="60226A93" w14:textId="0DE95C4A" w:rsidR="00A72949" w:rsidRDefault="004E6C70" w:rsidP="00E73145">
            <w:pPr>
              <w:pStyle w:val="InstructionsText"/>
            </w:pPr>
            <w:r w:rsidRPr="00A72949">
              <w:t>– všetky významné položky</w:t>
            </w:r>
            <w:r w:rsidR="00A72949">
              <w:t>;</w:t>
            </w:r>
          </w:p>
          <w:p w14:paraId="1F85BB25" w14:textId="77777777" w:rsidR="00A72949" w:rsidRDefault="004E6C70" w:rsidP="00E73145">
            <w:pPr>
              <w:pStyle w:val="InstructionsText"/>
            </w:pPr>
            <w:r w:rsidRPr="00A72949">
              <w:lastRenderedPageBreak/>
              <w:t>– niektoré významné položky</w:t>
            </w:r>
            <w:r w:rsidR="00A72949">
              <w:t>;</w:t>
            </w:r>
          </w:p>
          <w:p w14:paraId="6D816275" w14:textId="235F712E" w:rsidR="004E6C70" w:rsidRPr="00A72949" w:rsidRDefault="004E6C70" w:rsidP="00E73145">
            <w:pPr>
              <w:pStyle w:val="InstructionsText"/>
            </w:pPr>
            <w:r w:rsidRPr="00A72949">
              <w:t>– nezohľadnené.</w:t>
            </w:r>
          </w:p>
        </w:tc>
      </w:tr>
      <w:tr w:rsidR="004E6C70" w:rsidRPr="00A72949" w14:paraId="278BF1E8" w14:textId="77777777" w:rsidTr="00E73145">
        <w:tc>
          <w:tcPr>
            <w:tcW w:w="1129" w:type="dxa"/>
          </w:tcPr>
          <w:p w14:paraId="1A73961C"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0050</w:t>
            </w:r>
          </w:p>
        </w:tc>
        <w:tc>
          <w:tcPr>
            <w:tcW w:w="7620" w:type="dxa"/>
          </w:tcPr>
          <w:p w14:paraId="5F5262D2" w14:textId="160D2262"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Riziko spojené</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opciami (NII)</w:t>
            </w:r>
          </w:p>
          <w:p w14:paraId="2C63F3DE" w14:textId="14703904"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NII zohľadnilo riziko spojené</w:t>
            </w:r>
            <w:r w:rsidR="00A72949">
              <w:t xml:space="preserve"> s </w:t>
            </w:r>
            <w:r w:rsidRPr="00A72949">
              <w:t>opciami</w:t>
            </w:r>
            <w:r w:rsidR="00A72949">
              <w:t>:</w:t>
            </w:r>
          </w:p>
          <w:p w14:paraId="261EE187" w14:textId="55DA2255" w:rsidR="00A72949" w:rsidRDefault="004E6C70" w:rsidP="00E73145">
            <w:pPr>
              <w:pStyle w:val="InstructionsText"/>
            </w:pPr>
            <w:r w:rsidRPr="00A72949">
              <w:t>– zohľadnené</w:t>
            </w:r>
            <w:r w:rsidR="00A72949">
              <w:t>;</w:t>
            </w:r>
          </w:p>
          <w:p w14:paraId="562D6BC3" w14:textId="68692E37" w:rsidR="004E6C70" w:rsidRPr="00A72949" w:rsidRDefault="004E6C70" w:rsidP="00E73145">
            <w:pPr>
              <w:pStyle w:val="InstructionsText"/>
            </w:pPr>
            <w:r w:rsidRPr="00A72949">
              <w:t>– nezohľadnené.</w:t>
            </w:r>
          </w:p>
        </w:tc>
      </w:tr>
      <w:tr w:rsidR="004E6C70" w:rsidRPr="00A72949" w14:paraId="657F42B3" w14:textId="77777777" w:rsidTr="00E73145">
        <w:tc>
          <w:tcPr>
            <w:tcW w:w="1129" w:type="dxa"/>
          </w:tcPr>
          <w:p w14:paraId="3ECC117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0060</w:t>
            </w:r>
          </w:p>
        </w:tc>
        <w:tc>
          <w:tcPr>
            <w:tcW w:w="7620" w:type="dxa"/>
          </w:tcPr>
          <w:p w14:paraId="35C8022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Bázické riziko (NII)</w:t>
            </w:r>
          </w:p>
          <w:p w14:paraId="41D9C4C0" w14:textId="5595D819"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NII zohľadnilo bázické riziko</w:t>
            </w:r>
            <w:r w:rsidR="00A72949">
              <w:t>:</w:t>
            </w:r>
          </w:p>
          <w:p w14:paraId="75FCFA00" w14:textId="118F4F16" w:rsidR="00A72949" w:rsidRDefault="004E6C70" w:rsidP="00E73145">
            <w:pPr>
              <w:pStyle w:val="InstructionsText"/>
            </w:pPr>
            <w:r w:rsidRPr="00A72949">
              <w:t>– zohľadnené</w:t>
            </w:r>
            <w:r w:rsidR="00A72949">
              <w:t>;</w:t>
            </w:r>
          </w:p>
          <w:p w14:paraId="0ADD43D0" w14:textId="09BEC0F4" w:rsidR="004E6C70" w:rsidRPr="00A72949" w:rsidRDefault="004E6C70" w:rsidP="00E73145">
            <w:pPr>
              <w:pStyle w:val="InstructionsText"/>
            </w:pPr>
            <w:r w:rsidRPr="00A72949">
              <w:t>– nezohľadnené.</w:t>
            </w:r>
          </w:p>
        </w:tc>
      </w:tr>
      <w:tr w:rsidR="004E6C70" w:rsidRPr="00A72949" w14:paraId="2D71E48C" w14:textId="77777777" w:rsidTr="00E73145">
        <w:tc>
          <w:tcPr>
            <w:tcW w:w="1129" w:type="dxa"/>
          </w:tcPr>
          <w:p w14:paraId="5E2EB972"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0070</w:t>
            </w:r>
          </w:p>
        </w:tc>
        <w:tc>
          <w:tcPr>
            <w:tcW w:w="7620" w:type="dxa"/>
          </w:tcPr>
          <w:p w14:paraId="418D443F"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Metodika (EVE)</w:t>
            </w:r>
          </w:p>
          <w:p w14:paraId="5D29326A" w14:textId="72669D97"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EVE zohľadnila medzera</w:t>
            </w:r>
            <w:r w:rsidR="00A72949">
              <w:t xml:space="preserve"> v </w:t>
            </w:r>
            <w:proofErr w:type="spellStart"/>
            <w:r w:rsidRPr="00A72949">
              <w:t>durácii</w:t>
            </w:r>
            <w:proofErr w:type="spellEnd"/>
            <w:r w:rsidRPr="00A72949">
              <w:t xml:space="preserve"> alebo prístup úplného precenenia</w:t>
            </w:r>
            <w:r w:rsidR="00A72949">
              <w:t>:</w:t>
            </w:r>
          </w:p>
          <w:p w14:paraId="46C71744" w14:textId="75EE2F63" w:rsidR="00A72949" w:rsidRDefault="004E6C70" w:rsidP="00E73145">
            <w:pPr>
              <w:pStyle w:val="InstructionsText"/>
            </w:pPr>
            <w:r w:rsidRPr="00A72949">
              <w:t>– medzera</w:t>
            </w:r>
            <w:r w:rsidR="00A72949">
              <w:t xml:space="preserve"> v </w:t>
            </w:r>
            <w:proofErr w:type="spellStart"/>
            <w:r w:rsidRPr="00A72949">
              <w:t>durácii</w:t>
            </w:r>
            <w:proofErr w:type="spellEnd"/>
            <w:r w:rsidR="00A72949">
              <w:t>;</w:t>
            </w:r>
          </w:p>
          <w:p w14:paraId="501E7F73" w14:textId="050FB608" w:rsidR="004E6C70" w:rsidRPr="00A72949" w:rsidRDefault="004E6C70" w:rsidP="00E73145">
            <w:pPr>
              <w:pStyle w:val="InstructionsText"/>
            </w:pPr>
            <w:r w:rsidRPr="00A72949">
              <w:t>– úplné precenenie;</w:t>
            </w:r>
          </w:p>
          <w:p w14:paraId="12C19445" w14:textId="77777777" w:rsidR="00A72949" w:rsidRDefault="004E6C70" w:rsidP="00E73145">
            <w:pPr>
              <w:pStyle w:val="InstructionsText"/>
            </w:pPr>
            <w:r w:rsidRPr="00A72949">
              <w:t>– zmiešaný prístup</w:t>
            </w:r>
            <w:r w:rsidR="00A72949">
              <w:t>;</w:t>
            </w:r>
          </w:p>
          <w:p w14:paraId="1B65DA3C" w14:textId="5ED454AF" w:rsidR="004E6C70" w:rsidRPr="00A72949" w:rsidRDefault="004E6C70" w:rsidP="00E73145">
            <w:pPr>
              <w:pStyle w:val="InstructionsText"/>
            </w:pPr>
            <w:r w:rsidRPr="00A72949">
              <w:t>– iné.</w:t>
            </w:r>
          </w:p>
        </w:tc>
      </w:tr>
      <w:tr w:rsidR="004E6C70" w:rsidRPr="00A72949" w14:paraId="0E74E7D8" w14:textId="77777777" w:rsidTr="00E73145">
        <w:tc>
          <w:tcPr>
            <w:tcW w:w="1129" w:type="dxa"/>
          </w:tcPr>
          <w:p w14:paraId="0559A3E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0080</w:t>
            </w:r>
          </w:p>
        </w:tc>
        <w:tc>
          <w:tcPr>
            <w:tcW w:w="7620" w:type="dxa"/>
          </w:tcPr>
          <w:p w14:paraId="5AF1B4FA"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Podmienené peňažné toky (EVE)</w:t>
            </w:r>
          </w:p>
          <w:p w14:paraId="162A90B4" w14:textId="154B6395"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EVE zohľadnili podmienené peňažné toky</w:t>
            </w:r>
            <w:r w:rsidR="00A72949">
              <w:t>:</w:t>
            </w:r>
          </w:p>
          <w:p w14:paraId="6F2651B1" w14:textId="107FE96C" w:rsidR="00A72949" w:rsidRDefault="004E6C70" w:rsidP="00E73145">
            <w:pPr>
              <w:pStyle w:val="InstructionsText"/>
            </w:pPr>
            <w:r w:rsidRPr="00A72949">
              <w:t>– všetky významné položky</w:t>
            </w:r>
            <w:r w:rsidR="00A72949">
              <w:t>;</w:t>
            </w:r>
          </w:p>
          <w:p w14:paraId="50293CE3" w14:textId="77777777" w:rsidR="00A72949" w:rsidRDefault="004E6C70" w:rsidP="00E73145">
            <w:pPr>
              <w:pStyle w:val="InstructionsText"/>
            </w:pPr>
            <w:r w:rsidRPr="00A72949">
              <w:t>– niektoré významné položky</w:t>
            </w:r>
            <w:r w:rsidR="00A72949">
              <w:t>;</w:t>
            </w:r>
          </w:p>
          <w:p w14:paraId="2C59DCB5" w14:textId="2C18D828" w:rsidR="004E6C70" w:rsidRPr="00A72949" w:rsidRDefault="004E6C70" w:rsidP="00E73145">
            <w:pPr>
              <w:pStyle w:val="InstructionsText"/>
            </w:pPr>
            <w:r w:rsidRPr="00A72949">
              <w:t>– nezohľadnené.</w:t>
            </w:r>
          </w:p>
        </w:tc>
      </w:tr>
      <w:tr w:rsidR="004E6C70" w:rsidRPr="00A72949" w14:paraId="642F78B9" w14:textId="77777777" w:rsidTr="00E73145">
        <w:tc>
          <w:tcPr>
            <w:tcW w:w="1129" w:type="dxa"/>
          </w:tcPr>
          <w:p w14:paraId="35EF060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2032200090</w:t>
            </w:r>
          </w:p>
        </w:tc>
        <w:tc>
          <w:tcPr>
            <w:tcW w:w="7620" w:type="dxa"/>
          </w:tcPr>
          <w:p w14:paraId="2DC671F0" w14:textId="1F9BE94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Riziko spojené</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opciami (EVE)</w:t>
            </w:r>
          </w:p>
          <w:p w14:paraId="23361BA7" w14:textId="6AF246A7" w:rsidR="00A72949" w:rsidRDefault="004E6C70" w:rsidP="00E73145">
            <w:pPr>
              <w:pStyle w:val="InstructionsText"/>
            </w:pPr>
            <w:r w:rsidRPr="00A72949">
              <w:t>Inštitúcie uvádzajú, či sa pri výpočte SOT</w:t>
            </w:r>
            <w:r w:rsidR="00A72949">
              <w:t xml:space="preserve"> v </w:t>
            </w:r>
            <w:r w:rsidRPr="00A72949">
              <w:t>súvislosti</w:t>
            </w:r>
            <w:r w:rsidR="00A72949">
              <w:t xml:space="preserve"> s </w:t>
            </w:r>
            <w:r w:rsidRPr="00A72949">
              <w:t>EVE zohľadnilo riziko spojené</w:t>
            </w:r>
            <w:r w:rsidR="00A72949">
              <w:t xml:space="preserve"> s </w:t>
            </w:r>
            <w:r w:rsidRPr="00A72949">
              <w:t>opciami</w:t>
            </w:r>
            <w:r w:rsidR="00A72949">
              <w:t>:</w:t>
            </w:r>
          </w:p>
          <w:p w14:paraId="18F83EE5" w14:textId="79FE1344" w:rsidR="00A72949" w:rsidRDefault="004E6C70" w:rsidP="00E73145">
            <w:pPr>
              <w:pStyle w:val="InstructionsText"/>
            </w:pPr>
            <w:r w:rsidRPr="00A72949">
              <w:t>– zohľadnené</w:t>
            </w:r>
            <w:r w:rsidR="00A72949">
              <w:t>;</w:t>
            </w:r>
          </w:p>
          <w:p w14:paraId="397BF9EB" w14:textId="5911BFCF" w:rsidR="004E6C70" w:rsidRPr="00A72949" w:rsidRDefault="004E6C70" w:rsidP="00E73145">
            <w:pPr>
              <w:pStyle w:val="InstructionsText"/>
            </w:pPr>
            <w:r w:rsidRPr="00A72949">
              <w:t>– nezohľadnené.</w:t>
            </w:r>
          </w:p>
        </w:tc>
      </w:tr>
      <w:tr w:rsidR="004E6C70" w:rsidRPr="00A72949" w14:paraId="48F9E7B7" w14:textId="77777777" w:rsidTr="00E73145">
        <w:tc>
          <w:tcPr>
            <w:tcW w:w="1129" w:type="dxa"/>
          </w:tcPr>
          <w:p w14:paraId="0C372E92"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0100</w:t>
            </w:r>
          </w:p>
        </w:tc>
        <w:tc>
          <w:tcPr>
            <w:tcW w:w="7620" w:type="dxa"/>
          </w:tcPr>
          <w:p w14:paraId="3C0256F4"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Bázické riziko (EVE)</w:t>
            </w:r>
          </w:p>
          <w:p w14:paraId="52CF286F" w14:textId="2CCC408E" w:rsidR="00A72949" w:rsidRDefault="004E6C70" w:rsidP="00E73145">
            <w:pPr>
              <w:suppressAutoHyphens/>
              <w:rPr>
                <w:rFonts w:ascii="Times New Roman" w:hAnsi="Times New Roman"/>
                <w:sz w:val="24"/>
              </w:rPr>
            </w:pPr>
            <w:r w:rsidRPr="00A72949">
              <w:rPr>
                <w:rFonts w:ascii="Times New Roman" w:hAnsi="Times New Roman"/>
                <w:sz w:val="24"/>
              </w:rPr>
              <w:t>Inštitúcie uvádzajú, či sa pri výpočte SOT</w:t>
            </w:r>
            <w:r w:rsidR="00A72949">
              <w:rPr>
                <w:rFonts w:ascii="Times New Roman" w:hAnsi="Times New Roman"/>
                <w:sz w:val="24"/>
              </w:rPr>
              <w:t xml:space="preserve"> v </w:t>
            </w:r>
            <w:r w:rsidRPr="00A72949">
              <w:rPr>
                <w:rFonts w:ascii="Times New Roman" w:hAnsi="Times New Roman"/>
                <w:sz w:val="24"/>
              </w:rPr>
              <w:t>súvislosti</w:t>
            </w:r>
            <w:r w:rsidR="00A72949">
              <w:rPr>
                <w:rFonts w:ascii="Times New Roman" w:hAnsi="Times New Roman"/>
                <w:sz w:val="24"/>
              </w:rPr>
              <w:t xml:space="preserve"> s </w:t>
            </w:r>
            <w:r w:rsidRPr="00A72949">
              <w:rPr>
                <w:rFonts w:ascii="Times New Roman" w:hAnsi="Times New Roman"/>
                <w:sz w:val="24"/>
              </w:rPr>
              <w:t>EVE zohľadnilo bázické riziko</w:t>
            </w:r>
            <w:r w:rsidR="00A72949">
              <w:rPr>
                <w:rFonts w:ascii="Times New Roman" w:hAnsi="Times New Roman"/>
                <w:sz w:val="24"/>
              </w:rPr>
              <w:t>:</w:t>
            </w:r>
          </w:p>
          <w:p w14:paraId="196A6952" w14:textId="6DCFAA8F" w:rsidR="00A72949" w:rsidRDefault="004E6C70" w:rsidP="00E73145">
            <w:pPr>
              <w:pStyle w:val="InstructionsText"/>
            </w:pPr>
            <w:r w:rsidRPr="00A72949">
              <w:t>– zohľadnené</w:t>
            </w:r>
            <w:r w:rsidR="00A72949">
              <w:t>;</w:t>
            </w:r>
          </w:p>
          <w:p w14:paraId="0AB7D1D7" w14:textId="069190BD" w:rsidR="004E6C70" w:rsidRPr="00A72949" w:rsidRDefault="004E6C70" w:rsidP="00E73145">
            <w:pPr>
              <w:pStyle w:val="InstructionsText"/>
            </w:pPr>
            <w:r w:rsidRPr="00A72949">
              <w:t>– nezohľadnené.</w:t>
            </w:r>
          </w:p>
        </w:tc>
      </w:tr>
      <w:tr w:rsidR="004E6C70" w:rsidRPr="00A72949" w14:paraId="2BFADE00" w14:textId="77777777" w:rsidTr="00E73145">
        <w:tc>
          <w:tcPr>
            <w:tcW w:w="1129" w:type="dxa"/>
          </w:tcPr>
          <w:p w14:paraId="363B43AE"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0110</w:t>
            </w:r>
          </w:p>
        </w:tc>
        <w:tc>
          <w:tcPr>
            <w:tcW w:w="7620" w:type="dxa"/>
          </w:tcPr>
          <w:p w14:paraId="1AA028C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Komerčné marže/iné zložky rozpätia (EVE)</w:t>
            </w:r>
          </w:p>
          <w:p w14:paraId="0D492779" w14:textId="7FB17A0A" w:rsidR="004E6C70" w:rsidRPr="00A72949" w:rsidRDefault="004E6C70" w:rsidP="00E73145">
            <w:pPr>
              <w:pStyle w:val="InstructionsText"/>
              <w:rPr>
                <w:rStyle w:val="InstructionsTabelleberschrift"/>
                <w:rFonts w:ascii="Times New Roman" w:hAnsi="Times New Roman"/>
                <w:b w:val="0"/>
                <w:bCs w:val="0"/>
                <w:sz w:val="24"/>
                <w:u w:val="none"/>
              </w:rPr>
            </w:pPr>
            <w:r w:rsidRPr="00A72949">
              <w:t>Inštitúcie uvádzajú, či boli do výpočtu miery rizika SOT</w:t>
            </w:r>
            <w:r w:rsidR="00A72949">
              <w:t xml:space="preserve"> v </w:t>
            </w:r>
            <w:r w:rsidRPr="00A72949">
              <w:t>súvislosti</w:t>
            </w:r>
            <w:r w:rsidR="00A72949">
              <w:t xml:space="preserve"> s </w:t>
            </w:r>
            <w:r w:rsidRPr="00A72949">
              <w:t xml:space="preserve">EVE </w:t>
            </w:r>
            <w:r w:rsidRPr="00A72949">
              <w:lastRenderedPageBreak/>
              <w:t>zahrnuté obchodné marže</w:t>
            </w:r>
            <w:r w:rsidR="00A72949">
              <w:t xml:space="preserve"> a </w:t>
            </w:r>
            <w:r w:rsidRPr="00A72949">
              <w:t>iné zložky rozpätia:</w:t>
            </w:r>
          </w:p>
          <w:p w14:paraId="4A7C03E1"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12ADAE0D"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5EACFD15" w14:textId="77777777" w:rsidTr="00E73145">
        <w:tc>
          <w:tcPr>
            <w:tcW w:w="1129" w:type="dxa"/>
          </w:tcPr>
          <w:p w14:paraId="52235F1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0120</w:t>
            </w:r>
          </w:p>
        </w:tc>
        <w:tc>
          <w:tcPr>
            <w:tcW w:w="7620" w:type="dxa"/>
          </w:tcPr>
          <w:p w14:paraId="3204054B" w14:textId="77777777" w:rsidR="004E6C70" w:rsidRPr="00A72949" w:rsidRDefault="004E6C70" w:rsidP="00E73145">
            <w:pPr>
              <w:suppressAutoHyphens/>
              <w:spacing w:before="0"/>
              <w:rPr>
                <w:rStyle w:val="InstructionsTabelleberschrift"/>
                <w:rFonts w:ascii="Times New Roman" w:hAnsi="Times New Roman"/>
                <w:sz w:val="24"/>
              </w:rPr>
            </w:pPr>
            <w:r w:rsidRPr="00A72949">
              <w:rPr>
                <w:rStyle w:val="InstructionsTabelleberschrift"/>
                <w:rFonts w:ascii="Times New Roman" w:hAnsi="Times New Roman"/>
                <w:sz w:val="24"/>
              </w:rPr>
              <w:t>Sankčné poplatky za predčasné splatenie úveru</w:t>
            </w:r>
          </w:p>
          <w:p w14:paraId="5F4BE576" w14:textId="0D918488" w:rsidR="004E6C70" w:rsidRPr="00A72949" w:rsidRDefault="004E6C70" w:rsidP="00E73145">
            <w:pPr>
              <w:pStyle w:val="InstructionsText"/>
              <w:rPr>
                <w:rStyle w:val="InstructionsTabelleberschrift"/>
                <w:rFonts w:ascii="Times New Roman" w:hAnsi="Times New Roman"/>
                <w:b w:val="0"/>
                <w:bCs w:val="0"/>
                <w:sz w:val="24"/>
                <w:u w:val="none"/>
              </w:rPr>
            </w:pPr>
            <w:r w:rsidRPr="00A72949">
              <w:t>Inštitúcie uvádzajú, či boli</w:t>
            </w:r>
            <w:r w:rsidR="00A72949">
              <w:t xml:space="preserve"> v </w:t>
            </w:r>
            <w:r w:rsidRPr="00A72949">
              <w:t>rámci SOT</w:t>
            </w:r>
            <w:r w:rsidR="00A72949">
              <w:t xml:space="preserve"> v </w:t>
            </w:r>
            <w:r w:rsidRPr="00A72949">
              <w:t>súvislosti</w:t>
            </w:r>
            <w:r w:rsidR="00A72949">
              <w:t xml:space="preserve"> s </w:t>
            </w:r>
            <w:r w:rsidRPr="00A72949">
              <w:t>EVE/NII zahrnuté sankčné poplatky za predčasné splatenie úveru:</w:t>
            </w:r>
          </w:p>
          <w:p w14:paraId="7DAECA30"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358F89FA"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468D2308" w14:textId="77777777" w:rsidTr="00E73145">
        <w:tc>
          <w:tcPr>
            <w:tcW w:w="1129" w:type="dxa"/>
          </w:tcPr>
          <w:p w14:paraId="2D75F07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0130</w:t>
            </w:r>
          </w:p>
        </w:tc>
        <w:tc>
          <w:tcPr>
            <w:tcW w:w="7620" w:type="dxa"/>
          </w:tcPr>
          <w:p w14:paraId="2097A76E"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Dôchodkové záväzky/aktíva dôchodkového plánu</w:t>
            </w:r>
          </w:p>
          <w:p w14:paraId="74FEED64" w14:textId="6614AC25" w:rsidR="004E6C70" w:rsidRPr="00A72949" w:rsidRDefault="004E6C70" w:rsidP="00E73145">
            <w:pPr>
              <w:pStyle w:val="InstructionsText"/>
              <w:rPr>
                <w:rStyle w:val="InstructionsTabelleberschrift"/>
                <w:rFonts w:ascii="Times New Roman" w:hAnsi="Times New Roman"/>
                <w:b w:val="0"/>
                <w:bCs w:val="0"/>
                <w:sz w:val="24"/>
                <w:u w:val="none"/>
              </w:rPr>
            </w:pPr>
            <w:r w:rsidRPr="00A72949">
              <w:t>Inštitúcie uvádzajú, či boli do výpočtu SOT</w:t>
            </w:r>
            <w:r w:rsidR="00A72949">
              <w:t xml:space="preserve"> v </w:t>
            </w:r>
            <w:r w:rsidRPr="00A72949">
              <w:t>súvislosti</w:t>
            </w:r>
            <w:r w:rsidR="00A72949">
              <w:t xml:space="preserve"> s </w:t>
            </w:r>
            <w:r w:rsidRPr="00A72949">
              <w:t>EVE/NII zahrnuté dôchodkové záväzky</w:t>
            </w:r>
            <w:r w:rsidR="00A72949">
              <w:t xml:space="preserve"> a </w:t>
            </w:r>
            <w:r w:rsidRPr="00A72949">
              <w:t>aktíva dôchodkového plánu:</w:t>
            </w:r>
          </w:p>
          <w:p w14:paraId="72E60BA3"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7E596538"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45D558A1" w14:textId="77777777" w:rsidTr="00E73145">
        <w:tc>
          <w:tcPr>
            <w:tcW w:w="1129" w:type="dxa"/>
          </w:tcPr>
          <w:p w14:paraId="2F85D654"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0140</w:t>
            </w:r>
          </w:p>
        </w:tc>
        <w:tc>
          <w:tcPr>
            <w:tcW w:w="7620" w:type="dxa"/>
          </w:tcPr>
          <w:p w14:paraId="6F28E937" w14:textId="77777777" w:rsidR="00A72949" w:rsidRDefault="004E6C70" w:rsidP="00E73145">
            <w:pPr>
              <w:suppressAutoHyphens/>
              <w:spacing w:before="0"/>
              <w:rPr>
                <w:rFonts w:ascii="Times New Roman" w:hAnsi="Times New Roman"/>
                <w:b/>
                <w:sz w:val="24"/>
                <w:u w:val="single"/>
              </w:rPr>
            </w:pPr>
            <w:r w:rsidRPr="00A72949">
              <w:rPr>
                <w:rFonts w:ascii="Times New Roman" w:hAnsi="Times New Roman"/>
                <w:b/>
                <w:sz w:val="24"/>
                <w:u w:val="single"/>
              </w:rPr>
              <w:t>Problémové expozície</w:t>
            </w:r>
          </w:p>
          <w:p w14:paraId="0216D5BA" w14:textId="3C0A3891"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uvádzajú, či boli do SOT</w:t>
            </w:r>
            <w:r w:rsidR="00A72949">
              <w:t xml:space="preserve"> v </w:t>
            </w:r>
            <w:r w:rsidRPr="00A72949">
              <w:t>súvislosti</w:t>
            </w:r>
            <w:r w:rsidR="00A72949">
              <w:t xml:space="preserve"> s </w:t>
            </w:r>
            <w:r w:rsidRPr="00A72949">
              <w:t>EVE/NII zahrnuté problémové expozície:</w:t>
            </w:r>
          </w:p>
          <w:p w14:paraId="4111F89E"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697B9A24"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110044B6" w14:textId="77777777" w:rsidTr="00E73145">
        <w:tc>
          <w:tcPr>
            <w:tcW w:w="1129" w:type="dxa"/>
          </w:tcPr>
          <w:p w14:paraId="24B5F48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0150</w:t>
            </w:r>
          </w:p>
        </w:tc>
        <w:tc>
          <w:tcPr>
            <w:tcW w:w="7620" w:type="dxa"/>
          </w:tcPr>
          <w:p w14:paraId="69F58179" w14:textId="77777777" w:rsidR="00A72949" w:rsidRDefault="004E6C70" w:rsidP="00E73145">
            <w:pPr>
              <w:suppressAutoHyphens/>
              <w:spacing w:before="0"/>
              <w:rPr>
                <w:rFonts w:ascii="Times New Roman" w:hAnsi="Times New Roman"/>
                <w:b/>
                <w:sz w:val="24"/>
                <w:u w:val="single"/>
              </w:rPr>
            </w:pPr>
            <w:r w:rsidRPr="00A72949">
              <w:rPr>
                <w:rFonts w:ascii="Times New Roman" w:hAnsi="Times New Roman"/>
                <w:b/>
                <w:sz w:val="24"/>
                <w:u w:val="single"/>
              </w:rPr>
              <w:t>Úverové prísľuby</w:t>
            </w:r>
            <w:r w:rsidR="00A72949">
              <w:rPr>
                <w:rFonts w:ascii="Times New Roman" w:hAnsi="Times New Roman"/>
                <w:b/>
                <w:sz w:val="24"/>
                <w:u w:val="single"/>
              </w:rPr>
              <w:t xml:space="preserve"> s </w:t>
            </w:r>
            <w:r w:rsidRPr="00A72949">
              <w:rPr>
                <w:rFonts w:ascii="Times New Roman" w:hAnsi="Times New Roman"/>
                <w:b/>
                <w:sz w:val="24"/>
                <w:u w:val="single"/>
              </w:rPr>
              <w:t>pevnou úrokovou sadzbou</w:t>
            </w:r>
          </w:p>
          <w:p w14:paraId="6B3DD3A7" w14:textId="0F87DB52" w:rsidR="004E6C70" w:rsidRPr="00A72949" w:rsidRDefault="004E6C70" w:rsidP="00E73145">
            <w:pPr>
              <w:pStyle w:val="InstructionsText"/>
              <w:rPr>
                <w:rStyle w:val="InstructionsTabelleberschrift"/>
                <w:rFonts w:ascii="Times New Roman" w:hAnsi="Times New Roman"/>
                <w:b w:val="0"/>
                <w:sz w:val="24"/>
                <w:u w:val="none"/>
              </w:rPr>
            </w:pPr>
            <w:r w:rsidRPr="00A72949">
              <w:t>Inštitúcie uvádzajú, či boli do SOT</w:t>
            </w:r>
            <w:r w:rsidR="00A72949">
              <w:t xml:space="preserve"> v </w:t>
            </w:r>
            <w:r w:rsidRPr="00A72949">
              <w:t>súvislosti</w:t>
            </w:r>
            <w:r w:rsidR="00A72949">
              <w:t xml:space="preserve"> s </w:t>
            </w:r>
            <w:r w:rsidRPr="00A72949">
              <w:t>EVE/NII zahrnuté úverové prísľuby</w:t>
            </w:r>
            <w:r w:rsidR="00A72949">
              <w:t xml:space="preserve"> s </w:t>
            </w:r>
            <w:r w:rsidRPr="00A72949">
              <w:t>pevnou úrokovou sadzbou:</w:t>
            </w:r>
          </w:p>
          <w:p w14:paraId="3DEDAD45"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621D16CB"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66E8C435" w14:textId="77777777" w:rsidTr="00E73145">
        <w:tc>
          <w:tcPr>
            <w:tcW w:w="1129" w:type="dxa"/>
          </w:tcPr>
          <w:p w14:paraId="5258C139"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0160</w:t>
            </w:r>
          </w:p>
        </w:tc>
        <w:tc>
          <w:tcPr>
            <w:tcW w:w="7620" w:type="dxa"/>
          </w:tcPr>
          <w:p w14:paraId="434E5202" w14:textId="77777777" w:rsidR="00A72949" w:rsidRDefault="004E6C70" w:rsidP="00E73145">
            <w:pPr>
              <w:suppressAutoHyphens/>
              <w:spacing w:before="0"/>
              <w:rPr>
                <w:rFonts w:ascii="Times New Roman" w:hAnsi="Times New Roman"/>
                <w:b/>
                <w:sz w:val="24"/>
                <w:u w:val="single"/>
              </w:rPr>
            </w:pPr>
            <w:r w:rsidRPr="00A72949">
              <w:rPr>
                <w:rFonts w:ascii="Times New Roman" w:hAnsi="Times New Roman"/>
                <w:b/>
                <w:sz w:val="24"/>
                <w:u w:val="single"/>
              </w:rPr>
              <w:t>Riziko predčasného splatenia</w:t>
            </w:r>
          </w:p>
          <w:p w14:paraId="4E167092" w14:textId="0A74F100" w:rsidR="004E6C70" w:rsidRPr="00A72949" w:rsidRDefault="004E6C70" w:rsidP="00E73145">
            <w:pPr>
              <w:pStyle w:val="InstructionsText"/>
              <w:rPr>
                <w:rStyle w:val="InstructionsTabelleberschrift"/>
                <w:rFonts w:ascii="Times New Roman" w:hAnsi="Times New Roman"/>
                <w:b w:val="0"/>
                <w:bCs w:val="0"/>
                <w:sz w:val="24"/>
                <w:u w:val="none"/>
              </w:rPr>
            </w:pPr>
            <w:r w:rsidRPr="00A72949">
              <w:t>Inštitúcie uvádzajú, či bolo do výpočtu SOT</w:t>
            </w:r>
            <w:r w:rsidR="00A72949">
              <w:t xml:space="preserve"> v </w:t>
            </w:r>
            <w:r w:rsidRPr="00A72949">
              <w:t>súvislosti</w:t>
            </w:r>
            <w:r w:rsidR="00A72949">
              <w:t xml:space="preserve"> s </w:t>
            </w:r>
            <w:r w:rsidRPr="00A72949">
              <w:t xml:space="preserve">EVE/NII zahrnuté riziko </w:t>
            </w:r>
            <w:proofErr w:type="spellStart"/>
            <w:r w:rsidRPr="00A72949">
              <w:t>retailového</w:t>
            </w:r>
            <w:proofErr w:type="spellEnd"/>
            <w:r w:rsidRPr="00A72949">
              <w:t xml:space="preserve"> predčasného splatenia:</w:t>
            </w:r>
          </w:p>
          <w:p w14:paraId="4DE974B1"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102E9A79"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2D0DD556" w14:textId="77777777" w:rsidTr="00E73145">
        <w:tc>
          <w:tcPr>
            <w:tcW w:w="1129" w:type="dxa"/>
          </w:tcPr>
          <w:p w14:paraId="0ABC249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0170</w:t>
            </w:r>
          </w:p>
        </w:tc>
        <w:tc>
          <w:tcPr>
            <w:tcW w:w="7620" w:type="dxa"/>
          </w:tcPr>
          <w:p w14:paraId="3D420914" w14:textId="77777777" w:rsidR="00A72949" w:rsidRDefault="004E6C70" w:rsidP="00E73145">
            <w:pPr>
              <w:suppressAutoHyphens/>
              <w:spacing w:before="0"/>
              <w:rPr>
                <w:rFonts w:ascii="Times New Roman" w:hAnsi="Times New Roman"/>
                <w:b/>
                <w:sz w:val="24"/>
                <w:u w:val="single"/>
              </w:rPr>
            </w:pPr>
            <w:r w:rsidRPr="00A72949">
              <w:rPr>
                <w:rFonts w:ascii="Times New Roman" w:hAnsi="Times New Roman"/>
                <w:b/>
                <w:sz w:val="24"/>
                <w:u w:val="single"/>
              </w:rPr>
              <w:t>Riziko predčasného vyplatenia</w:t>
            </w:r>
          </w:p>
          <w:p w14:paraId="3B33600D" w14:textId="2EACFBBB" w:rsidR="004E6C70" w:rsidRPr="00A72949" w:rsidRDefault="004E6C70" w:rsidP="00E73145">
            <w:pPr>
              <w:pStyle w:val="InstructionsText"/>
            </w:pPr>
            <w:r w:rsidRPr="00A72949">
              <w:t>Inštitúcie uvádzajú, či bolo do výpočtu SOT</w:t>
            </w:r>
            <w:r w:rsidR="00A72949">
              <w:t xml:space="preserve"> v </w:t>
            </w:r>
            <w:r w:rsidRPr="00A72949">
              <w:t>súvislosti</w:t>
            </w:r>
            <w:r w:rsidR="00A72949">
              <w:t xml:space="preserve"> s </w:t>
            </w:r>
            <w:r w:rsidRPr="00A72949">
              <w:t xml:space="preserve">EVE/NII zahrnuté riziko </w:t>
            </w:r>
            <w:proofErr w:type="spellStart"/>
            <w:r w:rsidRPr="00A72949">
              <w:t>retailového</w:t>
            </w:r>
            <w:proofErr w:type="spellEnd"/>
            <w:r w:rsidRPr="00A72949">
              <w:t xml:space="preserve"> predčasného vyplatenia:</w:t>
            </w:r>
          </w:p>
          <w:p w14:paraId="3CF89C87"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zahrnuté;</w:t>
            </w:r>
          </w:p>
          <w:p w14:paraId="2899BDA9"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nezahrnuté.</w:t>
            </w:r>
          </w:p>
        </w:tc>
      </w:tr>
      <w:tr w:rsidR="004E6C70" w:rsidRPr="00A72949" w14:paraId="7459FA44" w14:textId="77777777" w:rsidTr="00E73145">
        <w:tc>
          <w:tcPr>
            <w:tcW w:w="1129" w:type="dxa"/>
          </w:tcPr>
          <w:p w14:paraId="06BE0F0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0180</w:t>
            </w:r>
          </w:p>
        </w:tc>
        <w:tc>
          <w:tcPr>
            <w:tcW w:w="7620" w:type="dxa"/>
          </w:tcPr>
          <w:p w14:paraId="4453174C" w14:textId="07BC23DC"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Všeobecný prístup</w:t>
            </w:r>
            <w:r w:rsidR="00A72949">
              <w:rPr>
                <w:rFonts w:ascii="Times New Roman" w:hAnsi="Times New Roman"/>
                <w:b/>
                <w:sz w:val="24"/>
                <w:u w:val="single"/>
              </w:rPr>
              <w:t xml:space="preserve"> k </w:t>
            </w:r>
            <w:r w:rsidRPr="00A72949">
              <w:rPr>
                <w:rFonts w:ascii="Times New Roman" w:hAnsi="Times New Roman"/>
                <w:b/>
                <w:sz w:val="24"/>
                <w:u w:val="single"/>
              </w:rPr>
              <w:t>modelovaniu NMD</w:t>
            </w:r>
          </w:p>
          <w:p w14:paraId="22D28BC2" w14:textId="77777777" w:rsid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metódu, ktorá sa používa na určenie času behaviorálneho precenenia NMD</w:t>
            </w:r>
            <w:r w:rsidR="00A72949">
              <w:rPr>
                <w:rFonts w:ascii="Times New Roman" w:hAnsi="Times New Roman"/>
                <w:sz w:val="24"/>
              </w:rPr>
              <w:t>:</w:t>
            </w:r>
          </w:p>
          <w:p w14:paraId="2FC84141" w14:textId="704F0728"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model časových radov (prístup Bazilej/EBA stabilný/nestabilný/PTR);</w:t>
            </w:r>
          </w:p>
          <w:p w14:paraId="307C37AD"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lastRenderedPageBreak/>
              <w:t>– replikačné portfólio;</w:t>
            </w:r>
          </w:p>
          <w:p w14:paraId="2870B241"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hospodárske modely (modelovanie rozdelenia finančného majetku medzi NMD alebo alternatívne investície podľa rôznych trhových scenárov/hospodárskych faktorov);</w:t>
            </w:r>
          </w:p>
          <w:p w14:paraId="06732941"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expertný úsudok;</w:t>
            </w:r>
          </w:p>
          <w:p w14:paraId="0B025A97"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iné.</w:t>
            </w:r>
          </w:p>
        </w:tc>
      </w:tr>
      <w:tr w:rsidR="004E6C70" w:rsidRPr="00A72949" w14:paraId="08516FAB" w14:textId="77777777" w:rsidTr="00E73145">
        <w:tc>
          <w:tcPr>
            <w:tcW w:w="1129" w:type="dxa"/>
          </w:tcPr>
          <w:p w14:paraId="3AE2F15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0190</w:t>
            </w:r>
          </w:p>
        </w:tc>
        <w:tc>
          <w:tcPr>
            <w:tcW w:w="7620" w:type="dxa"/>
          </w:tcPr>
          <w:p w14:paraId="5A6CE4A5" w14:textId="77777777" w:rsidR="00A72949" w:rsidRDefault="004E6C70" w:rsidP="00E73145">
            <w:pPr>
              <w:suppressAutoHyphens/>
              <w:spacing w:before="0"/>
              <w:rPr>
                <w:rFonts w:ascii="Times New Roman" w:hAnsi="Times New Roman"/>
                <w:sz w:val="24"/>
                <w:u w:val="single"/>
              </w:rPr>
            </w:pPr>
            <w:r w:rsidRPr="00A72949">
              <w:rPr>
                <w:rFonts w:ascii="Times New Roman" w:hAnsi="Times New Roman"/>
                <w:b/>
                <w:sz w:val="24"/>
                <w:u w:val="single"/>
              </w:rPr>
              <w:t>Identifikácia zostatkov základnej zložky NMD</w:t>
            </w:r>
          </w:p>
          <w:p w14:paraId="11F5327D" w14:textId="29631D6F"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zaznamenali problémy</w:t>
            </w:r>
            <w:r w:rsidR="00A72949">
              <w:rPr>
                <w:rFonts w:ascii="Times New Roman" w:hAnsi="Times New Roman"/>
                <w:sz w:val="24"/>
              </w:rPr>
              <w:t xml:space="preserve"> v </w:t>
            </w:r>
            <w:r w:rsidRPr="00A72949">
              <w:rPr>
                <w:rFonts w:ascii="Times New Roman" w:hAnsi="Times New Roman"/>
                <w:sz w:val="24"/>
              </w:rPr>
              <w:t>súvislosti</w:t>
            </w:r>
            <w:r w:rsidR="00A72949">
              <w:rPr>
                <w:rFonts w:ascii="Times New Roman" w:hAnsi="Times New Roman"/>
                <w:sz w:val="24"/>
              </w:rPr>
              <w:t xml:space="preserve"> s </w:t>
            </w:r>
            <w:r w:rsidRPr="00A72949">
              <w:rPr>
                <w:rFonts w:ascii="Times New Roman" w:hAnsi="Times New Roman"/>
                <w:sz w:val="24"/>
              </w:rPr>
              <w:t>identifikáciou zostatkov základnej zložky NMD, ktoré nie sú podmienené úrokovým scenárom:</w:t>
            </w:r>
          </w:p>
          <w:p w14:paraId="069EA494"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0F1C79F7"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527FB50C"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602E2508" w14:textId="77777777" w:rsidTr="00E73145">
        <w:tc>
          <w:tcPr>
            <w:tcW w:w="1129" w:type="dxa"/>
          </w:tcPr>
          <w:p w14:paraId="3735B29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0200</w:t>
            </w:r>
          </w:p>
        </w:tc>
        <w:tc>
          <w:tcPr>
            <w:tcW w:w="7620" w:type="dxa"/>
          </w:tcPr>
          <w:p w14:paraId="2210F890"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Relevantné faktory zostatkov NMD</w:t>
            </w:r>
          </w:p>
          <w:p w14:paraId="001C7E83"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sz w:val="24"/>
              </w:rPr>
              <w:t xml:space="preserve">Inštitúcie uvádzajú názvy relevantných faktorov použitých na identifikáciu zostatkov základnej zložky. </w:t>
            </w:r>
          </w:p>
        </w:tc>
      </w:tr>
      <w:tr w:rsidR="004E6C70" w:rsidRPr="00A72949" w14:paraId="0C8FD84D" w14:textId="77777777" w:rsidTr="00E73145">
        <w:tc>
          <w:tcPr>
            <w:tcW w:w="1129" w:type="dxa"/>
          </w:tcPr>
          <w:p w14:paraId="654F7BA6"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0210</w:t>
            </w:r>
          </w:p>
        </w:tc>
        <w:tc>
          <w:tcPr>
            <w:tcW w:w="7620" w:type="dxa"/>
          </w:tcPr>
          <w:p w14:paraId="35476C11"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Zostatky základnej zložky NMD (zaradenie zostatkov základnej zložky)</w:t>
            </w:r>
          </w:p>
          <w:p w14:paraId="10099D13"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ako prideľujú zostatky základnej zložky NMD:</w:t>
            </w:r>
          </w:p>
          <w:p w14:paraId="5BDB8DA9"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sz w:val="24"/>
              </w:rPr>
              <w:t>– všetky zostatky základnej zložky pridelené len jednej dobe splatnosti precenenia;</w:t>
            </w:r>
          </w:p>
          <w:p w14:paraId="10D6693C" w14:textId="77777777" w:rsidR="004E6C70" w:rsidRPr="00A72949" w:rsidRDefault="004E6C70" w:rsidP="00E73145">
            <w:pPr>
              <w:suppressAutoHyphens/>
              <w:spacing w:before="0"/>
              <w:rPr>
                <w:rFonts w:ascii="Times New Roman" w:hAnsi="Times New Roman"/>
                <w:b/>
                <w:u w:val="single"/>
              </w:rPr>
            </w:pPr>
            <w:r w:rsidRPr="00A72949">
              <w:rPr>
                <w:rFonts w:ascii="Times New Roman" w:hAnsi="Times New Roman"/>
                <w:sz w:val="24"/>
              </w:rPr>
              <w:t>– zostatky základnej zložky pridelené rozličným dobám splatnosti precenenia.</w:t>
            </w:r>
          </w:p>
        </w:tc>
      </w:tr>
      <w:tr w:rsidR="004E6C70" w:rsidRPr="00A72949" w14:paraId="088677F2" w14:textId="77777777" w:rsidTr="00E73145">
        <w:tc>
          <w:tcPr>
            <w:tcW w:w="1129" w:type="dxa"/>
          </w:tcPr>
          <w:p w14:paraId="0569A99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0220</w:t>
            </w:r>
          </w:p>
        </w:tc>
        <w:tc>
          <w:tcPr>
            <w:tcW w:w="7620" w:type="dxa"/>
          </w:tcPr>
          <w:p w14:paraId="419CA2E2"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Päťročné horné ohraničenie precenenia NMD pri riadení rizík IRRBB</w:t>
            </w:r>
          </w:p>
          <w:p w14:paraId="31219071" w14:textId="6B87DB78"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sa</w:t>
            </w:r>
            <w:r w:rsidR="00A72949">
              <w:rPr>
                <w:rFonts w:ascii="Times New Roman" w:hAnsi="Times New Roman"/>
                <w:sz w:val="24"/>
              </w:rPr>
              <w:t xml:space="preserve"> v </w:t>
            </w:r>
            <w:r w:rsidRPr="00A72949">
              <w:rPr>
                <w:rFonts w:ascii="Times New Roman" w:hAnsi="Times New Roman"/>
                <w:sz w:val="24"/>
              </w:rPr>
              <w:t>dôsledku päťročného horného ohraničenia precenenia</w:t>
            </w:r>
            <w:r w:rsidR="00A72949">
              <w:rPr>
                <w:rFonts w:ascii="Times New Roman" w:hAnsi="Times New Roman"/>
                <w:sz w:val="24"/>
              </w:rPr>
              <w:t xml:space="preserve"> v </w:t>
            </w:r>
            <w:r w:rsidRPr="00A72949">
              <w:rPr>
                <w:rFonts w:ascii="Times New Roman" w:hAnsi="Times New Roman"/>
                <w:sz w:val="24"/>
              </w:rPr>
              <w:t>rámci IRRBB IMS pozoruje nejaký neželaný vplyv</w:t>
            </w:r>
            <w:r w:rsidR="00A72949">
              <w:rPr>
                <w:rFonts w:ascii="Times New Roman" w:hAnsi="Times New Roman"/>
                <w:sz w:val="24"/>
              </w:rPr>
              <w:t xml:space="preserve"> z </w:t>
            </w:r>
            <w:r w:rsidRPr="00A72949">
              <w:rPr>
                <w:rFonts w:ascii="Times New Roman" w:hAnsi="Times New Roman"/>
                <w:sz w:val="24"/>
              </w:rPr>
              <w:t>hľadiska stratégie riadenia rizika IRRBB</w:t>
            </w:r>
            <w:r w:rsidR="00A72949">
              <w:rPr>
                <w:rFonts w:ascii="Times New Roman" w:hAnsi="Times New Roman"/>
                <w:sz w:val="24"/>
              </w:rPr>
              <w:t xml:space="preserve"> a </w:t>
            </w:r>
            <w:r w:rsidRPr="00A72949">
              <w:rPr>
                <w:rFonts w:ascii="Times New Roman" w:hAnsi="Times New Roman"/>
                <w:sz w:val="24"/>
              </w:rPr>
              <w:t xml:space="preserve">stratégie </w:t>
            </w:r>
            <w:proofErr w:type="spellStart"/>
            <w:r w:rsidRPr="00A72949">
              <w:rPr>
                <w:rFonts w:ascii="Times New Roman" w:hAnsi="Times New Roman"/>
                <w:sz w:val="24"/>
              </w:rPr>
              <w:t>hedžingu</w:t>
            </w:r>
            <w:proofErr w:type="spellEnd"/>
            <w:r w:rsidRPr="00A72949">
              <w:rPr>
                <w:rFonts w:ascii="Times New Roman" w:hAnsi="Times New Roman"/>
                <w:sz w:val="24"/>
              </w:rPr>
              <w:t>:</w:t>
            </w:r>
          </w:p>
          <w:p w14:paraId="6FAF1ECE"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2C3DCA49"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59861953"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01648FD6" w14:textId="77777777" w:rsidTr="00E73145">
        <w:tc>
          <w:tcPr>
            <w:tcW w:w="1129" w:type="dxa"/>
          </w:tcPr>
          <w:p w14:paraId="29B43CE2"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0230</w:t>
            </w:r>
          </w:p>
        </w:tc>
        <w:tc>
          <w:tcPr>
            <w:tcW w:w="7620" w:type="dxa"/>
          </w:tcPr>
          <w:p w14:paraId="029065E6" w14:textId="223C8CAB"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Výnimky</w:t>
            </w:r>
            <w:r w:rsidR="00A72949">
              <w:rPr>
                <w:rFonts w:ascii="Times New Roman" w:hAnsi="Times New Roman"/>
                <w:b/>
                <w:sz w:val="24"/>
                <w:u w:val="single"/>
              </w:rPr>
              <w:t xml:space="preserve"> z </w:t>
            </w:r>
            <w:r w:rsidRPr="00A72949">
              <w:rPr>
                <w:rFonts w:ascii="Times New Roman" w:hAnsi="Times New Roman"/>
                <w:b/>
                <w:sz w:val="24"/>
                <w:u w:val="single"/>
              </w:rPr>
              <w:t>päťročného horného ohraničenia precenenia NMD</w:t>
            </w:r>
          </w:p>
          <w:p w14:paraId="78A1DA14" w14:textId="35C2BEA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používajú výnimky</w:t>
            </w:r>
            <w:r w:rsidR="00A72949">
              <w:rPr>
                <w:rFonts w:ascii="Times New Roman" w:hAnsi="Times New Roman"/>
                <w:sz w:val="24"/>
              </w:rPr>
              <w:t xml:space="preserve"> z </w:t>
            </w:r>
            <w:r w:rsidRPr="00A72949">
              <w:rPr>
                <w:rFonts w:ascii="Times New Roman" w:hAnsi="Times New Roman"/>
                <w:sz w:val="24"/>
              </w:rPr>
              <w:t>päťročného horného ohraničenia precenenia pre niektorý zo svojich produktov IRRBB:</w:t>
            </w:r>
          </w:p>
          <w:p w14:paraId="743833F1"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2B2D8D14"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0D89FABB"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4BE978DB" w14:textId="77777777" w:rsidTr="00E73145">
        <w:tc>
          <w:tcPr>
            <w:tcW w:w="1129" w:type="dxa"/>
          </w:tcPr>
          <w:p w14:paraId="09EEA531"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0240</w:t>
            </w:r>
          </w:p>
        </w:tc>
        <w:tc>
          <w:tcPr>
            <w:tcW w:w="7620" w:type="dxa"/>
          </w:tcPr>
          <w:p w14:paraId="2343EEDE"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Modelovanie prevádzkových NMD od finančných klientov</w:t>
            </w:r>
          </w:p>
          <w:p w14:paraId="002F841F"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xml:space="preserve">Inštitúcie uvádzajú, či NMD od finančných klientov klasifikované ako prevádzkové vklady, na ktoré sa uplatňuje článok 27 ods. 1 písm. a) </w:t>
            </w:r>
            <w:r w:rsidRPr="00A72949">
              <w:rPr>
                <w:rFonts w:ascii="Times New Roman" w:hAnsi="Times New Roman"/>
                <w:sz w:val="24"/>
              </w:rPr>
              <w:lastRenderedPageBreak/>
              <w:t>delegovaného nariadenia (EÚ) 2015/61, podliehajú behaviorálnemu modelovaniu:</w:t>
            </w:r>
          </w:p>
          <w:p w14:paraId="39EC3D57"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36FA0AE9"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31816416"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4AB472EF" w14:textId="77777777" w:rsidTr="00E73145">
        <w:tc>
          <w:tcPr>
            <w:tcW w:w="1129" w:type="dxa"/>
          </w:tcPr>
          <w:p w14:paraId="56CE53BB"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0250</w:t>
            </w:r>
          </w:p>
        </w:tc>
        <w:tc>
          <w:tcPr>
            <w:tcW w:w="7620" w:type="dxa"/>
          </w:tcPr>
          <w:p w14:paraId="446F1589" w14:textId="122470DC"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Zmeny</w:t>
            </w:r>
            <w:r w:rsidR="00A72949">
              <w:rPr>
                <w:rFonts w:ascii="Times New Roman" w:hAnsi="Times New Roman"/>
                <w:b/>
                <w:sz w:val="24"/>
                <w:u w:val="single"/>
              </w:rPr>
              <w:t xml:space="preserve"> v </w:t>
            </w:r>
            <w:r w:rsidRPr="00A72949">
              <w:rPr>
                <w:rFonts w:ascii="Times New Roman" w:hAnsi="Times New Roman"/>
                <w:b/>
                <w:sz w:val="24"/>
                <w:u w:val="single"/>
              </w:rPr>
              <w:t>štruktúre súvahy</w:t>
            </w:r>
            <w:r w:rsidR="00A72949">
              <w:rPr>
                <w:rFonts w:ascii="Times New Roman" w:hAnsi="Times New Roman"/>
                <w:b/>
                <w:sz w:val="24"/>
                <w:u w:val="single"/>
              </w:rPr>
              <w:t xml:space="preserve"> v </w:t>
            </w:r>
            <w:r w:rsidRPr="00A72949">
              <w:rPr>
                <w:rFonts w:ascii="Times New Roman" w:hAnsi="Times New Roman"/>
                <w:b/>
                <w:sz w:val="24"/>
                <w:u w:val="single"/>
              </w:rPr>
              <w:t>dôsledku úrokových sadzieb</w:t>
            </w:r>
          </w:p>
          <w:p w14:paraId="2D896846" w14:textId="79669272" w:rsid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zmeny, ktoré uskutočnili</w:t>
            </w:r>
            <w:r w:rsidR="00A72949">
              <w:rPr>
                <w:rFonts w:ascii="Times New Roman" w:hAnsi="Times New Roman"/>
                <w:sz w:val="24"/>
              </w:rPr>
              <w:t xml:space="preserve"> v </w:t>
            </w:r>
            <w:r w:rsidRPr="00A72949">
              <w:rPr>
                <w:rFonts w:ascii="Times New Roman" w:hAnsi="Times New Roman"/>
                <w:sz w:val="24"/>
              </w:rPr>
              <w:t>štruktúre svojej súvahy od posledného vykázania IRRBB</w:t>
            </w:r>
            <w:r w:rsidR="00A72949">
              <w:rPr>
                <w:rFonts w:ascii="Times New Roman" w:hAnsi="Times New Roman"/>
                <w:sz w:val="24"/>
              </w:rPr>
              <w:t>:</w:t>
            </w:r>
          </w:p>
          <w:p w14:paraId="50EA88CB" w14:textId="6383192A"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zmenšenie medzery</w:t>
            </w:r>
            <w:r w:rsidR="00A72949">
              <w:rPr>
                <w:rFonts w:ascii="Times New Roman" w:hAnsi="Times New Roman"/>
                <w:sz w:val="24"/>
              </w:rPr>
              <w:t xml:space="preserve"> v </w:t>
            </w:r>
            <w:proofErr w:type="spellStart"/>
            <w:r w:rsidRPr="00A72949">
              <w:rPr>
                <w:rFonts w:ascii="Times New Roman" w:hAnsi="Times New Roman"/>
                <w:sz w:val="24"/>
              </w:rPr>
              <w:t>durácii</w:t>
            </w:r>
            <w:proofErr w:type="spellEnd"/>
            <w:r w:rsidRPr="00A72949">
              <w:rPr>
                <w:rFonts w:ascii="Times New Roman" w:hAnsi="Times New Roman"/>
                <w:sz w:val="24"/>
              </w:rPr>
              <w:t xml:space="preserve"> medzi aktívami/záväzkami skrátením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aktíva;</w:t>
            </w:r>
          </w:p>
          <w:p w14:paraId="508EC590" w14:textId="5C95CF5B"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zmenšenie medzery</w:t>
            </w:r>
            <w:r w:rsidR="00A72949">
              <w:rPr>
                <w:rFonts w:ascii="Times New Roman" w:hAnsi="Times New Roman"/>
                <w:sz w:val="24"/>
              </w:rPr>
              <w:t xml:space="preserve"> v </w:t>
            </w:r>
            <w:proofErr w:type="spellStart"/>
            <w:r w:rsidRPr="00A72949">
              <w:rPr>
                <w:rFonts w:ascii="Times New Roman" w:hAnsi="Times New Roman"/>
                <w:sz w:val="24"/>
              </w:rPr>
              <w:t>durácii</w:t>
            </w:r>
            <w:proofErr w:type="spellEnd"/>
            <w:r w:rsidRPr="00A72949">
              <w:rPr>
                <w:rFonts w:ascii="Times New Roman" w:hAnsi="Times New Roman"/>
                <w:sz w:val="24"/>
              </w:rPr>
              <w:t xml:space="preserve"> medzi aktívami/záväzkami predĺžením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záväzkov;</w:t>
            </w:r>
          </w:p>
          <w:p w14:paraId="103DFBC8" w14:textId="2BC10009"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zmenšenie medzery</w:t>
            </w:r>
            <w:r w:rsidR="00A72949">
              <w:rPr>
                <w:rFonts w:ascii="Times New Roman" w:hAnsi="Times New Roman"/>
                <w:sz w:val="24"/>
              </w:rPr>
              <w:t xml:space="preserve"> v </w:t>
            </w:r>
            <w:proofErr w:type="spellStart"/>
            <w:r w:rsidRPr="00A72949">
              <w:rPr>
                <w:rFonts w:ascii="Times New Roman" w:hAnsi="Times New Roman"/>
                <w:sz w:val="24"/>
              </w:rPr>
              <w:t>durácii</w:t>
            </w:r>
            <w:proofErr w:type="spellEnd"/>
            <w:r w:rsidRPr="00A72949">
              <w:rPr>
                <w:rFonts w:ascii="Times New Roman" w:hAnsi="Times New Roman"/>
                <w:sz w:val="24"/>
              </w:rPr>
              <w:t xml:space="preserve"> medzi aktívami/záväzkami skrátením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aktíva</w:t>
            </w:r>
            <w:r w:rsidR="00A72949">
              <w:rPr>
                <w:rFonts w:ascii="Times New Roman" w:hAnsi="Times New Roman"/>
                <w:sz w:val="24"/>
              </w:rPr>
              <w:t xml:space="preserve"> a </w:t>
            </w:r>
            <w:r w:rsidRPr="00A72949">
              <w:rPr>
                <w:rFonts w:ascii="Times New Roman" w:hAnsi="Times New Roman"/>
                <w:sz w:val="24"/>
              </w:rPr>
              <w:t xml:space="preserve">predĺžením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záväzkov;</w:t>
            </w:r>
          </w:p>
          <w:p w14:paraId="34F0F2A9" w14:textId="32600DDC"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zväčšenie medzery</w:t>
            </w:r>
            <w:r w:rsidR="00A72949">
              <w:rPr>
                <w:rFonts w:ascii="Times New Roman" w:hAnsi="Times New Roman"/>
                <w:sz w:val="24"/>
              </w:rPr>
              <w:t xml:space="preserve"> v </w:t>
            </w:r>
            <w:proofErr w:type="spellStart"/>
            <w:r w:rsidRPr="00A72949">
              <w:rPr>
                <w:rFonts w:ascii="Times New Roman" w:hAnsi="Times New Roman"/>
                <w:sz w:val="24"/>
              </w:rPr>
              <w:t>durácii</w:t>
            </w:r>
            <w:proofErr w:type="spellEnd"/>
            <w:r w:rsidRPr="00A72949">
              <w:rPr>
                <w:rFonts w:ascii="Times New Roman" w:hAnsi="Times New Roman"/>
                <w:sz w:val="24"/>
              </w:rPr>
              <w:t xml:space="preserve"> predĺžením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aktív;</w:t>
            </w:r>
          </w:p>
          <w:p w14:paraId="1A9A106B" w14:textId="6DC79B53"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zväčšenie medzery</w:t>
            </w:r>
            <w:r w:rsidR="00A72949">
              <w:rPr>
                <w:rFonts w:ascii="Times New Roman" w:hAnsi="Times New Roman"/>
                <w:sz w:val="24"/>
              </w:rPr>
              <w:t xml:space="preserve"> v </w:t>
            </w:r>
            <w:proofErr w:type="spellStart"/>
            <w:r w:rsidRPr="00A72949">
              <w:rPr>
                <w:rFonts w:ascii="Times New Roman" w:hAnsi="Times New Roman"/>
                <w:sz w:val="24"/>
              </w:rPr>
              <w:t>durácii</w:t>
            </w:r>
            <w:proofErr w:type="spellEnd"/>
            <w:r w:rsidRPr="00A72949">
              <w:rPr>
                <w:rFonts w:ascii="Times New Roman" w:hAnsi="Times New Roman"/>
                <w:sz w:val="24"/>
              </w:rPr>
              <w:t xml:space="preserve"> skrátením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záväzkov;</w:t>
            </w:r>
          </w:p>
          <w:p w14:paraId="2374963D" w14:textId="6126B86C"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sz w:val="24"/>
              </w:rPr>
              <w:t>– zväčšenie medzery</w:t>
            </w:r>
            <w:r w:rsidR="00A72949">
              <w:rPr>
                <w:rFonts w:ascii="Times New Roman" w:hAnsi="Times New Roman"/>
                <w:sz w:val="24"/>
              </w:rPr>
              <w:t xml:space="preserve"> v </w:t>
            </w:r>
            <w:proofErr w:type="spellStart"/>
            <w:r w:rsidRPr="00A72949">
              <w:rPr>
                <w:rFonts w:ascii="Times New Roman" w:hAnsi="Times New Roman"/>
                <w:sz w:val="24"/>
              </w:rPr>
              <w:t>durácii</w:t>
            </w:r>
            <w:proofErr w:type="spellEnd"/>
            <w:r w:rsidRPr="00A72949">
              <w:rPr>
                <w:rFonts w:ascii="Times New Roman" w:hAnsi="Times New Roman"/>
                <w:sz w:val="24"/>
              </w:rPr>
              <w:t xml:space="preserve"> predĺžením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aktív</w:t>
            </w:r>
            <w:r w:rsidR="00A72949">
              <w:rPr>
                <w:rFonts w:ascii="Times New Roman" w:hAnsi="Times New Roman"/>
                <w:sz w:val="24"/>
              </w:rPr>
              <w:t xml:space="preserve"> a </w:t>
            </w:r>
            <w:r w:rsidRPr="00A72949">
              <w:rPr>
                <w:rFonts w:ascii="Times New Roman" w:hAnsi="Times New Roman"/>
                <w:sz w:val="24"/>
              </w:rPr>
              <w:t xml:space="preserve">skrátením </w:t>
            </w:r>
            <w:proofErr w:type="spellStart"/>
            <w:r w:rsidRPr="00A72949">
              <w:rPr>
                <w:rFonts w:ascii="Times New Roman" w:hAnsi="Times New Roman"/>
                <w:sz w:val="24"/>
              </w:rPr>
              <w:t>durácie</w:t>
            </w:r>
            <w:proofErr w:type="spellEnd"/>
            <w:r w:rsidRPr="00A72949">
              <w:rPr>
                <w:rFonts w:ascii="Times New Roman" w:hAnsi="Times New Roman"/>
                <w:sz w:val="24"/>
              </w:rPr>
              <w:t xml:space="preserve"> záväzkov.</w:t>
            </w:r>
          </w:p>
        </w:tc>
      </w:tr>
      <w:tr w:rsidR="004E6C70" w:rsidRPr="00A72949" w14:paraId="7BE59AE7" w14:textId="77777777" w:rsidTr="00E73145">
        <w:tc>
          <w:tcPr>
            <w:tcW w:w="1129" w:type="dxa"/>
          </w:tcPr>
          <w:p w14:paraId="07AA0D5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0260</w:t>
            </w:r>
          </w:p>
        </w:tc>
        <w:tc>
          <w:tcPr>
            <w:tcW w:w="7620" w:type="dxa"/>
          </w:tcPr>
          <w:p w14:paraId="21CDDC1B" w14:textId="6ABA35DB"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Stratégie zmierňovania</w:t>
            </w:r>
            <w:r w:rsidR="00A72949">
              <w:rPr>
                <w:rFonts w:ascii="Times New Roman" w:hAnsi="Times New Roman"/>
                <w:b/>
                <w:sz w:val="24"/>
                <w:u w:val="single"/>
              </w:rPr>
              <w:t xml:space="preserve"> a </w:t>
            </w:r>
            <w:proofErr w:type="spellStart"/>
            <w:r w:rsidRPr="00A72949">
              <w:rPr>
                <w:rFonts w:ascii="Times New Roman" w:hAnsi="Times New Roman"/>
                <w:b/>
                <w:sz w:val="24"/>
                <w:u w:val="single"/>
              </w:rPr>
              <w:t>hedžingu</w:t>
            </w:r>
            <w:proofErr w:type="spellEnd"/>
            <w:r w:rsidRPr="00A72949">
              <w:rPr>
                <w:rFonts w:ascii="Times New Roman" w:hAnsi="Times New Roman"/>
                <w:b/>
                <w:sz w:val="24"/>
                <w:u w:val="single"/>
              </w:rPr>
              <w:t xml:space="preserve"> IRRBB (EVE)</w:t>
            </w:r>
          </w:p>
          <w:p w14:paraId="7181BF10" w14:textId="13F964C1"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očakávajú, že vo svojej stratégii zmierňovania IRR</w:t>
            </w:r>
            <w:r w:rsidR="00A72949">
              <w:rPr>
                <w:rFonts w:ascii="Times New Roman" w:hAnsi="Times New Roman"/>
                <w:sz w:val="24"/>
              </w:rPr>
              <w:t xml:space="preserve"> a </w:t>
            </w:r>
            <w:r w:rsidRPr="00A72949">
              <w:rPr>
                <w:rFonts w:ascii="Times New Roman" w:hAnsi="Times New Roman"/>
                <w:sz w:val="24"/>
              </w:rPr>
              <w:t xml:space="preserve">stratégii </w:t>
            </w:r>
            <w:proofErr w:type="spellStart"/>
            <w:r w:rsidRPr="00A72949">
              <w:rPr>
                <w:rFonts w:ascii="Times New Roman" w:hAnsi="Times New Roman"/>
                <w:sz w:val="24"/>
              </w:rPr>
              <w:t>hedžingu</w:t>
            </w:r>
            <w:proofErr w:type="spellEnd"/>
            <w:r w:rsidRPr="00A72949">
              <w:rPr>
                <w:rFonts w:ascii="Times New Roman" w:hAnsi="Times New Roman"/>
                <w:sz w:val="24"/>
              </w:rPr>
              <w:t xml:space="preserve"> uskutočnia zmeny</w:t>
            </w:r>
            <w:r w:rsidR="00A72949">
              <w:rPr>
                <w:rFonts w:ascii="Times New Roman" w:hAnsi="Times New Roman"/>
                <w:sz w:val="24"/>
              </w:rPr>
              <w:t xml:space="preserve"> v </w:t>
            </w:r>
            <w:r w:rsidRPr="00A72949">
              <w:rPr>
                <w:rFonts w:ascii="Times New Roman" w:hAnsi="Times New Roman"/>
                <w:sz w:val="24"/>
              </w:rPr>
              <w:t>ktoromkoľvek zo scenárov uvedených</w:t>
            </w:r>
            <w:r w:rsidR="00A72949">
              <w:rPr>
                <w:rFonts w:ascii="Times New Roman" w:hAnsi="Times New Roman"/>
                <w:sz w:val="24"/>
              </w:rPr>
              <w:t xml:space="preserve"> v </w:t>
            </w:r>
            <w:r w:rsidRPr="00A72949">
              <w:rPr>
                <w:rStyle w:val="InstructionsTabelleberschrift"/>
                <w:rFonts w:ascii="Times New Roman" w:hAnsi="Times New Roman"/>
                <w:b w:val="0"/>
                <w:sz w:val="24"/>
                <w:u w:val="none"/>
              </w:rPr>
              <w:t>delegovanom nariadení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SOT)</w:t>
            </w:r>
            <w:r w:rsidR="00A72949">
              <w:rPr>
                <w:rFonts w:ascii="Times New Roman" w:hAnsi="Times New Roman"/>
                <w:sz w:val="24"/>
              </w:rPr>
              <w:t xml:space="preserve"> v </w:t>
            </w:r>
            <w:r w:rsidRPr="00A72949">
              <w:rPr>
                <w:rFonts w:ascii="Times New Roman" w:hAnsi="Times New Roman"/>
                <w:sz w:val="24"/>
              </w:rPr>
              <w:t>prípade EVE:</w:t>
            </w:r>
          </w:p>
          <w:p w14:paraId="198BBF0D"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paralelný šok smerom nahor;</w:t>
            </w:r>
          </w:p>
          <w:p w14:paraId="212D217A"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paralelný šok smerom nadol;</w:t>
            </w:r>
          </w:p>
          <w:p w14:paraId="5B6A114C"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šok zostrmenia;</w:t>
            </w:r>
          </w:p>
          <w:p w14:paraId="0F26717F"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šok sploštenia;</w:t>
            </w:r>
          </w:p>
          <w:p w14:paraId="50DCC34B"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šok pri krátkodobých sadzbách smerom nahor;</w:t>
            </w:r>
          </w:p>
          <w:p w14:paraId="403CE9E4"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sz w:val="24"/>
              </w:rPr>
              <w:t>– šok pri krátkodobých sadzbách smerom nadol.</w:t>
            </w:r>
          </w:p>
        </w:tc>
      </w:tr>
      <w:tr w:rsidR="004E6C70" w:rsidRPr="00A72949" w14:paraId="189B8E64" w14:textId="77777777" w:rsidTr="00E73145">
        <w:tc>
          <w:tcPr>
            <w:tcW w:w="1129" w:type="dxa"/>
          </w:tcPr>
          <w:p w14:paraId="3274904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0270</w:t>
            </w:r>
          </w:p>
        </w:tc>
        <w:tc>
          <w:tcPr>
            <w:tcW w:w="7620" w:type="dxa"/>
          </w:tcPr>
          <w:p w14:paraId="3CCF86C0" w14:textId="10D315C8"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Stratégie zmierňovania</w:t>
            </w:r>
            <w:r w:rsidR="00A72949">
              <w:rPr>
                <w:rFonts w:ascii="Times New Roman" w:hAnsi="Times New Roman"/>
                <w:b/>
                <w:sz w:val="24"/>
                <w:u w:val="single"/>
              </w:rPr>
              <w:t xml:space="preserve"> a </w:t>
            </w:r>
            <w:proofErr w:type="spellStart"/>
            <w:r w:rsidRPr="00A72949">
              <w:rPr>
                <w:rFonts w:ascii="Times New Roman" w:hAnsi="Times New Roman"/>
                <w:b/>
                <w:sz w:val="24"/>
                <w:u w:val="single"/>
              </w:rPr>
              <w:t>hedžingu</w:t>
            </w:r>
            <w:proofErr w:type="spellEnd"/>
            <w:r w:rsidRPr="00A72949">
              <w:rPr>
                <w:rFonts w:ascii="Times New Roman" w:hAnsi="Times New Roman"/>
                <w:b/>
                <w:sz w:val="24"/>
                <w:u w:val="single"/>
              </w:rPr>
              <w:t xml:space="preserve"> IRRBB (NII)</w:t>
            </w:r>
          </w:p>
          <w:p w14:paraId="00714BDF" w14:textId="059C0B6F"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očakávajú, že vo svojej stratégii zmierňovania IRR</w:t>
            </w:r>
            <w:r w:rsidR="00A72949">
              <w:rPr>
                <w:rFonts w:ascii="Times New Roman" w:hAnsi="Times New Roman"/>
                <w:sz w:val="24"/>
              </w:rPr>
              <w:t xml:space="preserve"> a </w:t>
            </w:r>
            <w:r w:rsidRPr="00A72949">
              <w:rPr>
                <w:rFonts w:ascii="Times New Roman" w:hAnsi="Times New Roman"/>
                <w:sz w:val="24"/>
              </w:rPr>
              <w:t xml:space="preserve">stratégii </w:t>
            </w:r>
            <w:proofErr w:type="spellStart"/>
            <w:r w:rsidRPr="00A72949">
              <w:rPr>
                <w:rFonts w:ascii="Times New Roman" w:hAnsi="Times New Roman"/>
                <w:sz w:val="24"/>
              </w:rPr>
              <w:t>hedžingu</w:t>
            </w:r>
            <w:proofErr w:type="spellEnd"/>
            <w:r w:rsidRPr="00A72949">
              <w:rPr>
                <w:rFonts w:ascii="Times New Roman" w:hAnsi="Times New Roman"/>
                <w:sz w:val="24"/>
              </w:rPr>
              <w:t xml:space="preserve"> uskutočnia zmeny</w:t>
            </w:r>
            <w:r w:rsidR="00A72949">
              <w:rPr>
                <w:rFonts w:ascii="Times New Roman" w:hAnsi="Times New Roman"/>
                <w:sz w:val="24"/>
              </w:rPr>
              <w:t xml:space="preserve"> v </w:t>
            </w:r>
            <w:r w:rsidRPr="00A72949">
              <w:rPr>
                <w:rFonts w:ascii="Times New Roman" w:hAnsi="Times New Roman"/>
                <w:sz w:val="24"/>
              </w:rPr>
              <w:t>ktoromkoľvek zo scenárov uvedených</w:t>
            </w:r>
            <w:r w:rsidR="00A72949">
              <w:rPr>
                <w:rFonts w:ascii="Times New Roman" w:hAnsi="Times New Roman"/>
                <w:sz w:val="24"/>
              </w:rPr>
              <w:t xml:space="preserve"> v </w:t>
            </w:r>
            <w:r w:rsidRPr="00A72949">
              <w:rPr>
                <w:rStyle w:val="InstructionsTabelleberschrift"/>
                <w:rFonts w:ascii="Times New Roman" w:hAnsi="Times New Roman"/>
                <w:b w:val="0"/>
                <w:sz w:val="24"/>
                <w:u w:val="none"/>
              </w:rPr>
              <w:t>delegovanom nariadení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SOT)</w:t>
            </w:r>
            <w:r w:rsidR="00A72949">
              <w:rPr>
                <w:rFonts w:ascii="Times New Roman" w:hAnsi="Times New Roman"/>
                <w:sz w:val="24"/>
              </w:rPr>
              <w:t xml:space="preserve"> v </w:t>
            </w:r>
            <w:r w:rsidRPr="00A72949">
              <w:rPr>
                <w:rFonts w:ascii="Times New Roman" w:hAnsi="Times New Roman"/>
                <w:sz w:val="24"/>
              </w:rPr>
              <w:t>prípade NII:</w:t>
            </w:r>
          </w:p>
          <w:p w14:paraId="15784E81"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paralelný šok smerom nahor;</w:t>
            </w:r>
          </w:p>
          <w:p w14:paraId="43686FF3" w14:textId="77777777"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 paralelný šok smerom nadol.</w:t>
            </w:r>
          </w:p>
        </w:tc>
      </w:tr>
      <w:tr w:rsidR="004E6C70" w:rsidRPr="00A72949" w14:paraId="143E0368" w14:textId="77777777" w:rsidTr="00E73145">
        <w:tc>
          <w:tcPr>
            <w:tcW w:w="1129" w:type="dxa"/>
          </w:tcPr>
          <w:p w14:paraId="22B24AAD"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0280</w:t>
            </w:r>
          </w:p>
        </w:tc>
        <w:tc>
          <w:tcPr>
            <w:tcW w:w="7620" w:type="dxa"/>
          </w:tcPr>
          <w:p w14:paraId="2CE7991A" w14:textId="0EF304F4"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SOT na mieru rizika NII</w:t>
            </w:r>
            <w:r w:rsidR="00A72949">
              <w:rPr>
                <w:rFonts w:ascii="Times New Roman" w:hAnsi="Times New Roman"/>
                <w:b/>
                <w:sz w:val="24"/>
                <w:u w:val="single"/>
              </w:rPr>
              <w:t xml:space="preserve"> v </w:t>
            </w:r>
            <w:r w:rsidRPr="00A72949">
              <w:rPr>
                <w:rFonts w:ascii="Times New Roman" w:hAnsi="Times New Roman"/>
                <w:b/>
                <w:sz w:val="24"/>
                <w:u w:val="single"/>
              </w:rPr>
              <w:t xml:space="preserve">rámci prístupu IMS – PTR </w:t>
            </w:r>
            <w:proofErr w:type="spellStart"/>
            <w:r w:rsidRPr="00A72949">
              <w:rPr>
                <w:rFonts w:ascii="Times New Roman" w:hAnsi="Times New Roman"/>
                <w:b/>
                <w:sz w:val="24"/>
                <w:u w:val="single"/>
              </w:rPr>
              <w:t>retailových</w:t>
            </w:r>
            <w:proofErr w:type="spellEnd"/>
            <w:r w:rsidRPr="00A72949">
              <w:rPr>
                <w:rFonts w:ascii="Times New Roman" w:hAnsi="Times New Roman"/>
                <w:b/>
                <w:sz w:val="24"/>
                <w:u w:val="single"/>
              </w:rPr>
              <w:t xml:space="preserve"> termínovaných vkladov</w:t>
            </w:r>
          </w:p>
          <w:p w14:paraId="32B0D38E" w14:textId="5C7FFB2D" w:rsid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premietajú 100</w:t>
            </w:r>
            <w:r w:rsidR="00A72949">
              <w:rPr>
                <w:rFonts w:ascii="Times New Roman" w:hAnsi="Times New Roman"/>
                <w:sz w:val="24"/>
              </w:rPr>
              <w:t> %</w:t>
            </w:r>
            <w:r w:rsidRPr="00A72949">
              <w:rPr>
                <w:rFonts w:ascii="Times New Roman" w:hAnsi="Times New Roman"/>
                <w:sz w:val="24"/>
              </w:rPr>
              <w:t xml:space="preserve"> zmien trhovej úrokovej sadzby do </w:t>
            </w:r>
            <w:r w:rsidRPr="00A72949">
              <w:rPr>
                <w:rFonts w:ascii="Times New Roman" w:hAnsi="Times New Roman"/>
                <w:sz w:val="24"/>
              </w:rPr>
              <w:lastRenderedPageBreak/>
              <w:t xml:space="preserve">precenenia </w:t>
            </w:r>
            <w:proofErr w:type="spellStart"/>
            <w:r w:rsidRPr="00A72949">
              <w:rPr>
                <w:rFonts w:ascii="Times New Roman" w:hAnsi="Times New Roman"/>
                <w:sz w:val="24"/>
              </w:rPr>
              <w:t>retailových</w:t>
            </w:r>
            <w:proofErr w:type="spellEnd"/>
            <w:r w:rsidRPr="00A72949">
              <w:rPr>
                <w:rFonts w:ascii="Times New Roman" w:hAnsi="Times New Roman"/>
                <w:sz w:val="24"/>
              </w:rPr>
              <w:t xml:space="preserve"> termínovaných vkladov po ich splatnosti na základe paralelného úrokového scenára + 200</w:t>
            </w:r>
            <w:r w:rsidR="00A72949">
              <w:rPr>
                <w:rFonts w:ascii="Times New Roman" w:hAnsi="Times New Roman"/>
                <w:sz w:val="24"/>
              </w:rPr>
              <w:t>:</w:t>
            </w:r>
          </w:p>
          <w:p w14:paraId="515BE5CD" w14:textId="0B721589"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4D8BDCDD"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09A4D9A3" w14:textId="77777777" w:rsidR="004E6C70" w:rsidRPr="00A72949" w:rsidRDefault="004E6C70" w:rsidP="00E73145">
            <w:pPr>
              <w:suppressAutoHyphens/>
              <w:spacing w:before="0"/>
              <w:rPr>
                <w:rFonts w:ascii="Times New Roman" w:hAnsi="Times New Roman"/>
                <w:b/>
                <w:bCs/>
                <w:u w:val="single"/>
              </w:rPr>
            </w:pPr>
            <w:r w:rsidRPr="00A72949">
              <w:rPr>
                <w:rStyle w:val="InstructionsTabelleberschrift"/>
                <w:rFonts w:ascii="Times New Roman" w:hAnsi="Times New Roman"/>
                <w:b w:val="0"/>
                <w:sz w:val="24"/>
                <w:u w:val="none"/>
              </w:rPr>
              <w:t>– neuplatňuje sa.</w:t>
            </w:r>
          </w:p>
        </w:tc>
      </w:tr>
      <w:tr w:rsidR="004E6C70" w:rsidRPr="00A72949" w14:paraId="7B8E70B8" w14:textId="77777777" w:rsidTr="00E73145">
        <w:tc>
          <w:tcPr>
            <w:tcW w:w="1129" w:type="dxa"/>
          </w:tcPr>
          <w:p w14:paraId="2A15614F"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0290</w:t>
            </w:r>
          </w:p>
        </w:tc>
        <w:tc>
          <w:tcPr>
            <w:tcW w:w="7620" w:type="dxa"/>
          </w:tcPr>
          <w:p w14:paraId="1142D3D7" w14:textId="709A3401"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SOT na mieru rizika NII</w:t>
            </w:r>
            <w:r w:rsidR="00A72949">
              <w:rPr>
                <w:rFonts w:ascii="Times New Roman" w:hAnsi="Times New Roman"/>
                <w:b/>
                <w:sz w:val="24"/>
                <w:u w:val="single"/>
              </w:rPr>
              <w:t xml:space="preserve"> v </w:t>
            </w:r>
            <w:r w:rsidRPr="00A72949">
              <w:rPr>
                <w:rFonts w:ascii="Times New Roman" w:hAnsi="Times New Roman"/>
                <w:b/>
                <w:sz w:val="24"/>
                <w:u w:val="single"/>
              </w:rPr>
              <w:t xml:space="preserve">rámci prístupu IMS – PTR </w:t>
            </w:r>
            <w:proofErr w:type="spellStart"/>
            <w:r w:rsidRPr="00A72949">
              <w:rPr>
                <w:rFonts w:ascii="Times New Roman" w:hAnsi="Times New Roman"/>
                <w:b/>
                <w:sz w:val="24"/>
                <w:u w:val="single"/>
              </w:rPr>
              <w:t>retailových</w:t>
            </w:r>
            <w:proofErr w:type="spellEnd"/>
            <w:r w:rsidRPr="00A72949">
              <w:rPr>
                <w:rFonts w:ascii="Times New Roman" w:hAnsi="Times New Roman"/>
                <w:b/>
                <w:sz w:val="24"/>
                <w:u w:val="single"/>
              </w:rPr>
              <w:t xml:space="preserve"> úverov</w:t>
            </w:r>
            <w:r w:rsidR="00A72949">
              <w:rPr>
                <w:rFonts w:ascii="Times New Roman" w:hAnsi="Times New Roman"/>
                <w:b/>
                <w:sz w:val="24"/>
                <w:u w:val="single"/>
              </w:rPr>
              <w:t xml:space="preserve"> s </w:t>
            </w:r>
            <w:r w:rsidRPr="00A72949">
              <w:rPr>
                <w:rFonts w:ascii="Times New Roman" w:hAnsi="Times New Roman"/>
                <w:b/>
                <w:sz w:val="24"/>
                <w:u w:val="single"/>
              </w:rPr>
              <w:t>pevnou úrokovou sadzbou</w:t>
            </w:r>
          </w:p>
          <w:p w14:paraId="4B650205" w14:textId="400DFA40" w:rsid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premietajú 100</w:t>
            </w:r>
            <w:r w:rsidR="00A72949">
              <w:rPr>
                <w:rFonts w:ascii="Times New Roman" w:hAnsi="Times New Roman"/>
                <w:sz w:val="24"/>
              </w:rPr>
              <w:t> %</w:t>
            </w:r>
            <w:r w:rsidRPr="00A72949">
              <w:rPr>
                <w:rFonts w:ascii="Times New Roman" w:hAnsi="Times New Roman"/>
                <w:sz w:val="24"/>
              </w:rPr>
              <w:t xml:space="preserve"> zmien trhovej úrokovej sadzby do precenenia </w:t>
            </w:r>
            <w:proofErr w:type="spellStart"/>
            <w:r w:rsidRPr="00A72949">
              <w:rPr>
                <w:rFonts w:ascii="Times New Roman" w:hAnsi="Times New Roman"/>
                <w:sz w:val="24"/>
              </w:rPr>
              <w:t>retailových</w:t>
            </w:r>
            <w:proofErr w:type="spellEnd"/>
            <w:r w:rsidRPr="00A72949">
              <w:rPr>
                <w:rFonts w:ascii="Times New Roman" w:hAnsi="Times New Roman"/>
                <w:sz w:val="24"/>
              </w:rPr>
              <w:t xml:space="preserve"> úverov</w:t>
            </w:r>
            <w:r w:rsidR="00A72949">
              <w:rPr>
                <w:rFonts w:ascii="Times New Roman" w:hAnsi="Times New Roman"/>
                <w:sz w:val="24"/>
              </w:rPr>
              <w:t xml:space="preserve"> s </w:t>
            </w:r>
            <w:r w:rsidRPr="00A72949">
              <w:rPr>
                <w:rFonts w:ascii="Times New Roman" w:hAnsi="Times New Roman"/>
                <w:sz w:val="24"/>
              </w:rPr>
              <w:t>pevnou úrokovou sadzbou po ich splatnosti na základe paralelného úrokového scenára + 200</w:t>
            </w:r>
            <w:r w:rsidR="00A72949">
              <w:rPr>
                <w:rFonts w:ascii="Times New Roman" w:hAnsi="Times New Roman"/>
                <w:sz w:val="24"/>
              </w:rPr>
              <w:t>:</w:t>
            </w:r>
          </w:p>
          <w:p w14:paraId="785E0FBA" w14:textId="44B0BD8F"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4B8E39B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2A4A32DF"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53091B2A" w14:textId="77777777" w:rsidTr="00E73145">
        <w:tc>
          <w:tcPr>
            <w:tcW w:w="1129" w:type="dxa"/>
          </w:tcPr>
          <w:p w14:paraId="22874FA3"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0300</w:t>
            </w:r>
          </w:p>
        </w:tc>
        <w:tc>
          <w:tcPr>
            <w:tcW w:w="7620" w:type="dxa"/>
          </w:tcPr>
          <w:p w14:paraId="3C06DF61" w14:textId="77777777"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Bázické riziko</w:t>
            </w:r>
          </w:p>
          <w:p w14:paraId="39D3E054" w14:textId="77777777" w:rsid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 považujú bázické riziko za významné</w:t>
            </w:r>
            <w:r w:rsidR="00A72949">
              <w:rPr>
                <w:rFonts w:ascii="Times New Roman" w:hAnsi="Times New Roman"/>
                <w:sz w:val="24"/>
              </w:rPr>
              <w:t>:</w:t>
            </w:r>
          </w:p>
          <w:p w14:paraId="1A71F6CB" w14:textId="7D0B694E"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211585C4"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51B976A3"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0D0A5FB5" w14:textId="77777777" w:rsidTr="00E73145">
        <w:tc>
          <w:tcPr>
            <w:tcW w:w="1129" w:type="dxa"/>
          </w:tcPr>
          <w:p w14:paraId="1F63ECD5"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0310</w:t>
            </w:r>
          </w:p>
        </w:tc>
        <w:tc>
          <w:tcPr>
            <w:tcW w:w="7620" w:type="dxa"/>
          </w:tcPr>
          <w:p w14:paraId="5781614C" w14:textId="6F7D146C" w:rsidR="004E6C70" w:rsidRPr="00A72949" w:rsidRDefault="004E6C70" w:rsidP="00E73145">
            <w:pPr>
              <w:suppressAutoHyphens/>
              <w:spacing w:before="0"/>
              <w:rPr>
                <w:rFonts w:ascii="Times New Roman" w:hAnsi="Times New Roman"/>
                <w:b/>
                <w:bCs/>
                <w:sz w:val="24"/>
                <w:u w:val="single"/>
              </w:rPr>
            </w:pPr>
            <w:r w:rsidRPr="00A72949">
              <w:rPr>
                <w:rFonts w:ascii="Times New Roman" w:hAnsi="Times New Roman"/>
                <w:b/>
                <w:sz w:val="24"/>
                <w:u w:val="single"/>
              </w:rPr>
              <w:t>Riziko kreditného rozpätia</w:t>
            </w:r>
            <w:r w:rsidR="00A72949">
              <w:rPr>
                <w:rFonts w:ascii="Times New Roman" w:hAnsi="Times New Roman"/>
                <w:b/>
                <w:sz w:val="24"/>
                <w:u w:val="single"/>
              </w:rPr>
              <w:t xml:space="preserve"> v </w:t>
            </w:r>
            <w:r w:rsidRPr="00A72949">
              <w:rPr>
                <w:rFonts w:ascii="Times New Roman" w:hAnsi="Times New Roman"/>
                <w:b/>
                <w:sz w:val="24"/>
                <w:u w:val="single"/>
              </w:rPr>
              <w:t>bankovej knihe (CSRBB)</w:t>
            </w:r>
          </w:p>
          <w:p w14:paraId="197E8A1C" w14:textId="1FE9F016" w:rsidR="004E6C70" w:rsidRPr="00A72949" w:rsidRDefault="004E6C70" w:rsidP="00E73145">
            <w:pPr>
              <w:suppressAutoHyphens/>
              <w:spacing w:before="0"/>
              <w:rPr>
                <w:rFonts w:ascii="Times New Roman" w:hAnsi="Times New Roman"/>
                <w:sz w:val="24"/>
              </w:rPr>
            </w:pPr>
            <w:r w:rsidRPr="00A72949">
              <w:rPr>
                <w:rFonts w:ascii="Times New Roman" w:hAnsi="Times New Roman"/>
                <w:sz w:val="24"/>
              </w:rPr>
              <w:t>Inštitúcie uvádzajú, či</w:t>
            </w:r>
            <w:r w:rsidR="00A72949">
              <w:rPr>
                <w:rFonts w:ascii="Times New Roman" w:hAnsi="Times New Roman"/>
                <w:sz w:val="24"/>
              </w:rPr>
              <w:t xml:space="preserve"> v </w:t>
            </w:r>
            <w:r w:rsidRPr="00A72949">
              <w:rPr>
                <w:rFonts w:ascii="Times New Roman" w:hAnsi="Times New Roman"/>
                <w:sz w:val="24"/>
              </w:rPr>
              <w:t>prípade metrík NII</w:t>
            </w:r>
            <w:r w:rsidR="00A72949">
              <w:rPr>
                <w:rFonts w:ascii="Times New Roman" w:hAnsi="Times New Roman"/>
                <w:sz w:val="24"/>
              </w:rPr>
              <w:t xml:space="preserve"> a </w:t>
            </w:r>
            <w:r w:rsidRPr="00A72949">
              <w:rPr>
                <w:rFonts w:ascii="Times New Roman" w:hAnsi="Times New Roman"/>
                <w:sz w:val="24"/>
              </w:rPr>
              <w:t>EVE zvážili iný rozsah nástrojov podliehajúcich CSRBB, ako sa uvádza</w:t>
            </w:r>
            <w:r w:rsidR="00A72949">
              <w:rPr>
                <w:rFonts w:ascii="Times New Roman" w:hAnsi="Times New Roman"/>
                <w:sz w:val="24"/>
              </w:rPr>
              <w:t xml:space="preserve"> v </w:t>
            </w:r>
            <w:r w:rsidRPr="00A72949">
              <w:rPr>
                <w:rFonts w:ascii="Times New Roman" w:hAnsi="Times New Roman"/>
                <w:sz w:val="24"/>
              </w:rPr>
              <w:t>článku 84 ods. 2 smernice 2013/36/EÚ:</w:t>
            </w:r>
          </w:p>
          <w:p w14:paraId="2685246C"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5CD30B50"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2765F23A" w14:textId="77777777" w:rsidR="004E6C70" w:rsidRPr="00A72949" w:rsidRDefault="004E6C70" w:rsidP="00E73145">
            <w:pPr>
              <w:suppressAutoHyphens/>
              <w:spacing w:before="0"/>
              <w:rPr>
                <w:rFonts w:ascii="Times New Roman" w:hAnsi="Times New Roman"/>
              </w:rPr>
            </w:pPr>
            <w:r w:rsidRPr="00A72949">
              <w:rPr>
                <w:rStyle w:val="InstructionsTabelleberschrift"/>
                <w:rFonts w:ascii="Times New Roman" w:hAnsi="Times New Roman"/>
                <w:b w:val="0"/>
                <w:sz w:val="24"/>
                <w:u w:val="none"/>
              </w:rPr>
              <w:t>– neuplatňuje sa.</w:t>
            </w:r>
          </w:p>
        </w:tc>
      </w:tr>
      <w:tr w:rsidR="004E6C70" w:rsidRPr="00A72949" w14:paraId="786ECF3D" w14:textId="77777777" w:rsidTr="00E73145">
        <w:tc>
          <w:tcPr>
            <w:tcW w:w="1129" w:type="dxa"/>
          </w:tcPr>
          <w:p w14:paraId="620664EA"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0320</w:t>
            </w:r>
          </w:p>
        </w:tc>
        <w:tc>
          <w:tcPr>
            <w:tcW w:w="7620" w:type="dxa"/>
          </w:tcPr>
          <w:p w14:paraId="0B34184E" w14:textId="77777777" w:rsid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Bezriziková výnosová krivka (</w:t>
            </w:r>
            <w:proofErr w:type="spellStart"/>
            <w:r w:rsidRPr="00A72949">
              <w:rPr>
                <w:rStyle w:val="InstructionsTabelleberschrift"/>
                <w:rFonts w:ascii="Times New Roman" w:hAnsi="Times New Roman"/>
                <w:sz w:val="24"/>
              </w:rPr>
              <w:t>diskontácia</w:t>
            </w:r>
            <w:proofErr w:type="spellEnd"/>
            <w:r w:rsidRPr="00A72949">
              <w:rPr>
                <w:rStyle w:val="InstructionsTabelleberschrift"/>
                <w:rFonts w:ascii="Times New Roman" w:hAnsi="Times New Roman"/>
                <w:sz w:val="24"/>
              </w:rPr>
              <w:t xml:space="preserve"> pri SOT</w:t>
            </w:r>
            <w:r w:rsidR="00A72949">
              <w:rPr>
                <w:rStyle w:val="InstructionsTabelleberschrift"/>
                <w:rFonts w:ascii="Times New Roman" w:hAnsi="Times New Roman"/>
                <w:sz w:val="24"/>
              </w:rPr>
              <w:t xml:space="preserve"> v </w:t>
            </w:r>
            <w:r w:rsidRPr="00A72949">
              <w:rPr>
                <w:rStyle w:val="InstructionsTabelleberschrift"/>
                <w:rFonts w:ascii="Times New Roman" w:hAnsi="Times New Roman"/>
                <w:sz w:val="24"/>
              </w:rPr>
              <w:t>súvislosti</w:t>
            </w:r>
            <w:r w:rsidR="00A72949">
              <w:rPr>
                <w:rStyle w:val="InstructionsTabelleberschrift"/>
                <w:rFonts w:ascii="Times New Roman" w:hAnsi="Times New Roman"/>
                <w:sz w:val="24"/>
              </w:rPr>
              <w:t xml:space="preserve"> s </w:t>
            </w:r>
            <w:r w:rsidRPr="00A72949">
              <w:rPr>
                <w:rStyle w:val="InstructionsTabelleberschrift"/>
                <w:rFonts w:ascii="Times New Roman" w:hAnsi="Times New Roman"/>
                <w:sz w:val="24"/>
              </w:rPr>
              <w:t>EVE)</w:t>
            </w:r>
          </w:p>
          <w:p w14:paraId="6565E2C4" w14:textId="1E8C660F" w:rsidR="004E6C70" w:rsidRPr="00A72949" w:rsidRDefault="004E6C70" w:rsidP="00E73145">
            <w:pPr>
              <w:pStyle w:val="InstructionsText"/>
            </w:pPr>
            <w:r w:rsidRPr="00A72949">
              <w:t>Inštitúcie vykazujú bezrizikovú výnosovú krivku, ktorá sa použila na diskontovanie</w:t>
            </w:r>
            <w:r w:rsidR="00A72949">
              <w:t xml:space="preserve"> v </w:t>
            </w:r>
            <w:r w:rsidRPr="00A72949">
              <w:t>súlade</w:t>
            </w:r>
            <w:r w:rsidR="00A72949">
              <w:t xml:space="preserve"> s </w:t>
            </w:r>
            <w:r w:rsidRPr="00A72949">
              <w:t xml:space="preserve">článkom 3 ods. 10 </w:t>
            </w:r>
            <w:r w:rsidRPr="00A72949">
              <w:rPr>
                <w:rStyle w:val="InstructionsTabelleberschrift"/>
                <w:rFonts w:ascii="Times New Roman" w:hAnsi="Times New Roman"/>
                <w:b w:val="0"/>
                <w:sz w:val="24"/>
                <w:u w:val="none"/>
              </w:rPr>
              <w:t>delegovaného nariadenia (EÚ) .../... (Úrad pre publikácie: doplňte odkaz na regulačné technické predpisy</w:t>
            </w:r>
            <w:r w:rsidR="00A72949">
              <w:rPr>
                <w:rStyle w:val="InstructionsTabelleberschrift"/>
                <w:rFonts w:ascii="Times New Roman" w:hAnsi="Times New Roman"/>
                <w:b w:val="0"/>
                <w:sz w:val="24"/>
                <w:u w:val="none"/>
              </w:rPr>
              <w:t xml:space="preserve"> o </w:t>
            </w:r>
            <w:r w:rsidRPr="00A72949">
              <w:rPr>
                <w:rStyle w:val="InstructionsTabelleberschrift"/>
                <w:rFonts w:ascii="Times New Roman" w:hAnsi="Times New Roman"/>
                <w:b w:val="0"/>
                <w:sz w:val="24"/>
                <w:u w:val="none"/>
              </w:rPr>
              <w:t>SOT)</w:t>
            </w:r>
            <w:r w:rsidRPr="00A72949">
              <w:t>:</w:t>
            </w:r>
          </w:p>
          <w:p w14:paraId="10B96A7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medzibankové zabezpečené;</w:t>
            </w:r>
          </w:p>
          <w:p w14:paraId="34375631"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medzibankové nezabezpečené jednodňové;</w:t>
            </w:r>
          </w:p>
          <w:p w14:paraId="49F2574A"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medzibankové nezabezpečené termínované;</w:t>
            </w:r>
          </w:p>
          <w:p w14:paraId="710B8247"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krivka štátnych dlhopisov;</w:t>
            </w:r>
          </w:p>
          <w:p w14:paraId="6191DA2C"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krivka špecifická pre daný produkt;</w:t>
            </w:r>
          </w:p>
          <w:p w14:paraId="336BB7E8"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krivka špecifická pre daný subjekt;</w:t>
            </w:r>
          </w:p>
          <w:p w14:paraId="467B04AA"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iné.</w:t>
            </w:r>
          </w:p>
        </w:tc>
      </w:tr>
      <w:tr w:rsidR="004E6C70" w:rsidRPr="00A72949" w14:paraId="727E5DD3" w14:textId="77777777" w:rsidTr="00E73145">
        <w:tc>
          <w:tcPr>
            <w:tcW w:w="1129" w:type="dxa"/>
          </w:tcPr>
          <w:p w14:paraId="4E113D10"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lastRenderedPageBreak/>
              <w:t>0330</w:t>
            </w:r>
          </w:p>
        </w:tc>
        <w:tc>
          <w:tcPr>
            <w:tcW w:w="7620" w:type="dxa"/>
          </w:tcPr>
          <w:p w14:paraId="066069D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Bezriziková výnosová krivka (interné miery rizika pri EVE)</w:t>
            </w:r>
          </w:p>
          <w:p w14:paraId="3BC99E45" w14:textId="77777777" w:rsidR="004E6C70" w:rsidRPr="00A72949" w:rsidRDefault="004E6C70" w:rsidP="00E73145">
            <w:pPr>
              <w:pStyle w:val="InstructionsText"/>
            </w:pPr>
            <w:r w:rsidRPr="00A72949">
              <w:t>Inštitúcie vykazujú bezrizikovú výnosovú krivku, ktorá sa použila na interné účely na diskontovanie miery interného rizika EVE:</w:t>
            </w:r>
          </w:p>
          <w:p w14:paraId="40C9A13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medzibankové zabezpečené;</w:t>
            </w:r>
          </w:p>
          <w:p w14:paraId="123BC21C"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medzibankové nezabezpečené jednodňové;</w:t>
            </w:r>
          </w:p>
          <w:p w14:paraId="199265F2"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medzibankové nezabezpečené termínované;</w:t>
            </w:r>
          </w:p>
          <w:p w14:paraId="205DAA1E"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krivka štátnych dlhopisov;</w:t>
            </w:r>
          </w:p>
          <w:p w14:paraId="4453F307"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krivka špecifická pre daný produkt;</w:t>
            </w:r>
          </w:p>
          <w:p w14:paraId="639F1ADF"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krivka špecifická pre daný subjekt;</w:t>
            </w:r>
          </w:p>
          <w:p w14:paraId="69D6DA37"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 iné.</w:t>
            </w:r>
          </w:p>
        </w:tc>
      </w:tr>
      <w:tr w:rsidR="004E6C70" w:rsidRPr="00A72949" w14:paraId="5A747E60" w14:textId="77777777" w:rsidTr="00E73145">
        <w:tc>
          <w:tcPr>
            <w:tcW w:w="1129" w:type="dxa"/>
          </w:tcPr>
          <w:p w14:paraId="74E24C6E" w14:textId="77777777" w:rsidR="004E6C70" w:rsidRPr="00A72949" w:rsidDel="00DD0AD0"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0340</w:t>
            </w:r>
          </w:p>
        </w:tc>
        <w:tc>
          <w:tcPr>
            <w:tcW w:w="7620" w:type="dxa"/>
          </w:tcPr>
          <w:p w14:paraId="289AFDA4" w14:textId="77777777" w:rsidR="004E6C70" w:rsidRPr="00A72949" w:rsidRDefault="004E6C70" w:rsidP="00E73145">
            <w:pPr>
              <w:suppressAutoHyphens/>
              <w:spacing w:before="0"/>
              <w:rPr>
                <w:rStyle w:val="InstructionsTabelleberschrift"/>
                <w:rFonts w:ascii="Times New Roman" w:hAnsi="Times New Roman"/>
                <w:sz w:val="24"/>
              </w:rPr>
            </w:pPr>
            <w:r w:rsidRPr="00A72949">
              <w:rPr>
                <w:rStyle w:val="InstructionsTabelleberschrift"/>
                <w:rFonts w:ascii="Times New Roman" w:hAnsi="Times New Roman"/>
                <w:sz w:val="24"/>
              </w:rPr>
              <w:t>Zmena významných predpokladov (EVE)</w:t>
            </w:r>
          </w:p>
          <w:p w14:paraId="5D0142C9" w14:textId="560AB27E" w:rsidR="004E6C70" w:rsidRPr="00A72949" w:rsidRDefault="004E6C70" w:rsidP="00E73145">
            <w:pPr>
              <w:pStyle w:val="InstructionsText"/>
              <w:rPr>
                <w:rStyle w:val="InstructionsTabelleberschrift"/>
                <w:rFonts w:ascii="Times New Roman" w:hAnsi="Times New Roman"/>
                <w:b w:val="0"/>
                <w:bCs w:val="0"/>
                <w:sz w:val="24"/>
                <w:u w:val="none"/>
              </w:rPr>
            </w:pPr>
            <w:r w:rsidRPr="00A72949">
              <w:t>Inštitúcie uvádzajú, či od posledného vykázania došlo</w:t>
            </w:r>
            <w:r w:rsidR="00A72949">
              <w:t xml:space="preserve"> k </w:t>
            </w:r>
            <w:r w:rsidRPr="00A72949">
              <w:t>zmene akýchkoľvek významných predpokladov,</w:t>
            </w:r>
            <w:r w:rsidR="00A72949">
              <w:t xml:space="preserve"> z </w:t>
            </w:r>
            <w:r w:rsidRPr="00A72949">
              <w:t>ktorých vychádza výpočet štandardného šoku na účely dohľadu</w:t>
            </w:r>
            <w:r w:rsidR="00A72949">
              <w:t xml:space="preserve"> v </w:t>
            </w:r>
            <w:r w:rsidRPr="00A72949">
              <w:t>metrikách SOT</w:t>
            </w:r>
            <w:r w:rsidR="00A72949">
              <w:t xml:space="preserve"> v </w:t>
            </w:r>
            <w:r w:rsidRPr="00A72949">
              <w:t>súvislosti</w:t>
            </w:r>
            <w:r w:rsidR="00A72949">
              <w:t xml:space="preserve"> s </w:t>
            </w:r>
            <w:r w:rsidRPr="00A72949">
              <w:t>EVE:</w:t>
            </w:r>
          </w:p>
          <w:p w14:paraId="146BFA6E"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0D730689"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10CE6E92"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 neuplatňuje sa.</w:t>
            </w:r>
          </w:p>
        </w:tc>
      </w:tr>
      <w:tr w:rsidR="004E6C70" w:rsidRPr="00A72949" w14:paraId="10994296" w14:textId="77777777" w:rsidTr="00E73145">
        <w:tc>
          <w:tcPr>
            <w:tcW w:w="1129" w:type="dxa"/>
          </w:tcPr>
          <w:p w14:paraId="42211093" w14:textId="77777777" w:rsidR="004E6C70" w:rsidRPr="00A72949" w:rsidDel="00DD0AD0"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0350</w:t>
            </w:r>
          </w:p>
        </w:tc>
        <w:tc>
          <w:tcPr>
            <w:tcW w:w="7620" w:type="dxa"/>
          </w:tcPr>
          <w:p w14:paraId="0985C03B" w14:textId="77777777" w:rsidR="004E6C70" w:rsidRPr="00A72949" w:rsidRDefault="004E6C70" w:rsidP="00E73145">
            <w:pPr>
              <w:suppressAutoHyphens/>
              <w:spacing w:before="0"/>
              <w:rPr>
                <w:rStyle w:val="InstructionsTabelleberschrift"/>
                <w:rFonts w:ascii="Times New Roman" w:hAnsi="Times New Roman"/>
                <w:sz w:val="24"/>
              </w:rPr>
            </w:pPr>
            <w:r w:rsidRPr="00A72949">
              <w:rPr>
                <w:rStyle w:val="InstructionsTabelleberschrift"/>
                <w:rFonts w:ascii="Times New Roman" w:hAnsi="Times New Roman"/>
                <w:sz w:val="24"/>
              </w:rPr>
              <w:t>Zmena významných predpokladov (NII)</w:t>
            </w:r>
          </w:p>
          <w:p w14:paraId="2D62885A" w14:textId="6D45A951" w:rsidR="00A72949" w:rsidRDefault="004E6C70" w:rsidP="00E73145">
            <w:pPr>
              <w:pStyle w:val="InstructionsText"/>
            </w:pPr>
            <w:r w:rsidRPr="00A72949">
              <w:t>Inštitúcie uvádzajú, či od posledného vykázania došlo</w:t>
            </w:r>
            <w:r w:rsidR="00A72949">
              <w:t xml:space="preserve"> k </w:t>
            </w:r>
            <w:r w:rsidRPr="00A72949">
              <w:t>zmene akýchkoľvek významných predpokladov,</w:t>
            </w:r>
            <w:r w:rsidR="00A72949">
              <w:t xml:space="preserve"> z </w:t>
            </w:r>
            <w:r w:rsidRPr="00A72949">
              <w:t>ktorých vychádza výpočet štandardného šoku na účely dohľadu</w:t>
            </w:r>
            <w:r w:rsidR="00A72949">
              <w:t xml:space="preserve"> v </w:t>
            </w:r>
            <w:r w:rsidRPr="00A72949">
              <w:t>metrikách SOT</w:t>
            </w:r>
            <w:r w:rsidR="00A72949">
              <w:t xml:space="preserve"> v </w:t>
            </w:r>
            <w:r w:rsidRPr="00A72949">
              <w:t>súvislosti</w:t>
            </w:r>
            <w:r w:rsidR="00A72949">
              <w:t xml:space="preserve"> s </w:t>
            </w:r>
            <w:r w:rsidRPr="00A72949">
              <w:t>NII</w:t>
            </w:r>
            <w:r w:rsidR="00A72949">
              <w:t>:</w:t>
            </w:r>
          </w:p>
          <w:p w14:paraId="1DEC36B0" w14:textId="1051CE43"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09FACA71"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753515F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b w:val="0"/>
                <w:sz w:val="24"/>
                <w:u w:val="none"/>
              </w:rPr>
              <w:t>– neuplatňuje sa.</w:t>
            </w:r>
          </w:p>
        </w:tc>
      </w:tr>
      <w:tr w:rsidR="004E6C70" w:rsidRPr="00A72949" w14:paraId="73C56C5F" w14:textId="77777777" w:rsidTr="00E73145">
        <w:tc>
          <w:tcPr>
            <w:tcW w:w="1129" w:type="dxa"/>
          </w:tcPr>
          <w:p w14:paraId="629C2678" w14:textId="77777777" w:rsidR="004E6C70" w:rsidRPr="00A72949" w:rsidRDefault="004E6C70" w:rsidP="00E73145">
            <w:pPr>
              <w:pStyle w:val="InstructionsText"/>
              <w:rPr>
                <w:rStyle w:val="FormatvorlageInstructionsTabelleText"/>
                <w:rFonts w:ascii="Times New Roman" w:hAnsi="Times New Roman"/>
                <w:sz w:val="24"/>
              </w:rPr>
            </w:pPr>
            <w:r w:rsidRPr="00A72949">
              <w:rPr>
                <w:rStyle w:val="FormatvorlageInstructionsTabelleText"/>
                <w:rFonts w:ascii="Times New Roman" w:hAnsi="Times New Roman"/>
                <w:sz w:val="24"/>
              </w:rPr>
              <w:t>0360</w:t>
            </w:r>
          </w:p>
        </w:tc>
        <w:tc>
          <w:tcPr>
            <w:tcW w:w="7620" w:type="dxa"/>
          </w:tcPr>
          <w:p w14:paraId="1B7CA95B" w14:textId="77777777" w:rsidR="004E6C70" w:rsidRPr="00A72949" w:rsidRDefault="004E6C70" w:rsidP="00E73145">
            <w:pPr>
              <w:pStyle w:val="InstructionsText"/>
              <w:rPr>
                <w:rStyle w:val="InstructionsTabelleberschrift"/>
                <w:rFonts w:ascii="Times New Roman" w:hAnsi="Times New Roman"/>
                <w:sz w:val="24"/>
              </w:rPr>
            </w:pPr>
            <w:r w:rsidRPr="00A72949">
              <w:rPr>
                <w:rStyle w:val="InstructionsTabelleberschrift"/>
                <w:rFonts w:ascii="Times New Roman" w:hAnsi="Times New Roman"/>
                <w:sz w:val="24"/>
              </w:rPr>
              <w:t>Spodné ohraničenie úrokovej sadzby po šoku (NII/EVE)</w:t>
            </w:r>
          </w:p>
          <w:p w14:paraId="1879C0C8" w14:textId="7D06B038" w:rsidR="004E6C70" w:rsidRPr="00A72949" w:rsidRDefault="004E6C70" w:rsidP="00E73145">
            <w:pPr>
              <w:pStyle w:val="InstructionsText"/>
              <w:rPr>
                <w:rStyle w:val="InstructionsTabelleberschrift"/>
                <w:rFonts w:ascii="Times New Roman" w:hAnsi="Times New Roman"/>
                <w:b w:val="0"/>
                <w:bCs w:val="0"/>
                <w:sz w:val="24"/>
                <w:u w:val="none"/>
              </w:rPr>
            </w:pPr>
            <w:r w:rsidRPr="00A72949">
              <w:t>V súlade</w:t>
            </w:r>
            <w:r w:rsidR="00A72949">
              <w:t xml:space="preserve"> s </w:t>
            </w:r>
            <w:r w:rsidRPr="00A72949">
              <w:t xml:space="preserve">článkom 3 ods. 7 </w:t>
            </w:r>
            <w:r w:rsidRPr="00A72949">
              <w:rPr>
                <w:rStyle w:val="InstructionsTabelleberschrift"/>
                <w:rFonts w:ascii="Times New Roman" w:hAnsi="Times New Roman"/>
                <w:b w:val="0"/>
                <w:sz w:val="24"/>
                <w:u w:val="none"/>
              </w:rPr>
              <w:t>delegovaného nariadenia (EÚ) .../... (Úrad pre publikácie: doplňte odkaz na SOT)</w:t>
            </w:r>
            <w:r w:rsidRPr="00A72949">
              <w:t xml:space="preserve"> inštitúcie uvádzajú, či je spodné ohraničenie úrokovej sadzby po šoku závislé od splatnosti záväzné pre ktorúkoľvek</w:t>
            </w:r>
            <w:r w:rsidR="00A72949">
              <w:t xml:space="preserve"> z </w:t>
            </w:r>
            <w:r w:rsidRPr="00A72949">
              <w:t>vykazovaných konkrétnych mien:</w:t>
            </w:r>
          </w:p>
          <w:p w14:paraId="11E57F64"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áno;</w:t>
            </w:r>
          </w:p>
          <w:p w14:paraId="2C54E4CA" w14:textId="77777777" w:rsidR="004E6C70" w:rsidRPr="00A72949" w:rsidRDefault="004E6C70" w:rsidP="00E73145">
            <w:pPr>
              <w:pStyle w:val="InstructionsText"/>
              <w:rPr>
                <w:rStyle w:val="InstructionsTabelleberschrift"/>
                <w:rFonts w:ascii="Times New Roman" w:hAnsi="Times New Roman"/>
                <w:b w:val="0"/>
                <w:bCs w:val="0"/>
                <w:sz w:val="24"/>
                <w:u w:val="none"/>
              </w:rPr>
            </w:pPr>
            <w:r w:rsidRPr="00A72949">
              <w:rPr>
                <w:rStyle w:val="InstructionsTabelleberschrift"/>
                <w:rFonts w:ascii="Times New Roman" w:hAnsi="Times New Roman"/>
                <w:b w:val="0"/>
                <w:sz w:val="24"/>
                <w:u w:val="none"/>
              </w:rPr>
              <w:t>– nie;</w:t>
            </w:r>
          </w:p>
          <w:p w14:paraId="4FD9DB78" w14:textId="77777777" w:rsidR="004E6C70" w:rsidRPr="00A72949" w:rsidRDefault="004E6C70" w:rsidP="00E73145">
            <w:pPr>
              <w:suppressAutoHyphens/>
              <w:spacing w:before="0"/>
              <w:rPr>
                <w:rFonts w:ascii="Times New Roman" w:hAnsi="Times New Roman"/>
                <w:b/>
                <w:bCs/>
                <w:u w:val="single"/>
              </w:rPr>
            </w:pPr>
            <w:r w:rsidRPr="00A72949">
              <w:rPr>
                <w:rStyle w:val="InstructionsTabelleberschrift"/>
                <w:rFonts w:ascii="Times New Roman" w:hAnsi="Times New Roman"/>
                <w:b w:val="0"/>
                <w:sz w:val="24"/>
                <w:u w:val="none"/>
              </w:rPr>
              <w:t>– neuplatňuje sa.</w:t>
            </w:r>
          </w:p>
        </w:tc>
      </w:tr>
    </w:tbl>
    <w:p w14:paraId="77DB7A49" w14:textId="77777777" w:rsidR="004E6C70" w:rsidRPr="00A72949" w:rsidRDefault="004E6C70" w:rsidP="004E6C70">
      <w:pPr>
        <w:suppressAutoHyphens/>
        <w:spacing w:after="0"/>
        <w:rPr>
          <w:rStyle w:val="InstructionsTabelleText"/>
          <w:rFonts w:ascii="Times New Roman" w:hAnsi="Times New Roman"/>
          <w:sz w:val="24"/>
        </w:rPr>
      </w:pPr>
    </w:p>
    <w:p w14:paraId="39EF3370" w14:textId="77777777" w:rsidR="004E6C70" w:rsidRPr="00A72949" w:rsidRDefault="004E6C70" w:rsidP="004E6C70">
      <w:pPr>
        <w:suppressAutoHyphens/>
        <w:spacing w:after="0"/>
        <w:ind w:left="705" w:hanging="345"/>
        <w:rPr>
          <w:rStyle w:val="InstructionsTabelleText"/>
          <w:rFonts w:ascii="Times New Roman" w:hAnsi="Times New Roman"/>
          <w:szCs w:val="20"/>
        </w:rPr>
      </w:pPr>
    </w:p>
    <w:p w14:paraId="422C24B0" w14:textId="77777777" w:rsidR="00E240EE" w:rsidRPr="00A72949" w:rsidRDefault="00E240EE"/>
    <w:sectPr w:rsidR="00E240EE" w:rsidRPr="00A72949" w:rsidSect="00B51F4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05B95" w14:textId="77777777" w:rsidR="00910A89" w:rsidRDefault="00910A89" w:rsidP="004E6C70">
      <w:pPr>
        <w:spacing w:before="0" w:after="0"/>
      </w:pPr>
      <w:r>
        <w:separator/>
      </w:r>
    </w:p>
  </w:endnote>
  <w:endnote w:type="continuationSeparator" w:id="0">
    <w:p w14:paraId="4F1D70BF" w14:textId="77777777" w:rsidR="00910A89" w:rsidRDefault="00910A89" w:rsidP="004E6C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B64D9" w14:textId="77777777" w:rsidR="004E6C70" w:rsidRDefault="004E6C70">
    <w:pPr>
      <w:pStyle w:val="Footer"/>
    </w:pPr>
  </w:p>
  <w:p w14:paraId="3718B093" w14:textId="77777777" w:rsidR="004E6C70" w:rsidRDefault="004E6C70"/>
  <w:p w14:paraId="493AC5C7" w14:textId="77777777" w:rsidR="004E6C70" w:rsidRDefault="004E6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A5349" w14:textId="77777777" w:rsidR="004E6C70" w:rsidRPr="00ED1956" w:rsidRDefault="004E6C70">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1D49D2CA" w14:textId="77777777" w:rsidR="004E6C70" w:rsidRDefault="004E6C70">
    <w:pPr>
      <w:pStyle w:val="Footer"/>
    </w:pPr>
  </w:p>
  <w:p w14:paraId="34285CDC" w14:textId="77777777" w:rsidR="004E6C70" w:rsidRDefault="004E6C70"/>
  <w:p w14:paraId="0B7F36B9" w14:textId="77777777" w:rsidR="004E6C70" w:rsidRDefault="004E6C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1B37"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5B80C553" w14:textId="77777777" w:rsidR="004E6C70" w:rsidRDefault="004E6C70">
    <w:pPr>
      <w:pStyle w:val="Footer"/>
    </w:pPr>
  </w:p>
  <w:p w14:paraId="761EF1C4" w14:textId="77777777" w:rsidR="004E6C70" w:rsidRDefault="004E6C70"/>
  <w:p w14:paraId="1C2DECA2" w14:textId="77777777" w:rsidR="004E6C70" w:rsidRDefault="004E6C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8075A" w14:textId="77777777" w:rsidR="004E6C70" w:rsidRDefault="004E6C70">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547EEC9F" w14:textId="77777777" w:rsidR="004E6C70" w:rsidRDefault="004E6C7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1FE43" w14:textId="77777777" w:rsidR="004E6C70" w:rsidRPr="00ED1956" w:rsidRDefault="004E6C70">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Pr>
        <w:rFonts w:ascii="Times New Roman" w:hAnsi="Times New Roman"/>
        <w:sz w:val="20"/>
      </w:rPr>
      <w:t>24</w:t>
    </w:r>
    <w:r>
      <w:rPr>
        <w:rFonts w:ascii="Times New Roman" w:hAnsi="Times New Roman"/>
        <w:color w:val="2B579A"/>
        <w:sz w:val="20"/>
        <w:shd w:val="clear" w:color="auto" w:fill="E6E6E6"/>
      </w:rPr>
      <w:fldChar w:fldCharType="end"/>
    </w:r>
  </w:p>
  <w:p w14:paraId="54E40949" w14:textId="77777777" w:rsidR="004E6C70" w:rsidRPr="00A772B4" w:rsidRDefault="004E6C70" w:rsidP="00A772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1ED44" w14:textId="77777777" w:rsidR="004E6C70" w:rsidRPr="00E85358" w:rsidRDefault="004E6C70">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35780DAA" w14:textId="77777777" w:rsidR="004E6C70" w:rsidRDefault="004E6C70">
    <w:pPr>
      <w:pStyle w:val="Footer"/>
    </w:pPr>
  </w:p>
  <w:p w14:paraId="59B102EE" w14:textId="77777777" w:rsidR="004E6C70" w:rsidRDefault="004E6C70"/>
  <w:p w14:paraId="76CA4BEF" w14:textId="77777777" w:rsidR="004E6C70" w:rsidRDefault="004E6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FD352" w14:textId="77777777" w:rsidR="00910A89" w:rsidRDefault="00910A89" w:rsidP="004E6C70">
      <w:pPr>
        <w:spacing w:before="0" w:after="0"/>
      </w:pPr>
      <w:r>
        <w:separator/>
      </w:r>
    </w:p>
  </w:footnote>
  <w:footnote w:type="continuationSeparator" w:id="0">
    <w:p w14:paraId="2124925A" w14:textId="77777777" w:rsidR="00910A89" w:rsidRDefault="00910A89" w:rsidP="004E6C70">
      <w:pPr>
        <w:spacing w:before="0" w:after="0"/>
      </w:pPr>
      <w:r>
        <w:continuationSeparator/>
      </w:r>
    </w:p>
  </w:footnote>
  <w:footnote w:id="1">
    <w:p w14:paraId="28951F57" w14:textId="678C8FA7" w:rsidR="004E6C70" w:rsidRPr="00A72949" w:rsidRDefault="004E6C70" w:rsidP="004E6C70">
      <w:pPr>
        <w:pStyle w:val="footnotedescription"/>
        <w:spacing w:line="240" w:lineRule="auto"/>
        <w:ind w:left="567" w:right="0" w:hanging="567"/>
        <w:rPr>
          <w:rFonts w:ascii="Times New Roman" w:hAnsi="Times New Roman" w:cs="Times New Roman"/>
          <w:sz w:val="20"/>
          <w:szCs w:val="20"/>
        </w:rPr>
      </w:pPr>
      <w:r w:rsidRPr="00A72949">
        <w:rPr>
          <w:rStyle w:val="footnotemark"/>
          <w:rFonts w:ascii="Times New Roman" w:hAnsi="Times New Roman" w:cs="Times New Roman"/>
          <w:szCs w:val="20"/>
        </w:rPr>
        <w:footnoteRef/>
      </w:r>
      <w:r w:rsidRPr="00A72949">
        <w:tab/>
      </w:r>
      <w:r w:rsidRPr="00A72949">
        <w:rPr>
          <w:rFonts w:ascii="Times New Roman" w:hAnsi="Times New Roman"/>
          <w:sz w:val="20"/>
        </w:rPr>
        <w:t>Delegované nariadenie Komisie (EÚ) …/…</w:t>
      </w:r>
      <w:r w:rsidR="00A72949">
        <w:rPr>
          <w:rFonts w:ascii="Times New Roman" w:hAnsi="Times New Roman"/>
          <w:sz w:val="20"/>
        </w:rPr>
        <w:t xml:space="preserve"> z </w:t>
      </w:r>
      <w:r w:rsidRPr="00A72949">
        <w:rPr>
          <w:rFonts w:ascii="Times New Roman" w:hAnsi="Times New Roman"/>
          <w:sz w:val="20"/>
        </w:rPr>
        <w:t>XXX, ktorým sa dopĺňa smernica Európskeho parlamentu</w:t>
      </w:r>
      <w:r w:rsidR="00A72949">
        <w:rPr>
          <w:rFonts w:ascii="Times New Roman" w:hAnsi="Times New Roman"/>
          <w:sz w:val="20"/>
        </w:rPr>
        <w:t xml:space="preserve"> a </w:t>
      </w:r>
      <w:r w:rsidRPr="00A72949">
        <w:rPr>
          <w:rFonts w:ascii="Times New Roman" w:hAnsi="Times New Roman"/>
          <w:sz w:val="20"/>
        </w:rPr>
        <w:t>Rady 2013/36/EÚ, pokiaľ ide</w:t>
      </w:r>
      <w:r w:rsidR="00A72949">
        <w:rPr>
          <w:rFonts w:ascii="Times New Roman" w:hAnsi="Times New Roman"/>
          <w:sz w:val="20"/>
        </w:rPr>
        <w:t xml:space="preserve"> o </w:t>
      </w:r>
      <w:r w:rsidRPr="00A72949">
        <w:rPr>
          <w:rFonts w:ascii="Times New Roman" w:hAnsi="Times New Roman"/>
          <w:sz w:val="20"/>
        </w:rPr>
        <w:t>regulačné technické predpisy,</w:t>
      </w:r>
      <w:r w:rsidR="00A72949">
        <w:rPr>
          <w:rFonts w:ascii="Times New Roman" w:hAnsi="Times New Roman"/>
          <w:sz w:val="20"/>
        </w:rPr>
        <w:t xml:space="preserve"> v </w:t>
      </w:r>
      <w:r w:rsidRPr="00A72949">
        <w:rPr>
          <w:rFonts w:ascii="Times New Roman" w:hAnsi="Times New Roman"/>
          <w:sz w:val="20"/>
        </w:rPr>
        <w:t>ktorých sa spresňuje štandardizovaná metodika</w:t>
      </w:r>
      <w:r w:rsidR="00A72949">
        <w:rPr>
          <w:rFonts w:ascii="Times New Roman" w:hAnsi="Times New Roman"/>
          <w:sz w:val="20"/>
        </w:rPr>
        <w:t xml:space="preserve"> a </w:t>
      </w:r>
      <w:r w:rsidRPr="00A72949">
        <w:rPr>
          <w:rFonts w:ascii="Times New Roman" w:hAnsi="Times New Roman"/>
          <w:sz w:val="20"/>
        </w:rPr>
        <w:t>zjednodušená štandardizovaná metodika na hodnotenie rizík vyplývajúcich</w:t>
      </w:r>
      <w:r w:rsidR="00A72949">
        <w:rPr>
          <w:rFonts w:ascii="Times New Roman" w:hAnsi="Times New Roman"/>
          <w:sz w:val="20"/>
        </w:rPr>
        <w:t xml:space="preserve"> z </w:t>
      </w:r>
      <w:r w:rsidRPr="00A72949">
        <w:rPr>
          <w:rFonts w:ascii="Times New Roman" w:hAnsi="Times New Roman"/>
          <w:sz w:val="20"/>
        </w:rPr>
        <w:t>možných zmien úrokových sadzieb, ktoré ovplyvňujú ekonomickú hodnotu vlastného imania aj čisté úrokové výnosy</w:t>
      </w:r>
      <w:r w:rsidR="00A72949">
        <w:rPr>
          <w:rFonts w:ascii="Times New Roman" w:hAnsi="Times New Roman"/>
          <w:sz w:val="20"/>
        </w:rPr>
        <w:t xml:space="preserve"> z </w:t>
      </w:r>
      <w:r w:rsidRPr="00A72949">
        <w:rPr>
          <w:rFonts w:ascii="Times New Roman" w:hAnsi="Times New Roman"/>
          <w:sz w:val="20"/>
        </w:rPr>
        <w:t>činností inštitúcie</w:t>
      </w:r>
      <w:r w:rsidR="00A72949">
        <w:rPr>
          <w:rFonts w:ascii="Times New Roman" w:hAnsi="Times New Roman"/>
          <w:sz w:val="20"/>
        </w:rPr>
        <w:t xml:space="preserve"> v </w:t>
      </w:r>
      <w:r w:rsidRPr="00A72949">
        <w:rPr>
          <w:rFonts w:ascii="Times New Roman" w:hAnsi="Times New Roman"/>
          <w:sz w:val="20"/>
        </w:rPr>
        <w:t>neobchodnej knihe (……).</w:t>
      </w:r>
    </w:p>
  </w:footnote>
  <w:footnote w:id="2">
    <w:p w14:paraId="7BE0034D" w14:textId="127B4F5F" w:rsidR="004E6C70" w:rsidRPr="00A72949" w:rsidRDefault="004E6C70" w:rsidP="004E6C70">
      <w:pPr>
        <w:pStyle w:val="FootnoteText"/>
        <w:spacing w:before="0" w:after="0" w:line="240" w:lineRule="auto"/>
        <w:ind w:left="567" w:hanging="567"/>
        <w:rPr>
          <w:rFonts w:ascii="Times New Roman" w:hAnsi="Times New Roman"/>
          <w:sz w:val="20"/>
          <w:szCs w:val="20"/>
        </w:rPr>
      </w:pPr>
      <w:r w:rsidRPr="00A72949">
        <w:rPr>
          <w:rStyle w:val="FootnoteReference"/>
          <w:rFonts w:ascii="Times New Roman" w:hAnsi="Times New Roman"/>
          <w:sz w:val="20"/>
          <w:szCs w:val="20"/>
          <w:vertAlign w:val="superscript"/>
        </w:rPr>
        <w:footnoteRef/>
      </w:r>
      <w:r w:rsidRPr="00A72949">
        <w:rPr>
          <w:rFonts w:ascii="Times New Roman" w:hAnsi="Times New Roman"/>
          <w:sz w:val="20"/>
        </w:rPr>
        <w:t xml:space="preserve"> </w:t>
      </w:r>
      <w:r w:rsidRPr="00A72949">
        <w:tab/>
      </w:r>
      <w:r w:rsidRPr="00A72949">
        <w:rPr>
          <w:rFonts w:ascii="Times New Roman" w:hAnsi="Times New Roman"/>
          <w:sz w:val="20"/>
        </w:rPr>
        <w:t>Nariadenie Európskeho parlamentu</w:t>
      </w:r>
      <w:r w:rsidR="00A72949">
        <w:rPr>
          <w:rFonts w:ascii="Times New Roman" w:hAnsi="Times New Roman"/>
          <w:sz w:val="20"/>
        </w:rPr>
        <w:t xml:space="preserve"> a </w:t>
      </w:r>
      <w:r w:rsidRPr="00A72949">
        <w:rPr>
          <w:rFonts w:ascii="Times New Roman" w:hAnsi="Times New Roman"/>
          <w:sz w:val="20"/>
        </w:rPr>
        <w:t xml:space="preserve">Rady (EÚ) </w:t>
      </w:r>
      <w:r w:rsidR="00A72949">
        <w:rPr>
          <w:rFonts w:ascii="Times New Roman" w:hAnsi="Times New Roman"/>
          <w:sz w:val="20"/>
        </w:rPr>
        <w:t>č. </w:t>
      </w:r>
      <w:r w:rsidRPr="00A72949">
        <w:rPr>
          <w:rFonts w:ascii="Times New Roman" w:hAnsi="Times New Roman"/>
          <w:sz w:val="20"/>
        </w:rPr>
        <w:t>600/2014</w:t>
      </w:r>
      <w:r w:rsidR="00A72949">
        <w:rPr>
          <w:rFonts w:ascii="Times New Roman" w:hAnsi="Times New Roman"/>
          <w:sz w:val="20"/>
        </w:rPr>
        <w:t xml:space="preserve"> z </w:t>
      </w:r>
      <w:r w:rsidRPr="00A72949">
        <w:rPr>
          <w:rFonts w:ascii="Times New Roman" w:hAnsi="Times New Roman"/>
          <w:sz w:val="20"/>
        </w:rPr>
        <w:t>15</w:t>
      </w:r>
      <w:r w:rsidR="00A72949">
        <w:rPr>
          <w:rFonts w:ascii="Times New Roman" w:hAnsi="Times New Roman"/>
          <w:sz w:val="20"/>
        </w:rPr>
        <w:t>. mája</w:t>
      </w:r>
      <w:r w:rsidRPr="00A72949">
        <w:rPr>
          <w:rFonts w:ascii="Times New Roman" w:hAnsi="Times New Roman"/>
          <w:sz w:val="20"/>
        </w:rPr>
        <w:t xml:space="preserve"> 2014</w:t>
      </w:r>
      <w:r w:rsidR="00A72949">
        <w:rPr>
          <w:rFonts w:ascii="Times New Roman" w:hAnsi="Times New Roman"/>
          <w:sz w:val="20"/>
        </w:rPr>
        <w:t xml:space="preserve"> o </w:t>
      </w:r>
      <w:r w:rsidRPr="00A72949">
        <w:rPr>
          <w:rFonts w:ascii="Times New Roman" w:hAnsi="Times New Roman"/>
          <w:sz w:val="20"/>
        </w:rPr>
        <w:t>trhoch</w:t>
      </w:r>
      <w:r w:rsidR="00A72949">
        <w:rPr>
          <w:rFonts w:ascii="Times New Roman" w:hAnsi="Times New Roman"/>
          <w:sz w:val="20"/>
        </w:rPr>
        <w:t xml:space="preserve"> s </w:t>
      </w:r>
      <w:r w:rsidRPr="00A72949">
        <w:rPr>
          <w:rFonts w:ascii="Times New Roman" w:hAnsi="Times New Roman"/>
          <w:sz w:val="20"/>
        </w:rPr>
        <w:t xml:space="preserve">finančnými nástrojmi, ktorým sa mení nariadenie (EÚ) </w:t>
      </w:r>
      <w:r w:rsidR="00A72949">
        <w:rPr>
          <w:rFonts w:ascii="Times New Roman" w:hAnsi="Times New Roman"/>
          <w:sz w:val="20"/>
        </w:rPr>
        <w:t>č. </w:t>
      </w:r>
      <w:r w:rsidRPr="00A72949">
        <w:rPr>
          <w:rFonts w:ascii="Times New Roman" w:hAnsi="Times New Roman"/>
          <w:sz w:val="20"/>
        </w:rPr>
        <w:t>648/2012 (Ú. v. EÚ L 173, 12.6.2014, s. 84, ELI: http://data.europa.eu/eli/reg/2014/600/oj).</w:t>
      </w:r>
    </w:p>
  </w:footnote>
  <w:footnote w:id="3">
    <w:p w14:paraId="5BEB91BD" w14:textId="7179CB7E" w:rsidR="004E6C70" w:rsidRPr="00A72949" w:rsidRDefault="004E6C70" w:rsidP="004E6C70">
      <w:pPr>
        <w:pStyle w:val="FootnoteText"/>
        <w:spacing w:before="0" w:after="0" w:line="240" w:lineRule="auto"/>
        <w:ind w:left="567" w:hanging="567"/>
        <w:rPr>
          <w:rFonts w:ascii="Times New Roman" w:hAnsi="Times New Roman"/>
          <w:sz w:val="20"/>
          <w:szCs w:val="20"/>
        </w:rPr>
      </w:pPr>
      <w:r w:rsidRPr="00A72949">
        <w:rPr>
          <w:rStyle w:val="FootnoteReference"/>
          <w:rFonts w:ascii="Times New Roman" w:hAnsi="Times New Roman"/>
          <w:sz w:val="20"/>
          <w:szCs w:val="20"/>
          <w:vertAlign w:val="superscript"/>
        </w:rPr>
        <w:footnoteRef/>
      </w:r>
      <w:r w:rsidRPr="00A72949">
        <w:rPr>
          <w:rFonts w:ascii="Times New Roman" w:hAnsi="Times New Roman"/>
          <w:sz w:val="20"/>
          <w:vertAlign w:val="superscript"/>
        </w:rPr>
        <w:t xml:space="preserve"> </w:t>
      </w:r>
      <w:r w:rsidRPr="00A72949">
        <w:tab/>
      </w:r>
      <w:r w:rsidRPr="00A72949">
        <w:rPr>
          <w:rFonts w:ascii="Times New Roman" w:hAnsi="Times New Roman"/>
          <w:sz w:val="20"/>
        </w:rPr>
        <w:t>Delegované nariadenie Komisie (EÚ) 2015/61</w:t>
      </w:r>
      <w:r w:rsidR="00A72949">
        <w:rPr>
          <w:rFonts w:ascii="Times New Roman" w:hAnsi="Times New Roman"/>
          <w:sz w:val="20"/>
        </w:rPr>
        <w:t xml:space="preserve"> z </w:t>
      </w:r>
      <w:r w:rsidRPr="00A72949">
        <w:rPr>
          <w:rFonts w:ascii="Times New Roman" w:hAnsi="Times New Roman"/>
          <w:sz w:val="20"/>
        </w:rPr>
        <w:t>10</w:t>
      </w:r>
      <w:r w:rsidR="00A72949">
        <w:rPr>
          <w:rFonts w:ascii="Times New Roman" w:hAnsi="Times New Roman"/>
          <w:sz w:val="20"/>
        </w:rPr>
        <w:t>. októbra</w:t>
      </w:r>
      <w:r w:rsidRPr="00A72949">
        <w:rPr>
          <w:rFonts w:ascii="Times New Roman" w:hAnsi="Times New Roman"/>
          <w:sz w:val="20"/>
        </w:rPr>
        <w:t xml:space="preserve"> 2014, ktorým sa dopĺňa nariadenie Európskeho parlamentu</w:t>
      </w:r>
      <w:r w:rsidR="00A72949">
        <w:rPr>
          <w:rFonts w:ascii="Times New Roman" w:hAnsi="Times New Roman"/>
          <w:sz w:val="20"/>
        </w:rPr>
        <w:t xml:space="preserve"> a </w:t>
      </w:r>
      <w:r w:rsidRPr="00A72949">
        <w:rPr>
          <w:rFonts w:ascii="Times New Roman" w:hAnsi="Times New Roman"/>
          <w:sz w:val="20"/>
        </w:rPr>
        <w:t xml:space="preserve">Rady (EÚ) </w:t>
      </w:r>
      <w:r w:rsidR="00A72949">
        <w:rPr>
          <w:rFonts w:ascii="Times New Roman" w:hAnsi="Times New Roman"/>
          <w:sz w:val="20"/>
        </w:rPr>
        <w:t>č. </w:t>
      </w:r>
      <w:r w:rsidRPr="00A72949">
        <w:rPr>
          <w:rFonts w:ascii="Times New Roman" w:hAnsi="Times New Roman"/>
          <w:sz w:val="20"/>
        </w:rPr>
        <w:t>575/2013, pokiaľ ide</w:t>
      </w:r>
      <w:r w:rsidR="00A72949">
        <w:rPr>
          <w:rFonts w:ascii="Times New Roman" w:hAnsi="Times New Roman"/>
          <w:sz w:val="20"/>
        </w:rPr>
        <w:t xml:space="preserve"> o </w:t>
      </w:r>
      <w:r w:rsidRPr="00A72949">
        <w:rPr>
          <w:rFonts w:ascii="Times New Roman" w:hAnsi="Times New Roman"/>
          <w:sz w:val="20"/>
        </w:rPr>
        <w:t>požiadavku na krytie likvidity pre úverové inštitúcie (Ú. v. EÚ L 11, 17.1.2015, s. 1, ELI: http://data.europa.eu/eli/reg_del/2015/61/oj).</w:t>
      </w:r>
    </w:p>
  </w:footnote>
  <w:footnote w:id="4">
    <w:p w14:paraId="7742E7BC" w14:textId="276D826F" w:rsidR="004E6C70" w:rsidRPr="00A72949" w:rsidRDefault="004E6C70" w:rsidP="004E6C70">
      <w:pPr>
        <w:pStyle w:val="FootnoteText"/>
        <w:spacing w:before="0" w:after="0" w:line="240" w:lineRule="auto"/>
        <w:ind w:left="567" w:hanging="567"/>
        <w:rPr>
          <w:rFonts w:ascii="Times New Roman" w:hAnsi="Times New Roman"/>
          <w:sz w:val="20"/>
          <w:szCs w:val="20"/>
        </w:rPr>
      </w:pPr>
      <w:r w:rsidRPr="00A72949">
        <w:rPr>
          <w:rStyle w:val="FootnoteReference"/>
          <w:rFonts w:ascii="Times New Roman" w:hAnsi="Times New Roman"/>
          <w:sz w:val="20"/>
          <w:szCs w:val="20"/>
          <w:vertAlign w:val="superscript"/>
        </w:rPr>
        <w:footnoteRef/>
      </w:r>
      <w:r w:rsidRPr="00A72949">
        <w:rPr>
          <w:rFonts w:ascii="Times New Roman" w:hAnsi="Times New Roman"/>
          <w:sz w:val="20"/>
        </w:rPr>
        <w:t xml:space="preserve"> </w:t>
      </w:r>
      <w:r w:rsidRPr="00A72949">
        <w:tab/>
      </w:r>
      <w:r w:rsidRPr="00A72949">
        <w:rPr>
          <w:rFonts w:ascii="Times New Roman" w:hAnsi="Times New Roman"/>
          <w:sz w:val="20"/>
        </w:rPr>
        <w:t>Nariadenie Európskeho parlamentu</w:t>
      </w:r>
      <w:r w:rsidR="00A72949">
        <w:rPr>
          <w:rFonts w:ascii="Times New Roman" w:hAnsi="Times New Roman"/>
          <w:sz w:val="20"/>
        </w:rPr>
        <w:t xml:space="preserve"> a </w:t>
      </w:r>
      <w:r w:rsidRPr="00A72949">
        <w:rPr>
          <w:rFonts w:ascii="Times New Roman" w:hAnsi="Times New Roman"/>
          <w:sz w:val="20"/>
        </w:rPr>
        <w:t xml:space="preserve">Rady (ES) </w:t>
      </w:r>
      <w:r w:rsidR="00A72949">
        <w:rPr>
          <w:rFonts w:ascii="Times New Roman" w:hAnsi="Times New Roman"/>
          <w:sz w:val="20"/>
        </w:rPr>
        <w:t>č. </w:t>
      </w:r>
      <w:r w:rsidRPr="00A72949">
        <w:rPr>
          <w:rFonts w:ascii="Times New Roman" w:hAnsi="Times New Roman"/>
          <w:sz w:val="20"/>
        </w:rPr>
        <w:t>1606/2002</w:t>
      </w:r>
      <w:r w:rsidR="00A72949">
        <w:rPr>
          <w:rFonts w:ascii="Times New Roman" w:hAnsi="Times New Roman"/>
          <w:sz w:val="20"/>
        </w:rPr>
        <w:t xml:space="preserve"> z </w:t>
      </w:r>
      <w:r w:rsidRPr="00A72949">
        <w:rPr>
          <w:rFonts w:ascii="Times New Roman" w:hAnsi="Times New Roman"/>
          <w:sz w:val="20"/>
        </w:rPr>
        <w:t>19</w:t>
      </w:r>
      <w:r w:rsidR="00A72949">
        <w:rPr>
          <w:rFonts w:ascii="Times New Roman" w:hAnsi="Times New Roman"/>
          <w:sz w:val="20"/>
        </w:rPr>
        <w:t>. júla</w:t>
      </w:r>
      <w:r w:rsidRPr="00A72949">
        <w:rPr>
          <w:rFonts w:ascii="Times New Roman" w:hAnsi="Times New Roman"/>
          <w:sz w:val="20"/>
        </w:rPr>
        <w:t xml:space="preserve"> 2002</w:t>
      </w:r>
      <w:r w:rsidR="00A72949">
        <w:rPr>
          <w:rFonts w:ascii="Times New Roman" w:hAnsi="Times New Roman"/>
          <w:sz w:val="20"/>
        </w:rPr>
        <w:t xml:space="preserve"> o </w:t>
      </w:r>
      <w:r w:rsidRPr="00A72949">
        <w:rPr>
          <w:rFonts w:ascii="Times New Roman" w:hAnsi="Times New Roman"/>
          <w:sz w:val="20"/>
        </w:rPr>
        <w:t>uplatňovaní medzinárodných účtovných noriem (Ú. v. ES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4B878" w14:textId="436D5C69" w:rsidR="004E6C70" w:rsidRDefault="00000000">
    <w:pPr>
      <w:pStyle w:val="Header"/>
    </w:pPr>
    <w:r>
      <w:pict w14:anchorId="2D4BADAF">
        <v:shapetype id="_x0000_t202" coordsize="21600,21600" o:spt="202" path="m,l,21600r21600,l21600,xe">
          <v:stroke joinstyle="miter"/>
          <v:path gradientshapeok="t" o:connecttype="rect"/>
        </v:shapetype>
        <v:shape id="Text Box 9" o:spid="_x0000_s1026" type="#_x0000_t202" alt="EBA – bežné použitie"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CC0FC99" w14:textId="77777777" w:rsidR="004E6C70" w:rsidRPr="00D7661F" w:rsidRDefault="004E6C70">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w:r>
  </w:p>
  <w:p w14:paraId="5785B6DF" w14:textId="77777777" w:rsidR="004E6C70" w:rsidRDefault="004E6C70"/>
  <w:p w14:paraId="3FC57CC7" w14:textId="77777777" w:rsidR="004E6C70" w:rsidRDefault="004E6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B3A35" w14:textId="2A7F1ED1" w:rsidR="004E6C70" w:rsidRDefault="00000000">
    <w:pPr>
      <w:pStyle w:val="Header"/>
    </w:pPr>
    <w:r>
      <w:pict w14:anchorId="2FBF929B">
        <v:shapetype id="_x0000_t202" coordsize="21600,21600" o:spt="202" path="m,l,21600r21600,l21600,xe">
          <v:stroke joinstyle="miter"/>
          <v:path gradientshapeok="t" o:connecttype="rect"/>
        </v:shapetype>
        <v:shape id="Text Box 8" o:spid="_x0000_s1025" type="#_x0000_t202" alt="EBA – bežné použiti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1B8B01A1" w14:textId="77777777" w:rsidR="004E6C70" w:rsidRPr="00D7661F" w:rsidRDefault="004E6C70">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w:r>
  </w:p>
  <w:p w14:paraId="7114E003" w14:textId="77777777" w:rsidR="004E6C70" w:rsidRDefault="004E6C70"/>
  <w:p w14:paraId="48E2CE59" w14:textId="77777777" w:rsidR="004E6C70" w:rsidRDefault="004E6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72042" w14:textId="77777777" w:rsidR="004E6C70" w:rsidRDefault="004E6C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64AD" w14:textId="77777777" w:rsidR="004E6C70" w:rsidRDefault="004E6C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23D26" w14:textId="77777777" w:rsidR="004E6C70" w:rsidRPr="00D82419" w:rsidRDefault="004E6C70" w:rsidP="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0AFE" w14:textId="77777777" w:rsidR="004E6C70" w:rsidRDefault="004E6C7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16cid:durableId="1293907587">
    <w:abstractNumId w:val="16"/>
  </w:num>
  <w:num w:numId="2" w16cid:durableId="1492793953">
    <w:abstractNumId w:val="34"/>
  </w:num>
  <w:num w:numId="3" w16cid:durableId="1391806635">
    <w:abstractNumId w:val="10"/>
  </w:num>
  <w:num w:numId="4" w16cid:durableId="417944783">
    <w:abstractNumId w:val="8"/>
  </w:num>
  <w:num w:numId="5" w16cid:durableId="1045957012">
    <w:abstractNumId w:val="35"/>
  </w:num>
  <w:num w:numId="6" w16cid:durableId="743069292">
    <w:abstractNumId w:val="2"/>
  </w:num>
  <w:num w:numId="7" w16cid:durableId="1057096385">
    <w:abstractNumId w:val="27"/>
  </w:num>
  <w:num w:numId="8" w16cid:durableId="1415665581">
    <w:abstractNumId w:val="37"/>
  </w:num>
  <w:num w:numId="9" w16cid:durableId="1187133910">
    <w:abstractNumId w:val="21"/>
  </w:num>
  <w:num w:numId="10" w16cid:durableId="2034645730">
    <w:abstractNumId w:val="32"/>
  </w:num>
  <w:num w:numId="11" w16cid:durableId="1063723755">
    <w:abstractNumId w:val="19"/>
  </w:num>
  <w:num w:numId="12" w16cid:durableId="1256675145">
    <w:abstractNumId w:val="36"/>
  </w:num>
  <w:num w:numId="13" w16cid:durableId="1424260129">
    <w:abstractNumId w:val="6"/>
  </w:num>
  <w:num w:numId="14" w16cid:durableId="1385063453">
    <w:abstractNumId w:val="28"/>
  </w:num>
  <w:num w:numId="15" w16cid:durableId="2045396970">
    <w:abstractNumId w:val="17"/>
  </w:num>
  <w:num w:numId="16" w16cid:durableId="503857842">
    <w:abstractNumId w:val="23"/>
  </w:num>
  <w:num w:numId="17" w16cid:durableId="1871143549">
    <w:abstractNumId w:val="12"/>
  </w:num>
  <w:num w:numId="18" w16cid:durableId="258955382">
    <w:abstractNumId w:val="29"/>
  </w:num>
  <w:num w:numId="19" w16cid:durableId="2001929805">
    <w:abstractNumId w:val="26"/>
  </w:num>
  <w:num w:numId="20" w16cid:durableId="1824732467">
    <w:abstractNumId w:val="14"/>
  </w:num>
  <w:num w:numId="21" w16cid:durableId="557470765">
    <w:abstractNumId w:val="22"/>
  </w:num>
  <w:num w:numId="22" w16cid:durableId="221718008">
    <w:abstractNumId w:val="13"/>
  </w:num>
  <w:num w:numId="23" w16cid:durableId="1266890484">
    <w:abstractNumId w:val="33"/>
  </w:num>
  <w:num w:numId="24" w16cid:durableId="2040692701">
    <w:abstractNumId w:val="3"/>
  </w:num>
  <w:num w:numId="25" w16cid:durableId="611128883">
    <w:abstractNumId w:val="0"/>
  </w:num>
  <w:num w:numId="26" w16cid:durableId="1406298355">
    <w:abstractNumId w:val="39"/>
  </w:num>
  <w:num w:numId="27" w16cid:durableId="1827277123">
    <w:abstractNumId w:val="25"/>
  </w:num>
  <w:num w:numId="28" w16cid:durableId="20906214">
    <w:abstractNumId w:val="15"/>
  </w:num>
  <w:num w:numId="29" w16cid:durableId="464129291">
    <w:abstractNumId w:val="38"/>
  </w:num>
  <w:num w:numId="30" w16cid:durableId="202251111">
    <w:abstractNumId w:val="20"/>
  </w:num>
  <w:num w:numId="31" w16cid:durableId="1954743456">
    <w:abstractNumId w:val="31"/>
  </w:num>
  <w:num w:numId="32" w16cid:durableId="550196870">
    <w:abstractNumId w:val="24"/>
  </w:num>
  <w:num w:numId="33" w16cid:durableId="560871549">
    <w:abstractNumId w:val="5"/>
  </w:num>
  <w:num w:numId="34" w16cid:durableId="346954162">
    <w:abstractNumId w:val="29"/>
    <w:lvlOverride w:ilvl="0">
      <w:startOverride w:val="1"/>
    </w:lvlOverride>
  </w:num>
  <w:num w:numId="35" w16cid:durableId="544027490">
    <w:abstractNumId w:val="29"/>
    <w:lvlOverride w:ilvl="0">
      <w:startOverride w:val="1"/>
    </w:lvlOverride>
  </w:num>
  <w:num w:numId="36" w16cid:durableId="1566138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76401190">
    <w:abstractNumId w:val="30"/>
  </w:num>
  <w:num w:numId="38" w16cid:durableId="2017540488">
    <w:abstractNumId w:val="11"/>
  </w:num>
  <w:num w:numId="39" w16cid:durableId="1708991835">
    <w:abstractNumId w:val="4"/>
  </w:num>
  <w:num w:numId="40" w16cid:durableId="1114904075">
    <w:abstractNumId w:val="40"/>
  </w:num>
  <w:num w:numId="41" w16cid:durableId="1280376847">
    <w:abstractNumId w:val="1"/>
  </w:num>
  <w:num w:numId="42" w16cid:durableId="1978990885">
    <w:abstractNumId w:val="7"/>
  </w:num>
  <w:num w:numId="43" w16cid:durableId="23116078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4E6C70"/>
    <w:rsid w:val="00026705"/>
    <w:rsid w:val="0004095C"/>
    <w:rsid w:val="000442C3"/>
    <w:rsid w:val="000468CF"/>
    <w:rsid w:val="000501D0"/>
    <w:rsid w:val="00056211"/>
    <w:rsid w:val="00057928"/>
    <w:rsid w:val="00062A28"/>
    <w:rsid w:val="00070580"/>
    <w:rsid w:val="000934EF"/>
    <w:rsid w:val="000A42C6"/>
    <w:rsid w:val="000B271F"/>
    <w:rsid w:val="000B7C71"/>
    <w:rsid w:val="000C3B1C"/>
    <w:rsid w:val="000D1F54"/>
    <w:rsid w:val="000D32E6"/>
    <w:rsid w:val="000E378E"/>
    <w:rsid w:val="000F489E"/>
    <w:rsid w:val="00100BA6"/>
    <w:rsid w:val="00102ADD"/>
    <w:rsid w:val="00110E94"/>
    <w:rsid w:val="0011401E"/>
    <w:rsid w:val="001174B9"/>
    <w:rsid w:val="001244B4"/>
    <w:rsid w:val="00131C88"/>
    <w:rsid w:val="0013626C"/>
    <w:rsid w:val="00136683"/>
    <w:rsid w:val="00154549"/>
    <w:rsid w:val="0016166A"/>
    <w:rsid w:val="00163262"/>
    <w:rsid w:val="001668F4"/>
    <w:rsid w:val="001A38DC"/>
    <w:rsid w:val="001A6180"/>
    <w:rsid w:val="001B7D64"/>
    <w:rsid w:val="001C2205"/>
    <w:rsid w:val="001C6D5A"/>
    <w:rsid w:val="001D265C"/>
    <w:rsid w:val="001D42C8"/>
    <w:rsid w:val="00206BA7"/>
    <w:rsid w:val="002101EA"/>
    <w:rsid w:val="002314D6"/>
    <w:rsid w:val="00243040"/>
    <w:rsid w:val="0024328F"/>
    <w:rsid w:val="00244213"/>
    <w:rsid w:val="002473C2"/>
    <w:rsid w:val="002553FB"/>
    <w:rsid w:val="002710CF"/>
    <w:rsid w:val="002855A3"/>
    <w:rsid w:val="00290BC1"/>
    <w:rsid w:val="002C5ABE"/>
    <w:rsid w:val="002C7637"/>
    <w:rsid w:val="002D12B1"/>
    <w:rsid w:val="002D67F6"/>
    <w:rsid w:val="002E1ED0"/>
    <w:rsid w:val="002E320B"/>
    <w:rsid w:val="002F0518"/>
    <w:rsid w:val="002F3BE0"/>
    <w:rsid w:val="002F4E91"/>
    <w:rsid w:val="00301BDA"/>
    <w:rsid w:val="003060A1"/>
    <w:rsid w:val="00312EC1"/>
    <w:rsid w:val="00321268"/>
    <w:rsid w:val="00321E76"/>
    <w:rsid w:val="003240FB"/>
    <w:rsid w:val="003320D4"/>
    <w:rsid w:val="0034389F"/>
    <w:rsid w:val="003561E0"/>
    <w:rsid w:val="00366CB7"/>
    <w:rsid w:val="00380BD2"/>
    <w:rsid w:val="00385C37"/>
    <w:rsid w:val="003D1EC2"/>
    <w:rsid w:val="003D3543"/>
    <w:rsid w:val="003E5759"/>
    <w:rsid w:val="004005FF"/>
    <w:rsid w:val="00410F41"/>
    <w:rsid w:val="00422422"/>
    <w:rsid w:val="0042309D"/>
    <w:rsid w:val="004351C1"/>
    <w:rsid w:val="00455021"/>
    <w:rsid w:val="004553FF"/>
    <w:rsid w:val="00456C1A"/>
    <w:rsid w:val="00457E7D"/>
    <w:rsid w:val="00460D6B"/>
    <w:rsid w:val="0048084E"/>
    <w:rsid w:val="00481FB2"/>
    <w:rsid w:val="004940CB"/>
    <w:rsid w:val="004B4B17"/>
    <w:rsid w:val="004C1BFB"/>
    <w:rsid w:val="004C30F0"/>
    <w:rsid w:val="004C70E4"/>
    <w:rsid w:val="004C78B6"/>
    <w:rsid w:val="004D11A5"/>
    <w:rsid w:val="004D32EA"/>
    <w:rsid w:val="004E6C70"/>
    <w:rsid w:val="004F2690"/>
    <w:rsid w:val="005157C3"/>
    <w:rsid w:val="005202EF"/>
    <w:rsid w:val="00523B17"/>
    <w:rsid w:val="00572270"/>
    <w:rsid w:val="00594634"/>
    <w:rsid w:val="005A1937"/>
    <w:rsid w:val="005A3E41"/>
    <w:rsid w:val="005B68FF"/>
    <w:rsid w:val="005F0E62"/>
    <w:rsid w:val="0061075D"/>
    <w:rsid w:val="006136E6"/>
    <w:rsid w:val="00627B6C"/>
    <w:rsid w:val="00627F82"/>
    <w:rsid w:val="00666009"/>
    <w:rsid w:val="00690B62"/>
    <w:rsid w:val="006E036B"/>
    <w:rsid w:val="006E1AED"/>
    <w:rsid w:val="006E3D74"/>
    <w:rsid w:val="006F3E70"/>
    <w:rsid w:val="007005D8"/>
    <w:rsid w:val="00710C86"/>
    <w:rsid w:val="00720F2C"/>
    <w:rsid w:val="00735613"/>
    <w:rsid w:val="00736B6B"/>
    <w:rsid w:val="0074313A"/>
    <w:rsid w:val="00747E54"/>
    <w:rsid w:val="00767F39"/>
    <w:rsid w:val="0079333F"/>
    <w:rsid w:val="007952E1"/>
    <w:rsid w:val="00795BB6"/>
    <w:rsid w:val="007A2CBA"/>
    <w:rsid w:val="007B5445"/>
    <w:rsid w:val="007C069D"/>
    <w:rsid w:val="007C3F3B"/>
    <w:rsid w:val="007D4920"/>
    <w:rsid w:val="007D62B8"/>
    <w:rsid w:val="007E7392"/>
    <w:rsid w:val="00806975"/>
    <w:rsid w:val="008159EC"/>
    <w:rsid w:val="008268B7"/>
    <w:rsid w:val="0084011D"/>
    <w:rsid w:val="008476CA"/>
    <w:rsid w:val="008619DA"/>
    <w:rsid w:val="00877355"/>
    <w:rsid w:val="00881979"/>
    <w:rsid w:val="00885ABE"/>
    <w:rsid w:val="0089189A"/>
    <w:rsid w:val="00895255"/>
    <w:rsid w:val="008A6564"/>
    <w:rsid w:val="008A7095"/>
    <w:rsid w:val="008B3361"/>
    <w:rsid w:val="008F4900"/>
    <w:rsid w:val="008F7412"/>
    <w:rsid w:val="00906EEE"/>
    <w:rsid w:val="00910A89"/>
    <w:rsid w:val="00930106"/>
    <w:rsid w:val="00946F6A"/>
    <w:rsid w:val="0095072F"/>
    <w:rsid w:val="00950B6E"/>
    <w:rsid w:val="00957D69"/>
    <w:rsid w:val="009A7435"/>
    <w:rsid w:val="009B3284"/>
    <w:rsid w:val="009D47A5"/>
    <w:rsid w:val="009E3684"/>
    <w:rsid w:val="009E3DAA"/>
    <w:rsid w:val="009F7125"/>
    <w:rsid w:val="00A012F8"/>
    <w:rsid w:val="00A17D70"/>
    <w:rsid w:val="00A303A1"/>
    <w:rsid w:val="00A307DF"/>
    <w:rsid w:val="00A315BB"/>
    <w:rsid w:val="00A35B39"/>
    <w:rsid w:val="00A54CBD"/>
    <w:rsid w:val="00A649B3"/>
    <w:rsid w:val="00A7013A"/>
    <w:rsid w:val="00A72949"/>
    <w:rsid w:val="00A9267F"/>
    <w:rsid w:val="00AA7D9C"/>
    <w:rsid w:val="00AB1B4E"/>
    <w:rsid w:val="00AB54CF"/>
    <w:rsid w:val="00AD1495"/>
    <w:rsid w:val="00AE7AED"/>
    <w:rsid w:val="00AF539E"/>
    <w:rsid w:val="00B159B3"/>
    <w:rsid w:val="00B1610B"/>
    <w:rsid w:val="00B35DC2"/>
    <w:rsid w:val="00B46511"/>
    <w:rsid w:val="00B52B1B"/>
    <w:rsid w:val="00B74754"/>
    <w:rsid w:val="00B75CF8"/>
    <w:rsid w:val="00B77413"/>
    <w:rsid w:val="00B82862"/>
    <w:rsid w:val="00B90F3E"/>
    <w:rsid w:val="00B918E8"/>
    <w:rsid w:val="00B96BE3"/>
    <w:rsid w:val="00BC0F23"/>
    <w:rsid w:val="00BD106A"/>
    <w:rsid w:val="00BE3B70"/>
    <w:rsid w:val="00BF35DB"/>
    <w:rsid w:val="00C04B6F"/>
    <w:rsid w:val="00C06C1F"/>
    <w:rsid w:val="00C10B1F"/>
    <w:rsid w:val="00C10C32"/>
    <w:rsid w:val="00C22A66"/>
    <w:rsid w:val="00C277DE"/>
    <w:rsid w:val="00C64990"/>
    <w:rsid w:val="00C71126"/>
    <w:rsid w:val="00C82A20"/>
    <w:rsid w:val="00CA4F57"/>
    <w:rsid w:val="00CB4F43"/>
    <w:rsid w:val="00CC5AA9"/>
    <w:rsid w:val="00CD750E"/>
    <w:rsid w:val="00CF03A4"/>
    <w:rsid w:val="00CF1B41"/>
    <w:rsid w:val="00CF1E1F"/>
    <w:rsid w:val="00CF43AB"/>
    <w:rsid w:val="00CF555A"/>
    <w:rsid w:val="00D0017F"/>
    <w:rsid w:val="00D050BB"/>
    <w:rsid w:val="00D16FB9"/>
    <w:rsid w:val="00D17133"/>
    <w:rsid w:val="00D3169B"/>
    <w:rsid w:val="00D329C8"/>
    <w:rsid w:val="00D366C2"/>
    <w:rsid w:val="00D426DD"/>
    <w:rsid w:val="00D44D05"/>
    <w:rsid w:val="00D576D2"/>
    <w:rsid w:val="00D67E25"/>
    <w:rsid w:val="00D82C67"/>
    <w:rsid w:val="00D836C2"/>
    <w:rsid w:val="00D86D08"/>
    <w:rsid w:val="00D86F86"/>
    <w:rsid w:val="00D94ADA"/>
    <w:rsid w:val="00D95667"/>
    <w:rsid w:val="00DB4083"/>
    <w:rsid w:val="00DB68C1"/>
    <w:rsid w:val="00DD12D9"/>
    <w:rsid w:val="00DD42F0"/>
    <w:rsid w:val="00DE1562"/>
    <w:rsid w:val="00DF44AB"/>
    <w:rsid w:val="00DF66DE"/>
    <w:rsid w:val="00DF691A"/>
    <w:rsid w:val="00DF742F"/>
    <w:rsid w:val="00E056F2"/>
    <w:rsid w:val="00E07B1C"/>
    <w:rsid w:val="00E15642"/>
    <w:rsid w:val="00E22D36"/>
    <w:rsid w:val="00E240EE"/>
    <w:rsid w:val="00E25820"/>
    <w:rsid w:val="00E3330A"/>
    <w:rsid w:val="00E33D62"/>
    <w:rsid w:val="00E42562"/>
    <w:rsid w:val="00E51955"/>
    <w:rsid w:val="00E641F7"/>
    <w:rsid w:val="00E71E13"/>
    <w:rsid w:val="00E7439F"/>
    <w:rsid w:val="00E91FD1"/>
    <w:rsid w:val="00E9610B"/>
    <w:rsid w:val="00EB6792"/>
    <w:rsid w:val="00EC2369"/>
    <w:rsid w:val="00EC2D64"/>
    <w:rsid w:val="00EE4D43"/>
    <w:rsid w:val="00EF7A96"/>
    <w:rsid w:val="00F047B5"/>
    <w:rsid w:val="00F1184F"/>
    <w:rsid w:val="00F22A4A"/>
    <w:rsid w:val="00F4086F"/>
    <w:rsid w:val="00F408A5"/>
    <w:rsid w:val="00F60462"/>
    <w:rsid w:val="00F650E1"/>
    <w:rsid w:val="00F663EF"/>
    <w:rsid w:val="00F94D57"/>
    <w:rsid w:val="00F97D6E"/>
    <w:rsid w:val="00FB101E"/>
    <w:rsid w:val="00FB5CAD"/>
    <w:rsid w:val="00FC22C3"/>
    <w:rsid w:val="00FD3670"/>
    <w:rsid w:val="00FF186E"/>
    <w:rsid w:val="00FF7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D22AF"/>
  <w15:chartTrackingRefBased/>
  <w15:docId w15:val="{95CDF542-EAFF-4473-87E1-9D3D7002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C70"/>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qFormat/>
    <w:rsid w:val="004E6C70"/>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4E6C70"/>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4E6C70"/>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4E6C70"/>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4E6C70"/>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4E6C70"/>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4E6C70"/>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4E6C70"/>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4E6C70"/>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C70"/>
    <w:rPr>
      <w:rFonts w:ascii="Verdana" w:eastAsia="Arial" w:hAnsi="Verdana" w:cs="Times New Roman"/>
      <w:b/>
      <w:sz w:val="20"/>
      <w:szCs w:val="20"/>
      <w:u w:val="single"/>
      <w:lang w:eastAsia="x-none"/>
    </w:rPr>
  </w:style>
  <w:style w:type="character" w:customStyle="1" w:styleId="Heading2Char">
    <w:name w:val="Heading 2 Char"/>
    <w:basedOn w:val="DefaultParagraphFont"/>
    <w:link w:val="Heading2"/>
    <w:uiPriority w:val="99"/>
    <w:rsid w:val="004E6C70"/>
    <w:rPr>
      <w:rFonts w:ascii="Times New Roman" w:eastAsia="Arial" w:hAnsi="Times New Roman" w:cs="Times New Roman"/>
      <w:b/>
      <w:sz w:val="24"/>
      <w:szCs w:val="24"/>
      <w:lang w:eastAsia="x-none"/>
    </w:rPr>
  </w:style>
  <w:style w:type="character" w:customStyle="1" w:styleId="Heading3Char">
    <w:name w:val="Heading 3 Char"/>
    <w:basedOn w:val="DefaultParagraphFont"/>
    <w:uiPriority w:val="99"/>
    <w:rsid w:val="004E6C70"/>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9"/>
    <w:rsid w:val="004E6C70"/>
    <w:rPr>
      <w:rFonts w:ascii="Verdana" w:eastAsia="Times New Roman" w:hAnsi="Verdana" w:cs="Times New Roman"/>
      <w:b/>
      <w:sz w:val="20"/>
      <w:szCs w:val="24"/>
      <w:u w:val="single"/>
    </w:rPr>
  </w:style>
  <w:style w:type="character" w:customStyle="1" w:styleId="Heading5Char">
    <w:name w:val="Heading 5 Char"/>
    <w:basedOn w:val="DefaultParagraphFont"/>
    <w:link w:val="Heading5"/>
    <w:uiPriority w:val="1"/>
    <w:rsid w:val="004E6C70"/>
    <w:rPr>
      <w:rFonts w:ascii="Arial" w:eastAsia="Arial" w:hAnsi="Arial" w:cs="Times New Roman"/>
      <w:b/>
      <w:i/>
      <w:sz w:val="20"/>
      <w:szCs w:val="20"/>
      <w:lang w:val="sk-SK" w:eastAsia="de-DE"/>
    </w:rPr>
  </w:style>
  <w:style w:type="character" w:customStyle="1" w:styleId="Heading6Char">
    <w:name w:val="Heading 6 Char"/>
    <w:basedOn w:val="DefaultParagraphFont"/>
    <w:link w:val="Heading6"/>
    <w:rsid w:val="004E6C70"/>
    <w:rPr>
      <w:rFonts w:ascii="Times New Roman" w:eastAsia="Arial" w:hAnsi="Times New Roman" w:cs="Times New Roman"/>
      <w:b/>
      <w:bCs/>
      <w:sz w:val="20"/>
      <w:szCs w:val="20"/>
      <w:lang w:val="sk-SK" w:eastAsia="de-DE"/>
    </w:rPr>
  </w:style>
  <w:style w:type="character" w:customStyle="1" w:styleId="Heading7Char">
    <w:name w:val="Heading 7 Char"/>
    <w:basedOn w:val="DefaultParagraphFont"/>
    <w:link w:val="Heading7"/>
    <w:rsid w:val="004E6C70"/>
    <w:rPr>
      <w:rFonts w:ascii="Times New Roman" w:eastAsia="Arial" w:hAnsi="Times New Roman" w:cs="Times New Roman"/>
      <w:sz w:val="20"/>
      <w:szCs w:val="20"/>
      <w:lang w:val="sk-SK" w:eastAsia="de-DE"/>
    </w:rPr>
  </w:style>
  <w:style w:type="character" w:customStyle="1" w:styleId="Heading8Char">
    <w:name w:val="Heading 8 Char"/>
    <w:basedOn w:val="DefaultParagraphFont"/>
    <w:link w:val="Heading8"/>
    <w:rsid w:val="004E6C70"/>
    <w:rPr>
      <w:rFonts w:ascii="Times New Roman" w:eastAsia="Arial" w:hAnsi="Times New Roman" w:cs="Times New Roman"/>
      <w:i/>
      <w:iCs/>
      <w:sz w:val="20"/>
      <w:szCs w:val="20"/>
      <w:lang w:val="sk-SK" w:eastAsia="de-DE"/>
    </w:rPr>
  </w:style>
  <w:style w:type="character" w:customStyle="1" w:styleId="Heading9Char">
    <w:name w:val="Heading 9 Char"/>
    <w:basedOn w:val="DefaultParagraphFont"/>
    <w:link w:val="Heading9"/>
    <w:rsid w:val="004E6C70"/>
    <w:rPr>
      <w:rFonts w:ascii="Arial" w:eastAsia="Arial" w:hAnsi="Arial" w:cs="Times New Roman"/>
      <w:sz w:val="20"/>
      <w:szCs w:val="20"/>
      <w:lang w:val="sk-SK" w:eastAsia="de-DE"/>
    </w:rPr>
  </w:style>
  <w:style w:type="paragraph" w:styleId="TableofFigures">
    <w:name w:val="table of figures"/>
    <w:basedOn w:val="Normal"/>
    <w:next w:val="Normal"/>
    <w:semiHidden/>
    <w:rsid w:val="004E6C70"/>
    <w:pPr>
      <w:ind w:left="440" w:hanging="440"/>
    </w:pPr>
  </w:style>
  <w:style w:type="paragraph" w:customStyle="1" w:styleId="Aufzhlungszeichen1">
    <w:name w:val="Aufzählungszeichen1"/>
    <w:basedOn w:val="Normal"/>
    <w:uiPriority w:val="1"/>
    <w:qFormat/>
    <w:rsid w:val="004E6C70"/>
    <w:pPr>
      <w:numPr>
        <w:numId w:val="6"/>
      </w:numPr>
      <w:spacing w:line="240" w:lineRule="exact"/>
    </w:pPr>
  </w:style>
  <w:style w:type="paragraph" w:customStyle="1" w:styleId="Aufzhlungszeichen2">
    <w:name w:val="Aufzählungszeichen2"/>
    <w:basedOn w:val="Normal"/>
    <w:uiPriority w:val="1"/>
    <w:qFormat/>
    <w:rsid w:val="004E6C70"/>
    <w:pPr>
      <w:numPr>
        <w:numId w:val="7"/>
      </w:numPr>
      <w:spacing w:line="240" w:lineRule="exact"/>
    </w:pPr>
  </w:style>
  <w:style w:type="paragraph" w:customStyle="1" w:styleId="Aufzhlungszeichen3">
    <w:name w:val="Aufzählungszeichen3"/>
    <w:basedOn w:val="Normal"/>
    <w:uiPriority w:val="1"/>
    <w:qFormat/>
    <w:rsid w:val="004E6C70"/>
    <w:pPr>
      <w:numPr>
        <w:numId w:val="8"/>
      </w:numPr>
      <w:spacing w:line="240" w:lineRule="exact"/>
    </w:pPr>
  </w:style>
  <w:style w:type="paragraph" w:customStyle="1" w:styleId="Aufzhlungszeichen4">
    <w:name w:val="Aufzählungszeichen4"/>
    <w:basedOn w:val="Normal"/>
    <w:uiPriority w:val="1"/>
    <w:qFormat/>
    <w:rsid w:val="004E6C70"/>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4E6C70"/>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basedOn w:val="DefaultParagraphFont"/>
    <w:link w:val="FootnoteText"/>
    <w:uiPriority w:val="99"/>
    <w:rsid w:val="004E6C70"/>
    <w:rPr>
      <w:rFonts w:ascii="Arial" w:eastAsia="Arial" w:hAnsi="Arial" w:cs="Times New Roman"/>
      <w:sz w:val="16"/>
      <w:szCs w:val="16"/>
      <w:lang w:val="sk-SK"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4E6C70"/>
    <w:rPr>
      <w:rFonts w:ascii="Arial" w:hAnsi="Arial" w:cs="Times New Roman"/>
      <w:kern w:val="0"/>
      <w:position w:val="4"/>
      <w:sz w:val="12"/>
      <w:szCs w:val="12"/>
      <w:vertAlign w:val="baseline"/>
    </w:rPr>
  </w:style>
  <w:style w:type="paragraph" w:styleId="Footer">
    <w:name w:val="footer"/>
    <w:basedOn w:val="Normal"/>
    <w:link w:val="FooterChar"/>
    <w:uiPriority w:val="99"/>
    <w:rsid w:val="004E6C70"/>
    <w:pPr>
      <w:tabs>
        <w:tab w:val="center" w:pos="4536"/>
        <w:tab w:val="right" w:pos="9072"/>
      </w:tabs>
    </w:pPr>
    <w:rPr>
      <w:rFonts w:ascii="Arial" w:eastAsia="Arial" w:hAnsi="Arial"/>
      <w:sz w:val="14"/>
      <w:szCs w:val="14"/>
      <w:lang w:eastAsia="de-DE"/>
    </w:rPr>
  </w:style>
  <w:style w:type="character" w:customStyle="1" w:styleId="FooterChar">
    <w:name w:val="Footer Char"/>
    <w:basedOn w:val="DefaultParagraphFont"/>
    <w:link w:val="Footer"/>
    <w:uiPriority w:val="99"/>
    <w:rsid w:val="004E6C70"/>
    <w:rPr>
      <w:rFonts w:ascii="Arial" w:eastAsia="Arial" w:hAnsi="Arial" w:cs="Times New Roman"/>
      <w:sz w:val="14"/>
      <w:szCs w:val="14"/>
      <w:lang w:val="sk-SK" w:eastAsia="de-DE"/>
    </w:rPr>
  </w:style>
  <w:style w:type="paragraph" w:customStyle="1" w:styleId="GliederungmitAufzhlung">
    <w:name w:val="Gliederung mit Aufzählung"/>
    <w:basedOn w:val="Normal"/>
    <w:uiPriority w:val="1"/>
    <w:qFormat/>
    <w:rsid w:val="004E6C70"/>
    <w:pPr>
      <w:numPr>
        <w:numId w:val="12"/>
      </w:numPr>
      <w:spacing w:line="312" w:lineRule="auto"/>
    </w:pPr>
  </w:style>
  <w:style w:type="paragraph" w:customStyle="1" w:styleId="GliederungmitNummerierung">
    <w:name w:val="Gliederung mit Nummerierung"/>
    <w:basedOn w:val="Normal"/>
    <w:uiPriority w:val="1"/>
    <w:qFormat/>
    <w:rsid w:val="004E6C70"/>
    <w:pPr>
      <w:numPr>
        <w:numId w:val="13"/>
      </w:numPr>
      <w:spacing w:line="312" w:lineRule="auto"/>
    </w:pPr>
  </w:style>
  <w:style w:type="paragraph" w:customStyle="1" w:styleId="HngEinrckung1">
    <w:name w:val="Häng. Einrückung1"/>
    <w:basedOn w:val="Normal"/>
    <w:uiPriority w:val="1"/>
    <w:qFormat/>
    <w:rsid w:val="004E6C70"/>
    <w:pPr>
      <w:spacing w:line="312" w:lineRule="auto"/>
      <w:ind w:left="567" w:hanging="567"/>
    </w:pPr>
  </w:style>
  <w:style w:type="paragraph" w:customStyle="1" w:styleId="HngEinrckung2">
    <w:name w:val="Häng. Einrückung2"/>
    <w:basedOn w:val="Normal"/>
    <w:uiPriority w:val="1"/>
    <w:qFormat/>
    <w:rsid w:val="004E6C70"/>
    <w:pPr>
      <w:spacing w:line="312" w:lineRule="auto"/>
      <w:ind w:left="1134" w:hanging="567"/>
    </w:pPr>
  </w:style>
  <w:style w:type="paragraph" w:customStyle="1" w:styleId="HngEinrckung3">
    <w:name w:val="Häng. Einrückung3"/>
    <w:basedOn w:val="Normal"/>
    <w:uiPriority w:val="1"/>
    <w:qFormat/>
    <w:rsid w:val="004E6C70"/>
    <w:pPr>
      <w:spacing w:line="312" w:lineRule="auto"/>
      <w:ind w:left="1701" w:hanging="567"/>
    </w:pPr>
  </w:style>
  <w:style w:type="character" w:styleId="Hyperlink">
    <w:name w:val="Hyperlink"/>
    <w:uiPriority w:val="99"/>
    <w:rsid w:val="004E6C70"/>
    <w:rPr>
      <w:rFonts w:cs="Times New Roman"/>
      <w:color w:val="0000FF"/>
      <w:u w:val="single"/>
    </w:rPr>
  </w:style>
  <w:style w:type="paragraph" w:styleId="Header">
    <w:name w:val="header"/>
    <w:basedOn w:val="Normal"/>
    <w:link w:val="HeaderChar"/>
    <w:uiPriority w:val="99"/>
    <w:rsid w:val="004E6C70"/>
    <w:pPr>
      <w:tabs>
        <w:tab w:val="center" w:pos="4536"/>
        <w:tab w:val="right" w:pos="9072"/>
      </w:tabs>
    </w:pPr>
    <w:rPr>
      <w:rFonts w:ascii="Arial" w:eastAsia="Arial" w:hAnsi="Arial"/>
      <w:szCs w:val="20"/>
      <w:lang w:eastAsia="de-DE"/>
    </w:rPr>
  </w:style>
  <w:style w:type="character" w:customStyle="1" w:styleId="HeaderChar">
    <w:name w:val="Header Char"/>
    <w:basedOn w:val="DefaultParagraphFont"/>
    <w:link w:val="Header"/>
    <w:uiPriority w:val="99"/>
    <w:rsid w:val="004E6C70"/>
    <w:rPr>
      <w:rFonts w:ascii="Arial" w:eastAsia="Arial" w:hAnsi="Arial" w:cs="Times New Roman"/>
      <w:sz w:val="20"/>
      <w:szCs w:val="20"/>
      <w:lang w:val="sk-SK" w:eastAsia="de-DE"/>
    </w:rPr>
  </w:style>
  <w:style w:type="paragraph" w:customStyle="1" w:styleId="Marginalspalte">
    <w:name w:val="Marginalspalte"/>
    <w:basedOn w:val="Normal"/>
    <w:uiPriority w:val="1"/>
    <w:qFormat/>
    <w:rsid w:val="004E6C70"/>
    <w:pPr>
      <w:framePr w:w="851" w:h="851" w:hSpace="284" w:wrap="around" w:vAnchor="text" w:hAnchor="page" w:y="1"/>
    </w:pPr>
    <w:rPr>
      <w:i/>
      <w:szCs w:val="22"/>
    </w:rPr>
  </w:style>
  <w:style w:type="paragraph" w:customStyle="1" w:styleId="Nummerierungsart1">
    <w:name w:val="Nummerierungsart1"/>
    <w:basedOn w:val="Normal"/>
    <w:uiPriority w:val="1"/>
    <w:qFormat/>
    <w:rsid w:val="004E6C70"/>
    <w:pPr>
      <w:numPr>
        <w:numId w:val="14"/>
      </w:numPr>
    </w:pPr>
  </w:style>
  <w:style w:type="paragraph" w:customStyle="1" w:styleId="Nummerierungsart2">
    <w:name w:val="Nummerierungsart2"/>
    <w:basedOn w:val="Normal"/>
    <w:uiPriority w:val="1"/>
    <w:qFormat/>
    <w:rsid w:val="004E6C70"/>
    <w:pPr>
      <w:numPr>
        <w:numId w:val="15"/>
      </w:numPr>
    </w:pPr>
  </w:style>
  <w:style w:type="paragraph" w:customStyle="1" w:styleId="Nummerierungsart3">
    <w:name w:val="Nummerierungsart3"/>
    <w:basedOn w:val="Normal"/>
    <w:uiPriority w:val="1"/>
    <w:qFormat/>
    <w:rsid w:val="004E6C70"/>
    <w:pPr>
      <w:numPr>
        <w:numId w:val="16"/>
      </w:numPr>
    </w:pPr>
  </w:style>
  <w:style w:type="paragraph" w:customStyle="1" w:styleId="Nummerierungsart4">
    <w:name w:val="Nummerierungsart4"/>
    <w:basedOn w:val="Normal"/>
    <w:uiPriority w:val="1"/>
    <w:qFormat/>
    <w:rsid w:val="004E6C70"/>
    <w:pPr>
      <w:numPr>
        <w:numId w:val="17"/>
      </w:numPr>
    </w:pPr>
  </w:style>
  <w:style w:type="character" w:styleId="PageNumber">
    <w:name w:val="page number"/>
    <w:uiPriority w:val="99"/>
    <w:rsid w:val="004E6C70"/>
    <w:rPr>
      <w:rFonts w:ascii="Arial" w:hAnsi="Arial" w:cs="Times New Roman"/>
      <w:sz w:val="22"/>
    </w:rPr>
  </w:style>
  <w:style w:type="character" w:customStyle="1" w:styleId="Heading3Char1">
    <w:name w:val="Heading 3 Char1"/>
    <w:link w:val="Heading3"/>
    <w:uiPriority w:val="99"/>
    <w:locked/>
    <w:rsid w:val="004E6C70"/>
    <w:rPr>
      <w:rFonts w:ascii="Arial" w:eastAsia="Arial" w:hAnsi="Arial" w:cs="Times New Roman"/>
      <w:b/>
      <w:sz w:val="20"/>
      <w:szCs w:val="20"/>
      <w:lang w:val="sk-SK" w:eastAsia="de-DE"/>
    </w:rPr>
  </w:style>
  <w:style w:type="paragraph" w:styleId="TOC1">
    <w:name w:val="toc 1"/>
    <w:basedOn w:val="Normal"/>
    <w:next w:val="Normal"/>
    <w:autoRedefine/>
    <w:uiPriority w:val="39"/>
    <w:qFormat/>
    <w:rsid w:val="00A72949"/>
    <w:pPr>
      <w:tabs>
        <w:tab w:val="left" w:pos="794"/>
        <w:tab w:val="right" w:leader="dot" w:pos="9071"/>
      </w:tabs>
      <w:ind w:left="794" w:hanging="794"/>
    </w:pPr>
    <w:rPr>
      <w:rFonts w:ascii="Times New Roman" w:hAnsi="Times New Roman"/>
      <w:b/>
      <w:smallCaps/>
      <w:noProof/>
      <w:sz w:val="24"/>
    </w:rPr>
  </w:style>
  <w:style w:type="paragraph" w:styleId="TOC2">
    <w:name w:val="toc 2"/>
    <w:basedOn w:val="Normal"/>
    <w:next w:val="Normal"/>
    <w:autoRedefine/>
    <w:uiPriority w:val="39"/>
    <w:qFormat/>
    <w:rsid w:val="00A72949"/>
    <w:pPr>
      <w:tabs>
        <w:tab w:val="left" w:pos="794"/>
        <w:tab w:val="right" w:leader="dot" w:pos="9071"/>
      </w:tabs>
      <w:suppressAutoHyphens/>
      <w:spacing w:after="60"/>
      <w:ind w:left="794" w:hanging="794"/>
    </w:pPr>
    <w:rPr>
      <w:rFonts w:ascii="Times New Roman" w:hAnsi="Times New Roman"/>
      <w:b/>
      <w:smallCaps/>
      <w:noProof/>
      <w:sz w:val="24"/>
      <w:szCs w:val="22"/>
    </w:rPr>
  </w:style>
  <w:style w:type="paragraph" w:styleId="TOC3">
    <w:name w:val="toc 3"/>
    <w:basedOn w:val="Normal"/>
    <w:next w:val="Normal"/>
    <w:autoRedefine/>
    <w:uiPriority w:val="39"/>
    <w:qFormat/>
    <w:rsid w:val="004E6C70"/>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4E6C70"/>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4E6C70"/>
    <w:pPr>
      <w:tabs>
        <w:tab w:val="left" w:pos="2058"/>
        <w:tab w:val="right" w:leader="dot" w:pos="9071"/>
      </w:tabs>
      <w:ind w:left="1134" w:hanging="1134"/>
    </w:pPr>
    <w:rPr>
      <w:noProof/>
      <w:sz w:val="16"/>
    </w:rPr>
  </w:style>
  <w:style w:type="paragraph" w:styleId="TOC7">
    <w:name w:val="toc 7"/>
    <w:basedOn w:val="Normal"/>
    <w:next w:val="Normal"/>
    <w:autoRedefine/>
    <w:uiPriority w:val="39"/>
    <w:rsid w:val="004E6C70"/>
    <w:pPr>
      <w:tabs>
        <w:tab w:val="right" w:leader="dot" w:pos="9071"/>
      </w:tabs>
      <w:ind w:left="1134" w:hanging="1134"/>
    </w:pPr>
    <w:rPr>
      <w:sz w:val="16"/>
    </w:rPr>
  </w:style>
  <w:style w:type="paragraph" w:styleId="TOC8">
    <w:name w:val="toc 8"/>
    <w:basedOn w:val="Normal"/>
    <w:next w:val="Normal"/>
    <w:autoRedefine/>
    <w:uiPriority w:val="39"/>
    <w:rsid w:val="004E6C70"/>
    <w:pPr>
      <w:tabs>
        <w:tab w:val="left" w:pos="2758"/>
        <w:tab w:val="right" w:leader="dot" w:pos="9071"/>
      </w:tabs>
      <w:ind w:left="1361" w:hanging="1361"/>
    </w:pPr>
    <w:rPr>
      <w:noProof/>
      <w:sz w:val="16"/>
    </w:rPr>
  </w:style>
  <w:style w:type="paragraph" w:styleId="TOC9">
    <w:name w:val="toc 9"/>
    <w:basedOn w:val="Normal"/>
    <w:next w:val="Normal"/>
    <w:autoRedefine/>
    <w:uiPriority w:val="39"/>
    <w:rsid w:val="004E6C70"/>
    <w:pPr>
      <w:tabs>
        <w:tab w:val="right" w:leader="dot" w:pos="9071"/>
      </w:tabs>
      <w:ind w:left="1361" w:hanging="1361"/>
    </w:pPr>
    <w:rPr>
      <w:sz w:val="16"/>
    </w:rPr>
  </w:style>
  <w:style w:type="paragraph" w:styleId="Quote">
    <w:name w:val="Quote"/>
    <w:basedOn w:val="Normal"/>
    <w:next w:val="Normal"/>
    <w:link w:val="QuoteChar"/>
    <w:uiPriority w:val="29"/>
    <w:qFormat/>
    <w:rsid w:val="004E6C70"/>
    <w:rPr>
      <w:rFonts w:ascii="Arial" w:eastAsia="Arial" w:hAnsi="Arial"/>
      <w:i/>
      <w:iCs/>
      <w:color w:val="000000"/>
      <w:szCs w:val="20"/>
      <w:lang w:eastAsia="de-DE"/>
    </w:rPr>
  </w:style>
  <w:style w:type="character" w:customStyle="1" w:styleId="QuoteChar">
    <w:name w:val="Quote Char"/>
    <w:basedOn w:val="DefaultParagraphFont"/>
    <w:link w:val="Quote"/>
    <w:uiPriority w:val="29"/>
    <w:rsid w:val="004E6C70"/>
    <w:rPr>
      <w:rFonts w:ascii="Arial" w:eastAsia="Arial" w:hAnsi="Arial" w:cs="Times New Roman"/>
      <w:i/>
      <w:iCs/>
      <w:color w:val="000000"/>
      <w:sz w:val="20"/>
      <w:szCs w:val="20"/>
      <w:lang w:val="sk-SK" w:eastAsia="de-DE"/>
    </w:rPr>
  </w:style>
  <w:style w:type="paragraph" w:styleId="TOCHeading">
    <w:name w:val="TOC Heading"/>
    <w:basedOn w:val="Heading1"/>
    <w:next w:val="Normal"/>
    <w:uiPriority w:val="39"/>
    <w:qFormat/>
    <w:rsid w:val="004E6C70"/>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4E6C70"/>
    <w:pPr>
      <w:spacing w:line="180" w:lineRule="exact"/>
      <w:ind w:left="142" w:hanging="142"/>
    </w:pPr>
    <w:rPr>
      <w:rFonts w:ascii="Arial" w:eastAsia="Arial" w:hAnsi="Arial"/>
      <w:szCs w:val="20"/>
      <w:lang w:eastAsia="de-DE"/>
    </w:rPr>
  </w:style>
  <w:style w:type="character" w:customStyle="1" w:styleId="EndnoteTextChar">
    <w:name w:val="Endnote Text Char"/>
    <w:basedOn w:val="DefaultParagraphFont"/>
    <w:link w:val="EndnoteText"/>
    <w:uiPriority w:val="1"/>
    <w:rsid w:val="004E6C70"/>
    <w:rPr>
      <w:rFonts w:ascii="Arial" w:eastAsia="Arial" w:hAnsi="Arial" w:cs="Times New Roman"/>
      <w:sz w:val="20"/>
      <w:szCs w:val="20"/>
      <w:lang w:val="sk-SK" w:eastAsia="de-DE"/>
    </w:rPr>
  </w:style>
  <w:style w:type="character" w:styleId="EndnoteReference">
    <w:name w:val="endnote reference"/>
    <w:uiPriority w:val="1"/>
    <w:rsid w:val="004E6C70"/>
    <w:rPr>
      <w:rFonts w:ascii="Arial" w:hAnsi="Arial" w:cs="Times New Roman"/>
      <w:color w:val="auto"/>
      <w:position w:val="4"/>
      <w:sz w:val="12"/>
      <w:vertAlign w:val="baseline"/>
    </w:rPr>
  </w:style>
  <w:style w:type="paragraph" w:customStyle="1" w:styleId="Ballontekst">
    <w:name w:val="Ballontekst"/>
    <w:basedOn w:val="Normal"/>
    <w:uiPriority w:val="99"/>
    <w:semiHidden/>
    <w:rsid w:val="004E6C70"/>
    <w:rPr>
      <w:rFonts w:ascii="Tahoma" w:hAnsi="Tahoma" w:cs="Tahoma"/>
      <w:sz w:val="16"/>
      <w:szCs w:val="16"/>
    </w:rPr>
  </w:style>
  <w:style w:type="character" w:styleId="CommentReference">
    <w:name w:val="annotation reference"/>
    <w:uiPriority w:val="99"/>
    <w:rsid w:val="004E6C70"/>
    <w:rPr>
      <w:rFonts w:cs="Times New Roman"/>
      <w:sz w:val="16"/>
      <w:szCs w:val="16"/>
    </w:rPr>
  </w:style>
  <w:style w:type="paragraph" w:styleId="CommentText">
    <w:name w:val="annotation text"/>
    <w:basedOn w:val="Normal"/>
    <w:link w:val="CommentTextChar"/>
    <w:uiPriority w:val="99"/>
    <w:rsid w:val="004E6C70"/>
    <w:rPr>
      <w:rFonts w:eastAsia="Arial"/>
      <w:szCs w:val="20"/>
      <w:lang w:eastAsia="x-none"/>
    </w:rPr>
  </w:style>
  <w:style w:type="character" w:customStyle="1" w:styleId="CommentTextChar">
    <w:name w:val="Comment Text Char"/>
    <w:basedOn w:val="DefaultParagraphFont"/>
    <w:link w:val="CommentText"/>
    <w:uiPriority w:val="99"/>
    <w:rsid w:val="004E6C70"/>
    <w:rPr>
      <w:rFonts w:ascii="Verdana" w:eastAsia="Arial" w:hAnsi="Verdana" w:cs="Times New Roman"/>
      <w:sz w:val="20"/>
      <w:szCs w:val="20"/>
      <w:lang w:val="sk-SK" w:eastAsia="x-none"/>
    </w:rPr>
  </w:style>
  <w:style w:type="paragraph" w:customStyle="1" w:styleId="Onderwerpvanopmerking">
    <w:name w:val="Onderwerp van opmerking"/>
    <w:basedOn w:val="CommentText"/>
    <w:next w:val="CommentText"/>
    <w:uiPriority w:val="99"/>
    <w:semiHidden/>
    <w:rsid w:val="004E6C70"/>
    <w:rPr>
      <w:b/>
      <w:bCs/>
    </w:rPr>
  </w:style>
  <w:style w:type="character" w:styleId="FollowedHyperlink">
    <w:name w:val="FollowedHyperlink"/>
    <w:uiPriority w:val="99"/>
    <w:rsid w:val="004E6C70"/>
    <w:rPr>
      <w:rFonts w:cs="Times New Roman"/>
      <w:color w:val="606420"/>
      <w:u w:val="single"/>
    </w:rPr>
  </w:style>
  <w:style w:type="paragraph" w:styleId="BalloonText">
    <w:name w:val="Balloon Text"/>
    <w:basedOn w:val="Normal"/>
    <w:link w:val="BalloonTextChar"/>
    <w:uiPriority w:val="99"/>
    <w:rsid w:val="004E6C70"/>
    <w:rPr>
      <w:rFonts w:ascii="Tahoma" w:eastAsia="Arial" w:hAnsi="Tahoma"/>
      <w:sz w:val="16"/>
      <w:szCs w:val="16"/>
      <w:lang w:eastAsia="x-none"/>
    </w:rPr>
  </w:style>
  <w:style w:type="character" w:customStyle="1" w:styleId="BalloonTextChar">
    <w:name w:val="Balloon Text Char"/>
    <w:basedOn w:val="DefaultParagraphFont"/>
    <w:link w:val="BalloonText"/>
    <w:uiPriority w:val="99"/>
    <w:rsid w:val="004E6C70"/>
    <w:rPr>
      <w:rFonts w:ascii="Tahoma" w:eastAsia="Arial" w:hAnsi="Tahoma" w:cs="Times New Roman"/>
      <w:sz w:val="16"/>
      <w:szCs w:val="16"/>
      <w:lang w:val="sk-SK" w:eastAsia="x-none"/>
    </w:rPr>
  </w:style>
  <w:style w:type="paragraph" w:styleId="CommentSubject">
    <w:name w:val="annotation subject"/>
    <w:basedOn w:val="CommentText"/>
    <w:next w:val="CommentText"/>
    <w:link w:val="CommentSubjectChar"/>
    <w:uiPriority w:val="99"/>
    <w:rsid w:val="004E6C70"/>
    <w:rPr>
      <w:b/>
      <w:bCs/>
    </w:rPr>
  </w:style>
  <w:style w:type="character" w:customStyle="1" w:styleId="CommentSubjectChar">
    <w:name w:val="Comment Subject Char"/>
    <w:basedOn w:val="CommentTextChar"/>
    <w:link w:val="CommentSubject"/>
    <w:uiPriority w:val="99"/>
    <w:rsid w:val="004E6C70"/>
    <w:rPr>
      <w:rFonts w:ascii="Verdana" w:eastAsia="Arial" w:hAnsi="Verdana" w:cs="Times New Roman"/>
      <w:b/>
      <w:bCs/>
      <w:sz w:val="20"/>
      <w:szCs w:val="20"/>
      <w:lang w:val="sk-SK" w:eastAsia="x-none"/>
    </w:rPr>
  </w:style>
  <w:style w:type="table" w:styleId="TableGrid">
    <w:name w:val="Table Grid"/>
    <w:aliases w:val="Tabla CUADROS"/>
    <w:basedOn w:val="TableNormal"/>
    <w:uiPriority w:val="59"/>
    <w:rsid w:val="004E6C70"/>
    <w:pPr>
      <w:spacing w:after="0" w:line="240" w:lineRule="auto"/>
    </w:pPr>
    <w:rPr>
      <w:rFonts w:ascii="Times New Roman" w:eastAsia="Times New Roman" w:hAnsi="Times New Roman" w:cs="Times New Roman"/>
      <w:sz w:val="20"/>
      <w:szCs w:val="20"/>
      <w:lang w:eastAsia="en-GB" w:bidi="ne-N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4E6C70"/>
    <w:pPr>
      <w:spacing w:before="240" w:after="60"/>
    </w:pPr>
    <w:rPr>
      <w:iCs/>
      <w:szCs w:val="28"/>
    </w:rPr>
  </w:style>
  <w:style w:type="character" w:customStyle="1" w:styleId="Formatvorlageberschrift4Char">
    <w:name w:val="Formatvorlage Überschrift 4 Char"/>
    <w:link w:val="Formatvorlageberschrift4"/>
    <w:uiPriority w:val="99"/>
    <w:locked/>
    <w:rsid w:val="004E6C70"/>
    <w:rPr>
      <w:rFonts w:ascii="Verdana" w:eastAsia="Times New Roman" w:hAnsi="Verdana" w:cs="Times New Roman"/>
      <w:b/>
      <w:iCs/>
      <w:sz w:val="20"/>
      <w:szCs w:val="28"/>
      <w:u w:val="single"/>
    </w:rPr>
  </w:style>
  <w:style w:type="paragraph" w:customStyle="1" w:styleId="Instructionsberschrift1">
    <w:name w:val="Instructions Überschrift 1"/>
    <w:basedOn w:val="Heading1"/>
    <w:rsid w:val="004E6C70"/>
    <w:pPr>
      <w:tabs>
        <w:tab w:val="num" w:pos="540"/>
      </w:tabs>
      <w:spacing w:before="240"/>
      <w:ind w:left="540" w:hanging="540"/>
    </w:pPr>
    <w:rPr>
      <w:b w:val="0"/>
      <w:kern w:val="32"/>
    </w:rPr>
  </w:style>
  <w:style w:type="paragraph" w:customStyle="1" w:styleId="Instructionsberschrift2">
    <w:name w:val="Instructions Überschrift 2"/>
    <w:basedOn w:val="Heading2"/>
    <w:rsid w:val="004E6C70"/>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4E6C70"/>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4E6C70"/>
    <w:rPr>
      <w:rFonts w:ascii="Verdana" w:eastAsia="Times New Roman" w:hAnsi="Verdana" w:cs="Times New Roman"/>
      <w:b/>
      <w:sz w:val="20"/>
      <w:szCs w:val="26"/>
      <w:u w:val="single"/>
    </w:rPr>
  </w:style>
  <w:style w:type="paragraph" w:customStyle="1" w:styleId="Instructionsberschrift4">
    <w:name w:val="Instructions Überschrift 4"/>
    <w:basedOn w:val="Heading4"/>
    <w:next w:val="InstructionsText"/>
    <w:link w:val="Instructionsberschrift4Char"/>
    <w:uiPriority w:val="99"/>
    <w:rsid w:val="004E6C70"/>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E6C70"/>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4E6C70"/>
    <w:rPr>
      <w:rFonts w:ascii="Verdana" w:eastAsia="Times New Roman" w:hAnsi="Verdana" w:cs="Times New Roman"/>
      <w:b/>
      <w:bCs/>
      <w:sz w:val="20"/>
      <w:szCs w:val="24"/>
      <w:u w:val="single"/>
    </w:rPr>
  </w:style>
  <w:style w:type="character" w:customStyle="1" w:styleId="InstructionsTabelleberschrift">
    <w:name w:val="Instructions Tabelle Überschrift"/>
    <w:qFormat/>
    <w:rsid w:val="004E6C70"/>
    <w:rPr>
      <w:rFonts w:ascii="Verdana" w:hAnsi="Verdana" w:cs="Times New Roman"/>
      <w:b/>
      <w:bCs/>
      <w:sz w:val="20"/>
      <w:u w:val="single"/>
    </w:rPr>
  </w:style>
  <w:style w:type="character" w:customStyle="1" w:styleId="InstructionsTabelleText">
    <w:name w:val="Instructions Tabelle Text"/>
    <w:rsid w:val="004E6C70"/>
    <w:rPr>
      <w:rFonts w:ascii="Verdana" w:hAnsi="Verdana" w:cs="Times New Roman"/>
      <w:sz w:val="20"/>
    </w:rPr>
  </w:style>
  <w:style w:type="character" w:customStyle="1" w:styleId="FormatvorlageInstructionsTabelleText">
    <w:name w:val="Formatvorlage Instructions Tabelle Text"/>
    <w:uiPriority w:val="99"/>
    <w:qFormat/>
    <w:rsid w:val="004E6C70"/>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4E6C70"/>
    <w:pPr>
      <w:ind w:left="0" w:firstLine="0"/>
    </w:pPr>
    <w:rPr>
      <w:szCs w:val="20"/>
    </w:rPr>
  </w:style>
  <w:style w:type="paragraph" w:customStyle="1" w:styleId="Texte2">
    <w:name w:val="Texte 2"/>
    <w:basedOn w:val="Normal"/>
    <w:uiPriority w:val="99"/>
    <w:rsid w:val="004E6C70"/>
    <w:pPr>
      <w:spacing w:after="0"/>
      <w:ind w:left="567"/>
    </w:pPr>
    <w:rPr>
      <w:sz w:val="22"/>
      <w:szCs w:val="20"/>
      <w:lang w:eastAsia="fr-FR"/>
    </w:rPr>
  </w:style>
  <w:style w:type="paragraph" w:customStyle="1" w:styleId="Prrafodelista1">
    <w:name w:val="Párrafo de lista1"/>
    <w:basedOn w:val="Normal"/>
    <w:uiPriority w:val="99"/>
    <w:rsid w:val="004E6C70"/>
    <w:pPr>
      <w:ind w:left="720"/>
    </w:pPr>
  </w:style>
  <w:style w:type="paragraph" w:customStyle="1" w:styleId="Prrafodelista2">
    <w:name w:val="Párrafo de lista2"/>
    <w:basedOn w:val="Normal"/>
    <w:uiPriority w:val="99"/>
    <w:rsid w:val="004E6C70"/>
    <w:pPr>
      <w:ind w:left="708"/>
    </w:pPr>
  </w:style>
  <w:style w:type="paragraph" w:styleId="PlainText">
    <w:name w:val="Plain Text"/>
    <w:basedOn w:val="Normal"/>
    <w:link w:val="PlainTextChar"/>
    <w:uiPriority w:val="99"/>
    <w:rsid w:val="004E6C70"/>
    <w:pPr>
      <w:spacing w:before="0" w:after="0"/>
      <w:jc w:val="left"/>
    </w:pPr>
    <w:rPr>
      <w:rFonts w:eastAsia="Arial"/>
      <w:szCs w:val="20"/>
      <w:lang w:eastAsia="es-ES_tradnl"/>
    </w:rPr>
  </w:style>
  <w:style w:type="character" w:customStyle="1" w:styleId="PlainTextChar">
    <w:name w:val="Plain Text Char"/>
    <w:basedOn w:val="DefaultParagraphFont"/>
    <w:link w:val="PlainText"/>
    <w:uiPriority w:val="99"/>
    <w:rsid w:val="004E6C70"/>
    <w:rPr>
      <w:rFonts w:ascii="Verdana" w:eastAsia="Arial" w:hAnsi="Verdana" w:cs="Times New Roman"/>
      <w:sz w:val="20"/>
      <w:szCs w:val="20"/>
      <w:lang w:val="sk-SK" w:eastAsia="es-ES_tradnl"/>
    </w:rPr>
  </w:style>
  <w:style w:type="paragraph" w:customStyle="1" w:styleId="Listenabsatz1">
    <w:name w:val="Listenabsatz1"/>
    <w:basedOn w:val="Normal"/>
    <w:uiPriority w:val="99"/>
    <w:rsid w:val="004E6C70"/>
    <w:pPr>
      <w:ind w:left="708"/>
    </w:pPr>
  </w:style>
  <w:style w:type="character" w:customStyle="1" w:styleId="InstructionsTextChar">
    <w:name w:val="Instructions Text Char"/>
    <w:link w:val="InstructionsText"/>
    <w:locked/>
    <w:rsid w:val="004E6C70"/>
    <w:rPr>
      <w:rFonts w:ascii="Times New Roman" w:eastAsia="Times New Roman" w:hAnsi="Times New Roman" w:cs="Times New Roman"/>
      <w:sz w:val="24"/>
      <w:szCs w:val="24"/>
      <w:lang w:eastAsia="de-DE"/>
    </w:rPr>
  </w:style>
  <w:style w:type="paragraph" w:styleId="Revision">
    <w:name w:val="Revision"/>
    <w:hidden/>
    <w:uiPriority w:val="99"/>
    <w:semiHidden/>
    <w:rsid w:val="004E6C70"/>
    <w:pPr>
      <w:spacing w:after="0" w:line="240" w:lineRule="auto"/>
    </w:pPr>
    <w:rPr>
      <w:rFonts w:ascii="Verdana" w:eastAsia="Times New Roman" w:hAnsi="Verdana" w:cs="Times New Roman"/>
      <w:sz w:val="20"/>
      <w:szCs w:val="24"/>
    </w:rPr>
  </w:style>
  <w:style w:type="paragraph" w:styleId="ListParagraph">
    <w:name w:val="List Paragraph"/>
    <w:basedOn w:val="Normal"/>
    <w:uiPriority w:val="34"/>
    <w:qFormat/>
    <w:rsid w:val="004E6C70"/>
    <w:pPr>
      <w:ind w:left="708"/>
    </w:pPr>
  </w:style>
  <w:style w:type="character" w:styleId="PlaceholderText">
    <w:name w:val="Placeholder Text"/>
    <w:uiPriority w:val="99"/>
    <w:semiHidden/>
    <w:rsid w:val="004E6C70"/>
    <w:rPr>
      <w:rFonts w:cs="Times New Roman"/>
      <w:color w:val="808080"/>
    </w:rPr>
  </w:style>
  <w:style w:type="paragraph" w:customStyle="1" w:styleId="InstructionsText2">
    <w:name w:val="Instructions Text 2"/>
    <w:basedOn w:val="InstructionsText"/>
    <w:qFormat/>
    <w:rsid w:val="004E6C70"/>
    <w:pPr>
      <w:numPr>
        <w:numId w:val="20"/>
      </w:numPr>
      <w:spacing w:after="240"/>
    </w:pPr>
  </w:style>
  <w:style w:type="character" w:customStyle="1" w:styleId="Instructionsberschrift3Char">
    <w:name w:val="Instructions Überschrift 3 Char"/>
    <w:locked/>
    <w:rsid w:val="004E6C70"/>
    <w:rPr>
      <w:rFonts w:ascii="Verdana" w:hAnsi="Verdana" w:cs="Arial"/>
      <w:b/>
      <w:bCs/>
      <w:sz w:val="26"/>
      <w:szCs w:val="26"/>
      <w:u w:val="single"/>
      <w:lang w:val="sk-SK" w:eastAsia="en-US" w:bidi="ar-SA"/>
    </w:rPr>
  </w:style>
  <w:style w:type="paragraph" w:customStyle="1" w:styleId="CM4">
    <w:name w:val="CM4"/>
    <w:basedOn w:val="Normal"/>
    <w:next w:val="Normal"/>
    <w:uiPriority w:val="99"/>
    <w:rsid w:val="004E6C70"/>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4E6C70"/>
    <w:pPr>
      <w:spacing w:before="0" w:after="0"/>
    </w:pPr>
    <w:rPr>
      <w:rFonts w:ascii="Tahoma" w:eastAsia="Arial" w:hAnsi="Tahoma"/>
      <w:sz w:val="16"/>
      <w:szCs w:val="16"/>
      <w:lang w:eastAsia="x-none"/>
    </w:rPr>
  </w:style>
  <w:style w:type="character" w:customStyle="1" w:styleId="DocumentMapChar">
    <w:name w:val="Document Map Char"/>
    <w:basedOn w:val="DefaultParagraphFont"/>
    <w:link w:val="DocumentMap"/>
    <w:uiPriority w:val="99"/>
    <w:semiHidden/>
    <w:rsid w:val="004E6C70"/>
    <w:rPr>
      <w:rFonts w:ascii="Tahoma" w:eastAsia="Arial" w:hAnsi="Tahoma" w:cs="Times New Roman"/>
      <w:sz w:val="16"/>
      <w:szCs w:val="16"/>
      <w:lang w:val="sk-SK" w:eastAsia="x-none"/>
    </w:rPr>
  </w:style>
  <w:style w:type="paragraph" w:customStyle="1" w:styleId="Titrearticle">
    <w:name w:val="Titre article"/>
    <w:basedOn w:val="Normal"/>
    <w:next w:val="Normal"/>
    <w:rsid w:val="004E6C70"/>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4E6C70"/>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4E6C70"/>
    <w:rPr>
      <w:rFonts w:ascii="Times New Roman" w:eastAsia="Arial" w:hAnsi="Times New Roman" w:cs="Times New Roman"/>
      <w:sz w:val="24"/>
      <w:szCs w:val="20"/>
      <w:lang w:eastAsia="en-GB"/>
    </w:rPr>
  </w:style>
  <w:style w:type="character" w:customStyle="1" w:styleId="NumPar1Char">
    <w:name w:val="NumPar 1 Char"/>
    <w:link w:val="NumPar1"/>
    <w:uiPriority w:val="99"/>
    <w:locked/>
    <w:rsid w:val="004E6C70"/>
    <w:rPr>
      <w:rFonts w:cs="Times New Roman"/>
      <w:sz w:val="24"/>
      <w:szCs w:val="24"/>
      <w:lang w:eastAsia="de-DE"/>
    </w:rPr>
  </w:style>
  <w:style w:type="paragraph" w:customStyle="1" w:styleId="NumPar1">
    <w:name w:val="NumPar 1"/>
    <w:basedOn w:val="Normal"/>
    <w:next w:val="Normal"/>
    <w:link w:val="NumPar1Char"/>
    <w:uiPriority w:val="99"/>
    <w:rsid w:val="004E6C70"/>
    <w:pPr>
      <w:tabs>
        <w:tab w:val="num" w:pos="850"/>
      </w:tabs>
      <w:ind w:left="850" w:hanging="850"/>
    </w:pPr>
    <w:rPr>
      <w:rFonts w:asciiTheme="minorHAnsi" w:eastAsiaTheme="minorHAnsi" w:hAnsiTheme="minorHAnsi"/>
      <w:sz w:val="24"/>
      <w:lang w:eastAsia="de-DE"/>
    </w:rPr>
  </w:style>
  <w:style w:type="character" w:customStyle="1" w:styleId="Point1letterChar">
    <w:name w:val="Point 1 (letter) Char"/>
    <w:link w:val="Point1letter"/>
    <w:uiPriority w:val="99"/>
    <w:locked/>
    <w:rsid w:val="004E6C70"/>
    <w:rPr>
      <w:rFonts w:cs="Times New Roman"/>
      <w:sz w:val="24"/>
      <w:szCs w:val="24"/>
    </w:rPr>
  </w:style>
  <w:style w:type="paragraph" w:customStyle="1" w:styleId="Point1letter">
    <w:name w:val="Point 1 (letter)"/>
    <w:basedOn w:val="Normal"/>
    <w:link w:val="Point1letterChar"/>
    <w:uiPriority w:val="99"/>
    <w:rsid w:val="004E6C70"/>
    <w:pPr>
      <w:tabs>
        <w:tab w:val="num" w:pos="360"/>
      </w:tabs>
      <w:ind w:left="1417" w:hanging="567"/>
    </w:pPr>
    <w:rPr>
      <w:rFonts w:asciiTheme="minorHAnsi" w:eastAsiaTheme="minorHAnsi" w:hAnsiTheme="minorHAnsi"/>
      <w:sz w:val="24"/>
    </w:rPr>
  </w:style>
  <w:style w:type="numbering" w:customStyle="1" w:styleId="Formatvorlage2">
    <w:name w:val="Formatvorlage2"/>
    <w:uiPriority w:val="99"/>
    <w:rsid w:val="004E6C70"/>
    <w:pPr>
      <w:numPr>
        <w:numId w:val="11"/>
      </w:numPr>
    </w:pPr>
  </w:style>
  <w:style w:type="numbering" w:customStyle="1" w:styleId="Formatvorlage3">
    <w:name w:val="Formatvorlage3"/>
    <w:uiPriority w:val="99"/>
    <w:rsid w:val="004E6C70"/>
    <w:pPr>
      <w:numPr>
        <w:numId w:val="21"/>
      </w:numPr>
    </w:pPr>
  </w:style>
  <w:style w:type="numbering" w:customStyle="1" w:styleId="Formatvorlage1">
    <w:name w:val="Formatvorlage1"/>
    <w:uiPriority w:val="99"/>
    <w:rsid w:val="004E6C70"/>
    <w:pPr>
      <w:numPr>
        <w:numId w:val="10"/>
      </w:numPr>
    </w:pPr>
  </w:style>
  <w:style w:type="numbering" w:customStyle="1" w:styleId="Formatvorlage4">
    <w:name w:val="Formatvorlage4"/>
    <w:uiPriority w:val="99"/>
    <w:rsid w:val="004E6C70"/>
    <w:pPr>
      <w:numPr>
        <w:numId w:val="23"/>
      </w:numPr>
    </w:pPr>
  </w:style>
  <w:style w:type="paragraph" w:customStyle="1" w:styleId="ListParagraph1">
    <w:name w:val="List Paragraph1"/>
    <w:basedOn w:val="Normal"/>
    <w:uiPriority w:val="99"/>
    <w:qFormat/>
    <w:rsid w:val="004E6C70"/>
    <w:pPr>
      <w:ind w:left="708"/>
    </w:pPr>
  </w:style>
  <w:style w:type="paragraph" w:customStyle="1" w:styleId="Anfhrungszeichen1">
    <w:name w:val="Anführungszeichen1"/>
    <w:basedOn w:val="Normal"/>
    <w:next w:val="Normal"/>
    <w:link w:val="AnfhrungszeichenZchn"/>
    <w:uiPriority w:val="29"/>
    <w:semiHidden/>
    <w:rsid w:val="004E6C70"/>
    <w:rPr>
      <w:i/>
      <w:iCs/>
      <w:color w:val="000000"/>
    </w:rPr>
  </w:style>
  <w:style w:type="character" w:customStyle="1" w:styleId="AnfhrungszeichenZchn">
    <w:name w:val="Anführungszeichen Zchn"/>
    <w:link w:val="Anfhrungszeichen1"/>
    <w:uiPriority w:val="29"/>
    <w:semiHidden/>
    <w:rsid w:val="004E6C70"/>
    <w:rPr>
      <w:rFonts w:ascii="Verdana" w:eastAsia="Times New Roman" w:hAnsi="Verdana" w:cs="Times New Roman"/>
      <w:i/>
      <w:iCs/>
      <w:color w:val="000000"/>
      <w:sz w:val="20"/>
      <w:szCs w:val="24"/>
    </w:rPr>
  </w:style>
  <w:style w:type="paragraph" w:customStyle="1" w:styleId="Inhaltsverzeichnisberschrift1">
    <w:name w:val="Inhaltsverzeichnisüberschrift1"/>
    <w:basedOn w:val="Heading1"/>
    <w:next w:val="Normal"/>
    <w:uiPriority w:val="39"/>
    <w:semiHidden/>
    <w:unhideWhenUsed/>
    <w:qFormat/>
    <w:rsid w:val="004E6C70"/>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4E6C70"/>
    <w:pPr>
      <w:spacing w:after="0" w:line="240" w:lineRule="auto"/>
    </w:pPr>
    <w:rPr>
      <w:rFonts w:ascii="Verdana" w:eastAsia="Times New Roman" w:hAnsi="Verdana" w:cs="Times New Roman"/>
      <w:sz w:val="20"/>
      <w:szCs w:val="24"/>
    </w:rPr>
  </w:style>
  <w:style w:type="paragraph" w:customStyle="1" w:styleId="Listenabsatz2">
    <w:name w:val="Listenabsatz2"/>
    <w:basedOn w:val="Normal"/>
    <w:uiPriority w:val="99"/>
    <w:qFormat/>
    <w:rsid w:val="004E6C70"/>
    <w:pPr>
      <w:ind w:left="708"/>
    </w:pPr>
  </w:style>
  <w:style w:type="character" w:customStyle="1" w:styleId="Platzhaltertext1">
    <w:name w:val="Platzhaltertext1"/>
    <w:uiPriority w:val="99"/>
    <w:semiHidden/>
    <w:rsid w:val="004E6C70"/>
    <w:rPr>
      <w:color w:val="808080"/>
    </w:rPr>
  </w:style>
  <w:style w:type="paragraph" w:customStyle="1" w:styleId="Default">
    <w:name w:val="Default"/>
    <w:rsid w:val="004E6C70"/>
    <w:pPr>
      <w:autoSpaceDE w:val="0"/>
      <w:autoSpaceDN w:val="0"/>
      <w:adjustRightInd w:val="0"/>
      <w:spacing w:after="0" w:line="240" w:lineRule="auto"/>
    </w:pPr>
    <w:rPr>
      <w:rFonts w:ascii="Arial" w:eastAsia="Arial" w:hAnsi="Arial" w:cs="Arial"/>
      <w:color w:val="000000"/>
      <w:sz w:val="24"/>
      <w:szCs w:val="24"/>
      <w:lang w:eastAsia="en-GB"/>
    </w:rPr>
  </w:style>
  <w:style w:type="paragraph" w:customStyle="1" w:styleId="CM1">
    <w:name w:val="CM1"/>
    <w:basedOn w:val="Default"/>
    <w:next w:val="Default"/>
    <w:uiPriority w:val="99"/>
    <w:rsid w:val="004E6C70"/>
    <w:rPr>
      <w:rFonts w:ascii="EU Albertina" w:hAnsi="EU Albertina" w:cs="Times New Roman"/>
      <w:color w:val="auto"/>
    </w:rPr>
  </w:style>
  <w:style w:type="paragraph" w:customStyle="1" w:styleId="CM3">
    <w:name w:val="CM3"/>
    <w:basedOn w:val="Default"/>
    <w:next w:val="Default"/>
    <w:uiPriority w:val="99"/>
    <w:rsid w:val="004E6C70"/>
    <w:rPr>
      <w:rFonts w:ascii="EU Albertina" w:hAnsi="EU Albertina" w:cs="Times New Roman"/>
      <w:color w:val="auto"/>
    </w:rPr>
  </w:style>
  <w:style w:type="paragraph" w:styleId="NormalWeb">
    <w:name w:val="Normal (Web)"/>
    <w:basedOn w:val="Normal"/>
    <w:uiPriority w:val="99"/>
    <w:unhideWhenUsed/>
    <w:rsid w:val="004E6C70"/>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4E6C70"/>
    <w:rPr>
      <w:i/>
      <w:iCs/>
    </w:rPr>
  </w:style>
  <w:style w:type="paragraph" w:customStyle="1" w:styleId="TableMainHeading">
    <w:name w:val="TableMainHeading"/>
    <w:basedOn w:val="Normal"/>
    <w:next w:val="Normal"/>
    <w:uiPriority w:val="99"/>
    <w:rsid w:val="004E6C70"/>
    <w:pPr>
      <w:jc w:val="left"/>
    </w:pPr>
    <w:rPr>
      <w:rFonts w:ascii="Segoe UI" w:hAnsi="Segoe UI"/>
      <w:sz w:val="22"/>
      <w:szCs w:val="20"/>
    </w:rPr>
  </w:style>
  <w:style w:type="paragraph" w:customStyle="1" w:styleId="body">
    <w:name w:val="body"/>
    <w:link w:val="bodyChar"/>
    <w:qFormat/>
    <w:rsid w:val="004E6C70"/>
    <w:pPr>
      <w:spacing w:before="240" w:after="120"/>
      <w:jc w:val="both"/>
    </w:pPr>
    <w:rPr>
      <w:rFonts w:eastAsiaTheme="minorEastAsia"/>
      <w:szCs w:val="24"/>
    </w:rPr>
  </w:style>
  <w:style w:type="character" w:customStyle="1" w:styleId="Mention1">
    <w:name w:val="Mention1"/>
    <w:basedOn w:val="DefaultParagraphFont"/>
    <w:uiPriority w:val="99"/>
    <w:unhideWhenUsed/>
    <w:rsid w:val="004E6C70"/>
    <w:rPr>
      <w:color w:val="2B579A"/>
      <w:shd w:val="clear" w:color="auto" w:fill="E6E6E6"/>
    </w:rPr>
  </w:style>
  <w:style w:type="character" w:customStyle="1" w:styleId="UnresolvedMention1">
    <w:name w:val="Unresolved Mention1"/>
    <w:basedOn w:val="DefaultParagraphFont"/>
    <w:uiPriority w:val="99"/>
    <w:unhideWhenUsed/>
    <w:rsid w:val="004E6C70"/>
    <w:rPr>
      <w:color w:val="605E5C"/>
      <w:shd w:val="clear" w:color="auto" w:fill="E1DFDD"/>
    </w:rPr>
  </w:style>
  <w:style w:type="paragraph" w:customStyle="1" w:styleId="Chartleft-Measure">
    <w:name w:val="Chart left - Measure"/>
    <w:link w:val="Chartleft-MeasureChar"/>
    <w:uiPriority w:val="3"/>
    <w:qFormat/>
    <w:rsid w:val="004E6C70"/>
    <w:pPr>
      <w:keepNext/>
      <w:keepLines/>
      <w:framePr w:w="4706" w:hSpace="227" w:wrap="around" w:vAnchor="text" w:hAnchor="page" w:x="1135" w:y="1"/>
      <w:spacing w:before="100" w:after="100" w:line="144" w:lineRule="atLeast"/>
      <w:contextualSpacing/>
    </w:pPr>
    <w:rPr>
      <w:rFonts w:ascii="Arial" w:eastAsia="Times New Roman" w:hAnsi="Arial" w:cs="Sendnya"/>
      <w:color w:val="003299"/>
      <w:kern w:val="12"/>
      <w:sz w:val="12"/>
      <w:lang w:eastAsia="en-GB"/>
    </w:rPr>
  </w:style>
  <w:style w:type="character" w:customStyle="1" w:styleId="Chartleft-MeasureChar">
    <w:name w:val="Chart left - Measure Char"/>
    <w:link w:val="Chartleft-Measure"/>
    <w:uiPriority w:val="3"/>
    <w:rsid w:val="004E6C70"/>
    <w:rPr>
      <w:rFonts w:ascii="Arial" w:eastAsia="Times New Roman" w:hAnsi="Arial" w:cs="Sendnya"/>
      <w:color w:val="003299"/>
      <w:kern w:val="12"/>
      <w:sz w:val="12"/>
      <w:lang w:eastAsia="en-GB"/>
    </w:rPr>
  </w:style>
  <w:style w:type="character" w:customStyle="1" w:styleId="lxp-definition-term">
    <w:name w:val="lxp-definition-term"/>
    <w:basedOn w:val="DefaultParagraphFont"/>
    <w:rsid w:val="004E6C70"/>
  </w:style>
  <w:style w:type="character" w:customStyle="1" w:styleId="FooterChar1">
    <w:name w:val="Footer Char1"/>
    <w:uiPriority w:val="99"/>
    <w:locked/>
    <w:rsid w:val="004E6C70"/>
    <w:rPr>
      <w:rFonts w:ascii="Arial" w:hAnsi="Arial" w:cs="Times New Roman"/>
      <w:sz w:val="14"/>
      <w:szCs w:val="14"/>
      <w:lang w:eastAsia="de-DE"/>
    </w:rPr>
  </w:style>
  <w:style w:type="character" w:customStyle="1" w:styleId="HeaderChar1">
    <w:name w:val="Header Char1"/>
    <w:uiPriority w:val="99"/>
    <w:locked/>
    <w:rsid w:val="004E6C70"/>
    <w:rPr>
      <w:rFonts w:ascii="Arial" w:hAnsi="Arial" w:cs="Times New Roman"/>
      <w:sz w:val="20"/>
      <w:szCs w:val="20"/>
      <w:lang w:eastAsia="de-DE"/>
    </w:rPr>
  </w:style>
  <w:style w:type="character" w:customStyle="1" w:styleId="bodyChar">
    <w:name w:val="body Char"/>
    <w:basedOn w:val="DefaultParagraphFont"/>
    <w:link w:val="body"/>
    <w:rsid w:val="004E6C70"/>
    <w:rPr>
      <w:rFonts w:eastAsiaTheme="minorEastAsia"/>
      <w:szCs w:val="24"/>
      <w:lang w:val="sk-SK"/>
    </w:rPr>
  </w:style>
  <w:style w:type="character" w:customStyle="1" w:styleId="Mention2">
    <w:name w:val="Mention2"/>
    <w:basedOn w:val="DefaultParagraphFont"/>
    <w:uiPriority w:val="99"/>
    <w:unhideWhenUsed/>
    <w:rsid w:val="004E6C70"/>
    <w:rPr>
      <w:color w:val="2B579A"/>
      <w:shd w:val="clear" w:color="auto" w:fill="E1DFDD"/>
    </w:rPr>
  </w:style>
  <w:style w:type="paragraph" w:customStyle="1" w:styleId="NumPar2">
    <w:name w:val="NumPar 2"/>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4E6C70"/>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4E6C70"/>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4E6C70"/>
    <w:rPr>
      <w:color w:val="2B579A"/>
      <w:shd w:val="clear" w:color="auto" w:fill="E1DFDD"/>
    </w:rPr>
  </w:style>
  <w:style w:type="character" w:customStyle="1" w:styleId="UnresolvedMention2">
    <w:name w:val="Unresolved Mention2"/>
    <w:basedOn w:val="DefaultParagraphFont"/>
    <w:uiPriority w:val="99"/>
    <w:semiHidden/>
    <w:unhideWhenUsed/>
    <w:rsid w:val="004E6C70"/>
    <w:rPr>
      <w:color w:val="605E5C"/>
      <w:shd w:val="clear" w:color="auto" w:fill="E1DFDD"/>
    </w:rPr>
  </w:style>
  <w:style w:type="character" w:customStyle="1" w:styleId="ui-provider">
    <w:name w:val="ui-provider"/>
    <w:basedOn w:val="DefaultParagraphFont"/>
    <w:rsid w:val="004E6C70"/>
  </w:style>
  <w:style w:type="character" w:customStyle="1" w:styleId="cf01">
    <w:name w:val="cf01"/>
    <w:basedOn w:val="DefaultParagraphFont"/>
    <w:rsid w:val="004E6C70"/>
    <w:rPr>
      <w:rFonts w:ascii="Segoe UI" w:hAnsi="Segoe UI" w:cs="Segoe UI" w:hint="default"/>
      <w:sz w:val="18"/>
      <w:szCs w:val="18"/>
    </w:rPr>
  </w:style>
  <w:style w:type="paragraph" w:customStyle="1" w:styleId="footnotedescription">
    <w:name w:val="footnote description"/>
    <w:next w:val="Normal"/>
    <w:link w:val="footnotedescriptionChar"/>
    <w:hidden/>
    <w:rsid w:val="004E6C70"/>
    <w:pPr>
      <w:spacing w:after="0" w:line="241" w:lineRule="auto"/>
      <w:ind w:left="144" w:right="260" w:hanging="144"/>
      <w:jc w:val="both"/>
    </w:pPr>
    <w:rPr>
      <w:rFonts w:ascii="Arial" w:eastAsia="Arial" w:hAnsi="Arial" w:cs="Arial"/>
      <w:color w:val="000000"/>
      <w:sz w:val="16"/>
      <w:lang w:eastAsia="es-ES"/>
    </w:rPr>
  </w:style>
  <w:style w:type="character" w:customStyle="1" w:styleId="footnotedescriptionChar">
    <w:name w:val="footnote description Char"/>
    <w:link w:val="footnotedescription"/>
    <w:rsid w:val="004E6C70"/>
    <w:rPr>
      <w:rFonts w:ascii="Arial" w:eastAsia="Arial" w:hAnsi="Arial" w:cs="Arial"/>
      <w:color w:val="000000"/>
      <w:sz w:val="16"/>
      <w:lang w:val="sk-SK" w:eastAsia="es-ES"/>
    </w:rPr>
  </w:style>
  <w:style w:type="character" w:customStyle="1" w:styleId="footnotemark">
    <w:name w:val="footnote mark"/>
    <w:hidden/>
    <w:rsid w:val="004E6C70"/>
    <w:rPr>
      <w:rFonts w:ascii="Arial" w:eastAsia="Arial" w:hAnsi="Arial" w:cs="Arial"/>
      <w:color w:val="000000"/>
      <w:sz w:val="20"/>
      <w:vertAlign w:val="superscript"/>
    </w:rPr>
  </w:style>
  <w:style w:type="character" w:styleId="Mention">
    <w:name w:val="Mention"/>
    <w:basedOn w:val="DefaultParagraphFont"/>
    <w:uiPriority w:val="99"/>
    <w:unhideWhenUsed/>
    <w:rsid w:val="004E6C70"/>
    <w:rPr>
      <w:color w:val="2B579A"/>
      <w:shd w:val="clear" w:color="auto" w:fill="E1DFDD"/>
    </w:rPr>
  </w:style>
  <w:style w:type="character" w:customStyle="1" w:styleId="Marker">
    <w:name w:val="Marker"/>
    <w:basedOn w:val="DefaultParagraphFont"/>
    <w:rsid w:val="004E6C70"/>
    <w:rPr>
      <w:color w:val="0000FF"/>
      <w:shd w:val="clear" w:color="auto" w:fill="auto"/>
    </w:rPr>
  </w:style>
  <w:style w:type="paragraph" w:customStyle="1" w:styleId="Pagedecouverture">
    <w:name w:val="Page de couverture"/>
    <w:basedOn w:val="Normal"/>
    <w:next w:val="Normal"/>
    <w:link w:val="PagedecouvertureChar"/>
    <w:rsid w:val="004E6C70"/>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4E6C70"/>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4E6C70"/>
    <w:rPr>
      <w:rFonts w:ascii="Times New Roman" w:hAnsi="Times New Roman" w:cs="Times New Roman"/>
      <w:sz w:val="24"/>
    </w:rPr>
  </w:style>
  <w:style w:type="character" w:customStyle="1" w:styleId="FooterCoverPageChar">
    <w:name w:val="Footer Cover Page Char"/>
    <w:basedOn w:val="PagedecouvertureChar"/>
    <w:link w:val="FooterCoverPage"/>
    <w:rsid w:val="004E6C70"/>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4E6C70"/>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4E6C70"/>
    <w:rPr>
      <w:rFonts w:ascii="Times New Roman" w:eastAsia="Times New Roman" w:hAnsi="Times New Roman" w:cs="Times New Roman"/>
      <w:b/>
      <w:sz w:val="32"/>
      <w:szCs w:val="24"/>
    </w:rPr>
  </w:style>
  <w:style w:type="paragraph" w:customStyle="1" w:styleId="HeaderCoverPage">
    <w:name w:val="Header Cover Page"/>
    <w:basedOn w:val="Normal"/>
    <w:link w:val="HeaderCoverPageChar"/>
    <w:rsid w:val="004E6C70"/>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4E6C70"/>
    <w:rPr>
      <w:rFonts w:ascii="Times New Roman" w:eastAsia="Times New Roman" w:hAnsi="Times New Roman" w:cs="Times New Roman"/>
      <w:sz w:val="24"/>
      <w:szCs w:val="24"/>
    </w:rPr>
  </w:style>
  <w:style w:type="paragraph" w:customStyle="1" w:styleId="HeaderSensitivity">
    <w:name w:val="Header Sensitivity"/>
    <w:basedOn w:val="Normal"/>
    <w:link w:val="HeaderSensitivityChar"/>
    <w:rsid w:val="004E6C70"/>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4E6C70"/>
    <w:rPr>
      <w:rFonts w:ascii="Times New Roman" w:eastAsia="Times New Roman" w:hAnsi="Times New Roman" w:cs="Times New Roman"/>
      <w:b/>
      <w:sz w:val="32"/>
      <w:szCs w:val="24"/>
    </w:rPr>
  </w:style>
  <w:style w:type="paragraph" w:customStyle="1" w:styleId="HeaderSensitivityRight">
    <w:name w:val="Header Sensitivity Right"/>
    <w:basedOn w:val="Normal"/>
    <w:link w:val="HeaderSensitivityRightChar"/>
    <w:rsid w:val="004E6C70"/>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4E6C70"/>
    <w:rPr>
      <w:rFonts w:ascii="Times New Roman" w:eastAsia="Times New Roman" w:hAnsi="Times New Roman" w:cs="Times New Roman"/>
      <w:sz w:val="28"/>
      <w:szCs w:val="24"/>
    </w:rPr>
  </w:style>
  <w:style w:type="character" w:styleId="UnresolvedMention">
    <w:name w:val="Unresolved Mention"/>
    <w:basedOn w:val="DefaultParagraphFont"/>
    <w:uiPriority w:val="99"/>
    <w:semiHidden/>
    <w:unhideWhenUsed/>
    <w:rsid w:val="004E6C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B4A0EF-0098-4D62-9A78-1E21159A811D}">
  <ds:schemaRefs>
    <ds:schemaRef ds:uri="http://schemas.openxmlformats.org/officeDocument/2006/bibliography"/>
  </ds:schemaRefs>
</ds:datastoreItem>
</file>

<file path=customXml/itemProps2.xml><?xml version="1.0" encoding="utf-8"?>
<ds:datastoreItem xmlns:ds="http://schemas.openxmlformats.org/officeDocument/2006/customXml" ds:itemID="{4128B1E6-1FFB-4FCE-9CBA-3DA7BA0639D0}"/>
</file>

<file path=customXml/itemProps3.xml><?xml version="1.0" encoding="utf-8"?>
<ds:datastoreItem xmlns:ds="http://schemas.openxmlformats.org/officeDocument/2006/customXml" ds:itemID="{DA727BA8-3AD0-4C10-B870-F2D005F97AA0}"/>
</file>

<file path=customXml/itemProps4.xml><?xml version="1.0" encoding="utf-8"?>
<ds:datastoreItem xmlns:ds="http://schemas.openxmlformats.org/officeDocument/2006/customXml" ds:itemID="{6EA9F9A4-E12C-43F9-92E4-056AB64BB42B}"/>
</file>

<file path=docProps/app.xml><?xml version="1.0" encoding="utf-8"?>
<Properties xmlns="http://schemas.openxmlformats.org/officeDocument/2006/extended-properties" xmlns:vt="http://schemas.openxmlformats.org/officeDocument/2006/docPropsVTypes">
  <Template>Normal.dotm</Template>
  <TotalTime>13</TotalTime>
  <Pages>1</Pages>
  <Words>11209</Words>
  <Characters>60306</Characters>
  <Application>Microsoft Office Word</Application>
  <DocSecurity>0</DocSecurity>
  <Lines>1546</Lines>
  <Paragraphs>953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PETRE Gheorghe-Cristian (FISMA)</dc:creator>
  <cp:keywords/>
  <dc:description/>
  <cp:lastModifiedBy>SKYPALA Vlastimil (DGT)</cp:lastModifiedBy>
  <cp:revision>4</cp:revision>
  <dcterms:created xsi:type="dcterms:W3CDTF">2024-07-10T18:58:00Z</dcterms:created>
  <dcterms:modified xsi:type="dcterms:W3CDTF">2025-01-27T07:40:00Z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2024-07-10T18:59:29Z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60f2ebe3-76f3-431b-b5eb-d8ad589febbc</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