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PRILOGA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NAVODILA ZA POROČANJE O FINANČNIH INFORMACIJAH</w:t>
      </w:r>
    </w:p>
    <w:p w14:paraId="582BA572" w14:textId="77777777" w:rsidR="00245084" w:rsidRDefault="00A834F1" w:rsidP="002A7A70">
      <w:pPr>
        <w:spacing w:after="0"/>
        <w:rPr>
          <w:noProof/>
        </w:rPr>
      </w:pPr>
      <w:r>
        <w:rPr>
          <w:rFonts w:ascii="Times New Roman" w:hAnsi="Times New Roman"/>
          <w:sz w:val="24"/>
        </w:rPr>
        <w:t>Kazalo</w:t>
      </w:r>
      <w:r>
        <w:t xml:space="preserve"> </w:t>
      </w:r>
      <w:r>
        <w:rPr>
          <w:rFonts w:ascii="Cambria" w:hAnsi="Cambria"/>
          <w:b/>
          <w:sz w:val="24"/>
        </w:rPr>
        <w:fldChar w:fldCharType="begin"/>
      </w:r>
      <w:r>
        <w:instrText xml:space="preserve"> TOC \o "1-3" \u </w:instrText>
      </w:r>
      <w:r>
        <w:rPr>
          <w:rFonts w:ascii="Cambria" w:hAnsi="Cambria"/>
          <w:b/>
          <w:sz w:val="24"/>
        </w:rPr>
        <w:fldChar w:fldCharType="separate"/>
      </w:r>
    </w:p>
    <w:p w14:paraId="1D76F456" w14:textId="0E922F74" w:rsidR="00245084" w:rsidRPr="00245084" w:rsidRDefault="00245084">
      <w:pPr>
        <w:pStyle w:val="TOC1"/>
        <w:tabs>
          <w:tab w:val="right" w:leader="dot" w:pos="8296"/>
        </w:tabs>
        <w:rPr>
          <w:rFonts w:asciiTheme="minorHAnsi" w:eastAsiaTheme="minorEastAsia" w:hAnsiTheme="minorHAnsi" w:cstheme="minorBidi"/>
          <w:b w:val="0"/>
          <w:noProof/>
          <w:kern w:val="2"/>
          <w:sz w:val="22"/>
          <w:szCs w:val="22"/>
          <w:lang w:val="it-IT" w:eastAsia="de-DE"/>
          <w14:ligatures w14:val="standardContextual"/>
        </w:rPr>
      </w:pPr>
      <w:r>
        <w:rPr>
          <w:noProof/>
        </w:rPr>
        <w:t>Splošna navodila</w:t>
      </w:r>
      <w:r>
        <w:rPr>
          <w:noProof/>
        </w:rPr>
        <w:tab/>
      </w:r>
      <w:r>
        <w:rPr>
          <w:noProof/>
        </w:rPr>
        <w:fldChar w:fldCharType="begin"/>
      </w:r>
      <w:r>
        <w:rPr>
          <w:noProof/>
        </w:rPr>
        <w:instrText xml:space="preserve"> PAGEREF _Toc188539724 \h </w:instrText>
      </w:r>
      <w:r>
        <w:rPr>
          <w:noProof/>
        </w:rPr>
      </w:r>
      <w:r>
        <w:rPr>
          <w:noProof/>
        </w:rPr>
        <w:fldChar w:fldCharType="separate"/>
      </w:r>
      <w:r>
        <w:rPr>
          <w:noProof/>
        </w:rPr>
        <w:t>4</w:t>
      </w:r>
      <w:r>
        <w:rPr>
          <w:noProof/>
        </w:rPr>
        <w:fldChar w:fldCharType="end"/>
      </w:r>
    </w:p>
    <w:p w14:paraId="77884C9F" w14:textId="7B622F67"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w:t>
      </w:r>
      <w:r w:rsidRPr="00245084">
        <w:rPr>
          <w:rFonts w:asciiTheme="minorHAnsi" w:eastAsiaTheme="minorEastAsia" w:hAnsiTheme="minorHAnsi" w:cstheme="minorBidi"/>
          <w:kern w:val="2"/>
          <w:sz w:val="22"/>
          <w:szCs w:val="22"/>
          <w:lang w:val="it-IT" w:eastAsia="de-DE"/>
          <w14:ligatures w14:val="standardContextual"/>
        </w:rPr>
        <w:tab/>
      </w:r>
      <w:r>
        <w:t>Sklici na pravno podlago</w:t>
      </w:r>
      <w:r>
        <w:tab/>
      </w:r>
      <w:r>
        <w:fldChar w:fldCharType="begin"/>
      </w:r>
      <w:r>
        <w:instrText xml:space="preserve"> PAGEREF _Toc188539725 \h </w:instrText>
      </w:r>
      <w:r>
        <w:fldChar w:fldCharType="separate"/>
      </w:r>
      <w:r>
        <w:t>4</w:t>
      </w:r>
      <w:r>
        <w:fldChar w:fldCharType="end"/>
      </w:r>
    </w:p>
    <w:p w14:paraId="42F0779B" w14:textId="31714BF6"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w:t>
      </w:r>
      <w:r w:rsidRPr="00245084">
        <w:rPr>
          <w:rFonts w:asciiTheme="minorHAnsi" w:eastAsiaTheme="minorEastAsia" w:hAnsiTheme="minorHAnsi" w:cstheme="minorBidi"/>
          <w:kern w:val="2"/>
          <w:sz w:val="22"/>
          <w:szCs w:val="22"/>
          <w:lang w:val="it-IT" w:eastAsia="de-DE"/>
          <w14:ligatures w14:val="standardContextual"/>
        </w:rPr>
        <w:tab/>
      </w:r>
      <w:r>
        <w:t>Dogovori</w:t>
      </w:r>
      <w:r>
        <w:tab/>
      </w:r>
      <w:r>
        <w:fldChar w:fldCharType="begin"/>
      </w:r>
      <w:r>
        <w:instrText xml:space="preserve"> PAGEREF _Toc188539726 \h </w:instrText>
      </w:r>
      <w:r>
        <w:fldChar w:fldCharType="separate"/>
      </w:r>
      <w:r>
        <w:t>6</w:t>
      </w:r>
      <w:r>
        <w:fldChar w:fldCharType="end"/>
      </w:r>
    </w:p>
    <w:p w14:paraId="1E295B4A" w14:textId="42F04182"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w:t>
      </w:r>
      <w:r w:rsidRPr="00245084">
        <w:rPr>
          <w:rFonts w:asciiTheme="minorHAnsi" w:eastAsiaTheme="minorEastAsia" w:hAnsiTheme="minorHAnsi" w:cstheme="minorBidi"/>
          <w:kern w:val="2"/>
          <w:sz w:val="22"/>
          <w:szCs w:val="22"/>
          <w:lang w:val="it-IT" w:eastAsia="de-DE"/>
          <w14:ligatures w14:val="standardContextual"/>
        </w:rPr>
        <w:tab/>
      </w:r>
      <w:r>
        <w:t>Konsolidacija</w:t>
      </w:r>
      <w:r>
        <w:tab/>
      </w:r>
      <w:r>
        <w:fldChar w:fldCharType="begin"/>
      </w:r>
      <w:r>
        <w:instrText xml:space="preserve"> PAGEREF _Toc188539727 \h </w:instrText>
      </w:r>
      <w:r>
        <w:fldChar w:fldCharType="separate"/>
      </w:r>
      <w:r>
        <w:t>7</w:t>
      </w:r>
      <w:r>
        <w:fldChar w:fldCharType="end"/>
      </w:r>
    </w:p>
    <w:p w14:paraId="339FE187" w14:textId="13AB4088"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4.</w:t>
      </w:r>
      <w:r w:rsidRPr="00245084">
        <w:rPr>
          <w:rFonts w:asciiTheme="minorHAnsi" w:eastAsiaTheme="minorEastAsia" w:hAnsiTheme="minorHAnsi" w:cstheme="minorBidi"/>
          <w:kern w:val="2"/>
          <w:sz w:val="22"/>
          <w:szCs w:val="22"/>
          <w:lang w:val="it-IT" w:eastAsia="de-DE"/>
          <w14:ligatures w14:val="standardContextual"/>
        </w:rPr>
        <w:tab/>
      </w:r>
      <w:r>
        <w:t>Računovodski portfelji finančnih instrumentov</w:t>
      </w:r>
      <w:r>
        <w:tab/>
      </w:r>
      <w:r>
        <w:fldChar w:fldCharType="begin"/>
      </w:r>
      <w:r>
        <w:instrText xml:space="preserve"> PAGEREF _Toc188539728 \h </w:instrText>
      </w:r>
      <w:r>
        <w:fldChar w:fldCharType="separate"/>
      </w:r>
      <w:r>
        <w:t>8</w:t>
      </w:r>
      <w:r>
        <w:fldChar w:fldCharType="end"/>
      </w:r>
    </w:p>
    <w:p w14:paraId="179BC200" w14:textId="46AAF3D7"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4.1.</w:t>
      </w:r>
      <w:r w:rsidRPr="00245084">
        <w:rPr>
          <w:rFonts w:asciiTheme="minorHAnsi" w:eastAsiaTheme="minorEastAsia" w:hAnsiTheme="minorHAnsi" w:cstheme="minorBidi"/>
          <w:kern w:val="2"/>
          <w:sz w:val="22"/>
          <w:szCs w:val="22"/>
          <w:lang w:val="it-IT" w:eastAsia="de-DE"/>
          <w14:ligatures w14:val="standardContextual"/>
        </w:rPr>
        <w:tab/>
      </w:r>
      <w:r>
        <w:t>Finančna sredstva</w:t>
      </w:r>
      <w:r>
        <w:tab/>
      </w:r>
      <w:r>
        <w:fldChar w:fldCharType="begin"/>
      </w:r>
      <w:r>
        <w:instrText xml:space="preserve"> PAGEREF _Toc188539729 \h </w:instrText>
      </w:r>
      <w:r>
        <w:fldChar w:fldCharType="separate"/>
      </w:r>
      <w:r>
        <w:t>8</w:t>
      </w:r>
      <w:r>
        <w:fldChar w:fldCharType="end"/>
      </w:r>
    </w:p>
    <w:p w14:paraId="4D6E3831" w14:textId="76E179A1"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4.2.</w:t>
      </w:r>
      <w:r w:rsidRPr="00245084">
        <w:rPr>
          <w:rFonts w:asciiTheme="minorHAnsi" w:eastAsiaTheme="minorEastAsia" w:hAnsiTheme="minorHAnsi" w:cstheme="minorBidi"/>
          <w:kern w:val="2"/>
          <w:sz w:val="22"/>
          <w:szCs w:val="22"/>
          <w:lang w:val="it-IT" w:eastAsia="de-DE"/>
          <w14:ligatures w14:val="standardContextual"/>
        </w:rPr>
        <w:tab/>
      </w:r>
      <w:r>
        <w:t>Finančne obveznosti</w:t>
      </w:r>
      <w:r>
        <w:tab/>
      </w:r>
      <w:r>
        <w:fldChar w:fldCharType="begin"/>
      </w:r>
      <w:r>
        <w:instrText xml:space="preserve"> PAGEREF _Toc188539730 \h </w:instrText>
      </w:r>
      <w:r>
        <w:fldChar w:fldCharType="separate"/>
      </w:r>
      <w:r>
        <w:t>10</w:t>
      </w:r>
      <w:r>
        <w:fldChar w:fldCharType="end"/>
      </w:r>
    </w:p>
    <w:p w14:paraId="186E8080" w14:textId="1C1F21B8"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5.</w:t>
      </w:r>
      <w:r w:rsidRPr="00245084">
        <w:rPr>
          <w:rFonts w:asciiTheme="minorHAnsi" w:eastAsiaTheme="minorEastAsia" w:hAnsiTheme="minorHAnsi" w:cstheme="minorBidi"/>
          <w:kern w:val="2"/>
          <w:sz w:val="22"/>
          <w:szCs w:val="22"/>
          <w:lang w:val="it-IT" w:eastAsia="de-DE"/>
          <w14:ligatures w14:val="standardContextual"/>
        </w:rPr>
        <w:tab/>
      </w:r>
      <w:r>
        <w:t>Finančni instrumenti</w:t>
      </w:r>
      <w:r>
        <w:tab/>
      </w:r>
      <w:r>
        <w:fldChar w:fldCharType="begin"/>
      </w:r>
      <w:r>
        <w:instrText xml:space="preserve"> PAGEREF _Toc188539731 \h </w:instrText>
      </w:r>
      <w:r>
        <w:fldChar w:fldCharType="separate"/>
      </w:r>
      <w:r>
        <w:t>11</w:t>
      </w:r>
      <w:r>
        <w:fldChar w:fldCharType="end"/>
      </w:r>
    </w:p>
    <w:p w14:paraId="62447A07" w14:textId="1E00DD3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5.1.</w:t>
      </w:r>
      <w:r w:rsidRPr="00245084">
        <w:rPr>
          <w:rFonts w:asciiTheme="minorHAnsi" w:eastAsiaTheme="minorEastAsia" w:hAnsiTheme="minorHAnsi" w:cstheme="minorBidi"/>
          <w:kern w:val="2"/>
          <w:sz w:val="22"/>
          <w:szCs w:val="22"/>
          <w:lang w:val="it-IT" w:eastAsia="de-DE"/>
          <w14:ligatures w14:val="standardContextual"/>
        </w:rPr>
        <w:tab/>
      </w:r>
      <w:r>
        <w:t>Finančna sredstva</w:t>
      </w:r>
      <w:r>
        <w:tab/>
      </w:r>
      <w:r>
        <w:fldChar w:fldCharType="begin"/>
      </w:r>
      <w:r>
        <w:instrText xml:space="preserve"> PAGEREF _Toc188539732 \h </w:instrText>
      </w:r>
      <w:r>
        <w:fldChar w:fldCharType="separate"/>
      </w:r>
      <w:r>
        <w:t>11</w:t>
      </w:r>
      <w:r>
        <w:fldChar w:fldCharType="end"/>
      </w:r>
    </w:p>
    <w:p w14:paraId="780A3BFA" w14:textId="4A826DAA"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5.2.</w:t>
      </w:r>
      <w:r w:rsidRPr="00245084">
        <w:rPr>
          <w:rFonts w:asciiTheme="minorHAnsi" w:eastAsiaTheme="minorEastAsia" w:hAnsiTheme="minorHAnsi" w:cstheme="minorBidi"/>
          <w:kern w:val="2"/>
          <w:sz w:val="22"/>
          <w:szCs w:val="22"/>
          <w:lang w:val="it-IT" w:eastAsia="de-DE"/>
          <w14:ligatures w14:val="standardContextual"/>
        </w:rPr>
        <w:tab/>
      </w:r>
      <w:r>
        <w:t>Bruto knjigovodska vrednost</w:t>
      </w:r>
      <w:r>
        <w:tab/>
      </w:r>
      <w:r>
        <w:fldChar w:fldCharType="begin"/>
      </w:r>
      <w:r>
        <w:instrText xml:space="preserve"> PAGEREF _Toc188539733 \h </w:instrText>
      </w:r>
      <w:r>
        <w:fldChar w:fldCharType="separate"/>
      </w:r>
      <w:r>
        <w:t>12</w:t>
      </w:r>
      <w:r>
        <w:fldChar w:fldCharType="end"/>
      </w:r>
    </w:p>
    <w:p w14:paraId="3BABD311" w14:textId="7D9861EF"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5.3.</w:t>
      </w:r>
      <w:r w:rsidRPr="00245084">
        <w:rPr>
          <w:rFonts w:asciiTheme="minorHAnsi" w:eastAsiaTheme="minorEastAsia" w:hAnsiTheme="minorHAnsi" w:cstheme="minorBidi"/>
          <w:kern w:val="2"/>
          <w:sz w:val="22"/>
          <w:szCs w:val="22"/>
          <w:lang w:val="it-IT" w:eastAsia="de-DE"/>
          <w14:ligatures w14:val="standardContextual"/>
        </w:rPr>
        <w:tab/>
      </w:r>
      <w:r>
        <w:t>Finančne obveznosti</w:t>
      </w:r>
      <w:r>
        <w:tab/>
      </w:r>
      <w:r>
        <w:fldChar w:fldCharType="begin"/>
      </w:r>
      <w:r>
        <w:instrText xml:space="preserve"> PAGEREF _Toc188539734 \h </w:instrText>
      </w:r>
      <w:r>
        <w:fldChar w:fldCharType="separate"/>
      </w:r>
      <w:r>
        <w:t>13</w:t>
      </w:r>
      <w:r>
        <w:fldChar w:fldCharType="end"/>
      </w:r>
    </w:p>
    <w:p w14:paraId="49CD06B8" w14:textId="0224F205"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6.</w:t>
      </w:r>
      <w:r w:rsidRPr="00245084">
        <w:rPr>
          <w:rFonts w:asciiTheme="minorHAnsi" w:eastAsiaTheme="minorEastAsia" w:hAnsiTheme="minorHAnsi" w:cstheme="minorBidi"/>
          <w:kern w:val="2"/>
          <w:sz w:val="22"/>
          <w:szCs w:val="22"/>
          <w:lang w:val="it-IT" w:eastAsia="de-DE"/>
          <w14:ligatures w14:val="standardContextual"/>
        </w:rPr>
        <w:tab/>
      </w:r>
      <w:r>
        <w:t>Razčlenitev nasprotnih strank</w:t>
      </w:r>
      <w:r>
        <w:tab/>
      </w:r>
      <w:r>
        <w:fldChar w:fldCharType="begin"/>
      </w:r>
      <w:r>
        <w:instrText xml:space="preserve"> PAGEREF _Toc188539735 \h </w:instrText>
      </w:r>
      <w:r>
        <w:fldChar w:fldCharType="separate"/>
      </w:r>
      <w:r>
        <w:t>14</w:t>
      </w:r>
      <w:r>
        <w:fldChar w:fldCharType="end"/>
      </w:r>
    </w:p>
    <w:p w14:paraId="5987AEFD" w14:textId="43366EEE" w:rsidR="00245084" w:rsidRPr="00245084" w:rsidRDefault="00245084">
      <w:pPr>
        <w:pStyle w:val="TOC1"/>
        <w:tabs>
          <w:tab w:val="right" w:leader="dot" w:pos="8296"/>
        </w:tabs>
        <w:rPr>
          <w:rFonts w:asciiTheme="minorHAnsi" w:eastAsiaTheme="minorEastAsia" w:hAnsiTheme="minorHAnsi" w:cstheme="minorBidi"/>
          <w:b w:val="0"/>
          <w:noProof/>
          <w:kern w:val="2"/>
          <w:sz w:val="22"/>
          <w:szCs w:val="22"/>
          <w:lang w:val="it-IT" w:eastAsia="de-DE"/>
          <w14:ligatures w14:val="standardContextual"/>
        </w:rPr>
      </w:pPr>
      <w:r>
        <w:rPr>
          <w:noProof/>
        </w:rPr>
        <w:t>Navodila v zvezi s predlogami</w:t>
      </w:r>
      <w:r>
        <w:rPr>
          <w:noProof/>
        </w:rPr>
        <w:tab/>
      </w:r>
      <w:r>
        <w:rPr>
          <w:noProof/>
        </w:rPr>
        <w:fldChar w:fldCharType="begin"/>
      </w:r>
      <w:r>
        <w:rPr>
          <w:noProof/>
        </w:rPr>
        <w:instrText xml:space="preserve"> PAGEREF _Toc188539736 \h </w:instrText>
      </w:r>
      <w:r>
        <w:rPr>
          <w:noProof/>
        </w:rPr>
      </w:r>
      <w:r>
        <w:rPr>
          <w:noProof/>
        </w:rPr>
        <w:fldChar w:fldCharType="separate"/>
      </w:r>
      <w:r>
        <w:rPr>
          <w:noProof/>
        </w:rPr>
        <w:t>16</w:t>
      </w:r>
      <w:r>
        <w:rPr>
          <w:noProof/>
        </w:rPr>
        <w:fldChar w:fldCharType="end"/>
      </w:r>
    </w:p>
    <w:p w14:paraId="4550FA33" w14:textId="1DD66313"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w:t>
      </w:r>
      <w:r w:rsidRPr="00245084">
        <w:rPr>
          <w:rFonts w:asciiTheme="minorHAnsi" w:eastAsiaTheme="minorEastAsia" w:hAnsiTheme="minorHAnsi" w:cstheme="minorBidi"/>
          <w:kern w:val="2"/>
          <w:sz w:val="22"/>
          <w:szCs w:val="22"/>
          <w:lang w:val="it-IT" w:eastAsia="de-DE"/>
          <w14:ligatures w14:val="standardContextual"/>
        </w:rPr>
        <w:tab/>
      </w:r>
      <w:r>
        <w:t>Bilanca stanja</w:t>
      </w:r>
      <w:r>
        <w:tab/>
      </w:r>
      <w:r>
        <w:fldChar w:fldCharType="begin"/>
      </w:r>
      <w:r>
        <w:instrText xml:space="preserve"> PAGEREF _Toc188539737 \h </w:instrText>
      </w:r>
      <w:r>
        <w:fldChar w:fldCharType="separate"/>
      </w:r>
      <w:r>
        <w:t>16</w:t>
      </w:r>
      <w:r>
        <w:fldChar w:fldCharType="end"/>
      </w:r>
    </w:p>
    <w:p w14:paraId="4E9B4BA5" w14:textId="405F5DC0"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1.1.</w:t>
      </w:r>
      <w:r w:rsidRPr="00245084">
        <w:rPr>
          <w:rFonts w:asciiTheme="minorHAnsi" w:eastAsiaTheme="minorEastAsia" w:hAnsiTheme="minorHAnsi" w:cstheme="minorBidi"/>
          <w:kern w:val="2"/>
          <w:sz w:val="22"/>
          <w:szCs w:val="22"/>
          <w:lang w:val="it-IT" w:eastAsia="de-DE"/>
          <w14:ligatures w14:val="standardContextual"/>
        </w:rPr>
        <w:tab/>
      </w:r>
      <w:r>
        <w:t>Sredstva (1.1)</w:t>
      </w:r>
      <w:r>
        <w:tab/>
      </w:r>
      <w:r>
        <w:fldChar w:fldCharType="begin"/>
      </w:r>
      <w:r>
        <w:instrText xml:space="preserve"> PAGEREF _Toc188539738 \h </w:instrText>
      </w:r>
      <w:r>
        <w:fldChar w:fldCharType="separate"/>
      </w:r>
      <w:r>
        <w:t>16</w:t>
      </w:r>
      <w:r>
        <w:fldChar w:fldCharType="end"/>
      </w:r>
    </w:p>
    <w:p w14:paraId="36B1DFF8" w14:textId="5A5CF0E7"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1.2.</w:t>
      </w:r>
      <w:r w:rsidRPr="00245084">
        <w:rPr>
          <w:rFonts w:asciiTheme="minorHAnsi" w:eastAsiaTheme="minorEastAsia" w:hAnsiTheme="minorHAnsi" w:cstheme="minorBidi"/>
          <w:kern w:val="2"/>
          <w:sz w:val="22"/>
          <w:szCs w:val="22"/>
          <w:lang w:val="it-IT" w:eastAsia="de-DE"/>
          <w14:ligatures w14:val="standardContextual"/>
        </w:rPr>
        <w:tab/>
      </w:r>
      <w:r>
        <w:t>Obveznosti (1.2)</w:t>
      </w:r>
      <w:r>
        <w:tab/>
      </w:r>
      <w:r>
        <w:fldChar w:fldCharType="begin"/>
      </w:r>
      <w:r>
        <w:instrText xml:space="preserve"> PAGEREF _Toc188539739 \h </w:instrText>
      </w:r>
      <w:r>
        <w:fldChar w:fldCharType="separate"/>
      </w:r>
      <w:r>
        <w:t>16</w:t>
      </w:r>
      <w:r>
        <w:fldChar w:fldCharType="end"/>
      </w:r>
    </w:p>
    <w:p w14:paraId="60E9FD91" w14:textId="5D77BF61"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1.3.</w:t>
      </w:r>
      <w:r w:rsidRPr="00245084">
        <w:rPr>
          <w:rFonts w:asciiTheme="minorHAnsi" w:eastAsiaTheme="minorEastAsia" w:hAnsiTheme="minorHAnsi" w:cstheme="minorBidi"/>
          <w:kern w:val="2"/>
          <w:sz w:val="22"/>
          <w:szCs w:val="22"/>
          <w:lang w:val="it-IT" w:eastAsia="de-DE"/>
          <w14:ligatures w14:val="standardContextual"/>
        </w:rPr>
        <w:tab/>
      </w:r>
      <w:r>
        <w:t>Lastniški kapital (1.3)</w:t>
      </w:r>
      <w:r>
        <w:tab/>
      </w:r>
      <w:r>
        <w:fldChar w:fldCharType="begin"/>
      </w:r>
      <w:r>
        <w:instrText xml:space="preserve"> PAGEREF _Toc188539740 \h </w:instrText>
      </w:r>
      <w:r>
        <w:fldChar w:fldCharType="separate"/>
      </w:r>
      <w:r>
        <w:t>17</w:t>
      </w:r>
      <w:r>
        <w:fldChar w:fldCharType="end"/>
      </w:r>
    </w:p>
    <w:p w14:paraId="0BB180AA" w14:textId="50A1C777"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w:t>
      </w:r>
      <w:r w:rsidRPr="00245084">
        <w:rPr>
          <w:rFonts w:asciiTheme="minorHAnsi" w:eastAsiaTheme="minorEastAsia" w:hAnsiTheme="minorHAnsi" w:cstheme="minorBidi"/>
          <w:kern w:val="2"/>
          <w:sz w:val="22"/>
          <w:szCs w:val="22"/>
          <w:lang w:val="it-IT" w:eastAsia="de-DE"/>
          <w14:ligatures w14:val="standardContextual"/>
        </w:rPr>
        <w:tab/>
      </w:r>
      <w:r>
        <w:t>Izkaz poslovnega izida (2)</w:t>
      </w:r>
      <w:r>
        <w:tab/>
      </w:r>
      <w:r>
        <w:fldChar w:fldCharType="begin"/>
      </w:r>
      <w:r>
        <w:instrText xml:space="preserve"> PAGEREF _Toc188539741 \h </w:instrText>
      </w:r>
      <w:r>
        <w:fldChar w:fldCharType="separate"/>
      </w:r>
      <w:r>
        <w:t>20</w:t>
      </w:r>
      <w:r>
        <w:fldChar w:fldCharType="end"/>
      </w:r>
    </w:p>
    <w:p w14:paraId="33A1BD32" w14:textId="53C88E6A"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w:t>
      </w:r>
      <w:r w:rsidRPr="00245084">
        <w:rPr>
          <w:rFonts w:asciiTheme="minorHAnsi" w:eastAsiaTheme="minorEastAsia" w:hAnsiTheme="minorHAnsi" w:cstheme="minorBidi"/>
          <w:kern w:val="2"/>
          <w:sz w:val="22"/>
          <w:szCs w:val="22"/>
          <w:lang w:val="it-IT" w:eastAsia="de-DE"/>
          <w14:ligatures w14:val="standardContextual"/>
        </w:rPr>
        <w:tab/>
      </w:r>
      <w:r>
        <w:t>Izkaz vseobsegajočega donosa (3)</w:t>
      </w:r>
      <w:r>
        <w:tab/>
      </w:r>
      <w:r>
        <w:fldChar w:fldCharType="begin"/>
      </w:r>
      <w:r>
        <w:instrText xml:space="preserve"> PAGEREF _Toc188539742 \h </w:instrText>
      </w:r>
      <w:r>
        <w:fldChar w:fldCharType="separate"/>
      </w:r>
      <w:r>
        <w:t>25</w:t>
      </w:r>
      <w:r>
        <w:fldChar w:fldCharType="end"/>
      </w:r>
    </w:p>
    <w:p w14:paraId="5EE3ECEC" w14:textId="26D4A9B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4.</w:t>
      </w:r>
      <w:r w:rsidRPr="00245084">
        <w:rPr>
          <w:rFonts w:asciiTheme="minorHAnsi" w:eastAsiaTheme="minorEastAsia" w:hAnsiTheme="minorHAnsi" w:cstheme="minorBidi"/>
          <w:kern w:val="2"/>
          <w:sz w:val="22"/>
          <w:szCs w:val="22"/>
          <w:lang w:val="it-IT" w:eastAsia="de-DE"/>
          <w14:ligatures w14:val="standardContextual"/>
        </w:rPr>
        <w:tab/>
      </w:r>
      <w:r>
        <w:t>Razčlenitev finančnih sredstev po instrumentih in po sektorju nasprotne stranke (4)</w:t>
      </w:r>
      <w:r>
        <w:tab/>
      </w:r>
      <w:r>
        <w:fldChar w:fldCharType="begin"/>
      </w:r>
      <w:r>
        <w:instrText xml:space="preserve"> PAGEREF _Toc188539743 \h </w:instrText>
      </w:r>
      <w:r>
        <w:fldChar w:fldCharType="separate"/>
      </w:r>
      <w:r>
        <w:t>27</w:t>
      </w:r>
      <w:r>
        <w:fldChar w:fldCharType="end"/>
      </w:r>
    </w:p>
    <w:p w14:paraId="6904F7B1" w14:textId="24B3ED41"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5.</w:t>
      </w:r>
      <w:r w:rsidRPr="00245084">
        <w:rPr>
          <w:rFonts w:asciiTheme="minorHAnsi" w:eastAsiaTheme="minorEastAsia" w:hAnsiTheme="minorHAnsi" w:cstheme="minorBidi"/>
          <w:kern w:val="2"/>
          <w:sz w:val="22"/>
          <w:szCs w:val="22"/>
          <w:lang w:val="it-IT" w:eastAsia="de-DE"/>
          <w14:ligatures w14:val="standardContextual"/>
        </w:rPr>
        <w:tab/>
      </w:r>
      <w:r>
        <w:t>Razčlenitev kreditov in drugih netrgovalnih finančnih sredstev po produktih (5)</w:t>
      </w:r>
      <w:r>
        <w:tab/>
      </w:r>
      <w:r>
        <w:fldChar w:fldCharType="begin"/>
      </w:r>
      <w:r>
        <w:instrText xml:space="preserve"> PAGEREF _Toc188539744 \h </w:instrText>
      </w:r>
      <w:r>
        <w:fldChar w:fldCharType="separate"/>
      </w:r>
      <w:r>
        <w:t>30</w:t>
      </w:r>
      <w:r>
        <w:fldChar w:fldCharType="end"/>
      </w:r>
    </w:p>
    <w:p w14:paraId="7E9F38F5" w14:textId="4F2C0547"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rsidRPr="009E751B">
        <w:rPr>
          <w:kern w:val="32"/>
        </w:rPr>
        <w:t>6.</w:t>
      </w:r>
      <w:r w:rsidRPr="00245084">
        <w:rPr>
          <w:rFonts w:asciiTheme="minorHAnsi" w:eastAsiaTheme="minorEastAsia" w:hAnsiTheme="minorHAnsi" w:cstheme="minorBidi"/>
          <w:kern w:val="2"/>
          <w:sz w:val="22"/>
          <w:szCs w:val="22"/>
          <w:lang w:val="it-IT" w:eastAsia="de-DE"/>
          <w14:ligatures w14:val="standardContextual"/>
        </w:rPr>
        <w:tab/>
      </w:r>
      <w:r>
        <w:t>Razčlenitev kreditov in drugih netrgovalnih finančnih sredstev za nefinančne družbe po oznakah NACE (6)</w:t>
      </w:r>
      <w:r>
        <w:tab/>
      </w:r>
      <w:r>
        <w:fldChar w:fldCharType="begin"/>
      </w:r>
      <w:r>
        <w:instrText xml:space="preserve"> PAGEREF _Toc188539745 \h </w:instrText>
      </w:r>
      <w:r>
        <w:fldChar w:fldCharType="separate"/>
      </w:r>
      <w:r>
        <w:t>32</w:t>
      </w:r>
      <w:r>
        <w:fldChar w:fldCharType="end"/>
      </w:r>
    </w:p>
    <w:p w14:paraId="3D591247" w14:textId="61B5FDA9"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rsidRPr="009E751B">
        <w:rPr>
          <w:kern w:val="32"/>
        </w:rPr>
        <w:t>7.</w:t>
      </w:r>
      <w:r w:rsidRPr="00245084">
        <w:rPr>
          <w:rFonts w:asciiTheme="minorHAnsi" w:eastAsiaTheme="minorEastAsia" w:hAnsiTheme="minorHAnsi" w:cstheme="minorBidi"/>
          <w:kern w:val="2"/>
          <w:sz w:val="22"/>
          <w:szCs w:val="22"/>
          <w:lang w:val="it-IT" w:eastAsia="de-DE"/>
          <w14:ligatures w14:val="standardContextual"/>
        </w:rPr>
        <w:tab/>
      </w:r>
      <w:r>
        <w:t>Finančna sredstva, ki so predmet oslabitve in so prekoračila zapadlost v plačilo (7)</w:t>
      </w:r>
      <w:r>
        <w:tab/>
      </w:r>
      <w:r>
        <w:fldChar w:fldCharType="begin"/>
      </w:r>
      <w:r>
        <w:instrText xml:space="preserve"> PAGEREF _Toc188539746 \h </w:instrText>
      </w:r>
      <w:r>
        <w:fldChar w:fldCharType="separate"/>
      </w:r>
      <w:r>
        <w:t>32</w:t>
      </w:r>
      <w:r>
        <w:fldChar w:fldCharType="end"/>
      </w:r>
    </w:p>
    <w:p w14:paraId="1D1F10A0" w14:textId="09A078E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8.</w:t>
      </w:r>
      <w:r w:rsidRPr="00245084">
        <w:rPr>
          <w:rFonts w:asciiTheme="minorHAnsi" w:eastAsiaTheme="minorEastAsia" w:hAnsiTheme="minorHAnsi" w:cstheme="minorBidi"/>
          <w:kern w:val="2"/>
          <w:sz w:val="22"/>
          <w:szCs w:val="22"/>
          <w:lang w:val="it-IT" w:eastAsia="de-DE"/>
          <w14:ligatures w14:val="standardContextual"/>
        </w:rPr>
        <w:tab/>
      </w:r>
      <w:r>
        <w:t>Razčlenitev finančnih obveznosti (8)</w:t>
      </w:r>
      <w:r>
        <w:tab/>
      </w:r>
      <w:r>
        <w:fldChar w:fldCharType="begin"/>
      </w:r>
      <w:r>
        <w:instrText xml:space="preserve"> PAGEREF _Toc188539747 \h </w:instrText>
      </w:r>
      <w:r>
        <w:fldChar w:fldCharType="separate"/>
      </w:r>
      <w:r>
        <w:t>33</w:t>
      </w:r>
      <w:r>
        <w:fldChar w:fldCharType="end"/>
      </w:r>
    </w:p>
    <w:p w14:paraId="4BCD9401" w14:textId="6F95A802"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9.</w:t>
      </w:r>
      <w:r w:rsidRPr="00245084">
        <w:rPr>
          <w:rFonts w:asciiTheme="minorHAnsi" w:eastAsiaTheme="minorEastAsia" w:hAnsiTheme="minorHAnsi" w:cstheme="minorBidi"/>
          <w:kern w:val="2"/>
          <w:sz w:val="22"/>
          <w:szCs w:val="22"/>
          <w:lang w:val="it-IT" w:eastAsia="de-DE"/>
          <w14:ligatures w14:val="standardContextual"/>
        </w:rPr>
        <w:tab/>
      </w:r>
      <w:r>
        <w:t>Zaveze iz kreditov, finančna poroštva in druge zaveze (9)</w:t>
      </w:r>
      <w:r>
        <w:tab/>
      </w:r>
      <w:r>
        <w:fldChar w:fldCharType="begin"/>
      </w:r>
      <w:r>
        <w:instrText xml:space="preserve"> PAGEREF _Toc188539748 \h </w:instrText>
      </w:r>
      <w:r>
        <w:fldChar w:fldCharType="separate"/>
      </w:r>
      <w:r>
        <w:t>34</w:t>
      </w:r>
      <w:r>
        <w:fldChar w:fldCharType="end"/>
      </w:r>
    </w:p>
    <w:p w14:paraId="28B3C7F3" w14:textId="103DF3E5"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10.</w:t>
      </w:r>
      <w:r w:rsidRPr="00245084">
        <w:rPr>
          <w:rFonts w:asciiTheme="minorHAnsi" w:eastAsiaTheme="minorEastAsia" w:hAnsiTheme="minorHAnsi" w:cstheme="minorBidi"/>
          <w:kern w:val="2"/>
          <w:sz w:val="22"/>
          <w:szCs w:val="22"/>
          <w:lang w:val="it-IT" w:eastAsia="de-DE"/>
          <w14:ligatures w14:val="standardContextual"/>
        </w:rPr>
        <w:tab/>
      </w:r>
      <w:r>
        <w:t>Izvedeni finančni instrumenti in obračunavanje varovanja pred tveganjem (10 in 11)</w:t>
      </w:r>
      <w:r>
        <w:tab/>
      </w:r>
      <w:r>
        <w:fldChar w:fldCharType="begin"/>
      </w:r>
      <w:r>
        <w:instrText xml:space="preserve"> PAGEREF _Toc188539749 \h </w:instrText>
      </w:r>
      <w:r>
        <w:fldChar w:fldCharType="separate"/>
      </w:r>
      <w:r>
        <w:t>37</w:t>
      </w:r>
      <w:r>
        <w:fldChar w:fldCharType="end"/>
      </w:r>
    </w:p>
    <w:p w14:paraId="140A8A19" w14:textId="0B49043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10.1.</w:t>
      </w:r>
      <w:r w:rsidRPr="00245084">
        <w:rPr>
          <w:rFonts w:asciiTheme="minorHAnsi" w:eastAsiaTheme="minorEastAsia" w:hAnsiTheme="minorHAnsi" w:cstheme="minorBidi"/>
          <w:kern w:val="2"/>
          <w:sz w:val="22"/>
          <w:szCs w:val="22"/>
          <w:lang w:val="it-IT" w:eastAsia="de-DE"/>
          <w14:ligatures w14:val="standardContextual"/>
        </w:rPr>
        <w:tab/>
      </w:r>
      <w:r>
        <w:t>Razčlenitev izvedenih finančnih instrumentov po vrsti tveganja</w:t>
      </w:r>
      <w:r>
        <w:tab/>
      </w:r>
      <w:r>
        <w:fldChar w:fldCharType="begin"/>
      </w:r>
      <w:r>
        <w:instrText xml:space="preserve"> PAGEREF _Toc188539750 \h </w:instrText>
      </w:r>
      <w:r>
        <w:fldChar w:fldCharType="separate"/>
      </w:r>
      <w:r>
        <w:t>39</w:t>
      </w:r>
      <w:r>
        <w:fldChar w:fldCharType="end"/>
      </w:r>
    </w:p>
    <w:p w14:paraId="7360AC3B" w14:textId="302A6D46"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10.2.</w:t>
      </w:r>
      <w:r w:rsidRPr="00245084">
        <w:rPr>
          <w:rFonts w:asciiTheme="minorHAnsi" w:eastAsiaTheme="minorEastAsia" w:hAnsiTheme="minorHAnsi" w:cstheme="minorBidi"/>
          <w:kern w:val="2"/>
          <w:sz w:val="22"/>
          <w:szCs w:val="22"/>
          <w:lang w:val="it-IT" w:eastAsia="de-DE"/>
          <w14:ligatures w14:val="standardContextual"/>
        </w:rPr>
        <w:tab/>
      </w:r>
      <w:r>
        <w:t>Zneski, ki se poročajo za izvedene finančne instrumente</w:t>
      </w:r>
      <w:r>
        <w:tab/>
      </w:r>
      <w:r>
        <w:fldChar w:fldCharType="begin"/>
      </w:r>
      <w:r>
        <w:instrText xml:space="preserve"> PAGEREF _Toc188539751 \h </w:instrText>
      </w:r>
      <w:r>
        <w:fldChar w:fldCharType="separate"/>
      </w:r>
      <w:r>
        <w:t>40</w:t>
      </w:r>
      <w:r>
        <w:fldChar w:fldCharType="end"/>
      </w:r>
    </w:p>
    <w:p w14:paraId="5EBC5AC1" w14:textId="29598F1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10.3.</w:t>
      </w:r>
      <w:r w:rsidRPr="00245084">
        <w:rPr>
          <w:rFonts w:asciiTheme="minorHAnsi" w:eastAsiaTheme="minorEastAsia" w:hAnsiTheme="minorHAnsi" w:cstheme="minorBidi"/>
          <w:kern w:val="2"/>
          <w:sz w:val="22"/>
          <w:szCs w:val="22"/>
          <w:lang w:val="it-IT" w:eastAsia="de-DE"/>
          <w14:ligatures w14:val="standardContextual"/>
        </w:rPr>
        <w:tab/>
      </w:r>
      <w:r>
        <w:t>Izvedeni finančni instrumenti, razvrščeni kot „ekonomska varovanja“</w:t>
      </w:r>
      <w:r>
        <w:tab/>
      </w:r>
      <w:r>
        <w:fldChar w:fldCharType="begin"/>
      </w:r>
      <w:r>
        <w:instrText xml:space="preserve"> PAGEREF _Toc188539752 \h </w:instrText>
      </w:r>
      <w:r>
        <w:fldChar w:fldCharType="separate"/>
      </w:r>
      <w:r>
        <w:t>42</w:t>
      </w:r>
      <w:r>
        <w:fldChar w:fldCharType="end"/>
      </w:r>
    </w:p>
    <w:p w14:paraId="7AF279BF" w14:textId="4E79BF94"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10.4.</w:t>
      </w:r>
      <w:r w:rsidRPr="00245084">
        <w:rPr>
          <w:rFonts w:asciiTheme="minorHAnsi" w:eastAsiaTheme="minorEastAsia" w:hAnsiTheme="minorHAnsi" w:cstheme="minorBidi"/>
          <w:kern w:val="2"/>
          <w:sz w:val="22"/>
          <w:szCs w:val="22"/>
          <w:lang w:val="it-IT" w:eastAsia="de-DE"/>
          <w14:ligatures w14:val="standardContextual"/>
        </w:rPr>
        <w:tab/>
      </w:r>
      <w:r>
        <w:t>Razčlenitev izvedenih finančnih instrumentov po sektorju nasprotne stranke</w:t>
      </w:r>
      <w:r>
        <w:tab/>
      </w:r>
      <w:r>
        <w:fldChar w:fldCharType="begin"/>
      </w:r>
      <w:r>
        <w:instrText xml:space="preserve"> PAGEREF _Toc188539753 \h </w:instrText>
      </w:r>
      <w:r>
        <w:fldChar w:fldCharType="separate"/>
      </w:r>
      <w:r>
        <w:t>43</w:t>
      </w:r>
      <w:r>
        <w:fldChar w:fldCharType="end"/>
      </w:r>
    </w:p>
    <w:p w14:paraId="43359A35" w14:textId="58EA45A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10.5.</w:t>
      </w:r>
      <w:r w:rsidRPr="00245084">
        <w:rPr>
          <w:rFonts w:asciiTheme="minorHAnsi" w:eastAsiaTheme="minorEastAsia" w:hAnsiTheme="minorHAnsi" w:cstheme="minorBidi"/>
          <w:kern w:val="2"/>
          <w:sz w:val="22"/>
          <w:szCs w:val="22"/>
          <w:lang w:val="it-IT" w:eastAsia="de-DE"/>
          <w14:ligatures w14:val="standardContextual"/>
        </w:rPr>
        <w:tab/>
      </w:r>
      <w:r>
        <w:t>Obračunavanje varovanja pred tveganjem v skladu z nacionalnimi GAAP (11.2)</w:t>
      </w:r>
      <w:r>
        <w:tab/>
      </w:r>
      <w:r>
        <w:fldChar w:fldCharType="begin"/>
      </w:r>
      <w:r>
        <w:instrText xml:space="preserve"> PAGEREF _Toc188539754 \h </w:instrText>
      </w:r>
      <w:r>
        <w:fldChar w:fldCharType="separate"/>
      </w:r>
      <w:r>
        <w:t>43</w:t>
      </w:r>
      <w:r>
        <w:fldChar w:fldCharType="end"/>
      </w:r>
    </w:p>
    <w:p w14:paraId="7A69CCF9" w14:textId="44673798"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10.6.</w:t>
      </w:r>
      <w:r w:rsidRPr="00245084">
        <w:rPr>
          <w:rFonts w:asciiTheme="minorHAnsi" w:eastAsiaTheme="minorEastAsia" w:hAnsiTheme="minorHAnsi" w:cstheme="minorBidi"/>
          <w:kern w:val="2"/>
          <w:sz w:val="22"/>
          <w:szCs w:val="22"/>
          <w:lang w:val="it-IT" w:eastAsia="de-DE"/>
          <w14:ligatures w14:val="standardContextual"/>
        </w:rPr>
        <w:tab/>
      </w:r>
      <w:r>
        <w:t>Znesek, ki se poroča za neizvedene instrumente za varovanje (11.3 in 11.3.1)</w:t>
      </w:r>
      <w:r>
        <w:tab/>
      </w:r>
      <w:r>
        <w:fldChar w:fldCharType="begin"/>
      </w:r>
      <w:r>
        <w:instrText xml:space="preserve"> PAGEREF _Toc188539755 \h </w:instrText>
      </w:r>
      <w:r>
        <w:fldChar w:fldCharType="separate"/>
      </w:r>
      <w:r>
        <w:t>43</w:t>
      </w:r>
      <w:r>
        <w:fldChar w:fldCharType="end"/>
      </w:r>
    </w:p>
    <w:p w14:paraId="47E977F9" w14:textId="72502A67"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10.7.</w:t>
      </w:r>
      <w:r w:rsidRPr="00245084">
        <w:rPr>
          <w:rFonts w:asciiTheme="minorHAnsi" w:eastAsiaTheme="minorEastAsia" w:hAnsiTheme="minorHAnsi" w:cstheme="minorBidi"/>
          <w:kern w:val="2"/>
          <w:sz w:val="22"/>
          <w:szCs w:val="22"/>
          <w:lang w:val="it-IT" w:eastAsia="de-DE"/>
          <w14:ligatures w14:val="standardContextual"/>
        </w:rPr>
        <w:tab/>
      </w:r>
      <w:r>
        <w:t>Varovane postavke v varovanjih poštene vrednosti (11.4)</w:t>
      </w:r>
      <w:r>
        <w:tab/>
      </w:r>
      <w:r>
        <w:fldChar w:fldCharType="begin"/>
      </w:r>
      <w:r>
        <w:instrText xml:space="preserve"> PAGEREF _Toc188539756 \h </w:instrText>
      </w:r>
      <w:r>
        <w:fldChar w:fldCharType="separate"/>
      </w:r>
      <w:r>
        <w:t>44</w:t>
      </w:r>
      <w:r>
        <w:fldChar w:fldCharType="end"/>
      </w:r>
    </w:p>
    <w:p w14:paraId="62AC6DB0" w14:textId="0307C1B9"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rsidRPr="009E751B">
        <w:rPr>
          <w:kern w:val="32"/>
        </w:rPr>
        <w:t>11.</w:t>
      </w:r>
      <w:r w:rsidRPr="00245084">
        <w:rPr>
          <w:rFonts w:asciiTheme="minorHAnsi" w:eastAsiaTheme="minorEastAsia" w:hAnsiTheme="minorHAnsi" w:cstheme="minorBidi"/>
          <w:kern w:val="2"/>
          <w:sz w:val="22"/>
          <w:szCs w:val="22"/>
          <w:lang w:val="it-IT" w:eastAsia="de-DE"/>
          <w14:ligatures w14:val="standardContextual"/>
        </w:rPr>
        <w:tab/>
      </w:r>
      <w:r>
        <w:t>Gibanja popravkov vrednosti in rezervacij za kreditne izgube (12)</w:t>
      </w:r>
      <w:r>
        <w:tab/>
      </w:r>
      <w:r>
        <w:fldChar w:fldCharType="begin"/>
      </w:r>
      <w:r>
        <w:instrText xml:space="preserve"> PAGEREF _Toc188539757 \h </w:instrText>
      </w:r>
      <w:r>
        <w:fldChar w:fldCharType="separate"/>
      </w:r>
      <w:r>
        <w:t>45</w:t>
      </w:r>
      <w:r>
        <w:fldChar w:fldCharType="end"/>
      </w:r>
    </w:p>
    <w:p w14:paraId="0BF8D7CD" w14:textId="1BFFCC16"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11.1.</w:t>
      </w:r>
      <w:r w:rsidRPr="00245084">
        <w:rPr>
          <w:rFonts w:asciiTheme="minorHAnsi" w:eastAsiaTheme="minorEastAsia" w:hAnsiTheme="minorHAnsi" w:cstheme="minorBidi"/>
          <w:kern w:val="2"/>
          <w:sz w:val="22"/>
          <w:szCs w:val="22"/>
          <w:lang w:val="it-IT" w:eastAsia="de-DE"/>
          <w14:ligatures w14:val="standardContextual"/>
        </w:rPr>
        <w:tab/>
      </w:r>
      <w:r>
        <w:t>Gibanja popravkov vrednosti za kreditne izgube in oslabitve lastniških instrumentov v skladu z nacionalnimi GAAP na podlagi direktive o računovodskih izkazih bank (12.0)</w:t>
      </w:r>
      <w:r>
        <w:tab/>
      </w:r>
      <w:r>
        <w:fldChar w:fldCharType="begin"/>
      </w:r>
      <w:r>
        <w:instrText xml:space="preserve"> PAGEREF _Toc188539758 \h </w:instrText>
      </w:r>
      <w:r>
        <w:fldChar w:fldCharType="separate"/>
      </w:r>
      <w:r>
        <w:t>45</w:t>
      </w:r>
      <w:r>
        <w:fldChar w:fldCharType="end"/>
      </w:r>
    </w:p>
    <w:p w14:paraId="647B854C" w14:textId="2CEC2A5C"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lastRenderedPageBreak/>
        <w:t>11.2.</w:t>
      </w:r>
      <w:r w:rsidRPr="00245084">
        <w:rPr>
          <w:rFonts w:asciiTheme="minorHAnsi" w:eastAsiaTheme="minorEastAsia" w:hAnsiTheme="minorHAnsi" w:cstheme="minorBidi"/>
          <w:kern w:val="2"/>
          <w:sz w:val="22"/>
          <w:szCs w:val="22"/>
          <w:lang w:val="it-IT" w:eastAsia="de-DE"/>
          <w14:ligatures w14:val="standardContextual"/>
        </w:rPr>
        <w:tab/>
      </w:r>
      <w:r>
        <w:t>Gibanja popravkov vrednosti in rezervacij za kreditne izgube v skladu z MSRP (12.1)</w:t>
      </w:r>
      <w:r>
        <w:tab/>
      </w:r>
      <w:r>
        <w:fldChar w:fldCharType="begin"/>
      </w:r>
      <w:r>
        <w:instrText xml:space="preserve"> PAGEREF _Toc188539759 \h </w:instrText>
      </w:r>
      <w:r>
        <w:fldChar w:fldCharType="separate"/>
      </w:r>
      <w:r>
        <w:t>45</w:t>
      </w:r>
      <w:r>
        <w:fldChar w:fldCharType="end"/>
      </w:r>
    </w:p>
    <w:p w14:paraId="71B5ACCB" w14:textId="73DB0DBF"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11.3.</w:t>
      </w:r>
      <w:r w:rsidRPr="00245084">
        <w:rPr>
          <w:rFonts w:asciiTheme="minorHAnsi" w:eastAsiaTheme="minorEastAsia" w:hAnsiTheme="minorHAnsi" w:cstheme="minorBidi"/>
          <w:kern w:val="2"/>
          <w:sz w:val="22"/>
          <w:szCs w:val="22"/>
          <w:lang w:val="it-IT" w:eastAsia="de-DE"/>
          <w14:ligatures w14:val="standardContextual"/>
        </w:rPr>
        <w:tab/>
      </w:r>
      <w:r>
        <w:t>Prenosi med skupinami za namen oslabitev (predstavitev na bruto osnovi) (12.2)</w:t>
      </w:r>
      <w:r>
        <w:tab/>
      </w:r>
      <w:r>
        <w:fldChar w:fldCharType="begin"/>
      </w:r>
      <w:r>
        <w:instrText xml:space="preserve"> PAGEREF _Toc188539760 \h </w:instrText>
      </w:r>
      <w:r>
        <w:fldChar w:fldCharType="separate"/>
      </w:r>
      <w:r>
        <w:t>48</w:t>
      </w:r>
      <w:r>
        <w:fldChar w:fldCharType="end"/>
      </w:r>
    </w:p>
    <w:p w14:paraId="61B2CF12" w14:textId="30DF69F8"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12.</w:t>
      </w:r>
      <w:r w:rsidRPr="00245084">
        <w:rPr>
          <w:rFonts w:asciiTheme="minorHAnsi" w:eastAsiaTheme="minorEastAsia" w:hAnsiTheme="minorHAnsi" w:cstheme="minorBidi"/>
          <w:kern w:val="2"/>
          <w:sz w:val="22"/>
          <w:szCs w:val="22"/>
          <w:lang w:val="it-IT" w:eastAsia="de-DE"/>
          <w14:ligatures w14:val="standardContextual"/>
        </w:rPr>
        <w:tab/>
      </w:r>
      <w:r>
        <w:t>Prejeta zavarovanja in poroštva (13)</w:t>
      </w:r>
      <w:r>
        <w:tab/>
      </w:r>
      <w:r>
        <w:fldChar w:fldCharType="begin"/>
      </w:r>
      <w:r>
        <w:instrText xml:space="preserve"> PAGEREF _Toc188539761 \h </w:instrText>
      </w:r>
      <w:r>
        <w:fldChar w:fldCharType="separate"/>
      </w:r>
      <w:r>
        <w:t>48</w:t>
      </w:r>
      <w:r>
        <w:fldChar w:fldCharType="end"/>
      </w:r>
    </w:p>
    <w:p w14:paraId="23BED1F6" w14:textId="7FC3B17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12.1.</w:t>
      </w:r>
      <w:r w:rsidRPr="00245084">
        <w:rPr>
          <w:rFonts w:asciiTheme="minorHAnsi" w:eastAsiaTheme="minorEastAsia" w:hAnsiTheme="minorHAnsi" w:cstheme="minorBidi"/>
          <w:kern w:val="2"/>
          <w:sz w:val="22"/>
          <w:szCs w:val="22"/>
          <w:lang w:val="it-IT" w:eastAsia="de-DE"/>
          <w14:ligatures w14:val="standardContextual"/>
        </w:rPr>
        <w:tab/>
      </w:r>
      <w:r>
        <w:t>Razčlenitev kreditov in drugih finančnih sredstev, ki niso v posesti za trgovanje, po zavarovanjih in poroštvih (13.1)</w:t>
      </w:r>
      <w:r>
        <w:tab/>
      </w:r>
      <w:r>
        <w:fldChar w:fldCharType="begin"/>
      </w:r>
      <w:r>
        <w:instrText xml:space="preserve"> PAGEREF _Toc188539762 \h </w:instrText>
      </w:r>
      <w:r>
        <w:fldChar w:fldCharType="separate"/>
      </w:r>
      <w:r>
        <w:t>48</w:t>
      </w:r>
      <w:r>
        <w:fldChar w:fldCharType="end"/>
      </w:r>
    </w:p>
    <w:p w14:paraId="6A899DD6" w14:textId="61F569B1"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12.2.</w:t>
      </w:r>
      <w:r w:rsidRPr="00245084">
        <w:rPr>
          <w:rFonts w:asciiTheme="minorHAnsi" w:eastAsiaTheme="minorEastAsia" w:hAnsiTheme="minorHAnsi" w:cstheme="minorBidi"/>
          <w:kern w:val="2"/>
          <w:sz w:val="22"/>
          <w:szCs w:val="22"/>
          <w:lang w:val="it-IT" w:eastAsia="de-DE"/>
          <w14:ligatures w14:val="standardContextual"/>
        </w:rPr>
        <w:tab/>
      </w:r>
      <w:r>
        <w:t>Zavarovanje, pridobljeno s priposestvovanjem v obdobju (v posesti na referenčni datum) (13.2.1)</w:t>
      </w:r>
      <w:r>
        <w:tab/>
      </w:r>
      <w:r>
        <w:fldChar w:fldCharType="begin"/>
      </w:r>
      <w:r>
        <w:instrText xml:space="preserve"> PAGEREF _Toc188539763 \h </w:instrText>
      </w:r>
      <w:r>
        <w:fldChar w:fldCharType="separate"/>
      </w:r>
      <w:r>
        <w:t>50</w:t>
      </w:r>
      <w:r>
        <w:fldChar w:fldCharType="end"/>
      </w:r>
    </w:p>
    <w:p w14:paraId="3C7901EB" w14:textId="280FB11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12.3.</w:t>
      </w:r>
      <w:r w:rsidRPr="00245084">
        <w:rPr>
          <w:rFonts w:asciiTheme="minorHAnsi" w:eastAsiaTheme="minorEastAsia" w:hAnsiTheme="minorHAnsi" w:cstheme="minorBidi"/>
          <w:kern w:val="2"/>
          <w:sz w:val="22"/>
          <w:szCs w:val="22"/>
          <w:lang w:val="it-IT" w:eastAsia="de-DE"/>
          <w14:ligatures w14:val="standardContextual"/>
        </w:rPr>
        <w:tab/>
      </w:r>
      <w:r>
        <w:t>Zavarovanje, pridobljeno s priposestvovanjem, akumulirano (13.3.1)</w:t>
      </w:r>
      <w:r>
        <w:tab/>
      </w:r>
      <w:r>
        <w:fldChar w:fldCharType="begin"/>
      </w:r>
      <w:r>
        <w:instrText xml:space="preserve"> PAGEREF _Toc188539764 \h </w:instrText>
      </w:r>
      <w:r>
        <w:fldChar w:fldCharType="separate"/>
      </w:r>
      <w:r>
        <w:t>50</w:t>
      </w:r>
      <w:r>
        <w:fldChar w:fldCharType="end"/>
      </w:r>
    </w:p>
    <w:p w14:paraId="094B72C9" w14:textId="6D89AD1A"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rsidRPr="009E751B">
        <w:rPr>
          <w:kern w:val="32"/>
        </w:rPr>
        <w:t>13.</w:t>
      </w:r>
      <w:r w:rsidRPr="00245084">
        <w:rPr>
          <w:rFonts w:asciiTheme="minorHAnsi" w:eastAsiaTheme="minorEastAsia" w:hAnsiTheme="minorHAnsi" w:cstheme="minorBidi"/>
          <w:kern w:val="2"/>
          <w:sz w:val="22"/>
          <w:szCs w:val="22"/>
          <w:lang w:val="it-IT" w:eastAsia="de-DE"/>
          <w14:ligatures w14:val="standardContextual"/>
        </w:rPr>
        <w:tab/>
      </w:r>
      <w:r>
        <w:t>Hierarhija poštene vrednosti: Finančni instrumenti po pošteni vrednosti (14)</w:t>
      </w:r>
      <w:r>
        <w:tab/>
      </w:r>
      <w:r>
        <w:fldChar w:fldCharType="begin"/>
      </w:r>
      <w:r>
        <w:instrText xml:space="preserve"> PAGEREF _Toc188539765 \h </w:instrText>
      </w:r>
      <w:r>
        <w:fldChar w:fldCharType="separate"/>
      </w:r>
      <w:r>
        <w:t>50</w:t>
      </w:r>
      <w:r>
        <w:fldChar w:fldCharType="end"/>
      </w:r>
    </w:p>
    <w:p w14:paraId="2E7F3767" w14:textId="359A7AF8"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rsidRPr="009E751B">
        <w:rPr>
          <w:kern w:val="32"/>
        </w:rPr>
        <w:t>14.</w:t>
      </w:r>
      <w:r w:rsidRPr="00245084">
        <w:rPr>
          <w:rFonts w:asciiTheme="minorHAnsi" w:eastAsiaTheme="minorEastAsia" w:hAnsiTheme="minorHAnsi" w:cstheme="minorBidi"/>
          <w:kern w:val="2"/>
          <w:sz w:val="22"/>
          <w:szCs w:val="22"/>
          <w:lang w:val="it-IT" w:eastAsia="de-DE"/>
          <w14:ligatures w14:val="standardContextual"/>
        </w:rPr>
        <w:tab/>
      </w:r>
      <w:r>
        <w:t>Odprava pripoznanja in finančne obveznosti, povezane s prenesenimi finančnimi sredstvi (15)</w:t>
      </w:r>
      <w:r>
        <w:tab/>
      </w:r>
      <w:r>
        <w:fldChar w:fldCharType="begin"/>
      </w:r>
      <w:r>
        <w:instrText xml:space="preserve"> PAGEREF _Toc188539766 \h </w:instrText>
      </w:r>
      <w:r>
        <w:fldChar w:fldCharType="separate"/>
      </w:r>
      <w:r>
        <w:t>51</w:t>
      </w:r>
      <w:r>
        <w:fldChar w:fldCharType="end"/>
      </w:r>
    </w:p>
    <w:p w14:paraId="617D2E9A" w14:textId="39FE5A4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w:t>
      </w:r>
      <w:r w:rsidRPr="00245084">
        <w:rPr>
          <w:rFonts w:asciiTheme="minorHAnsi" w:eastAsiaTheme="minorEastAsia" w:hAnsiTheme="minorHAnsi" w:cstheme="minorBidi"/>
          <w:kern w:val="2"/>
          <w:sz w:val="22"/>
          <w:szCs w:val="22"/>
          <w:lang w:val="it-IT" w:eastAsia="de-DE"/>
          <w14:ligatures w14:val="standardContextual"/>
        </w:rPr>
        <w:tab/>
      </w:r>
      <w:r>
        <w:t>Razčlenitev izbranih postavk izkaza poslovnega izida (16)</w:t>
      </w:r>
      <w:r>
        <w:tab/>
      </w:r>
      <w:r>
        <w:fldChar w:fldCharType="begin"/>
      </w:r>
      <w:r>
        <w:instrText xml:space="preserve"> PAGEREF _Toc188539767 \h </w:instrText>
      </w:r>
      <w:r>
        <w:fldChar w:fldCharType="separate"/>
      </w:r>
      <w:r>
        <w:t>51</w:t>
      </w:r>
      <w:r>
        <w:fldChar w:fldCharType="end"/>
      </w:r>
    </w:p>
    <w:p w14:paraId="1A71AF07" w14:textId="5E51157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15.1.</w:t>
      </w:r>
      <w:r w:rsidRPr="00245084">
        <w:rPr>
          <w:rFonts w:asciiTheme="minorHAnsi" w:eastAsiaTheme="minorEastAsia" w:hAnsiTheme="minorHAnsi" w:cstheme="minorBidi"/>
          <w:kern w:val="2"/>
          <w:sz w:val="22"/>
          <w:szCs w:val="22"/>
          <w:lang w:val="it-IT" w:eastAsia="de-DE"/>
          <w14:ligatures w14:val="standardContextual"/>
        </w:rPr>
        <w:tab/>
      </w:r>
      <w:r>
        <w:t>Prihodki in odhodki iz obresti po instrumentih in sektorju nasprotne stranke (16.1)</w:t>
      </w:r>
      <w:r>
        <w:tab/>
      </w:r>
      <w:r>
        <w:fldChar w:fldCharType="begin"/>
      </w:r>
      <w:r>
        <w:instrText xml:space="preserve"> PAGEREF _Toc188539768 \h </w:instrText>
      </w:r>
      <w:r>
        <w:fldChar w:fldCharType="separate"/>
      </w:r>
      <w:r>
        <w:t>51</w:t>
      </w:r>
      <w:r>
        <w:fldChar w:fldCharType="end"/>
      </w:r>
    </w:p>
    <w:p w14:paraId="1654544C" w14:textId="02AE997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15.2.</w:t>
      </w:r>
      <w:r w:rsidRPr="00245084">
        <w:rPr>
          <w:rFonts w:asciiTheme="minorHAnsi" w:eastAsiaTheme="minorEastAsia" w:hAnsiTheme="minorHAnsi" w:cstheme="minorBidi"/>
          <w:kern w:val="2"/>
          <w:sz w:val="22"/>
          <w:szCs w:val="22"/>
          <w:lang w:val="it-IT" w:eastAsia="de-DE"/>
          <w14:ligatures w14:val="standardContextual"/>
        </w:rPr>
        <w:tab/>
      </w:r>
      <w:r>
        <w:t>Dobički ali izgube iz odprave pripoznanja finančnih sredstev in obveznosti, ki niso merjeni po pošteni vrednosti prek poslovnega izida, po instrumentih (16.2)</w:t>
      </w:r>
      <w:r>
        <w:tab/>
      </w:r>
      <w:r>
        <w:fldChar w:fldCharType="begin"/>
      </w:r>
      <w:r>
        <w:instrText xml:space="preserve"> PAGEREF _Toc188539769 \h </w:instrText>
      </w:r>
      <w:r>
        <w:fldChar w:fldCharType="separate"/>
      </w:r>
      <w:r>
        <w:t>53</w:t>
      </w:r>
      <w:r>
        <w:fldChar w:fldCharType="end"/>
      </w:r>
    </w:p>
    <w:p w14:paraId="3C32964A" w14:textId="1AAD30EF"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15.3.</w:t>
      </w:r>
      <w:r w:rsidRPr="00245084">
        <w:rPr>
          <w:rFonts w:asciiTheme="minorHAnsi" w:eastAsiaTheme="minorEastAsia" w:hAnsiTheme="minorHAnsi" w:cstheme="minorBidi"/>
          <w:kern w:val="2"/>
          <w:sz w:val="22"/>
          <w:szCs w:val="22"/>
          <w:lang w:val="it-IT" w:eastAsia="de-DE"/>
          <w14:ligatures w14:val="standardContextual"/>
        </w:rPr>
        <w:tab/>
      </w:r>
      <w:r>
        <w:t>Dobički ali izgube iz finančnih sredstev in obveznosti v posesti za trgovanje ter iz trgovalnih finančnih sredstev in obveznosti, po instrumentih (16.3)</w:t>
      </w:r>
      <w:r>
        <w:tab/>
      </w:r>
      <w:r>
        <w:fldChar w:fldCharType="begin"/>
      </w:r>
      <w:r>
        <w:instrText xml:space="preserve"> PAGEREF _Toc188539770 \h </w:instrText>
      </w:r>
      <w:r>
        <w:fldChar w:fldCharType="separate"/>
      </w:r>
      <w:r>
        <w:t>53</w:t>
      </w:r>
      <w:r>
        <w:fldChar w:fldCharType="end"/>
      </w:r>
    </w:p>
    <w:p w14:paraId="7BBC74F0" w14:textId="0466D819"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15.4.</w:t>
      </w:r>
      <w:r w:rsidRPr="00245084">
        <w:rPr>
          <w:rFonts w:asciiTheme="minorHAnsi" w:eastAsiaTheme="minorEastAsia" w:hAnsiTheme="minorHAnsi" w:cstheme="minorBidi"/>
          <w:kern w:val="2"/>
          <w:sz w:val="22"/>
          <w:szCs w:val="22"/>
          <w:lang w:val="it-IT" w:eastAsia="de-DE"/>
          <w14:ligatures w14:val="standardContextual"/>
        </w:rPr>
        <w:tab/>
      </w:r>
      <w:r>
        <w:t>Dobički ali izgube iz finančnih sredstev in obveznosti v posesti za trgovanje ter iz trgovalnih finančnih sredstev in obveznosti, po tveganju (16.4)</w:t>
      </w:r>
      <w:r>
        <w:tab/>
      </w:r>
      <w:r>
        <w:fldChar w:fldCharType="begin"/>
      </w:r>
      <w:r>
        <w:instrText xml:space="preserve"> PAGEREF _Toc188539771 \h </w:instrText>
      </w:r>
      <w:r>
        <w:fldChar w:fldCharType="separate"/>
      </w:r>
      <w:r>
        <w:t>54</w:t>
      </w:r>
      <w:r>
        <w:fldChar w:fldCharType="end"/>
      </w:r>
    </w:p>
    <w:p w14:paraId="07DF1626" w14:textId="39676748"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15.5.</w:t>
      </w:r>
      <w:r w:rsidRPr="00245084">
        <w:rPr>
          <w:rFonts w:asciiTheme="minorHAnsi" w:eastAsiaTheme="minorEastAsia" w:hAnsiTheme="minorHAnsi" w:cstheme="minorBidi"/>
          <w:kern w:val="2"/>
          <w:sz w:val="22"/>
          <w:szCs w:val="22"/>
          <w:lang w:val="it-IT" w:eastAsia="de-DE"/>
          <w14:ligatures w14:val="standardContextual"/>
        </w:rPr>
        <w:tab/>
      </w:r>
      <w:r>
        <w:t>Dobički ali izgube iz netrgovalnih finančnih sredstev, obvezno merjenih po pošteni vrednosti prek poslovnega izida, po instrumentih (16.4.1)</w:t>
      </w:r>
      <w:r>
        <w:tab/>
      </w:r>
      <w:r>
        <w:fldChar w:fldCharType="begin"/>
      </w:r>
      <w:r>
        <w:instrText xml:space="preserve"> PAGEREF _Toc188539772 \h </w:instrText>
      </w:r>
      <w:r>
        <w:fldChar w:fldCharType="separate"/>
      </w:r>
      <w:r>
        <w:t>55</w:t>
      </w:r>
      <w:r>
        <w:fldChar w:fldCharType="end"/>
      </w:r>
    </w:p>
    <w:p w14:paraId="14616621" w14:textId="28F15BFC"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15.6.</w:t>
      </w:r>
      <w:r w:rsidRPr="00245084">
        <w:rPr>
          <w:rFonts w:asciiTheme="minorHAnsi" w:eastAsiaTheme="minorEastAsia" w:hAnsiTheme="minorHAnsi" w:cstheme="minorBidi"/>
          <w:kern w:val="2"/>
          <w:sz w:val="22"/>
          <w:szCs w:val="22"/>
          <w:lang w:val="it-IT" w:eastAsia="de-DE"/>
          <w14:ligatures w14:val="standardContextual"/>
        </w:rPr>
        <w:tab/>
      </w:r>
      <w:r>
        <w:t>Dobički ali izgube iz finančnih sredstev in obveznosti, določenih za merjenje po pošteni vrednosti prek poslovnega izida, po instrumentih (16.5)</w:t>
      </w:r>
      <w:r>
        <w:tab/>
      </w:r>
      <w:r>
        <w:fldChar w:fldCharType="begin"/>
      </w:r>
      <w:r>
        <w:instrText xml:space="preserve"> PAGEREF _Toc188539773 \h </w:instrText>
      </w:r>
      <w:r>
        <w:fldChar w:fldCharType="separate"/>
      </w:r>
      <w:r>
        <w:t>55</w:t>
      </w:r>
      <w:r>
        <w:fldChar w:fldCharType="end"/>
      </w:r>
    </w:p>
    <w:p w14:paraId="7797CDE9" w14:textId="7AF41614"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15.7.</w:t>
      </w:r>
      <w:r w:rsidRPr="00245084">
        <w:rPr>
          <w:rFonts w:asciiTheme="minorHAnsi" w:eastAsiaTheme="minorEastAsia" w:hAnsiTheme="minorHAnsi" w:cstheme="minorBidi"/>
          <w:kern w:val="2"/>
          <w:sz w:val="22"/>
          <w:szCs w:val="22"/>
          <w:lang w:val="it-IT" w:eastAsia="de-DE"/>
          <w14:ligatures w14:val="standardContextual"/>
        </w:rPr>
        <w:tab/>
      </w:r>
      <w:r>
        <w:t>Dobički ali izgube iz obračunavanja varovanja pred tveganjem (16.6)</w:t>
      </w:r>
      <w:r>
        <w:tab/>
      </w:r>
      <w:r>
        <w:fldChar w:fldCharType="begin"/>
      </w:r>
      <w:r>
        <w:instrText xml:space="preserve"> PAGEREF _Toc188539774 \h </w:instrText>
      </w:r>
      <w:r>
        <w:fldChar w:fldCharType="separate"/>
      </w:r>
      <w:r>
        <w:t>55</w:t>
      </w:r>
      <w:r>
        <w:fldChar w:fldCharType="end"/>
      </w:r>
    </w:p>
    <w:p w14:paraId="15C36041" w14:textId="6818F557"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15.8.</w:t>
      </w:r>
      <w:r w:rsidRPr="00245084">
        <w:rPr>
          <w:rFonts w:asciiTheme="minorHAnsi" w:eastAsiaTheme="minorEastAsia" w:hAnsiTheme="minorHAnsi" w:cstheme="minorBidi"/>
          <w:kern w:val="2"/>
          <w:sz w:val="22"/>
          <w:szCs w:val="22"/>
          <w:lang w:val="it-IT" w:eastAsia="de-DE"/>
          <w14:ligatures w14:val="standardContextual"/>
        </w:rPr>
        <w:tab/>
      </w:r>
      <w:r w:rsidRPr="009E751B">
        <w:rPr>
          <w:caps/>
        </w:rPr>
        <w:t>O</w:t>
      </w:r>
      <w:r>
        <w:t>slabitev nefinančnih sredstev (16.7)</w:t>
      </w:r>
      <w:r>
        <w:tab/>
      </w:r>
      <w:r>
        <w:fldChar w:fldCharType="begin"/>
      </w:r>
      <w:r>
        <w:instrText xml:space="preserve"> PAGEREF _Toc188539775 \h </w:instrText>
      </w:r>
      <w:r>
        <w:fldChar w:fldCharType="separate"/>
      </w:r>
      <w:r>
        <w:t>56</w:t>
      </w:r>
      <w:r>
        <w:fldChar w:fldCharType="end"/>
      </w:r>
    </w:p>
    <w:p w14:paraId="035053CA" w14:textId="2EA08D63"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15.9.</w:t>
      </w:r>
      <w:r w:rsidRPr="00245084">
        <w:rPr>
          <w:rFonts w:asciiTheme="minorHAnsi" w:eastAsiaTheme="minorEastAsia" w:hAnsiTheme="minorHAnsi" w:cstheme="minorBidi"/>
          <w:kern w:val="2"/>
          <w:sz w:val="22"/>
          <w:szCs w:val="22"/>
          <w:lang w:val="it-IT" w:eastAsia="de-DE"/>
          <w14:ligatures w14:val="standardContextual"/>
        </w:rPr>
        <w:tab/>
      </w:r>
      <w:r>
        <w:t>Drugi administrativni stroški (16.8)</w:t>
      </w:r>
      <w:r>
        <w:tab/>
      </w:r>
      <w:r>
        <w:fldChar w:fldCharType="begin"/>
      </w:r>
      <w:r>
        <w:instrText xml:space="preserve"> PAGEREF _Toc188539776 \h </w:instrText>
      </w:r>
      <w:r>
        <w:fldChar w:fldCharType="separate"/>
      </w:r>
      <w:r>
        <w:t>56</w:t>
      </w:r>
      <w:r>
        <w:fldChar w:fldCharType="end"/>
      </w:r>
    </w:p>
    <w:p w14:paraId="3BAB2C5F" w14:textId="54E7E48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16.</w:t>
      </w:r>
      <w:r w:rsidRPr="00245084">
        <w:rPr>
          <w:rFonts w:asciiTheme="minorHAnsi" w:eastAsiaTheme="minorEastAsia" w:hAnsiTheme="minorHAnsi" w:cstheme="minorBidi"/>
          <w:kern w:val="2"/>
          <w:sz w:val="22"/>
          <w:szCs w:val="22"/>
          <w:lang w:val="it-IT" w:eastAsia="de-DE"/>
          <w14:ligatures w14:val="standardContextual"/>
        </w:rPr>
        <w:tab/>
      </w:r>
      <w:r>
        <w:t>Uskladitev med računovodskim obsegom konsolidacije in obsegom konsolidacije v skladu s CRR (17)</w:t>
      </w:r>
      <w:r>
        <w:tab/>
      </w:r>
      <w:r>
        <w:fldChar w:fldCharType="begin"/>
      </w:r>
      <w:r>
        <w:instrText xml:space="preserve"> PAGEREF _Toc188539777 \h </w:instrText>
      </w:r>
      <w:r>
        <w:fldChar w:fldCharType="separate"/>
      </w:r>
      <w:r>
        <w:t>57</w:t>
      </w:r>
      <w:r>
        <w:fldChar w:fldCharType="end"/>
      </w:r>
    </w:p>
    <w:p w14:paraId="30D21700" w14:textId="35BE132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17.</w:t>
      </w:r>
      <w:r w:rsidRPr="00245084">
        <w:rPr>
          <w:rFonts w:asciiTheme="minorHAnsi" w:eastAsiaTheme="minorEastAsia" w:hAnsiTheme="minorHAnsi" w:cstheme="minorBidi"/>
          <w:kern w:val="2"/>
          <w:sz w:val="22"/>
          <w:szCs w:val="22"/>
          <w:lang w:val="it-IT" w:eastAsia="de-DE"/>
          <w14:ligatures w14:val="standardContextual"/>
        </w:rPr>
        <w:tab/>
      </w:r>
      <w:r>
        <w:t>Nedonosne izpostavljenosti (18)</w:t>
      </w:r>
      <w:r>
        <w:tab/>
      </w:r>
      <w:r>
        <w:fldChar w:fldCharType="begin"/>
      </w:r>
      <w:r>
        <w:instrText xml:space="preserve"> PAGEREF _Toc188539778 \h </w:instrText>
      </w:r>
      <w:r>
        <w:fldChar w:fldCharType="separate"/>
      </w:r>
      <w:r>
        <w:t>58</w:t>
      </w:r>
      <w:r>
        <w:fldChar w:fldCharType="end"/>
      </w:r>
    </w:p>
    <w:p w14:paraId="06C9275B" w14:textId="4C0BFA6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17.1.</w:t>
      </w:r>
      <w:r w:rsidRPr="00245084">
        <w:rPr>
          <w:rFonts w:asciiTheme="minorHAnsi" w:eastAsiaTheme="minorEastAsia" w:hAnsiTheme="minorHAnsi" w:cstheme="minorBidi"/>
          <w:kern w:val="2"/>
          <w:sz w:val="22"/>
          <w:szCs w:val="22"/>
          <w:lang w:val="it-IT" w:eastAsia="de-DE"/>
          <w14:ligatures w14:val="standardContextual"/>
        </w:rPr>
        <w:tab/>
      </w:r>
      <w:r>
        <w:t>Informacije o donosnih in nedonosnih izpostavljenostih (18.0)</w:t>
      </w:r>
      <w:r>
        <w:tab/>
      </w:r>
      <w:r>
        <w:fldChar w:fldCharType="begin"/>
      </w:r>
      <w:r>
        <w:instrText xml:space="preserve"> PAGEREF _Toc188539779 \h </w:instrText>
      </w:r>
      <w:r>
        <w:fldChar w:fldCharType="separate"/>
      </w:r>
      <w:r>
        <w:t>58</w:t>
      </w:r>
      <w:r>
        <w:fldChar w:fldCharType="end"/>
      </w:r>
    </w:p>
    <w:p w14:paraId="6DF7850E" w14:textId="096D3052"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17.2.</w:t>
      </w:r>
      <w:r w:rsidRPr="00245084">
        <w:rPr>
          <w:rFonts w:asciiTheme="minorHAnsi" w:eastAsiaTheme="minorEastAsia" w:hAnsiTheme="minorHAnsi" w:cstheme="minorBidi"/>
          <w:kern w:val="2"/>
          <w:sz w:val="22"/>
          <w:szCs w:val="22"/>
          <w:lang w:val="it-IT" w:eastAsia="de-DE"/>
          <w14:ligatures w14:val="standardContextual"/>
        </w:rPr>
        <w:tab/>
      </w:r>
      <w:r>
        <w:t>Prilivi in odlivi iz naslova nedonosnih izpostavljenosti – krediti in druga finančna sredstva glede na sektor nasprotne stranke (18.1)</w:t>
      </w:r>
      <w:r>
        <w:tab/>
      </w:r>
      <w:r>
        <w:fldChar w:fldCharType="begin"/>
      </w:r>
      <w:r>
        <w:instrText xml:space="preserve"> PAGEREF _Toc188539780 \h </w:instrText>
      </w:r>
      <w:r>
        <w:fldChar w:fldCharType="separate"/>
      </w:r>
      <w:r>
        <w:t>62</w:t>
      </w:r>
      <w:r>
        <w:fldChar w:fldCharType="end"/>
      </w:r>
    </w:p>
    <w:p w14:paraId="4BB8505D" w14:textId="11389F10"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17.3.</w:t>
      </w:r>
      <w:r w:rsidRPr="00245084">
        <w:rPr>
          <w:rFonts w:asciiTheme="minorHAnsi" w:eastAsiaTheme="minorEastAsia" w:hAnsiTheme="minorHAnsi" w:cstheme="minorBidi"/>
          <w:kern w:val="2"/>
          <w:sz w:val="22"/>
          <w:szCs w:val="22"/>
          <w:lang w:val="it-IT" w:eastAsia="de-DE"/>
          <w14:ligatures w14:val="standardContextual"/>
        </w:rPr>
        <w:tab/>
      </w:r>
      <w:r>
        <w:t>Krediti za poslovne nepremičnine in dodatne informacije o kreditih, zavarovanih z nepremičninami (18.2)</w:t>
      </w:r>
      <w:r>
        <w:tab/>
      </w:r>
      <w:r>
        <w:fldChar w:fldCharType="begin"/>
      </w:r>
      <w:r>
        <w:instrText xml:space="preserve"> PAGEREF _Toc188539781 \h </w:instrText>
      </w:r>
      <w:r>
        <w:fldChar w:fldCharType="separate"/>
      </w:r>
      <w:r>
        <w:t>64</w:t>
      </w:r>
      <w:r>
        <w:fldChar w:fldCharType="end"/>
      </w:r>
    </w:p>
    <w:p w14:paraId="78EFD760" w14:textId="4B3232EB"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18.</w:t>
      </w:r>
      <w:r w:rsidRPr="00245084">
        <w:rPr>
          <w:rFonts w:asciiTheme="minorHAnsi" w:eastAsiaTheme="minorEastAsia" w:hAnsiTheme="minorHAnsi" w:cstheme="minorBidi"/>
          <w:kern w:val="2"/>
          <w:sz w:val="22"/>
          <w:szCs w:val="22"/>
          <w:lang w:val="it-IT" w:eastAsia="de-DE"/>
          <w14:ligatures w14:val="standardContextual"/>
        </w:rPr>
        <w:tab/>
      </w:r>
      <w:r>
        <w:t>Restrukturirane izpostavljenosti (19)</w:t>
      </w:r>
      <w:r>
        <w:tab/>
      </w:r>
      <w:r>
        <w:fldChar w:fldCharType="begin"/>
      </w:r>
      <w:r>
        <w:instrText xml:space="preserve"> PAGEREF _Toc188539782 \h </w:instrText>
      </w:r>
      <w:r>
        <w:fldChar w:fldCharType="separate"/>
      </w:r>
      <w:r>
        <w:t>64</w:t>
      </w:r>
      <w:r>
        <w:fldChar w:fldCharType="end"/>
      </w:r>
    </w:p>
    <w:p w14:paraId="242664AE" w14:textId="4AAC48E8"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19.</w:t>
      </w:r>
      <w:r w:rsidRPr="00245084">
        <w:rPr>
          <w:rFonts w:asciiTheme="minorHAnsi" w:eastAsiaTheme="minorEastAsia" w:hAnsiTheme="minorHAnsi" w:cstheme="minorBidi"/>
          <w:kern w:val="2"/>
          <w:sz w:val="22"/>
          <w:szCs w:val="22"/>
          <w:lang w:val="it-IT" w:eastAsia="de-DE"/>
          <w14:ligatures w14:val="standardContextual"/>
        </w:rPr>
        <w:tab/>
      </w:r>
      <w:r>
        <w:t>Geografska razčlenitev (20)</w:t>
      </w:r>
      <w:r>
        <w:tab/>
      </w:r>
      <w:r>
        <w:fldChar w:fldCharType="begin"/>
      </w:r>
      <w:r>
        <w:instrText xml:space="preserve"> PAGEREF _Toc188539783 \h </w:instrText>
      </w:r>
      <w:r>
        <w:fldChar w:fldCharType="separate"/>
      </w:r>
      <w:r>
        <w:t>68</w:t>
      </w:r>
      <w:r>
        <w:fldChar w:fldCharType="end"/>
      </w:r>
    </w:p>
    <w:p w14:paraId="6FF122C7" w14:textId="517CCCA9"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19.1.</w:t>
      </w:r>
      <w:r w:rsidRPr="00245084">
        <w:rPr>
          <w:rFonts w:asciiTheme="minorHAnsi" w:eastAsiaTheme="minorEastAsia" w:hAnsiTheme="minorHAnsi" w:cstheme="minorBidi"/>
          <w:kern w:val="2"/>
          <w:sz w:val="22"/>
          <w:szCs w:val="22"/>
          <w:lang w:val="it-IT" w:eastAsia="de-DE"/>
          <w14:ligatures w14:val="standardContextual"/>
        </w:rPr>
        <w:tab/>
      </w:r>
      <w:r>
        <w:t>Geografska razčlenitev po lokaciji dejavnosti (20.1–20.3)</w:t>
      </w:r>
      <w:r>
        <w:tab/>
      </w:r>
      <w:r>
        <w:fldChar w:fldCharType="begin"/>
      </w:r>
      <w:r>
        <w:instrText xml:space="preserve"> PAGEREF _Toc188539784 \h </w:instrText>
      </w:r>
      <w:r>
        <w:fldChar w:fldCharType="separate"/>
      </w:r>
      <w:r>
        <w:t>68</w:t>
      </w:r>
      <w:r>
        <w:fldChar w:fldCharType="end"/>
      </w:r>
    </w:p>
    <w:p w14:paraId="10D015A5" w14:textId="06880785"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19.2.</w:t>
      </w:r>
      <w:r w:rsidRPr="00245084">
        <w:rPr>
          <w:rFonts w:asciiTheme="minorHAnsi" w:eastAsiaTheme="minorEastAsia" w:hAnsiTheme="minorHAnsi" w:cstheme="minorBidi"/>
          <w:kern w:val="2"/>
          <w:sz w:val="22"/>
          <w:szCs w:val="22"/>
          <w:lang w:val="it-IT" w:eastAsia="de-DE"/>
          <w14:ligatures w14:val="standardContextual"/>
        </w:rPr>
        <w:tab/>
      </w:r>
      <w:r>
        <w:t>Geografska razčlenitev po sedežu nasprotne stranke (20.4–20.7)</w:t>
      </w:r>
      <w:r>
        <w:tab/>
      </w:r>
      <w:r>
        <w:fldChar w:fldCharType="begin"/>
      </w:r>
      <w:r>
        <w:instrText xml:space="preserve"> PAGEREF _Toc188539785 \h </w:instrText>
      </w:r>
      <w:r>
        <w:fldChar w:fldCharType="separate"/>
      </w:r>
      <w:r>
        <w:t>68</w:t>
      </w:r>
      <w:r>
        <w:fldChar w:fldCharType="end"/>
      </w:r>
    </w:p>
    <w:p w14:paraId="19DB1D68" w14:textId="6CE34CC3"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20.</w:t>
      </w:r>
      <w:r w:rsidRPr="00245084">
        <w:rPr>
          <w:rFonts w:asciiTheme="minorHAnsi" w:eastAsiaTheme="minorEastAsia" w:hAnsiTheme="minorHAnsi" w:cstheme="minorBidi"/>
          <w:kern w:val="2"/>
          <w:sz w:val="22"/>
          <w:szCs w:val="22"/>
          <w:lang w:val="it-IT" w:eastAsia="de-DE"/>
          <w14:ligatures w14:val="standardContextual"/>
        </w:rPr>
        <w:tab/>
      </w:r>
      <w:r>
        <w:t>Opredmetena in neopredmetena sredstva: sredstva, ki so predmet poslovnega najema (21)</w:t>
      </w:r>
      <w:r>
        <w:tab/>
      </w:r>
      <w:r>
        <w:fldChar w:fldCharType="begin"/>
      </w:r>
      <w:r>
        <w:instrText xml:space="preserve"> PAGEREF _Toc188539786 \h </w:instrText>
      </w:r>
      <w:r>
        <w:fldChar w:fldCharType="separate"/>
      </w:r>
      <w:r>
        <w:t>69</w:t>
      </w:r>
      <w:r>
        <w:fldChar w:fldCharType="end"/>
      </w:r>
    </w:p>
    <w:p w14:paraId="0603D6AE" w14:textId="66AE97F4"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21.</w:t>
      </w:r>
      <w:r w:rsidRPr="00245084">
        <w:rPr>
          <w:rFonts w:asciiTheme="minorHAnsi" w:eastAsiaTheme="minorEastAsia" w:hAnsiTheme="minorHAnsi" w:cstheme="minorBidi"/>
          <w:kern w:val="2"/>
          <w:sz w:val="22"/>
          <w:szCs w:val="22"/>
          <w:lang w:val="it-IT" w:eastAsia="de-DE"/>
          <w14:ligatures w14:val="standardContextual"/>
        </w:rPr>
        <w:tab/>
      </w:r>
      <w:r>
        <w:t>Upravljanje premoženja, skrbništvo in druge storitve (22)</w:t>
      </w:r>
      <w:r>
        <w:tab/>
      </w:r>
      <w:r>
        <w:fldChar w:fldCharType="begin"/>
      </w:r>
      <w:r>
        <w:instrText xml:space="preserve"> PAGEREF _Toc188539787 \h </w:instrText>
      </w:r>
      <w:r>
        <w:fldChar w:fldCharType="separate"/>
      </w:r>
      <w:r>
        <w:t>69</w:t>
      </w:r>
      <w:r>
        <w:fldChar w:fldCharType="end"/>
      </w:r>
    </w:p>
    <w:p w14:paraId="5C4F9804" w14:textId="7F1064A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21.1.</w:t>
      </w:r>
      <w:r w:rsidRPr="00245084">
        <w:rPr>
          <w:rFonts w:asciiTheme="minorHAnsi" w:eastAsiaTheme="minorEastAsia" w:hAnsiTheme="minorHAnsi" w:cstheme="minorBidi"/>
          <w:kern w:val="2"/>
          <w:sz w:val="22"/>
          <w:szCs w:val="22"/>
          <w:lang w:val="it-IT" w:eastAsia="de-DE"/>
          <w14:ligatures w14:val="standardContextual"/>
        </w:rPr>
        <w:tab/>
      </w:r>
      <w:r>
        <w:t>Prihodki in odhodki iz naslova provizij in opravnin, po dejavnosti (22.1)</w:t>
      </w:r>
      <w:r>
        <w:tab/>
      </w:r>
      <w:r>
        <w:fldChar w:fldCharType="begin"/>
      </w:r>
      <w:r>
        <w:instrText xml:space="preserve"> PAGEREF _Toc188539788 \h </w:instrText>
      </w:r>
      <w:r>
        <w:fldChar w:fldCharType="separate"/>
      </w:r>
      <w:r>
        <w:t>69</w:t>
      </w:r>
      <w:r>
        <w:fldChar w:fldCharType="end"/>
      </w:r>
    </w:p>
    <w:p w14:paraId="7487C43E" w14:textId="65D2EBE3"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21.2.</w:t>
      </w:r>
      <w:r w:rsidRPr="00245084">
        <w:rPr>
          <w:rFonts w:asciiTheme="minorHAnsi" w:eastAsiaTheme="minorEastAsia" w:hAnsiTheme="minorHAnsi" w:cstheme="minorBidi"/>
          <w:kern w:val="2"/>
          <w:sz w:val="22"/>
          <w:szCs w:val="22"/>
          <w:lang w:val="it-IT" w:eastAsia="de-DE"/>
          <w14:ligatures w14:val="standardContextual"/>
        </w:rPr>
        <w:tab/>
      </w:r>
      <w:r>
        <w:t>Sredstva, vključena v opravljene storitve (22.2)</w:t>
      </w:r>
      <w:r>
        <w:tab/>
      </w:r>
      <w:r>
        <w:fldChar w:fldCharType="begin"/>
      </w:r>
      <w:r>
        <w:instrText xml:space="preserve"> PAGEREF _Toc188539789 \h </w:instrText>
      </w:r>
      <w:r>
        <w:fldChar w:fldCharType="separate"/>
      </w:r>
      <w:r>
        <w:t>72</w:t>
      </w:r>
      <w:r>
        <w:fldChar w:fldCharType="end"/>
      </w:r>
    </w:p>
    <w:p w14:paraId="178062DB" w14:textId="2CBB475A" w:rsidR="00245084" w:rsidRDefault="00245084">
      <w:pPr>
        <w:pStyle w:val="TOC2"/>
        <w:rPr>
          <w:rFonts w:asciiTheme="minorHAnsi" w:eastAsiaTheme="minorEastAsia" w:hAnsiTheme="minorHAnsi" w:cstheme="minorBidi"/>
          <w:kern w:val="2"/>
          <w:sz w:val="22"/>
          <w:szCs w:val="22"/>
          <w:lang w:val="de-DE" w:eastAsia="de-DE"/>
          <w14:ligatures w14:val="standardContextual"/>
        </w:rPr>
      </w:pPr>
      <w:r>
        <w:t>22.</w:t>
      </w:r>
      <w:r>
        <w:rPr>
          <w:rFonts w:asciiTheme="minorHAnsi" w:eastAsiaTheme="minorEastAsia" w:hAnsiTheme="minorHAnsi" w:cstheme="minorBidi"/>
          <w:kern w:val="2"/>
          <w:sz w:val="22"/>
          <w:szCs w:val="22"/>
          <w:lang w:val="de-DE" w:eastAsia="de-DE"/>
          <w14:ligatures w14:val="standardContextual"/>
        </w:rPr>
        <w:tab/>
      </w:r>
      <w:r>
        <w:t>Deleži v nekonsolidiranih strukturiranih subjektih (30)</w:t>
      </w:r>
      <w:r>
        <w:tab/>
      </w:r>
      <w:r>
        <w:fldChar w:fldCharType="begin"/>
      </w:r>
      <w:r>
        <w:instrText xml:space="preserve"> PAGEREF _Toc188539790 \h </w:instrText>
      </w:r>
      <w:r>
        <w:fldChar w:fldCharType="separate"/>
      </w:r>
      <w:r>
        <w:t>73</w:t>
      </w:r>
      <w:r>
        <w:fldChar w:fldCharType="end"/>
      </w:r>
    </w:p>
    <w:p w14:paraId="335D276D" w14:textId="386C3E5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lastRenderedPageBreak/>
        <w:t>23.</w:t>
      </w:r>
      <w:r w:rsidRPr="00245084">
        <w:rPr>
          <w:rFonts w:asciiTheme="minorHAnsi" w:eastAsiaTheme="minorEastAsia" w:hAnsiTheme="minorHAnsi" w:cstheme="minorBidi"/>
          <w:kern w:val="2"/>
          <w:sz w:val="22"/>
          <w:szCs w:val="22"/>
          <w:lang w:val="it-IT" w:eastAsia="de-DE"/>
          <w14:ligatures w14:val="standardContextual"/>
        </w:rPr>
        <w:tab/>
      </w:r>
      <w:r>
        <w:t>Povezane stranke (31)</w:t>
      </w:r>
      <w:r>
        <w:tab/>
      </w:r>
      <w:r>
        <w:fldChar w:fldCharType="begin"/>
      </w:r>
      <w:r>
        <w:instrText xml:space="preserve"> PAGEREF _Toc188539791 \h </w:instrText>
      </w:r>
      <w:r>
        <w:fldChar w:fldCharType="separate"/>
      </w:r>
      <w:r>
        <w:t>73</w:t>
      </w:r>
      <w:r>
        <w:fldChar w:fldCharType="end"/>
      </w:r>
    </w:p>
    <w:p w14:paraId="17BE5F76" w14:textId="3CBE4C28"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23.1.</w:t>
      </w:r>
      <w:r w:rsidRPr="00245084">
        <w:rPr>
          <w:rFonts w:asciiTheme="minorHAnsi" w:eastAsiaTheme="minorEastAsia" w:hAnsiTheme="minorHAnsi" w:cstheme="minorBidi"/>
          <w:kern w:val="2"/>
          <w:sz w:val="22"/>
          <w:szCs w:val="22"/>
          <w:lang w:val="it-IT" w:eastAsia="de-DE"/>
          <w14:ligatures w14:val="standardContextual"/>
        </w:rPr>
        <w:tab/>
      </w:r>
      <w:r>
        <w:t>Povezane stranke: obveznosti za plačilo in zneski terjatev (31.1)</w:t>
      </w:r>
      <w:r>
        <w:tab/>
      </w:r>
      <w:r>
        <w:fldChar w:fldCharType="begin"/>
      </w:r>
      <w:r>
        <w:instrText xml:space="preserve"> PAGEREF _Toc188539792 \h </w:instrText>
      </w:r>
      <w:r>
        <w:fldChar w:fldCharType="separate"/>
      </w:r>
      <w:r>
        <w:t>74</w:t>
      </w:r>
      <w:r>
        <w:fldChar w:fldCharType="end"/>
      </w:r>
    </w:p>
    <w:p w14:paraId="7D60E3B1" w14:textId="48702A8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23.2.</w:t>
      </w:r>
      <w:r w:rsidRPr="00245084">
        <w:rPr>
          <w:rFonts w:asciiTheme="minorHAnsi" w:eastAsiaTheme="minorEastAsia" w:hAnsiTheme="minorHAnsi" w:cstheme="minorBidi"/>
          <w:kern w:val="2"/>
          <w:sz w:val="22"/>
          <w:szCs w:val="22"/>
          <w:lang w:val="it-IT" w:eastAsia="de-DE"/>
          <w14:ligatures w14:val="standardContextual"/>
        </w:rPr>
        <w:tab/>
      </w:r>
      <w:r>
        <w:t>Povezane stranke: ustvarjeni odhodki in prihodki (31.2)</w:t>
      </w:r>
      <w:r>
        <w:tab/>
      </w:r>
      <w:r>
        <w:fldChar w:fldCharType="begin"/>
      </w:r>
      <w:r>
        <w:instrText xml:space="preserve"> PAGEREF _Toc188539793 \h </w:instrText>
      </w:r>
      <w:r>
        <w:fldChar w:fldCharType="separate"/>
      </w:r>
      <w:r>
        <w:t>74</w:t>
      </w:r>
      <w:r>
        <w:fldChar w:fldCharType="end"/>
      </w:r>
    </w:p>
    <w:p w14:paraId="090BF57D" w14:textId="54D2ACBA"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24.</w:t>
      </w:r>
      <w:r w:rsidRPr="00245084">
        <w:rPr>
          <w:rFonts w:asciiTheme="minorHAnsi" w:eastAsiaTheme="minorEastAsia" w:hAnsiTheme="minorHAnsi" w:cstheme="minorBidi"/>
          <w:kern w:val="2"/>
          <w:sz w:val="22"/>
          <w:szCs w:val="22"/>
          <w:lang w:val="it-IT" w:eastAsia="de-DE"/>
          <w14:ligatures w14:val="standardContextual"/>
        </w:rPr>
        <w:tab/>
      </w:r>
      <w:r>
        <w:t>Struktura skupine (40)</w:t>
      </w:r>
      <w:r>
        <w:tab/>
      </w:r>
      <w:r>
        <w:fldChar w:fldCharType="begin"/>
      </w:r>
      <w:r>
        <w:instrText xml:space="preserve"> PAGEREF _Toc188539794 \h </w:instrText>
      </w:r>
      <w:r>
        <w:fldChar w:fldCharType="separate"/>
      </w:r>
      <w:r>
        <w:t>75</w:t>
      </w:r>
      <w:r>
        <w:fldChar w:fldCharType="end"/>
      </w:r>
    </w:p>
    <w:p w14:paraId="2AD57D60" w14:textId="08A04BC3"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24.1.</w:t>
      </w:r>
      <w:r w:rsidRPr="00245084">
        <w:rPr>
          <w:rFonts w:asciiTheme="minorHAnsi" w:eastAsiaTheme="minorEastAsia" w:hAnsiTheme="minorHAnsi" w:cstheme="minorBidi"/>
          <w:kern w:val="2"/>
          <w:sz w:val="22"/>
          <w:szCs w:val="22"/>
          <w:lang w:val="it-IT" w:eastAsia="de-DE"/>
          <w14:ligatures w14:val="standardContextual"/>
        </w:rPr>
        <w:tab/>
      </w:r>
      <w:r>
        <w:t>Struktura skupine: po posameznih subjektih (40.1)</w:t>
      </w:r>
      <w:r>
        <w:tab/>
      </w:r>
      <w:r>
        <w:fldChar w:fldCharType="begin"/>
      </w:r>
      <w:r>
        <w:instrText xml:space="preserve"> PAGEREF _Toc188539795 \h </w:instrText>
      </w:r>
      <w:r>
        <w:fldChar w:fldCharType="separate"/>
      </w:r>
      <w:r>
        <w:t>75</w:t>
      </w:r>
      <w:r>
        <w:fldChar w:fldCharType="end"/>
      </w:r>
    </w:p>
    <w:p w14:paraId="5B3791DB" w14:textId="68B85580"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24.2.</w:t>
      </w:r>
      <w:r w:rsidRPr="00245084">
        <w:rPr>
          <w:rFonts w:asciiTheme="minorHAnsi" w:eastAsiaTheme="minorEastAsia" w:hAnsiTheme="minorHAnsi" w:cstheme="minorBidi"/>
          <w:kern w:val="2"/>
          <w:sz w:val="22"/>
          <w:szCs w:val="22"/>
          <w:lang w:val="it-IT" w:eastAsia="de-DE"/>
          <w14:ligatures w14:val="standardContextual"/>
        </w:rPr>
        <w:tab/>
      </w:r>
      <w:r>
        <w:t>Struktura skupine: po posameznih instrumentih (40.2)</w:t>
      </w:r>
      <w:r>
        <w:tab/>
      </w:r>
      <w:r>
        <w:fldChar w:fldCharType="begin"/>
      </w:r>
      <w:r>
        <w:instrText xml:space="preserve"> PAGEREF _Toc188539796 \h </w:instrText>
      </w:r>
      <w:r>
        <w:fldChar w:fldCharType="separate"/>
      </w:r>
      <w:r>
        <w:t>76</w:t>
      </w:r>
      <w:r>
        <w:fldChar w:fldCharType="end"/>
      </w:r>
    </w:p>
    <w:p w14:paraId="7DE3716C" w14:textId="05FC854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25.</w:t>
      </w:r>
      <w:r w:rsidRPr="00245084">
        <w:rPr>
          <w:rFonts w:asciiTheme="minorHAnsi" w:eastAsiaTheme="minorEastAsia" w:hAnsiTheme="minorHAnsi" w:cstheme="minorBidi"/>
          <w:kern w:val="2"/>
          <w:sz w:val="22"/>
          <w:szCs w:val="22"/>
          <w:lang w:val="it-IT" w:eastAsia="de-DE"/>
          <w14:ligatures w14:val="standardContextual"/>
        </w:rPr>
        <w:tab/>
      </w:r>
      <w:r>
        <w:t>Poštena vrednost (41)</w:t>
      </w:r>
      <w:r>
        <w:tab/>
      </w:r>
      <w:r>
        <w:fldChar w:fldCharType="begin"/>
      </w:r>
      <w:r>
        <w:instrText xml:space="preserve"> PAGEREF _Toc188539797 \h </w:instrText>
      </w:r>
      <w:r>
        <w:fldChar w:fldCharType="separate"/>
      </w:r>
      <w:r>
        <w:t>77</w:t>
      </w:r>
      <w:r>
        <w:fldChar w:fldCharType="end"/>
      </w:r>
    </w:p>
    <w:p w14:paraId="19832789" w14:textId="01C875F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25.1.</w:t>
      </w:r>
      <w:r w:rsidRPr="00245084">
        <w:rPr>
          <w:rFonts w:asciiTheme="minorHAnsi" w:eastAsiaTheme="minorEastAsia" w:hAnsiTheme="minorHAnsi" w:cstheme="minorBidi"/>
          <w:kern w:val="2"/>
          <w:sz w:val="22"/>
          <w:szCs w:val="22"/>
          <w:lang w:val="it-IT" w:eastAsia="de-DE"/>
          <w14:ligatures w14:val="standardContextual"/>
        </w:rPr>
        <w:tab/>
      </w:r>
      <w:r>
        <w:t>Hierarhija poštene vrednosti: finančni instrumenti po odplačni vrednosti (41.1)</w:t>
      </w:r>
      <w:r>
        <w:tab/>
      </w:r>
      <w:r>
        <w:fldChar w:fldCharType="begin"/>
      </w:r>
      <w:r>
        <w:instrText xml:space="preserve"> PAGEREF _Toc188539798 \h </w:instrText>
      </w:r>
      <w:r>
        <w:fldChar w:fldCharType="separate"/>
      </w:r>
      <w:r>
        <w:t>77</w:t>
      </w:r>
      <w:r>
        <w:fldChar w:fldCharType="end"/>
      </w:r>
    </w:p>
    <w:p w14:paraId="57906A71" w14:textId="0E56EC8A"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25.2.</w:t>
      </w:r>
      <w:r w:rsidRPr="00245084">
        <w:rPr>
          <w:rFonts w:asciiTheme="minorHAnsi" w:eastAsiaTheme="minorEastAsia" w:hAnsiTheme="minorHAnsi" w:cstheme="minorBidi"/>
          <w:kern w:val="2"/>
          <w:sz w:val="22"/>
          <w:szCs w:val="22"/>
          <w:lang w:val="it-IT" w:eastAsia="de-DE"/>
          <w14:ligatures w14:val="standardContextual"/>
        </w:rPr>
        <w:tab/>
      </w:r>
      <w:r>
        <w:t>Uporaba možnosti vrednotenja po pošteni vrednosti (41.2)</w:t>
      </w:r>
      <w:r>
        <w:tab/>
      </w:r>
      <w:r>
        <w:fldChar w:fldCharType="begin"/>
      </w:r>
      <w:r>
        <w:instrText xml:space="preserve"> PAGEREF _Toc188539799 \h </w:instrText>
      </w:r>
      <w:r>
        <w:fldChar w:fldCharType="separate"/>
      </w:r>
      <w:r>
        <w:t>77</w:t>
      </w:r>
      <w:r>
        <w:fldChar w:fldCharType="end"/>
      </w:r>
    </w:p>
    <w:p w14:paraId="5A504951" w14:textId="0C929B3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26.</w:t>
      </w:r>
      <w:r w:rsidRPr="00245084">
        <w:rPr>
          <w:rFonts w:asciiTheme="minorHAnsi" w:eastAsiaTheme="minorEastAsia" w:hAnsiTheme="minorHAnsi" w:cstheme="minorBidi"/>
          <w:kern w:val="2"/>
          <w:sz w:val="22"/>
          <w:szCs w:val="22"/>
          <w:lang w:val="it-IT" w:eastAsia="de-DE"/>
          <w14:ligatures w14:val="standardContextual"/>
        </w:rPr>
        <w:tab/>
      </w:r>
      <w:r>
        <w:t>Opredmetena in neopredmetena sredstva: knjigovodska vrednost glede na metodo merjenja (42)</w:t>
      </w:r>
      <w:r>
        <w:tab/>
      </w:r>
      <w:r>
        <w:fldChar w:fldCharType="begin"/>
      </w:r>
      <w:r>
        <w:instrText xml:space="preserve"> PAGEREF _Toc188539800 \h </w:instrText>
      </w:r>
      <w:r>
        <w:fldChar w:fldCharType="separate"/>
      </w:r>
      <w:r>
        <w:t>77</w:t>
      </w:r>
      <w:r>
        <w:fldChar w:fldCharType="end"/>
      </w:r>
    </w:p>
    <w:p w14:paraId="55198137" w14:textId="736CB516"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27.</w:t>
      </w:r>
      <w:r w:rsidRPr="00245084">
        <w:rPr>
          <w:rFonts w:asciiTheme="minorHAnsi" w:eastAsiaTheme="minorEastAsia" w:hAnsiTheme="minorHAnsi" w:cstheme="minorBidi"/>
          <w:kern w:val="2"/>
          <w:sz w:val="22"/>
          <w:szCs w:val="22"/>
          <w:lang w:val="it-IT" w:eastAsia="de-DE"/>
          <w14:ligatures w14:val="standardContextual"/>
        </w:rPr>
        <w:tab/>
      </w:r>
      <w:r>
        <w:t>Rezervacije (43)</w:t>
      </w:r>
      <w:r>
        <w:tab/>
      </w:r>
      <w:r>
        <w:fldChar w:fldCharType="begin"/>
      </w:r>
      <w:r>
        <w:instrText xml:space="preserve"> PAGEREF _Toc188539801 \h </w:instrText>
      </w:r>
      <w:r>
        <w:fldChar w:fldCharType="separate"/>
      </w:r>
      <w:r>
        <w:t>78</w:t>
      </w:r>
      <w:r>
        <w:fldChar w:fldCharType="end"/>
      </w:r>
    </w:p>
    <w:p w14:paraId="4E7EFE2F" w14:textId="5E6D47F0"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28.</w:t>
      </w:r>
      <w:r w:rsidRPr="00245084">
        <w:rPr>
          <w:rFonts w:asciiTheme="minorHAnsi" w:eastAsiaTheme="minorEastAsia" w:hAnsiTheme="minorHAnsi" w:cstheme="minorBidi"/>
          <w:kern w:val="2"/>
          <w:sz w:val="22"/>
          <w:szCs w:val="22"/>
          <w:lang w:val="it-IT" w:eastAsia="de-DE"/>
          <w14:ligatures w14:val="standardContextual"/>
        </w:rPr>
        <w:tab/>
      </w:r>
      <w:r>
        <w:t>Programi z določenimi zaslužki in zaslužki zaposlencev (44)</w:t>
      </w:r>
      <w:r>
        <w:tab/>
      </w:r>
      <w:r>
        <w:fldChar w:fldCharType="begin"/>
      </w:r>
      <w:r>
        <w:instrText xml:space="preserve"> PAGEREF _Toc188539802 \h </w:instrText>
      </w:r>
      <w:r>
        <w:fldChar w:fldCharType="separate"/>
      </w:r>
      <w:r>
        <w:t>78</w:t>
      </w:r>
      <w:r>
        <w:fldChar w:fldCharType="end"/>
      </w:r>
    </w:p>
    <w:p w14:paraId="78EA3DCB" w14:textId="72E10D0A"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28.1.</w:t>
      </w:r>
      <w:r w:rsidRPr="00245084">
        <w:rPr>
          <w:rFonts w:asciiTheme="minorHAnsi" w:eastAsiaTheme="minorEastAsia" w:hAnsiTheme="minorHAnsi" w:cstheme="minorBidi"/>
          <w:kern w:val="2"/>
          <w:sz w:val="22"/>
          <w:szCs w:val="22"/>
          <w:lang w:val="it-IT" w:eastAsia="de-DE"/>
          <w14:ligatures w14:val="standardContextual"/>
        </w:rPr>
        <w:tab/>
      </w:r>
      <w:r>
        <w:t>Sestavine neto sredstev in obveznosti za programe z določenimi zaslužki (44.1)</w:t>
      </w:r>
      <w:r>
        <w:tab/>
      </w:r>
      <w:r>
        <w:fldChar w:fldCharType="begin"/>
      </w:r>
      <w:r>
        <w:instrText xml:space="preserve"> PAGEREF _Toc188539803 \h </w:instrText>
      </w:r>
      <w:r>
        <w:fldChar w:fldCharType="separate"/>
      </w:r>
      <w:r>
        <w:t>78</w:t>
      </w:r>
      <w:r>
        <w:fldChar w:fldCharType="end"/>
      </w:r>
    </w:p>
    <w:p w14:paraId="4D518417" w14:textId="22C1CFE0"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28.2.</w:t>
      </w:r>
      <w:r w:rsidRPr="00245084">
        <w:rPr>
          <w:rFonts w:asciiTheme="minorHAnsi" w:eastAsiaTheme="minorEastAsia" w:hAnsiTheme="minorHAnsi" w:cstheme="minorBidi"/>
          <w:kern w:val="2"/>
          <w:sz w:val="22"/>
          <w:szCs w:val="22"/>
          <w:lang w:val="it-IT" w:eastAsia="de-DE"/>
          <w14:ligatures w14:val="standardContextual"/>
        </w:rPr>
        <w:tab/>
      </w:r>
      <w:r>
        <w:t>Gibanja obveznosti za določene zaslužke (44.2)</w:t>
      </w:r>
      <w:r>
        <w:tab/>
      </w:r>
      <w:r>
        <w:fldChar w:fldCharType="begin"/>
      </w:r>
      <w:r>
        <w:instrText xml:space="preserve"> PAGEREF _Toc188539804 \h </w:instrText>
      </w:r>
      <w:r>
        <w:fldChar w:fldCharType="separate"/>
      </w:r>
      <w:r>
        <w:t>78</w:t>
      </w:r>
      <w:r>
        <w:fldChar w:fldCharType="end"/>
      </w:r>
    </w:p>
    <w:p w14:paraId="4B453D32" w14:textId="24B53E35"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28.3.</w:t>
      </w:r>
      <w:r w:rsidRPr="00245084">
        <w:rPr>
          <w:rFonts w:asciiTheme="minorHAnsi" w:eastAsiaTheme="minorEastAsia" w:hAnsiTheme="minorHAnsi" w:cstheme="minorBidi"/>
          <w:kern w:val="2"/>
          <w:sz w:val="22"/>
          <w:szCs w:val="22"/>
          <w:lang w:val="it-IT" w:eastAsia="de-DE"/>
          <w14:ligatures w14:val="standardContextual"/>
        </w:rPr>
        <w:tab/>
      </w:r>
      <w:r>
        <w:t>Odhodki za zaposlene glede na vrsto zaslužkov (44.3)</w:t>
      </w:r>
      <w:r>
        <w:tab/>
      </w:r>
      <w:r>
        <w:fldChar w:fldCharType="begin"/>
      </w:r>
      <w:r>
        <w:instrText xml:space="preserve"> PAGEREF _Toc188539805 \h </w:instrText>
      </w:r>
      <w:r>
        <w:fldChar w:fldCharType="separate"/>
      </w:r>
      <w:r>
        <w:t>78</w:t>
      </w:r>
      <w:r>
        <w:fldChar w:fldCharType="end"/>
      </w:r>
    </w:p>
    <w:p w14:paraId="3A499502" w14:textId="05802074"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28.4.</w:t>
      </w:r>
      <w:r w:rsidRPr="00245084">
        <w:rPr>
          <w:rFonts w:asciiTheme="minorHAnsi" w:eastAsiaTheme="minorEastAsia" w:hAnsiTheme="minorHAnsi" w:cstheme="minorBidi"/>
          <w:kern w:val="2"/>
          <w:sz w:val="22"/>
          <w:szCs w:val="22"/>
          <w:lang w:val="it-IT" w:eastAsia="de-DE"/>
          <w14:ligatures w14:val="standardContextual"/>
        </w:rPr>
        <w:tab/>
      </w:r>
      <w:r>
        <w:t>Odhodki za zaposlene glede na kategorijo prejemkov in kategorijo zaposlenih (44.4)</w:t>
      </w:r>
      <w:r>
        <w:tab/>
      </w:r>
      <w:r>
        <w:fldChar w:fldCharType="begin"/>
      </w:r>
      <w:r>
        <w:instrText xml:space="preserve"> PAGEREF _Toc188539806 \h </w:instrText>
      </w:r>
      <w:r>
        <w:fldChar w:fldCharType="separate"/>
      </w:r>
      <w:r>
        <w:t>79</w:t>
      </w:r>
      <w:r>
        <w:fldChar w:fldCharType="end"/>
      </w:r>
    </w:p>
    <w:p w14:paraId="33E65282" w14:textId="3997658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29.</w:t>
      </w:r>
      <w:r w:rsidRPr="00245084">
        <w:rPr>
          <w:rFonts w:asciiTheme="minorHAnsi" w:eastAsiaTheme="minorEastAsia" w:hAnsiTheme="minorHAnsi" w:cstheme="minorBidi"/>
          <w:kern w:val="2"/>
          <w:sz w:val="22"/>
          <w:szCs w:val="22"/>
          <w:lang w:val="it-IT" w:eastAsia="de-DE"/>
          <w14:ligatures w14:val="standardContextual"/>
        </w:rPr>
        <w:tab/>
      </w:r>
      <w:r>
        <w:t>Razčlenitev izbranih postavk izkaza poslovnega izida (45)</w:t>
      </w:r>
      <w:r>
        <w:tab/>
      </w:r>
      <w:r>
        <w:fldChar w:fldCharType="begin"/>
      </w:r>
      <w:r>
        <w:instrText xml:space="preserve"> PAGEREF _Toc188539807 \h </w:instrText>
      </w:r>
      <w:r>
        <w:fldChar w:fldCharType="separate"/>
      </w:r>
      <w:r>
        <w:t>80</w:t>
      </w:r>
      <w:r>
        <w:fldChar w:fldCharType="end"/>
      </w:r>
    </w:p>
    <w:p w14:paraId="25F80478" w14:textId="3FD62083"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29.1.</w:t>
      </w:r>
      <w:r w:rsidRPr="00245084">
        <w:rPr>
          <w:rFonts w:asciiTheme="minorHAnsi" w:eastAsiaTheme="minorEastAsia" w:hAnsiTheme="minorHAnsi" w:cstheme="minorBidi"/>
          <w:kern w:val="2"/>
          <w:sz w:val="22"/>
          <w:szCs w:val="22"/>
          <w:lang w:val="it-IT" w:eastAsia="de-DE"/>
          <w14:ligatures w14:val="standardContextual"/>
        </w:rPr>
        <w:tab/>
      </w:r>
      <w:r>
        <w:t>Dobički ali izgube iz finančnih sredstev in obveznosti, določenih za merjenje po pošteni vrednosti prek poslovnega izida, po računovodskem portfelju (45.1)</w:t>
      </w:r>
      <w:r>
        <w:tab/>
      </w:r>
      <w:r>
        <w:fldChar w:fldCharType="begin"/>
      </w:r>
      <w:r>
        <w:instrText xml:space="preserve"> PAGEREF _Toc188539808 \h </w:instrText>
      </w:r>
      <w:r>
        <w:fldChar w:fldCharType="separate"/>
      </w:r>
      <w:r>
        <w:t>80</w:t>
      </w:r>
      <w:r>
        <w:fldChar w:fldCharType="end"/>
      </w:r>
    </w:p>
    <w:p w14:paraId="36D02EC2" w14:textId="7B91B996"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29.2.</w:t>
      </w:r>
      <w:r w:rsidRPr="00245084">
        <w:rPr>
          <w:rFonts w:asciiTheme="minorHAnsi" w:eastAsiaTheme="minorEastAsia" w:hAnsiTheme="minorHAnsi" w:cstheme="minorBidi"/>
          <w:kern w:val="2"/>
          <w:sz w:val="22"/>
          <w:szCs w:val="22"/>
          <w:lang w:val="it-IT" w:eastAsia="de-DE"/>
          <w14:ligatures w14:val="standardContextual"/>
        </w:rPr>
        <w:tab/>
      </w:r>
      <w:r>
        <w:t>Dobički ali izgube iz odprave pripoznanja nefinančnih sredstev (45.2)</w:t>
      </w:r>
      <w:r>
        <w:tab/>
      </w:r>
      <w:r>
        <w:fldChar w:fldCharType="begin"/>
      </w:r>
      <w:r>
        <w:instrText xml:space="preserve"> PAGEREF _Toc188539809 \h </w:instrText>
      </w:r>
      <w:r>
        <w:fldChar w:fldCharType="separate"/>
      </w:r>
      <w:r>
        <w:t>80</w:t>
      </w:r>
      <w:r>
        <w:fldChar w:fldCharType="end"/>
      </w:r>
    </w:p>
    <w:p w14:paraId="6B9EA709" w14:textId="634CE70B"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29.3.</w:t>
      </w:r>
      <w:r w:rsidRPr="00245084">
        <w:rPr>
          <w:rFonts w:asciiTheme="minorHAnsi" w:eastAsiaTheme="minorEastAsia" w:hAnsiTheme="minorHAnsi" w:cstheme="minorBidi"/>
          <w:kern w:val="2"/>
          <w:sz w:val="22"/>
          <w:szCs w:val="22"/>
          <w:lang w:val="it-IT" w:eastAsia="de-DE"/>
          <w14:ligatures w14:val="standardContextual"/>
        </w:rPr>
        <w:tab/>
      </w:r>
      <w:r>
        <w:t>Drugi poslovni prihodki in odhodki (45.3)</w:t>
      </w:r>
      <w:r>
        <w:tab/>
      </w:r>
      <w:r>
        <w:fldChar w:fldCharType="begin"/>
      </w:r>
      <w:r>
        <w:instrText xml:space="preserve"> PAGEREF _Toc188539810 \h </w:instrText>
      </w:r>
      <w:r>
        <w:fldChar w:fldCharType="separate"/>
      </w:r>
      <w:r>
        <w:t>80</w:t>
      </w:r>
      <w:r>
        <w:fldChar w:fldCharType="end"/>
      </w:r>
    </w:p>
    <w:p w14:paraId="407AE6F3" w14:textId="1D4ACC41"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30.</w:t>
      </w:r>
      <w:r w:rsidRPr="00245084">
        <w:rPr>
          <w:rFonts w:asciiTheme="minorHAnsi" w:eastAsiaTheme="minorEastAsia" w:hAnsiTheme="minorHAnsi" w:cstheme="minorBidi"/>
          <w:kern w:val="2"/>
          <w:sz w:val="22"/>
          <w:szCs w:val="22"/>
          <w:lang w:val="it-IT" w:eastAsia="de-DE"/>
          <w14:ligatures w14:val="standardContextual"/>
        </w:rPr>
        <w:tab/>
      </w:r>
      <w:r>
        <w:t>Izkaz sprememb lastniškega kapitala (46)</w:t>
      </w:r>
      <w:r>
        <w:tab/>
      </w:r>
      <w:r>
        <w:fldChar w:fldCharType="begin"/>
      </w:r>
      <w:r>
        <w:instrText xml:space="preserve"> PAGEREF _Toc188539811 \h </w:instrText>
      </w:r>
      <w:r>
        <w:fldChar w:fldCharType="separate"/>
      </w:r>
      <w:r>
        <w:t>80</w:t>
      </w:r>
      <w:r>
        <w:fldChar w:fldCharType="end"/>
      </w:r>
    </w:p>
    <w:p w14:paraId="45FADAA8" w14:textId="12F87E9D"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31.</w:t>
      </w:r>
      <w:r w:rsidRPr="00245084">
        <w:rPr>
          <w:rFonts w:asciiTheme="minorHAnsi" w:eastAsiaTheme="minorEastAsia" w:hAnsiTheme="minorHAnsi" w:cstheme="minorBidi"/>
          <w:kern w:val="2"/>
          <w:sz w:val="22"/>
          <w:szCs w:val="22"/>
          <w:lang w:val="it-IT" w:eastAsia="de-DE"/>
          <w14:ligatures w14:val="standardContextual"/>
        </w:rPr>
        <w:tab/>
      </w:r>
      <w:r>
        <w:t>KREDITI IN DRUGA FINANČNA SREDSTVA: DODATNE INFORMACIJE (23)</w:t>
      </w:r>
      <w:r>
        <w:tab/>
      </w:r>
      <w:r>
        <w:fldChar w:fldCharType="begin"/>
      </w:r>
      <w:r>
        <w:instrText xml:space="preserve"> PAGEREF _Toc188539812 \h </w:instrText>
      </w:r>
      <w:r>
        <w:fldChar w:fldCharType="separate"/>
      </w:r>
      <w:r>
        <w:t>81</w:t>
      </w:r>
      <w:r>
        <w:fldChar w:fldCharType="end"/>
      </w:r>
    </w:p>
    <w:p w14:paraId="43A34BD4" w14:textId="4B33B40A"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32.</w:t>
      </w:r>
      <w:r w:rsidRPr="00245084">
        <w:rPr>
          <w:rFonts w:asciiTheme="minorHAnsi" w:eastAsiaTheme="minorEastAsia" w:hAnsiTheme="minorHAnsi" w:cstheme="minorBidi"/>
          <w:kern w:val="2"/>
          <w:sz w:val="22"/>
          <w:szCs w:val="22"/>
          <w:lang w:val="it-IT" w:eastAsia="de-DE"/>
          <w14:ligatures w14:val="standardContextual"/>
        </w:rPr>
        <w:tab/>
      </w:r>
      <w:r>
        <w:t>KREDITI IN DRUGA FINANČNA SREDSTVA: TOKOVI IZ NASLOVA NEDONOSNIH IZPOSTAVLJENOSTI, OSLABITEV IN ODPISOV OD KONCA ZADNJEGA POSLOVNEGA LETA (24)</w:t>
      </w:r>
      <w:r>
        <w:tab/>
      </w:r>
      <w:r>
        <w:fldChar w:fldCharType="begin"/>
      </w:r>
      <w:r>
        <w:instrText xml:space="preserve"> PAGEREF _Toc188539813 \h </w:instrText>
      </w:r>
      <w:r>
        <w:fldChar w:fldCharType="separate"/>
      </w:r>
      <w:r>
        <w:t>82</w:t>
      </w:r>
      <w:r>
        <w:fldChar w:fldCharType="end"/>
      </w:r>
    </w:p>
    <w:p w14:paraId="6AA0D3F6" w14:textId="72C17F67"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32.1.</w:t>
      </w:r>
      <w:r w:rsidRPr="00245084">
        <w:rPr>
          <w:rFonts w:asciiTheme="minorHAnsi" w:eastAsiaTheme="minorEastAsia" w:hAnsiTheme="minorHAnsi" w:cstheme="minorBidi"/>
          <w:kern w:val="2"/>
          <w:sz w:val="22"/>
          <w:szCs w:val="22"/>
          <w:lang w:val="it-IT" w:eastAsia="de-DE"/>
          <w14:ligatures w14:val="standardContextual"/>
        </w:rPr>
        <w:tab/>
      </w:r>
      <w:r>
        <w:t>Krediti in druga finančna sredstva: prilivi in odlivi iz naslova nedonosnih izpostavljenosti (24.1)</w:t>
      </w:r>
      <w:r>
        <w:tab/>
      </w:r>
      <w:r>
        <w:fldChar w:fldCharType="begin"/>
      </w:r>
      <w:r>
        <w:instrText xml:space="preserve"> PAGEREF _Toc188539814 \h </w:instrText>
      </w:r>
      <w:r>
        <w:fldChar w:fldCharType="separate"/>
      </w:r>
      <w:r>
        <w:t>82</w:t>
      </w:r>
      <w:r>
        <w:fldChar w:fldCharType="end"/>
      </w:r>
    </w:p>
    <w:p w14:paraId="36F07D4D" w14:textId="598AB91B"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32.2.</w:t>
      </w:r>
      <w:r w:rsidRPr="00245084">
        <w:rPr>
          <w:rFonts w:asciiTheme="minorHAnsi" w:eastAsiaTheme="minorEastAsia" w:hAnsiTheme="minorHAnsi" w:cstheme="minorBidi"/>
          <w:kern w:val="2"/>
          <w:sz w:val="22"/>
          <w:szCs w:val="22"/>
          <w:lang w:val="it-IT" w:eastAsia="de-DE"/>
          <w14:ligatures w14:val="standardContextual"/>
        </w:rPr>
        <w:tab/>
      </w:r>
      <w:r>
        <w:t>Krediti in druga finančna sredstva: tokovi iz naslova oslabitev in akumuliranih negativnih sprememb poštene vrednosti zaradi kreditnega tveganja pri nedonosnih izpostavljenostih (24.2)</w:t>
      </w:r>
      <w:r>
        <w:tab/>
      </w:r>
      <w:r>
        <w:fldChar w:fldCharType="begin"/>
      </w:r>
      <w:r>
        <w:instrText xml:space="preserve"> PAGEREF _Toc188539815 \h </w:instrText>
      </w:r>
      <w:r>
        <w:fldChar w:fldCharType="separate"/>
      </w:r>
      <w:r>
        <w:t>84</w:t>
      </w:r>
      <w:r>
        <w:fldChar w:fldCharType="end"/>
      </w:r>
    </w:p>
    <w:p w14:paraId="4303D341" w14:textId="412676D9"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32.3.</w:t>
      </w:r>
      <w:r w:rsidRPr="00245084">
        <w:rPr>
          <w:rFonts w:asciiTheme="minorHAnsi" w:eastAsiaTheme="minorEastAsia" w:hAnsiTheme="minorHAnsi" w:cstheme="minorBidi"/>
          <w:kern w:val="2"/>
          <w:sz w:val="22"/>
          <w:szCs w:val="22"/>
          <w:lang w:val="it-IT" w:eastAsia="de-DE"/>
          <w14:ligatures w14:val="standardContextual"/>
        </w:rPr>
        <w:tab/>
      </w:r>
      <w:r>
        <w:t>Krediti in druga finančna sredstva: odpisi nedonosnih izpostavljenosti v obdobju (24.3)</w:t>
      </w:r>
      <w:r>
        <w:tab/>
      </w:r>
      <w:r>
        <w:fldChar w:fldCharType="begin"/>
      </w:r>
      <w:r>
        <w:instrText xml:space="preserve"> PAGEREF _Toc188539816 \h </w:instrText>
      </w:r>
      <w:r>
        <w:fldChar w:fldCharType="separate"/>
      </w:r>
      <w:r>
        <w:t>85</w:t>
      </w:r>
      <w:r>
        <w:fldChar w:fldCharType="end"/>
      </w:r>
    </w:p>
    <w:p w14:paraId="04CC4E1E" w14:textId="5993E511"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33.</w:t>
      </w:r>
      <w:r w:rsidRPr="00245084">
        <w:rPr>
          <w:rFonts w:asciiTheme="minorHAnsi" w:eastAsiaTheme="minorEastAsia" w:hAnsiTheme="minorHAnsi" w:cstheme="minorBidi"/>
          <w:kern w:val="2"/>
          <w:sz w:val="22"/>
          <w:szCs w:val="22"/>
          <w:lang w:val="it-IT" w:eastAsia="de-DE"/>
          <w14:ligatures w14:val="standardContextual"/>
        </w:rPr>
        <w:tab/>
      </w:r>
      <w:r>
        <w:t>ZAVAROVANJE, PRIDOBLJENO S PRIPOSESTVOVANJEM IN POSTOPKI IZVRŠBE (25)</w:t>
      </w:r>
      <w:r>
        <w:tab/>
      </w:r>
      <w:r>
        <w:fldChar w:fldCharType="begin"/>
      </w:r>
      <w:r>
        <w:instrText xml:space="preserve"> PAGEREF _Toc188539817 \h </w:instrText>
      </w:r>
      <w:r>
        <w:fldChar w:fldCharType="separate"/>
      </w:r>
      <w:r>
        <w:t>85</w:t>
      </w:r>
      <w:r>
        <w:fldChar w:fldCharType="end"/>
      </w:r>
    </w:p>
    <w:p w14:paraId="2CDD7EC9" w14:textId="1E6F9B2F"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33.1.</w:t>
      </w:r>
      <w:r w:rsidRPr="00245084">
        <w:rPr>
          <w:rFonts w:asciiTheme="minorHAnsi" w:eastAsiaTheme="minorEastAsia" w:hAnsiTheme="minorHAnsi" w:cstheme="minorBidi"/>
          <w:kern w:val="2"/>
          <w:sz w:val="22"/>
          <w:szCs w:val="22"/>
          <w:lang w:val="it-IT" w:eastAsia="de-DE"/>
          <w14:ligatures w14:val="standardContextual"/>
        </w:rPr>
        <w:tab/>
      </w:r>
      <w:r>
        <w:t>Zavarovanje s premoženjem, pridobljeno s priposestvovanjem, razen zavarovanja, razvrščenega kot opredmetena osnovna sredstva: prilivi in odlivi (25.1)</w:t>
      </w:r>
      <w:r>
        <w:tab/>
      </w:r>
      <w:r>
        <w:fldChar w:fldCharType="begin"/>
      </w:r>
      <w:r>
        <w:instrText xml:space="preserve"> PAGEREF _Toc188539818 \h </w:instrText>
      </w:r>
      <w:r>
        <w:fldChar w:fldCharType="separate"/>
      </w:r>
      <w:r>
        <w:t>85</w:t>
      </w:r>
      <w:r>
        <w:fldChar w:fldCharType="end"/>
      </w:r>
    </w:p>
    <w:p w14:paraId="4855AD1A" w14:textId="299B6569"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33.2.</w:t>
      </w:r>
      <w:r w:rsidRPr="00245084">
        <w:rPr>
          <w:rFonts w:asciiTheme="minorHAnsi" w:eastAsiaTheme="minorEastAsia" w:hAnsiTheme="minorHAnsi" w:cstheme="minorBidi"/>
          <w:kern w:val="2"/>
          <w:sz w:val="22"/>
          <w:szCs w:val="22"/>
          <w:lang w:val="it-IT" w:eastAsia="de-DE"/>
          <w14:ligatures w14:val="standardContextual"/>
        </w:rPr>
        <w:tab/>
      </w:r>
      <w:r>
        <w:t>Zavarovanje s premoženjem, pridobljeno s priposestvovanjem, razen zavarovanja, razvrščenega kot opredmetena osnovna sredstva – vrsta pridobljenega zavarovanja (25.2)</w:t>
      </w:r>
      <w:r>
        <w:tab/>
      </w:r>
      <w:r>
        <w:fldChar w:fldCharType="begin"/>
      </w:r>
      <w:r>
        <w:instrText xml:space="preserve"> PAGEREF _Toc188539819 \h </w:instrText>
      </w:r>
      <w:r>
        <w:fldChar w:fldCharType="separate"/>
      </w:r>
      <w:r>
        <w:t>87</w:t>
      </w:r>
      <w:r>
        <w:fldChar w:fldCharType="end"/>
      </w:r>
    </w:p>
    <w:p w14:paraId="19DE8E3F" w14:textId="2EA0A2BE" w:rsidR="00245084" w:rsidRPr="00245084" w:rsidRDefault="00245084">
      <w:pPr>
        <w:pStyle w:val="TOC2"/>
        <w:rPr>
          <w:rFonts w:asciiTheme="minorHAnsi" w:eastAsiaTheme="minorEastAsia" w:hAnsiTheme="minorHAnsi" w:cstheme="minorBidi"/>
          <w:kern w:val="2"/>
          <w:sz w:val="22"/>
          <w:szCs w:val="22"/>
          <w:lang w:val="it-IT" w:eastAsia="de-DE"/>
          <w14:ligatures w14:val="standardContextual"/>
        </w:rPr>
      </w:pPr>
      <w:r>
        <w:t>33.3.</w:t>
      </w:r>
      <w:r w:rsidRPr="00245084">
        <w:rPr>
          <w:rFonts w:asciiTheme="minorHAnsi" w:eastAsiaTheme="minorEastAsia" w:hAnsiTheme="minorHAnsi" w:cstheme="minorBidi"/>
          <w:kern w:val="2"/>
          <w:sz w:val="22"/>
          <w:szCs w:val="22"/>
          <w:lang w:val="it-IT" w:eastAsia="de-DE"/>
          <w14:ligatures w14:val="standardContextual"/>
        </w:rPr>
        <w:tab/>
      </w:r>
      <w:r>
        <w:t>Zavarovanje s premoženjem, pridobljeno s priposestvovanjem, razvrščeno kot opredmetena osnovna sredstva (25.3)</w:t>
      </w:r>
      <w:r>
        <w:tab/>
      </w:r>
      <w:r>
        <w:fldChar w:fldCharType="begin"/>
      </w:r>
      <w:r>
        <w:instrText xml:space="preserve"> PAGEREF _Toc188539820 \h </w:instrText>
      </w:r>
      <w:r>
        <w:fldChar w:fldCharType="separate"/>
      </w:r>
      <w:r>
        <w:t>87</w:t>
      </w:r>
      <w:r>
        <w:fldChar w:fldCharType="end"/>
      </w:r>
    </w:p>
    <w:p w14:paraId="0A03CB86" w14:textId="48EFBC34" w:rsidR="00245084" w:rsidRDefault="00245084">
      <w:pPr>
        <w:pStyle w:val="TOC2"/>
        <w:rPr>
          <w:rFonts w:asciiTheme="minorHAnsi" w:eastAsiaTheme="minorEastAsia" w:hAnsiTheme="minorHAnsi" w:cstheme="minorBidi"/>
          <w:kern w:val="2"/>
          <w:sz w:val="22"/>
          <w:szCs w:val="22"/>
          <w:lang w:val="de-DE" w:eastAsia="de-DE"/>
          <w14:ligatures w14:val="standardContextual"/>
        </w:rPr>
      </w:pPr>
      <w:r>
        <w:t>34.</w:t>
      </w:r>
      <w:r>
        <w:rPr>
          <w:rFonts w:asciiTheme="minorHAnsi" w:eastAsiaTheme="minorEastAsia" w:hAnsiTheme="minorHAnsi" w:cstheme="minorBidi"/>
          <w:kern w:val="2"/>
          <w:sz w:val="22"/>
          <w:szCs w:val="22"/>
          <w:lang w:val="de-DE" w:eastAsia="de-DE"/>
          <w14:ligatures w14:val="standardContextual"/>
        </w:rPr>
        <w:tab/>
      </w:r>
      <w:r>
        <w:t>UPRAVLJANJE RESTRUKTURIRANJA IN KAKOVOST RESTRUKTURIRANJA (26)</w:t>
      </w:r>
      <w:r>
        <w:tab/>
      </w:r>
      <w:r>
        <w:fldChar w:fldCharType="begin"/>
      </w:r>
      <w:r>
        <w:instrText xml:space="preserve"> PAGEREF _Toc188539821 \h </w:instrText>
      </w:r>
      <w:r>
        <w:fldChar w:fldCharType="separate"/>
      </w:r>
      <w:r>
        <w:t>88</w:t>
      </w:r>
      <w:r>
        <w:fldChar w:fldCharType="end"/>
      </w:r>
    </w:p>
    <w:p w14:paraId="4EA395D7" w14:textId="146A49B9" w:rsidR="00245084" w:rsidRDefault="00245084">
      <w:pPr>
        <w:pStyle w:val="TOC2"/>
        <w:rPr>
          <w:rFonts w:asciiTheme="minorHAnsi" w:eastAsiaTheme="minorEastAsia" w:hAnsiTheme="minorHAnsi" w:cstheme="minorBidi"/>
          <w:kern w:val="2"/>
          <w:sz w:val="22"/>
          <w:szCs w:val="22"/>
          <w:lang w:val="de-DE" w:eastAsia="de-DE"/>
          <w14:ligatures w14:val="standardContextual"/>
        </w:rPr>
      </w:pPr>
      <w:r>
        <w:t>35.</w:t>
      </w:r>
      <w:r>
        <w:rPr>
          <w:rFonts w:asciiTheme="minorHAnsi" w:eastAsiaTheme="minorEastAsia" w:hAnsiTheme="minorHAnsi" w:cstheme="minorBidi"/>
          <w:kern w:val="2"/>
          <w:sz w:val="22"/>
          <w:szCs w:val="22"/>
          <w:lang w:val="de-DE" w:eastAsia="de-DE"/>
          <w14:ligatures w14:val="standardContextual"/>
        </w:rPr>
        <w:tab/>
      </w:r>
      <w:r>
        <w:t>KREDITI IN DRUGA FINANČNA SREDSTVA: POVPREČNO TRAJANJE IN ČAS IZTERJAVE (47)</w:t>
      </w:r>
      <w:r>
        <w:tab/>
      </w:r>
      <w:r>
        <w:fldChar w:fldCharType="begin"/>
      </w:r>
      <w:r>
        <w:instrText xml:space="preserve"> PAGEREF _Toc188539822 \h </w:instrText>
      </w:r>
      <w:r>
        <w:fldChar w:fldCharType="separate"/>
      </w:r>
      <w:r>
        <w:t>90</w:t>
      </w:r>
      <w:r>
        <w:fldChar w:fldCharType="end"/>
      </w:r>
    </w:p>
    <w:p w14:paraId="74B841DA" w14:textId="5D6EF44F" w:rsidR="00245084" w:rsidRDefault="00245084">
      <w:pPr>
        <w:pStyle w:val="TOC1"/>
        <w:tabs>
          <w:tab w:val="right" w:leader="dot" w:pos="8296"/>
        </w:tabs>
        <w:rPr>
          <w:rFonts w:asciiTheme="minorHAnsi" w:eastAsiaTheme="minorEastAsia" w:hAnsiTheme="minorHAnsi" w:cstheme="minorBidi"/>
          <w:b w:val="0"/>
          <w:noProof/>
          <w:kern w:val="2"/>
          <w:sz w:val="22"/>
          <w:szCs w:val="22"/>
          <w:lang w:val="de-DE" w:eastAsia="de-DE"/>
          <w14:ligatures w14:val="standardContextual"/>
        </w:rPr>
      </w:pPr>
      <w:r>
        <w:rPr>
          <w:noProof/>
        </w:rPr>
        <w:lastRenderedPageBreak/>
        <w:t>Vzporejanje kategorij izpostavljenosti in sektorjev nasprotnih strank</w:t>
      </w:r>
      <w:r>
        <w:rPr>
          <w:noProof/>
        </w:rPr>
        <w:tab/>
      </w:r>
      <w:r>
        <w:rPr>
          <w:noProof/>
        </w:rPr>
        <w:fldChar w:fldCharType="begin"/>
      </w:r>
      <w:r>
        <w:rPr>
          <w:noProof/>
        </w:rPr>
        <w:instrText xml:space="preserve"> PAGEREF _Toc188539823 \h </w:instrText>
      </w:r>
      <w:r>
        <w:rPr>
          <w:noProof/>
        </w:rPr>
      </w:r>
      <w:r>
        <w:rPr>
          <w:noProof/>
        </w:rPr>
        <w:fldChar w:fldCharType="separate"/>
      </w:r>
      <w:r>
        <w:rPr>
          <w:noProof/>
        </w:rPr>
        <w:t>90</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DEL 1</w:t>
      </w:r>
      <w:bookmarkEnd w:id="2"/>
    </w:p>
    <w:p w14:paraId="4D293755" w14:textId="77777777" w:rsidR="009569C7" w:rsidRPr="00755ABF" w:rsidRDefault="00A834F1" w:rsidP="009569C7">
      <w:pPr>
        <w:pStyle w:val="Heading1"/>
      </w:pPr>
      <w:bookmarkStart w:id="3" w:name="_Toc362359270"/>
      <w:bookmarkStart w:id="4" w:name="_Toc188539724"/>
      <w:r>
        <w:t>Splošna navodila</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188539725"/>
      <w:r>
        <w:t>Sklici na pravno podlago</w:t>
      </w:r>
      <w:bookmarkEnd w:id="5"/>
      <w:bookmarkEnd w:id="7"/>
    </w:p>
    <w:bookmarkEnd w:id="6"/>
    <w:p w14:paraId="4C61497F" w14:textId="77777777" w:rsidR="009569C7" w:rsidRPr="00755ABF" w:rsidRDefault="00A834F1" w:rsidP="009569C7">
      <w:pPr>
        <w:pStyle w:val="Baseparagraphnumbered"/>
      </w:pPr>
      <w:r>
        <w:t>Ta priloga vsebuje dodatna navodila v zvezi s predlogami za poročanje o finančnih informacijah (FINREP) iz Priloge III in Priloge IV k tej uredbi. Ta priloga dopolnjuje navodila, ki so v predlogah iz Priloge III in Priloge IV navedena v obliki sklicev na pravno podlago.</w:t>
      </w:r>
    </w:p>
    <w:p w14:paraId="4B4D7390" w14:textId="77777777" w:rsidR="009569C7" w:rsidRPr="00755ABF" w:rsidRDefault="00A834F1" w:rsidP="009569C7">
      <w:pPr>
        <w:pStyle w:val="Baseparagraphnumbered"/>
      </w:pPr>
      <w:r>
        <w:t>Institucije, ki uporabljajo nacionalne računovodske standarde, združljive z MSRP (združljivi nacionalni GAAP), uporabljajo splošna navodila in navodila na podlagi MSRP iz te Priloge, razen če je določeno drugače. To ne posega v skladnost zahtev združljivih nacionalnih GAAP z zahtevami direktive o računovodskih izkazih bank. Institucije, ki uporabljajo zahteve nacionalnih GAAP, ki niso združljive z MSRP ali ki še niso bile usklajene z zahtevami MSRP 9, uporabljajo splošna navodila in navodila na podlagi direktive o računovodskih izkazih bank iz te priloge, razen če je določeno drugače.</w:t>
      </w:r>
    </w:p>
    <w:p w14:paraId="755740C3" w14:textId="77777777" w:rsidR="009569C7" w:rsidRPr="00755ABF" w:rsidRDefault="00A834F1" w:rsidP="009569C7">
      <w:pPr>
        <w:pStyle w:val="Baseparagraphnumbered"/>
      </w:pPr>
      <w:r>
        <w:t>Podatkovne točke, opredeljene v predlogah, se pripravijo v skladu s pravili za pripoznavanje, pobot in vrednotenje ustreznega računovodskega okvira iz člena 4(1)(77) Uredbe (EU) št. 575/2013.</w:t>
      </w:r>
    </w:p>
    <w:p w14:paraId="2F5C76CC" w14:textId="77777777" w:rsidR="009569C7" w:rsidRPr="00755ABF" w:rsidRDefault="00DE2FAA" w:rsidP="009569C7">
      <w:pPr>
        <w:pStyle w:val="Baseparagraphnumbered"/>
      </w:pPr>
      <w:r>
        <w:t>Institucija predloži le dele predlog, ki se nanašajo na:</w:t>
      </w:r>
    </w:p>
    <w:p w14:paraId="094630A0" w14:textId="77777777" w:rsidR="009569C7" w:rsidRPr="00755ABF" w:rsidRDefault="00A834F1" w:rsidP="00C35843">
      <w:pPr>
        <w:pStyle w:val="Baseparagraphnumbered"/>
        <w:numPr>
          <w:ilvl w:val="0"/>
          <w:numId w:val="28"/>
        </w:numPr>
        <w:ind w:left="1134" w:hanging="426"/>
      </w:pPr>
      <w:r>
        <w:t>sredstva, obveznosti, lastniški kapital, prihodke in odhodke, ki jih pripozna institucija;</w:t>
      </w:r>
    </w:p>
    <w:p w14:paraId="64C42CA9" w14:textId="77777777" w:rsidR="009569C7" w:rsidRPr="00755ABF" w:rsidRDefault="00A834F1" w:rsidP="00C35843">
      <w:pPr>
        <w:pStyle w:val="Baseparagraphnumbered"/>
        <w:numPr>
          <w:ilvl w:val="0"/>
          <w:numId w:val="28"/>
        </w:numPr>
        <w:ind w:left="1134" w:hanging="426"/>
      </w:pPr>
      <w:r>
        <w:t>zunajbilančne izpostavljenosti in dejavnosti, v katerih sodeluje institucija;</w:t>
      </w:r>
    </w:p>
    <w:p w14:paraId="54F2349F" w14:textId="77777777" w:rsidR="009569C7" w:rsidRPr="00755ABF" w:rsidRDefault="00A834F1" w:rsidP="00C35843">
      <w:pPr>
        <w:pStyle w:val="Baseparagraphnumbered"/>
        <w:numPr>
          <w:ilvl w:val="0"/>
          <w:numId w:val="28"/>
        </w:numPr>
        <w:ind w:left="1134" w:hanging="426"/>
      </w:pPr>
      <w:r>
        <w:t>posle, ki jih izvaja institucija;</w:t>
      </w:r>
    </w:p>
    <w:p w14:paraId="6AD9A0CF" w14:textId="77777777" w:rsidR="009569C7" w:rsidRPr="00755ABF" w:rsidRDefault="00A834F1" w:rsidP="00C35843">
      <w:pPr>
        <w:pStyle w:val="Baseparagraphnumbered"/>
        <w:numPr>
          <w:ilvl w:val="0"/>
          <w:numId w:val="28"/>
        </w:numPr>
        <w:ind w:left="1134" w:hanging="425"/>
      </w:pPr>
      <w:r>
        <w:t>pravila za vrednotenje, vključno z metodami za ocenjevanje popravkov vrednosti za kreditno tveganje, ki jih uporablja institucija.</w:t>
      </w:r>
    </w:p>
    <w:p w14:paraId="39FB185D" w14:textId="77777777" w:rsidR="009569C7" w:rsidRPr="00755ABF" w:rsidRDefault="00A834F1" w:rsidP="00973325">
      <w:pPr>
        <w:pStyle w:val="Baseparagraphnumbered"/>
        <w:ind w:left="851" w:hanging="284"/>
      </w:pPr>
      <w:r>
        <w:t>V Prilogi III in Prilogi IV ter v tej prilogi se uporabljajo naslednje okrajšave:</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„CRR“ pomeni Uredbo (EU) št.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lastRenderedPageBreak/>
        <w:t>„MRS“ ali „MSRP“ pomeni „mednarodne računovodske standarde“, kot so opredeljeni v členu 2 Uredbe (ES) št. 1606/2002 Evropskega parlamenta in Sveta</w:t>
      </w:r>
      <w:r>
        <w:rPr>
          <w:rStyle w:val="FootnoteReference"/>
          <w:rFonts w:ascii="Times New Roman" w:hAnsi="Times New Roman"/>
          <w:sz w:val="24"/>
          <w:szCs w:val="24"/>
          <w:lang w:eastAsia="en-GB"/>
        </w:rPr>
        <w:footnoteReference w:id="2"/>
      </w:r>
      <w:r>
        <w:rPr>
          <w:rFonts w:ascii="Times New Roman" w:hAnsi="Times New Roman"/>
          <w:sz w:val="24"/>
        </w:rPr>
        <w:t>, ki jih je sprejela Komisija;</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„uredba ECB o statističnih postavkah bilance stanja“ ali „ECB/2013/33“ </w:t>
      </w:r>
      <w:bookmarkStart w:id="8" w:name="OLE_LINK2"/>
      <w:r>
        <w:rPr>
          <w:rFonts w:ascii="Times New Roman" w:hAnsi="Times New Roman"/>
          <w:sz w:val="24"/>
        </w:rPr>
        <w:t>pomeni Uredbo (EU) št. 1071/2013 Evropske centralne banke</w:t>
      </w:r>
      <w:r>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„uredba NACE“ pomeni Uredbo (ES) št. 1893/2006 Evropskega parlamenta in Sveta</w:t>
      </w:r>
      <w:r>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„oznake NACE“ pomenijo oznake iz uredbe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„direktiva o računovodskih izkazih bank“ pomeni Direktivo Sveta 86/635/EGS</w:t>
      </w:r>
      <w:r>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„računovodska direktiva“ pomeni Direktivo 2013/34/EU Evropskega parlamenta in Sveta</w:t>
      </w:r>
      <w:r>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„nacionalna GAAP“ pomeni nacionalna splošno sprejeta računovodska načela, razvita v skladu z direktivo o računovodskih izkazih bank;</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„MSP“ pomeni mikro, mala in srednja podjetja, kot so opredeljena v Priporočilu Komisije C(2003) 1422</w:t>
      </w:r>
      <w:r>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„koda ISIN“ pomeni mednarodno identifikacijsko številko vrednostnega papirja, dodeljeno vrednostnim papirjem, ki je sestavljena iz 12 </w:t>
      </w:r>
      <w:proofErr w:type="spellStart"/>
      <w:r>
        <w:rPr>
          <w:rFonts w:ascii="Times New Roman" w:hAnsi="Times New Roman"/>
          <w:sz w:val="24"/>
        </w:rPr>
        <w:t>alfanumeričnih</w:t>
      </w:r>
      <w:proofErr w:type="spellEnd"/>
      <w:r>
        <w:rPr>
          <w:rFonts w:ascii="Times New Roman" w:hAnsi="Times New Roman"/>
          <w:sz w:val="24"/>
        </w:rPr>
        <w:t xml:space="preserve"> znakov in enoznačno označuje izdajo vrednostnih papirjev;</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„koda LEI“ pomeni kodo mednarodnega identifikatorja pravnih subjektov, dodeljeno subjektom, ki enoznačno označuje stranko v finančnem poslu;</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„skupine za namen oslabitev“ pomenijo kategorije oslabitve, kot so opredeljene v oddelku 5.5 MSRP 9; „prva skupina“ se nanaša na oslabitev, merjeno v skladu s 5.5.5. členom MSRP 9; „druga skupina“ se nanaša na oslabitev, merjeno v skladu s 5.5.3. členom MSRP 9; „tretja skupina“ se </w:t>
      </w:r>
      <w:r>
        <w:rPr>
          <w:rFonts w:ascii="Times New Roman" w:hAnsi="Times New Roman"/>
          <w:sz w:val="24"/>
        </w:rPr>
        <w:lastRenderedPageBreak/>
        <w:t>nanaša na oslabitev finančnih sredstev s poslabšano kreditno kakovostjo, kot so opredeljena v Prilogi A k MSRP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„Priporočilo ESRB o odpravljanju vrzeli v podatkih o nepremičninah“ se nanaša na Priporočilo Evropskega odbora za sistemska tveganja z dne 31. oktobra 2016 o odpravljanju vrzeli v podatkih o nepremičninah (ESRB/2016/14)</w:t>
      </w:r>
      <w:r>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539726"/>
      <w:r>
        <w:t>Dogovori</w:t>
      </w:r>
      <w:bookmarkEnd w:id="10"/>
      <w:bookmarkEnd w:id="11"/>
    </w:p>
    <w:bookmarkEnd w:id="9"/>
    <w:p w14:paraId="08708547" w14:textId="77777777" w:rsidR="009569C7" w:rsidRPr="00755ABF" w:rsidRDefault="00A834F1" w:rsidP="009569C7">
      <w:pPr>
        <w:pStyle w:val="Baseparagraphnumbered"/>
      </w:pPr>
      <w:r>
        <w:t>V Prilogi III in Prilogi IV podatkovna točka, označena s sivo, pomeni, da se ta podatkovna točka ne zahteva ali da o njej ni mogoče poročati. V Prilogi IV s črno označena vrstica ali stolpec s sklici na pravno podlago pomeni, da zadevnih podatkovnih točk ne predložijo institucije, ki upoštevajo navedeno pravno podlago v zadevni vrstici ali stolpcu.</w:t>
      </w:r>
    </w:p>
    <w:p w14:paraId="5FB5AFD6" w14:textId="77777777" w:rsidR="009569C7" w:rsidRPr="00755ABF" w:rsidRDefault="00A834F1" w:rsidP="009569C7">
      <w:pPr>
        <w:pStyle w:val="Baseparagraphnumbered"/>
      </w:pPr>
      <w:r>
        <w:t>Predloge v Prilogi III in Prilogi IV vključujejo implicitna validacijska pravila, ki so določena v samih predlogah z uporabo dogovorov.</w:t>
      </w:r>
    </w:p>
    <w:p w14:paraId="582783AD" w14:textId="77777777" w:rsidR="009569C7" w:rsidRPr="00755ABF" w:rsidRDefault="00A834F1" w:rsidP="009569C7">
      <w:pPr>
        <w:pStyle w:val="Baseparagraphnumbered"/>
      </w:pPr>
      <w:r>
        <w:t>Uporaba oklepajev pri oznaki postavke v predlogi pomeni, da je treba to postavko odšteti za izračun končne vrednosti, kar pa ne pomeni, da se jo poroča kot negativno postavko.</w:t>
      </w:r>
    </w:p>
    <w:p w14:paraId="7EF36301" w14:textId="77777777" w:rsidR="009569C7" w:rsidRPr="00755ABF" w:rsidRDefault="00A834F1" w:rsidP="009569C7">
      <w:pPr>
        <w:pStyle w:val="Baseparagraphnumbered"/>
      </w:pPr>
      <w:r>
        <w:t>Postavke, ki se poročajo kot negativne vrednosti, so v predlogah označene s predznakom „(–)“ na začetku njihove oznake, na primer „(–) lastne delnice“.</w:t>
      </w:r>
    </w:p>
    <w:p w14:paraId="5A2A116D" w14:textId="77777777" w:rsidR="009569C7" w:rsidRPr="00755ABF" w:rsidRDefault="00A834F1" w:rsidP="009569C7">
      <w:pPr>
        <w:pStyle w:val="Baseparagraphnumbered"/>
      </w:pPr>
      <w:r>
        <w:t xml:space="preserve">V „modelu podatkovne točke“ pri predlogah za poročanje o finančnih informacijah iz Priloge III in Priloge IV ima vsaka podatkovna točka (celica) „osnovno postavko“, ki se ji dodeli atribut „v dobro/v breme“. Taka dodelitev zagotavlja, da vsi subjekti, ki poročajo podatkovne točke, upoštevajo „dogovor glede predznaka“, in omogoča poznavanje atributa „v dobro/v breme“, ki ustreza posamezni podatkovni točki. </w:t>
      </w:r>
    </w:p>
    <w:p w14:paraId="1AEB6A60" w14:textId="77777777" w:rsidR="009569C7" w:rsidRPr="00755ABF" w:rsidRDefault="00A834F1" w:rsidP="009569C7">
      <w:pPr>
        <w:pStyle w:val="Baseparagraphnumbered"/>
      </w:pPr>
      <w:r>
        <w:t>Delovanje dogovora je shematsko prikazano v razpredelnici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Razpredelnica 1: Dogovor o atributu v dobro/v breme, pozitivni in negativni predznaki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 dobro</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 breme</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Stanje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/gibanje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Poročana vrednost</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Sredstva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 breme</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sredstev</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pozitivna („običajna“, predznak ni potreben)</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sredstev</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negativno stanje sredstev</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sredstev</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lastRenderedPageBreak/>
              <w:t>Odhodki</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odhodkov</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odhodkov</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negativno stanje (vključno z razveljavitvami) odhodkov</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odhodkov</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Obveznosti</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 dobro</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obveznosti</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obveznosti</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negativno stanje obveznosti</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obveznosti</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Lastniški kapital</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lastniškega kapitala</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negativno stanje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lastniškega kapitala</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Prihodki</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prihodkov</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prihodkov</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negativno stanje (vključno z razveljavitvami) prihodkov</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prihodkov</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539727"/>
      <w:r>
        <w:t>Konsolidacija</w:t>
      </w:r>
      <w:bookmarkEnd w:id="12"/>
      <w:bookmarkEnd w:id="13"/>
    </w:p>
    <w:p w14:paraId="5C31EC24" w14:textId="77777777" w:rsidR="009569C7" w:rsidRPr="00755ABF" w:rsidRDefault="00A834F1" w:rsidP="009569C7">
      <w:pPr>
        <w:pStyle w:val="Baseparagraphnumbered"/>
      </w:pPr>
      <w:r>
        <w:t xml:space="preserve">Če v tej prilogi ni določeno drugače, se predloge FINREP pripravijo z uporabo bonitetnega obsega konsolidacije v skladu z oddelkom 2 poglavja 2 naslova II dela 1 CRR. Institucije obračunavajo svoje podrejene, pridružene in skupaj obvladovane družbe na podlagi enakih metod kot pri bonitetni konsolidaciji: </w:t>
      </w:r>
    </w:p>
    <w:p w14:paraId="023CFA52" w14:textId="77777777" w:rsidR="009569C7" w:rsidRPr="00755ABF" w:rsidRDefault="00A834F1" w:rsidP="00C35843">
      <w:pPr>
        <w:pStyle w:val="Baseparagraphnumbered"/>
        <w:numPr>
          <w:ilvl w:val="1"/>
          <w:numId w:val="26"/>
        </w:numPr>
        <w:ind w:left="993"/>
      </w:pPr>
      <w:r>
        <w:t>institucijam se lahko dovoli ali se od njih zahteva uporaba kapitalske metode za naložbe v zavarovalniške in nefinančne podrejene družbe v skladu s členom 18(5) CRR;</w:t>
      </w:r>
    </w:p>
    <w:p w14:paraId="785BDC13" w14:textId="77777777" w:rsidR="009569C7" w:rsidRPr="00755ABF" w:rsidRDefault="00A834F1" w:rsidP="00C35843">
      <w:pPr>
        <w:pStyle w:val="Baseparagraphnumbered"/>
        <w:numPr>
          <w:ilvl w:val="1"/>
          <w:numId w:val="26"/>
        </w:numPr>
        <w:ind w:left="993"/>
      </w:pPr>
      <w:r>
        <w:t>institucijam se lahko dovoli uporaba metode sorazmerne konsolidacije za finančne podrejene družbe v skladu s členom 18(2) CRR;</w:t>
      </w:r>
    </w:p>
    <w:p w14:paraId="7716BF42" w14:textId="77777777" w:rsidR="009569C7" w:rsidRPr="00755ABF" w:rsidRDefault="00A834F1" w:rsidP="00C35843">
      <w:pPr>
        <w:pStyle w:val="Baseparagraphnumbered"/>
        <w:numPr>
          <w:ilvl w:val="1"/>
          <w:numId w:val="26"/>
        </w:numPr>
        <w:ind w:left="993"/>
      </w:pPr>
      <w:r>
        <w:lastRenderedPageBreak/>
        <w:t>od institucije se lahko zahteva uporaba metode sorazmerne konsolidacije za naložbe v skupaj obvladovane družbe v skladu s členom 18(4) 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539728"/>
      <w:r>
        <w:t>Računovodski portfelji</w:t>
      </w:r>
      <w:bookmarkEnd w:id="14"/>
      <w:bookmarkEnd w:id="15"/>
      <w:r>
        <w:t xml:space="preserve"> finančnih instrumentov</w:t>
      </w:r>
      <w:bookmarkEnd w:id="16"/>
      <w:r>
        <w:t xml:space="preserve"> </w:t>
      </w:r>
    </w:p>
    <w:p w14:paraId="265D72FA" w14:textId="77777777" w:rsidR="009569C7" w:rsidRPr="00755ABF" w:rsidRDefault="00A834F1" w:rsidP="009569C7">
      <w:pPr>
        <w:pStyle w:val="Baseparagraphnumbered"/>
      </w:pPr>
      <w:r>
        <w:t>Za namene prilog III in IV ter te priloge „računovodski portfelji“ pomenijo finančne instrumente, združene glede na pravila za vrednotenje. Ta združevanja ne vključujejo naložb v kapital podrejenih, pridruženih in skupaj obvladovanih družb, stanj sredstev na vpogled, ki so razvrščena kot „denar v blagajni, stanja na računih pri centralnih bankah in vloge na vpogled pri bankah“, in finančnih instrumentov, ki so razvrščeni kot „v posesti za prodajo“ in prikazani v postavkah „nekratkoročna sredstva in skupine za odtujitev, razvrščene kot v posesti za prodajo“ in „obveznosti, vključene v skupine za odtujitev, razvrščene kot v posesti za prodajo“.</w:t>
      </w:r>
    </w:p>
    <w:p w14:paraId="6A10999D" w14:textId="77777777" w:rsidR="009569C7" w:rsidRPr="00755ABF" w:rsidRDefault="00A834F1" w:rsidP="009569C7">
      <w:pPr>
        <w:pStyle w:val="Baseparagraphnumbered"/>
      </w:pPr>
      <w:r>
        <w:t>V skladu z nacionalnimi GAAP institucije, ki se jim dovoli ali se od njih zahteva uporaba nekaterih pravil za vrednotenje finančnih instrumentov v skladu z MSRP, predložijo ustrezne računovodske portfelje po MSRP v obsegu, v katerem se ta pravila uporabljajo. Če pravila za vrednotenje finančnih instrumentov, ki jih institucije lahko ali morajo uporabljati v skladu z nacionalnimi GAAP na podlagi direktive o računovodskih izkazih bank, temeljijo na pravilih za vrednotenje iz MRS 39, institucije za vse svoje finančne instrumente predložijo računovodske portfelje na podlagi direktive o računovodskih izkazih bank, dokler pravila za vrednotenje, ki jih uporabljajo, ne temeljijo na pravilih za vrednotenje iz MSRP 9.</w:t>
      </w:r>
    </w:p>
    <w:p w14:paraId="19E2101A" w14:textId="77777777" w:rsidR="009569C7" w:rsidRPr="00755ABF" w:rsidRDefault="00A834F1" w:rsidP="009569C7">
      <w:pPr>
        <w:pStyle w:val="sub-subtitlenumbered"/>
      </w:pPr>
      <w:bookmarkStart w:id="17" w:name="_Toc188539729"/>
      <w:r>
        <w:t>Finančna sredstva</w:t>
      </w:r>
      <w:bookmarkEnd w:id="17"/>
    </w:p>
    <w:p w14:paraId="109076C9" w14:textId="77777777" w:rsidR="009569C7" w:rsidRPr="00755ABF" w:rsidRDefault="00A834F1" w:rsidP="009569C7">
      <w:pPr>
        <w:pStyle w:val="Baseparagraphnumbered"/>
      </w:pPr>
      <w:r>
        <w:t>Za finančna sredstva se uporabijo naslednji računovodski portfelji na podlagi MSRP:</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v posesti za trgovanje“;</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„netrgovalna finančna sredstva, obvezno merjena po pošteni vrednosti prek poslovnega izida“;</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določena za merjenje po pošteni vrednosti prek poslovnega izida“;</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merjena po pošteni vrednosti prek drugega vseobsegajočega donosa“;</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merjena po odplačni vrednosti“.</w:t>
      </w:r>
    </w:p>
    <w:p w14:paraId="23C7E3DE" w14:textId="77777777" w:rsidR="009569C7" w:rsidRPr="00755ABF" w:rsidRDefault="00A834F1" w:rsidP="009569C7">
      <w:pPr>
        <w:pStyle w:val="Baseparagraphnumbered"/>
      </w:pPr>
      <w:r>
        <w:t>Za finančna sredstva se uporabljajo naslednji računovodski portfelji na podlagi nacionalnih GAAP:</w:t>
      </w:r>
    </w:p>
    <w:p w14:paraId="467D938A" w14:textId="77777777" w:rsidR="009569C7" w:rsidRPr="00755ABF" w:rsidRDefault="00A834F1" w:rsidP="00C35843">
      <w:pPr>
        <w:pStyle w:val="Baseparagraphnumbered"/>
        <w:numPr>
          <w:ilvl w:val="0"/>
          <w:numId w:val="33"/>
        </w:numPr>
        <w:ind w:left="1134"/>
      </w:pPr>
      <w:r>
        <w:t xml:space="preserve">„trgovalna finančna sredstva“; </w:t>
      </w:r>
    </w:p>
    <w:p w14:paraId="5A91F171" w14:textId="77777777" w:rsidR="009569C7" w:rsidRPr="00755ABF" w:rsidRDefault="00A834F1" w:rsidP="00C35843">
      <w:pPr>
        <w:pStyle w:val="Baseparagraphnumbered"/>
        <w:numPr>
          <w:ilvl w:val="0"/>
          <w:numId w:val="33"/>
        </w:numPr>
        <w:ind w:left="1134"/>
      </w:pPr>
      <w:r>
        <w:t xml:space="preserve">„netrgovalna neizvedena finančna sredstva, merjena po pošteni vrednosti prek poslovnega izida“; </w:t>
      </w:r>
    </w:p>
    <w:p w14:paraId="2BE873DD" w14:textId="77777777" w:rsidR="009569C7" w:rsidRPr="00755ABF" w:rsidRDefault="00A834F1" w:rsidP="009569C7">
      <w:pPr>
        <w:pStyle w:val="Baseparagraphnumbered"/>
        <w:numPr>
          <w:ilvl w:val="0"/>
          <w:numId w:val="0"/>
        </w:numPr>
        <w:ind w:left="1134" w:hanging="360"/>
      </w:pPr>
      <w:r>
        <w:lastRenderedPageBreak/>
        <w:t>(c) „netrgovalna neizvedena finančna sredstva, merjena po pošteni vrednosti prek lastniškega kapitala“;</w:t>
      </w:r>
    </w:p>
    <w:p w14:paraId="0FB1A9C6" w14:textId="77777777" w:rsidR="009569C7" w:rsidRPr="00755ABF" w:rsidRDefault="00A834F1" w:rsidP="009569C7">
      <w:pPr>
        <w:pStyle w:val="Baseparagraphnumbered"/>
        <w:numPr>
          <w:ilvl w:val="0"/>
          <w:numId w:val="0"/>
        </w:numPr>
        <w:ind w:left="1134" w:hanging="360"/>
      </w:pPr>
      <w:r>
        <w:t>(d) „netrgovalna neizvedena finančna sredstva, merjena z metodo na podlagi nabavne vrednosti“</w:t>
      </w:r>
    </w:p>
    <w:p w14:paraId="2DCAC528" w14:textId="77777777" w:rsidR="009569C7" w:rsidRPr="00911EB0" w:rsidRDefault="00A834F1" w:rsidP="009569C7">
      <w:pPr>
        <w:pStyle w:val="Baseparagraphnumbered"/>
        <w:numPr>
          <w:ilvl w:val="0"/>
          <w:numId w:val="0"/>
        </w:numPr>
        <w:ind w:left="1134" w:hanging="360"/>
      </w:pPr>
      <w:r>
        <w:t>(e) „druga netrgovalna neizvedena finančna sredstva“.</w:t>
      </w:r>
    </w:p>
    <w:p w14:paraId="56FA5A29" w14:textId="77777777" w:rsidR="009569C7" w:rsidRPr="00755ABF" w:rsidRDefault="00A834F1" w:rsidP="009569C7">
      <w:pPr>
        <w:pStyle w:val="Baseparagraphnumbered"/>
      </w:pPr>
      <w:r>
        <w:t>Izraz „trgovalna finančna sredstva“ vključuje vsa finančna sredstva, ki so razvrščena kot trgovalna v skladu z ustreznimi nacionalnimi GAAP na podlagi direktive o računovodskih izkazih bank. Ne glede na metodologijo merjenja, ki se uporablja v skladu z ustreznimi nacionalnimi GAAP na podlagi direktive o računovodskih izkazih bank, se vsi izvedeni finančni instrumenti s pozitivnim stanjem za institucijo poročevalko, ki niso razvrščeni pod obračunavanje varovanja pred tveganjem v skladu z odstavkom 22 tega dela, poročajo kot trgovalna finančna sredstva. Ta razvrstitev se uporablja tudi za izvedene finančne instrumente, ki v skladu z nacionalnimi GAAP na podlagi direktive o računovodskih izkazih bank niso pripoznani v bilanci stanja oziroma so v bilanci stanja pripoznane samo spremembe njihove poštene vrednosti ali ki se uporabljajo kot ekonomska varovanja, kot so opredeljena v odstavku 137 dela 2 te priloge.</w:t>
      </w:r>
    </w:p>
    <w:p w14:paraId="5D61AD6F" w14:textId="77777777" w:rsidR="009569C7" w:rsidRPr="00755ABF" w:rsidRDefault="00A834F1" w:rsidP="009569C7">
      <w:pPr>
        <w:pStyle w:val="Baseparagraphnumbered"/>
      </w:pPr>
      <w:r>
        <w:t xml:space="preserve">V skladu z nacionalnimi GAAP na podlagi direktive o računovodskih izkazih bank za finančna sredstva „metode na podlagi nabavne vrednosti“ vključujejo pravila za vrednotenje, po katerih se dolžniški instrument meri po nabavni vrednosti, ki se ji prištejejo že obračunane obresti, temu pa se odštejejo izgube zaradi oslabitve. </w:t>
      </w:r>
    </w:p>
    <w:p w14:paraId="074773AA" w14:textId="77777777" w:rsidR="009569C7" w:rsidRPr="00755ABF" w:rsidRDefault="00A834F1" w:rsidP="009569C7">
      <w:pPr>
        <w:pStyle w:val="Baseparagraphnumbered"/>
      </w:pPr>
      <w:r>
        <w:t xml:space="preserve">V skladu z nacionalnimi GAAP na podlagi direktive o računovodskih izkazih bank „netrgovalna neizvedena finančna sredstva, merjena z metodo na podlagi nabavne vrednosti“ vključujejo finančne instrumente, merjene z metodami na podlagi nabavne vrednosti, in instrumente, merjene po nižji izmed nabavne ali tržne vrednosti (LOCOM) na nestalni osnovi (zmerni LOCOM) ne glede na njihovo dejansko merjenje na referenčni datum poročanja. Sredstva, merjena po zmernem LOCOM, so sredstva, za katera se LOCOM uporablja samo v določenih okoliščinah. Te okoliščine določa veljavni računovodski okvir in lahko vključujejo oslabitev, dolgotrajnejše zmanjšanje poštene vrednosti glede na nabavno ali spremembo namena, za katerega se sredstvo upravlja. </w:t>
      </w:r>
    </w:p>
    <w:p w14:paraId="5B2CE94B" w14:textId="77777777" w:rsidR="009569C7" w:rsidRPr="00755ABF" w:rsidRDefault="00A834F1" w:rsidP="009569C7">
      <w:pPr>
        <w:pStyle w:val="Baseparagraphnumbered"/>
      </w:pPr>
      <w:r>
        <w:t>V skladu z nacionalnimi GAAP na podlagi direktive o računovodskih izkazih bank „druga netrgovalna neizvedena finančna sredstva“ vključujejo finančna sredstva, ki niso primerna za vključitev v druge računovodske portfelje. Ta računovodski portfelj med drugim vključuje finančna sredstva, ki se stalno merijo po LOCOM (strogi LOCOM). Sredstva, merjena po strogem LOCOM, so sredstva, za katera veljavni računovodski okvir določa začetno in poznejše merjenje po LOCOM ali začetno merjenje po nabavni vrednosti in poznejše merjenje po LOCOM.</w:t>
      </w:r>
    </w:p>
    <w:p w14:paraId="64FEC659" w14:textId="77777777" w:rsidR="009569C7" w:rsidRPr="00755ABF" w:rsidRDefault="00A834F1" w:rsidP="009569C7">
      <w:pPr>
        <w:pStyle w:val="Baseparagraphnumbered"/>
      </w:pPr>
      <w:r>
        <w:t xml:space="preserve">Ne glede na njihovo metodo merjenja se naložbe v kapital podrejenih, pridruženih in skupaj obvladovanih družb, ki niso polno ali sorazmerno </w:t>
      </w:r>
      <w:r>
        <w:lastRenderedPageBreak/>
        <w:t>konsolidirane v skladu z regulativnim obsegom konsolidacije, poročajo pod postavko „naložbe v kapital podrejenih, pridruženih in skupaj obvladovanih družb, obračunane s kapitalsko metodo“, razen če so razvrščene kot v posesti za prodajo v skladu z MSRP 5.</w:t>
      </w:r>
    </w:p>
    <w:p w14:paraId="1D0C37F3" w14:textId="77777777" w:rsidR="009569C7" w:rsidRPr="00755ABF" w:rsidRDefault="00A834F1" w:rsidP="009569C7">
      <w:pPr>
        <w:pStyle w:val="Baseparagraphnumbered"/>
      </w:pPr>
      <w:r>
        <w:t xml:space="preserve"> „Izvedeni finančni instrumenti – obračunavanje varovanja pred tveganjem“ vključujejo izvedene finančne instrumente s pozitivnim stanjem za institucijo poročevalko, ki se posedujejo za namene obračunavanja varovanja pred tveganjem v skladu z MSRP. V skladu z nacionalnimi GAAP na podlagi direktive o računovodskih izkazih bank se izvedeni finančni instrumenti v netrgovalni knjigi razvrstijo kot izvedeni finančni instrumenti v posesti za obračunavanje varovanja pred tveganjem, samo če v skladu z ustreznimi nacionalnimi GAAP na podlagi direktive o računovodskih izkazih bank obstajajo posebna računovodska pravila za izvedene finančne instrumente v netrgovalni knjigi in ti izvedeni finančni instrumenti zmanjšujejo tveganje druge pozicije v netrgovalni knjigi.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539730"/>
      <w:r>
        <w:t>Finančne obveznosti</w:t>
      </w:r>
      <w:bookmarkEnd w:id="18"/>
      <w:bookmarkEnd w:id="19"/>
      <w:bookmarkEnd w:id="20"/>
    </w:p>
    <w:p w14:paraId="241103D0" w14:textId="77777777" w:rsidR="009569C7" w:rsidRPr="00755ABF" w:rsidRDefault="00A834F1" w:rsidP="009569C7">
      <w:pPr>
        <w:pStyle w:val="Baseparagraphnumbered"/>
      </w:pPr>
      <w:r>
        <w:t xml:space="preserve">Za finančne obveznosti se uporabljajo naslednji računovodski portfelji na podlagi MSRP: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„finančne obveznosti v posesti za trgovanje“;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„finančne obveznosti, določene za merjenje po pošteni vrednosti prek poslovnega izida“;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„finančne obveznosti, merjene po odplačni vrednosti“.</w:t>
      </w:r>
    </w:p>
    <w:p w14:paraId="7E903FE0" w14:textId="77777777" w:rsidR="009569C7" w:rsidRPr="00755ABF" w:rsidRDefault="00A834F1" w:rsidP="009569C7">
      <w:pPr>
        <w:pStyle w:val="Baseparagraphnumbered"/>
      </w:pPr>
      <w:r>
        <w:t xml:space="preserve">Za finančne obveznosti se uporabljajo naslednji računovodski portfelji na podlagi nacionalnih GAAP: </w:t>
      </w:r>
    </w:p>
    <w:p w14:paraId="7EEF6FEE" w14:textId="77777777" w:rsidR="009569C7" w:rsidRPr="00755ABF" w:rsidRDefault="00A834F1" w:rsidP="009569C7">
      <w:pPr>
        <w:pStyle w:val="Baseparagraphnumbered"/>
        <w:numPr>
          <w:ilvl w:val="0"/>
          <w:numId w:val="0"/>
        </w:numPr>
        <w:ind w:left="1134" w:hanging="283"/>
      </w:pPr>
      <w:r>
        <w:t xml:space="preserve">(a) „trgovalne finančne obveznosti“; </w:t>
      </w:r>
    </w:p>
    <w:p w14:paraId="42A5EB88" w14:textId="77777777" w:rsidR="009569C7" w:rsidRPr="00755ABF" w:rsidRDefault="00A834F1" w:rsidP="009569C7">
      <w:pPr>
        <w:pStyle w:val="Baseparagraphnumbered"/>
        <w:numPr>
          <w:ilvl w:val="0"/>
          <w:numId w:val="0"/>
        </w:numPr>
        <w:ind w:left="1134" w:hanging="283"/>
      </w:pPr>
      <w:r>
        <w:t>(b) „netrgovalne neizvedene finančne obveznosti, merjene z metodo na podlagi nabavne vrednosti“.</w:t>
      </w:r>
    </w:p>
    <w:p w14:paraId="724993CC" w14:textId="77777777" w:rsidR="009569C7" w:rsidRPr="00755ABF" w:rsidRDefault="00A834F1" w:rsidP="009569C7">
      <w:pPr>
        <w:pStyle w:val="Baseparagraphnumbered"/>
      </w:pPr>
      <w:r>
        <w:t>Izraz „trgovalne finančne obveznosti“ vključuje vse finančne obveznosti, ki so razvrščene kot trgovalne v skladu z ustreznimi nacionalnimi GAAP na podlagi direktive o računovodskih izkazih bank. Ne glede na metodologijo merjenja, ki se uporablja v skladu z ustreznimi nacionalnimi GAAP na podlagi direktive o računovodskih izkazih bank, se vsi izvedeni finančni instrumenti z negativnim stanjem za institucijo poročevalko, ki niso razvrščeni pod obračunavanje varovanja pred tveganjem v skladu z odstavkom 26 tega dela, poročajo kot trgovalne finančne obveznosti. Ta razvrstitev se uporablja tudi za izvedene finančne instrumente, ki v skladu z nacionalnimi GAAP na podlagi direktive o računovodskih izkazih bank niso pripoznani v bilanci stanja oziroma so v bilanci stanja pripoznane samo spremembe njihove poštene vrednosti ali ki se uporabljajo kot ekonomska varovanja, kot so opredeljena v odstavku 137 dela 2 te priloge.</w:t>
      </w:r>
    </w:p>
    <w:p w14:paraId="0BB7FFAF" w14:textId="77777777" w:rsidR="009569C7" w:rsidRPr="00755ABF" w:rsidRDefault="00A834F1" w:rsidP="009569C7">
      <w:pPr>
        <w:pStyle w:val="Baseparagraphnumbered"/>
      </w:pPr>
      <w:r>
        <w:lastRenderedPageBreak/>
        <w:t xml:space="preserve">„Izvedeni finančni instrumenti – obračunavanje varovanja pred tveganjem“ vključujejo izvedene finančne instrumente z negativnim stanjem za institucijo poročevalko, ki se posedujejo za namene obračunavanja varovanja pred tveganjem v skladu z MSRP. V skladu z nacionalnimi GAAP na podlagi direktive o računovodskih izkazih bank se izvedeni finančni instrumenti v netrgovalni knjigi razvrstijo kot obračunavanje varovanja pred tveganjem, samo če v skladu z ustreznimi nacionalnimi GAAP na podlagi direktive o računovodskih izkazih bank obstajajo posebna računovodska pravila za izvedene finančne instrumente v netrgovalni knjigi in ti izvedeni finančni instrumenti zmanjšujejo tveganje druge pozicije v netrgovalni knjigi.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539731"/>
      <w:r>
        <w:t>Finančni instrumenti</w:t>
      </w:r>
      <w:bookmarkEnd w:id="21"/>
      <w:bookmarkEnd w:id="22"/>
    </w:p>
    <w:p w14:paraId="0C688565" w14:textId="77777777" w:rsidR="009569C7" w:rsidRPr="00755ABF" w:rsidRDefault="00A834F1" w:rsidP="009569C7">
      <w:pPr>
        <w:pStyle w:val="Baseparagraphnumbered"/>
      </w:pPr>
      <w:r>
        <w:t>Za namene prilog III in IV ter te priloge izraz „knjigovodska vrednost“ pomeni znesek, ki se poroča v bilanci stanja. Knjigovodska vrednost finančnih instrumentov vključuje obračunane obresti. V skladu z ustreznimi nacionalnimi GAAP na podlagi direktive o računovodskih izkazih bank je knjigovodska vrednost izvedenih finančnih instrumentov knjigovodska vrednost v skladu z nacionalnimi GAAP, ki vključuje aktivne časovne razmejitve, vrednost premij in rezervacije, če je relevantno, ali pa je enaka nič, če izvedeni finančni instrumenti niso pripoznani v bilanci stanja.</w:t>
      </w:r>
    </w:p>
    <w:p w14:paraId="20D23B66" w14:textId="77777777" w:rsidR="009569C7" w:rsidRPr="00755ABF" w:rsidRDefault="00A834F1" w:rsidP="009569C7">
      <w:pPr>
        <w:pStyle w:val="Baseparagraphnumbered"/>
      </w:pPr>
      <w:r>
        <w:t xml:space="preserve">Če se pripoznavajo v skladu z ustreznimi nacionalnimi GAAP na podlagi direktive o računovodskih izkazih bank, se aktivne in pasivne časovne razmejitve v zvezi s finančnimi instrumenti, vključno z obračunanimi obrestmi, premijami in diskonti ali stroški posla, poročajo skupaj z instrumentom in ne kot druga sredstva ali druge obveznosti. </w:t>
      </w:r>
    </w:p>
    <w:p w14:paraId="3C3D8B60" w14:textId="77777777" w:rsidR="009569C7" w:rsidRPr="00755ABF" w:rsidRDefault="00A834F1" w:rsidP="009569C7">
      <w:pPr>
        <w:pStyle w:val="Baseparagraphnumbered"/>
      </w:pPr>
      <w:r>
        <w:t>Kjer je relevantno v skladu z nacionalnimi GAAP na podlagi direktive o računovodskih izkazih bank, se poročajo „odbitki za trgovalne pozicije, vrednotene po pošteni vrednosti“. Odbitki znižajo vrednost trgovalnih sredstev in zvišajo vrednost trgovalnih obveznosti.</w:t>
      </w:r>
    </w:p>
    <w:p w14:paraId="2018BB1E" w14:textId="77777777" w:rsidR="009569C7" w:rsidRPr="00755ABF" w:rsidRDefault="00A834F1" w:rsidP="009569C7">
      <w:pPr>
        <w:pStyle w:val="sub-subtitlenumbered"/>
        <w:jc w:val="both"/>
      </w:pPr>
      <w:bookmarkStart w:id="23" w:name="_Toc188539732"/>
      <w:r>
        <w:t>Finančna sredstva</w:t>
      </w:r>
      <w:bookmarkEnd w:id="23"/>
      <w:r>
        <w:t xml:space="preserve"> </w:t>
      </w:r>
    </w:p>
    <w:p w14:paraId="6FCF2E2F" w14:textId="77777777" w:rsidR="009569C7" w:rsidRPr="00755ABF" w:rsidRDefault="00A834F1" w:rsidP="009569C7">
      <w:pPr>
        <w:pStyle w:val="Baseparagraphnumbered"/>
      </w:pPr>
      <w:r>
        <w:t>Finančna sredstva se razporedijo med naslednje vrste instrumentov: „denar v blagajni“, „izvedeni finančni instrumenti“, „lastniški instrumenti“, „dolžniški vrednostni papirji“ ter „krediti in druga finančna sredstva“.</w:t>
      </w:r>
    </w:p>
    <w:p w14:paraId="7A2BBB6E" w14:textId="77777777" w:rsidR="009569C7" w:rsidRPr="00755ABF" w:rsidRDefault="00A834F1" w:rsidP="009569C7">
      <w:pPr>
        <w:pStyle w:val="Baseparagraphnumbered"/>
      </w:pPr>
      <w:r>
        <w:t>„Dolžniški vrednostni papirji“ so dolžniški instrumenti, ki jih imajo institucije in so izdani kot vrednostni papirji, ki niso krediti, kot so opredeljeni v tabeli v delu 2 Priloge II k uredbi ECB o statističnih postavkah bilance stanja.</w:t>
      </w:r>
    </w:p>
    <w:p w14:paraId="7AC25CA0" w14:textId="35BE7F40" w:rsidR="009569C7" w:rsidRPr="00755ABF" w:rsidRDefault="00A834F1" w:rsidP="009569C7">
      <w:pPr>
        <w:pStyle w:val="Baseparagraphnumbered"/>
      </w:pPr>
      <w:r>
        <w:t xml:space="preserve">„Krediti in druga finančna sredstva“ so dolžniški instrumenti, ki jih imajo institucije in niso vrednostni papirji. Ta postavka vključuje kredite, kot so opredeljeni v tabeli v delu 2 Priloge II k uredbi ECB o statističnih postavkah bilance stanja (vključno z vlogami na vpogled pri kreditnih institucijah in centralnih bankah ne glede na njihovo razvrstitev v skladu z veljavnim računovodskim okvirom), in druga finančna sredstva, ki ne morejo biti razvrščena kot „krediti“, opredeljeni v tabeli v delu 2 Priloge II k uredbi ECB </w:t>
      </w:r>
      <w:r>
        <w:lastRenderedPageBreak/>
        <w:t xml:space="preserve">o statističnih postavkah bilance stanja. „Druga finančna sredstva, ki niso krediti“ so dodatno opredeljena v odstavku 85(g) dela 2 te priloge. </w:t>
      </w:r>
    </w:p>
    <w:p w14:paraId="0D685519" w14:textId="77777777" w:rsidR="009569C7" w:rsidRPr="00755ABF" w:rsidRDefault="00A834F1" w:rsidP="009569C7">
      <w:pPr>
        <w:pStyle w:val="Baseparagraphnumbered"/>
      </w:pPr>
      <w:r>
        <w:t>V predlogah FINREP „dolžniški instrumenti“ vključujejo „kredite in druga finančna sredstva“ ter „dolžniške vrednostne papirje“.</w:t>
      </w:r>
    </w:p>
    <w:p w14:paraId="76955401" w14:textId="77777777" w:rsidR="009569C7" w:rsidRPr="00755ABF" w:rsidRDefault="00A834F1" w:rsidP="009569C7">
      <w:pPr>
        <w:pStyle w:val="sub-subtitlenumbered"/>
        <w:jc w:val="both"/>
      </w:pPr>
      <w:bookmarkStart w:id="24" w:name="_Toc188539733"/>
      <w:r>
        <w:t>Bruto knjigovodska vrednost</w:t>
      </w:r>
      <w:bookmarkEnd w:id="24"/>
    </w:p>
    <w:p w14:paraId="59C4A5D8" w14:textId="77777777" w:rsidR="009569C7" w:rsidRPr="00755ABF" w:rsidRDefault="00A834F1" w:rsidP="009569C7">
      <w:pPr>
        <w:pStyle w:val="Baseparagraphnumbered"/>
      </w:pPr>
      <w:r>
        <w:t>Bruto knjigovodska vrednost dolžniških instrumentov pomeni naslednje:</w:t>
      </w:r>
    </w:p>
    <w:p w14:paraId="681B367E" w14:textId="77777777" w:rsidR="009569C7" w:rsidRPr="00755ABF" w:rsidRDefault="00A834F1" w:rsidP="009D195F">
      <w:pPr>
        <w:pStyle w:val="Baseparagraphnumbered"/>
        <w:numPr>
          <w:ilvl w:val="1"/>
          <w:numId w:val="26"/>
        </w:numPr>
        <w:ind w:left="1170"/>
      </w:pPr>
      <w:r>
        <w:t xml:space="preserve"> v skladu z MSRP in nacionalnimi GAAP na podlagi direktive o računovodskih izkazih bank je bruto knjigovodska vrednost za dolžniške instrumente, merjene po pošteni vrednosti prek poslovnega izida, ki niso vključeni v portfelj „v posesti za trgovanje“ ali trgovalni portfelj, odvisna od tega, ali so ti dolžniški instrumenti razvrščeni kot donosni ali nedonosni. Za donosne dolžniške instrumente je bruto knjigovodska vrednost poštena vrednost. Za nedonosne dolžniške instrumente je bruto knjigovodska vrednost poštena vrednost, potem ko so se ji prištele nazaj vse akumulirane negativne spremembe poštene vrednosti zaradi kreditnega tveganja, kot so opredeljene v odstavku 69 dela 2 te priloge. Za namene merjenja bruto knjigovodske vrednosti se vrednotenje dolžniških instrumentov izvede na ravni posameznih finančnih instrumentov;</w:t>
      </w:r>
    </w:p>
    <w:p w14:paraId="7706769B" w14:textId="04C39AAB" w:rsidR="009569C7" w:rsidRPr="00755ABF" w:rsidRDefault="00A834F1" w:rsidP="009D195F">
      <w:pPr>
        <w:pStyle w:val="Baseparagraphnumbered"/>
        <w:numPr>
          <w:ilvl w:val="1"/>
          <w:numId w:val="26"/>
        </w:numPr>
        <w:ind w:left="1170"/>
      </w:pPr>
      <w:r>
        <w:t>v skladu z MSRP je za dolžniške instrumente po odplačni vrednosti bruto knjigovodska vrednost knjigovodska vrednost pred prilagoditvijo za morebitne popravke vrednosti za izgubo, za dolžniške instrumente po pošteni vrednosti prek drugega vseobsegajočega donosa pa odplačna vrednost pred prilagoditvijo za morebitne popravke vrednosti za izgubo;</w:t>
      </w:r>
    </w:p>
    <w:p w14:paraId="4E011BA8" w14:textId="77777777" w:rsidR="009569C7" w:rsidRPr="00755ABF" w:rsidRDefault="00A834F1" w:rsidP="009D195F">
      <w:pPr>
        <w:pStyle w:val="Baseparagraphnumbered"/>
        <w:numPr>
          <w:ilvl w:val="1"/>
          <w:numId w:val="26"/>
        </w:numPr>
        <w:ind w:left="1170"/>
      </w:pPr>
      <w:r>
        <w:t xml:space="preserve">v skladu z nacionalnimi GAAP na podlagi direktive o računovodskih izkazih bank je za dolžniške instrumente, razvrščene kot „netrgovalna neizvedena finančna sredstva, merjena z metodo na podlagi nabavne vrednosti“, bruto knjigovodska vrednost oslabljenih sredstev enaka knjigovodski vrednosti pred prilagoditvijo za posebne popravke vrednosti za kreditno tveganje. Bruto knjigovodska vrednost neoslabljenih sredstev je knjigovodska vrednost pred prilagoditvijo za splošne popravke vrednosti za kreditno tveganje in splošne popravke vrednosti za bančno tveganje, če vplivajo na knjigovodsko vrednost; </w:t>
      </w:r>
    </w:p>
    <w:p w14:paraId="1B8EE5E8" w14:textId="77777777" w:rsidR="009569C7" w:rsidRPr="00755ABF" w:rsidRDefault="00A834F1" w:rsidP="009D195F">
      <w:pPr>
        <w:pStyle w:val="Baseparagraphnumbered"/>
        <w:numPr>
          <w:ilvl w:val="1"/>
          <w:numId w:val="26"/>
        </w:numPr>
        <w:ind w:left="1170"/>
      </w:pPr>
      <w:r>
        <w:t xml:space="preserve">v skladu z nacionalnimi GAAP na podlagi direktive o računovodskih izkazih bank je bruto knjigovodska vrednost dolžniških instrumentov, razvrščenih kot „netrgovalna neizvedena finančna sredstva, merjena po pošteni vrednosti prek lastniškega kapitala“, odvisna od tega, ali se za ta finančna sredstva uporabljajo zahteve glede oslabitve. Če se zanje uporabljajo zahteve glede oslabitve, je bruto knjigovodska vrednost knjigovodska vrednost pred prilagoditvijo za vse akumulirane oslabitve, po upoštevanju zahtev iz točke (c) zgoraj za oslabljena in neoslabljena sredstva, ali za vse akumulirane zneske prilagoditev poštene vrednosti, ki se štejejo za izgubo zaradi oslabitve. Če se za ta finančna sredstva ne uporabljajo zahteve glede oslabitve, je njihova bruto knjigovodska vrednost poštena vrednost v primeru donosnih izpostavljenosti, v primeru </w:t>
      </w:r>
      <w:r>
        <w:lastRenderedPageBreak/>
        <w:t>nedonosnih izpostavljenosti pa poštena vrednost, potem ko so se jih prištele nazaj vse akumulirane negativne prilagoditve poštene vrednosti zaradi kreditnega tveganja;</w:t>
      </w:r>
    </w:p>
    <w:p w14:paraId="5416C202" w14:textId="77777777" w:rsidR="009569C7" w:rsidRPr="00755ABF" w:rsidRDefault="00A834F1" w:rsidP="009D195F">
      <w:pPr>
        <w:pStyle w:val="Baseparagraphnumbered"/>
        <w:numPr>
          <w:ilvl w:val="1"/>
          <w:numId w:val="26"/>
        </w:numPr>
        <w:ind w:left="1170"/>
      </w:pPr>
      <w:r>
        <w:t xml:space="preserve">v skladu z nacionalnimi GAAP na podlagi direktive o računovodskih izkazih bank je bruto knjigovodska vrednost dolžniških instrumentov, merjenih po strogem ali zmernem LOCOM, enaka nabavni vrednosti, če so se v referenčnem obdobju poročanja merili po nabavni vrednosti. Če se ti dolžniški instrumenti merijo po tržni vrednosti, je bruto knjigovodska vrednost tržna vrednost pred prilagoditvijo za prilagoditve vrednosti zaradi kreditnega tveganja; </w:t>
      </w:r>
    </w:p>
    <w:p w14:paraId="081DA092" w14:textId="77777777" w:rsidR="009569C7" w:rsidRPr="00755ABF" w:rsidRDefault="00A834F1" w:rsidP="009D195F">
      <w:pPr>
        <w:pStyle w:val="Baseparagraphnumbered"/>
        <w:numPr>
          <w:ilvl w:val="1"/>
          <w:numId w:val="26"/>
        </w:numPr>
        <w:ind w:left="1170"/>
      </w:pPr>
      <w:r>
        <w:t>v skladu z nacionalnimi GAAP na podlagi direktive o računovodskih izkazih bank je za dolžniške instrumente, o katerih se poroča pod postavko „druga netrgovalna neizvedena finančna sredstva“ po drugih metodah merjenja kot LOCOM, bruto knjigovodska vrednost knjigovodska vrednost pred upoštevanjem kakršnih koli prilagoditev vrednosti, ki se štejejo za oslabitev;</w:t>
      </w:r>
    </w:p>
    <w:p w14:paraId="73A5AC58" w14:textId="77777777" w:rsidR="009569C7" w:rsidRPr="00755ABF" w:rsidRDefault="00A834F1" w:rsidP="009D195F">
      <w:pPr>
        <w:pStyle w:val="Baseparagraphnumbered"/>
        <w:numPr>
          <w:ilvl w:val="1"/>
          <w:numId w:val="26"/>
        </w:numPr>
        <w:ind w:left="1170"/>
      </w:pPr>
      <w:r>
        <w:t>za trgovalna finančna sredstva v skladu z GAAP na podlagi direktive o računovodskih izkazih bank ali finančna sredstva v posesti za trgovanje v skladu z MSRP je bruto knjigovodska vrednost poštena vrednost. Če GAAP na podlagi direktive o računovodskih izkazih bank zahtevajo odbitke za trgovalne instrumente in instrumente po pošteni vrednosti, je knjigovodska vrednost finančnih instrumentov njihova poštena vrednost pred temi odbitki.</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539734"/>
      <w:r>
        <w:t>Finančne obveznosti</w:t>
      </w:r>
      <w:bookmarkEnd w:id="25"/>
      <w:bookmarkEnd w:id="26"/>
      <w:bookmarkEnd w:id="27"/>
    </w:p>
    <w:p w14:paraId="47B5A682" w14:textId="77777777" w:rsidR="009569C7" w:rsidRPr="00755ABF" w:rsidRDefault="00A834F1" w:rsidP="009569C7">
      <w:pPr>
        <w:pStyle w:val="Baseparagraphnumbered"/>
      </w:pPr>
      <w:r>
        <w:t>Finančne obveznosti se razporedijo med naslednje vrste instrumentov: „izvedeni finančni instrumenti“, „kratke pozicije“, „vloge“, „izdani dolžniški vrednostni papirji“ in „druge finančne obveznosti“.</w:t>
      </w:r>
    </w:p>
    <w:p w14:paraId="1EC19BF3" w14:textId="77777777" w:rsidR="009569C7" w:rsidRPr="00755ABF" w:rsidRDefault="00A834F1" w:rsidP="009569C7">
      <w:pPr>
        <w:pStyle w:val="Baseparagraphnumbered"/>
      </w:pPr>
      <w:r>
        <w:t xml:space="preserve">Za namene prilog III in IV ter te priloge „vloge“ pomenijo vloge, kot so opredeljene v tabeli v delu 2 Priloge II k uredbi ECB o statističnih postavkah bilance stanja. </w:t>
      </w:r>
    </w:p>
    <w:p w14:paraId="04888123" w14:textId="77777777" w:rsidR="009569C7" w:rsidRPr="00755ABF" w:rsidRDefault="00A834F1" w:rsidP="009569C7">
      <w:pPr>
        <w:pStyle w:val="Baseparagraphnumbered"/>
      </w:pPr>
      <w:r>
        <w:t xml:space="preserve"> „Izdani dolžniški vrednostni papirji“ so dolžniški instrumenti, ki jih institucije izdajo kot vrednostne papirje, ki niso vloge, kot so opredeljene v tabeli v delu 2 Priloge II k uredbi ECB o statističnih postavkah bilance stanja.</w:t>
      </w:r>
    </w:p>
    <w:p w14:paraId="03CED69D" w14:textId="77777777" w:rsidR="009569C7" w:rsidRPr="00755ABF" w:rsidRDefault="00A834F1" w:rsidP="009569C7">
      <w:pPr>
        <w:pStyle w:val="Baseparagraphnumbered"/>
      </w:pPr>
      <w:r>
        <w:t xml:space="preserve">„Druge finančne obveznosti“ vključujejo vse finančne obveznosti, ki niso izvedeni finančni instrumenti, kratke pozicije, vloge in izdani dolžniški vrednostni papirji. </w:t>
      </w:r>
    </w:p>
    <w:p w14:paraId="310BEFAC" w14:textId="77777777" w:rsidR="009569C7" w:rsidRPr="00755ABF" w:rsidRDefault="00A834F1" w:rsidP="009569C7">
      <w:pPr>
        <w:pStyle w:val="Baseparagraphnumbered"/>
      </w:pPr>
      <w:r>
        <w:t xml:space="preserve">V skladu z MSRP „druge finančne obveznosti“ vključujejo dana finančna poroštva, če so merjena po pošteni vrednosti prek poslovnega izida (MSRP 9, 4.2.1.(a) člen) ali po prvotno pripoznanem znesku, od katerega se odšteje kumulativna amortizacija (MSRP 9, 4.2.1.(c)(ii) člen). Prevzete obveznosti iz kreditov se poročajo kot „druge finančne obveznosti“, če so določene za finančne obveznosti po pošteni vrednosti prek poslovnega izida (MSRP 9, </w:t>
      </w:r>
      <w:r>
        <w:lastRenderedPageBreak/>
        <w:t xml:space="preserve">4.2.1.(a) člen) ali so zaveze za zagotovitev kredita po obrestni meri, ki je nižja od tržne obrestne mere (MSRP 9, 2.3.(c) člen, 4.2.1.(d) člen). </w:t>
      </w:r>
    </w:p>
    <w:p w14:paraId="31F65A86" w14:textId="77777777" w:rsidR="009569C7" w:rsidRPr="00755ABF" w:rsidRDefault="00A834F1" w:rsidP="009569C7">
      <w:pPr>
        <w:pStyle w:val="Baseparagraphnumbered"/>
      </w:pPr>
      <w:r>
        <w:t xml:space="preserve">Če se prevzete obveznosti iz kreditov, dana finančna poroštva in druge prevzete obveznosti merijo po pošteni vrednosti prek poslovnega izida, se vsaka sprememba poštene vrednosti, vključno s spremembami zaradi kreditnega tveganja, poroča kot „druge finančne obveznosti“ in ne kot rezervacije za „prevzete obveznosti in dana poroštva“. </w:t>
      </w:r>
    </w:p>
    <w:p w14:paraId="52FB93A1" w14:textId="77777777" w:rsidR="009569C7" w:rsidRPr="00755ABF" w:rsidRDefault="00A834F1" w:rsidP="009569C7">
      <w:pPr>
        <w:pStyle w:val="Baseparagraphnumbered"/>
      </w:pPr>
      <w:r>
        <w:t>„Druge finančne obveznosti“ vključujejo tudi dividende, ki jih je treba plačati, obveznosti v zvezi s pasivnimi časovnimi razmejitvami in tranzitnimi postavkami ter obveznosti v zvezi s prihodnjimi poravnavami poslov z vrednostnimi papirji ali poslov v tuji valuti, če so obveznosti za posle pripoznane pred rokom plačila.</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539735"/>
      <w:r>
        <w:t>Razčlenitev nasprotnih strank</w:t>
      </w:r>
      <w:bookmarkEnd w:id="28"/>
      <w:bookmarkEnd w:id="29"/>
      <w:bookmarkEnd w:id="30"/>
    </w:p>
    <w:p w14:paraId="07D3A11C" w14:textId="77777777" w:rsidR="009569C7" w:rsidRPr="00755ABF" w:rsidRDefault="00A834F1" w:rsidP="009569C7">
      <w:pPr>
        <w:pStyle w:val="Baseparagraphnumbered"/>
      </w:pPr>
      <w:r>
        <w:t>Kadar je zahtevana razčlenitev po nasprotnih strankah, se uporabijo naslednji sektorji nasprotnih strank:</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centralne banke;</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država: centralna, državna ali regionalna ter lokalna raven države, ki vključuje upravne organe in nekomercialna podjetja, izključuje pa javne družbe in zasebne družbe, ki so v lasti teh sektorjev države in opravljajo komercialno dejavnost (o katerih se poroča pod postavko „kreditne institucije“, „druge finančne družbe“ ali „nefinančne družbe“, odvisno od njihove dejavnosti); skladi socialne varnosti; in mednarodne organizacije, kot so institucije Evropske unije, Mednarodni denarni sklad in Banka za mednarodne poravnave;</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kreditne institucije: vse institucije, ki jih zajema opredelitev v členu 4(1)(1) CRR („družba, katere dejavnost je sprejemanje vlog ali drugih vračljivih sredstev od javnosti in dajanje kreditov za svoj račun“), in multilateralne razvojne banke;</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druge finančne družbe: 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nefinančne družbe; družbe in neprave družbe, ki se ne ukvarjajo s finančnim posredovanjem, ampak predvsem s proizvodnjo tržnega blaga in opravljanjem nefinančnih storitev, kot so opredeljene v tabeli v delu 3 Priloge II k uredbi ECB o statističnih postavkah bilance stanja;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gospodinjstva: posamezniki ali skupine posameznikov kot potrošniki ter proizvajalci blaga in izvajalci nefinančnih storitev izključno za svojo lastno končno potrošnjo ter kot proizvajalci tržnega blaga ter izvajalci nefinančnih in finančnih storitev, če ne gre za dejavnosti nepravih družb. Vključene so </w:t>
      </w:r>
      <w:r>
        <w:rPr>
          <w:rFonts w:ascii="Times New Roman" w:hAnsi="Times New Roman"/>
          <w:sz w:val="24"/>
        </w:rPr>
        <w:lastRenderedPageBreak/>
        <w:t xml:space="preserve">nepridobitne družbe, ki opravljajo storitve za gospodinjstva, ki se ukvarjajo zlasti s proizvodnjo netržnega blaga in storitev, namenjenih posebnim skupinam gospodinjstev. </w:t>
      </w:r>
    </w:p>
    <w:p w14:paraId="6FACEC53" w14:textId="77777777" w:rsidR="009569C7" w:rsidRPr="00755ABF" w:rsidRDefault="00A834F1" w:rsidP="009569C7">
      <w:pPr>
        <w:pStyle w:val="Baseparagraphnumbered"/>
      </w:pPr>
      <w:r>
        <w:t>Dodelitev sektorja nasprotni stranki temelji izključno na naravi neposredne nasprotne stranke. Razvrstitev izpostavljenosti, nastalih skupaj pri več kot enem dolžniku, se pripravi na podlagi značilnosti dolžnika, ki je bil pomembnejši ali odločilnejši za to, da je institucija odobrila izpostavljenost. Pri drugih razvrstitvah se porazdelitev skupno nastalih izpostavljenosti sektorja nasprotne stranke, država sedeža in oznake NACE določijo na podlagi značilnosti pomembnejšega ali odločilnejšega dolžnika.</w:t>
      </w:r>
    </w:p>
    <w:p w14:paraId="57F321F0" w14:textId="77777777" w:rsidR="009569C7" w:rsidRPr="00755ABF" w:rsidRDefault="00A834F1" w:rsidP="009569C7">
      <w:pPr>
        <w:pStyle w:val="Baseparagraphnumbered"/>
      </w:pPr>
      <w:r>
        <w:t>Neposredne nasprotne stranke v naslednjih poslih so:</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za kredite in druga finančna sredstva neposredni kreditojemalec.</w:t>
      </w:r>
      <w:r>
        <w:t xml:space="preserve"> </w:t>
      </w:r>
      <w:r>
        <w:rPr>
          <w:rFonts w:ascii="Times New Roman" w:hAnsi="Times New Roman"/>
          <w:sz w:val="24"/>
        </w:rPr>
        <w:t>Za odkupljene terjatve je neposredni kreditojemalec nasprotna stranka, ki je zavezana poplačati terjatve, razen pri poslih z regresom, pri katerih je neposredni kreditojemalec prenosnik terjatve, kadar institucija poročevalka ne pridobi skoraj vseh tveganj in koristi, povezanih z lastništvom prenesenih terjatev;</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za dolžniške vrednostne papirje (vključno z instrumenti listinjenja) in lastniške instrumente izdajatelj vrednostnih papirjev;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za vloge imetniki vlog (vlagatelji);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za kratke pozicije nasprotna stranka v poslu izposoje vrednostnih papirjev ali pogodbi o začasnem odkupu;</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za izvedene finančne instrumente neposredna nasprotna stranka v pogodbi o izvedenih finančnih instrumentih. Za izvedene finančne instrumente OTC, za katere se opravi centralni kliring, je neposredna nasprotna stranka klirinška hiša, ki nastopa kot centralna nasprotna stranka. Razčlenitev nasprotnih strank pri izvedenih finančnih instrumentih s kreditnim tveganjem se nanaša na sektor, v katerega spada nasprotna stranka v pogodbi (kupec ali prodajalec zavarovanja);</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za dana finančna poroštva je nasprotna stranka neposredna nasprotna stranka v osnovnem zajamčenem dolžniškem instrumentu;</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za prevzete obveznosti iz kreditov in druge prevzete obveznosti nasprotna stranka, katere kreditno tveganje prevzame institucija poročevalka; </w:t>
      </w:r>
    </w:p>
    <w:p w14:paraId="0FDF15A7" w14:textId="77777777" w:rsidR="00AA7833" w:rsidRPr="00755ABF" w:rsidRDefault="00A834F1" w:rsidP="00C64240">
      <w:pPr>
        <w:numPr>
          <w:ilvl w:val="0"/>
          <w:numId w:val="51"/>
        </w:numPr>
        <w:spacing w:after="0"/>
        <w:jc w:val="both"/>
      </w:pPr>
      <w:r>
        <w:rPr>
          <w:rFonts w:ascii="Times New Roman" w:hAnsi="Times New Roman"/>
          <w:sz w:val="24"/>
        </w:rPr>
        <w:t>za prejete obveze iz kreditov, prejeta finančna poroštva in druge prejete obveze dajalec poroštva ali nasprotna stranka, ki je zagotovila obvezo instituciji poročevalki.</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DEL 2</w:t>
      </w:r>
      <w:bookmarkEnd w:id="31"/>
    </w:p>
    <w:p w14:paraId="634260AD" w14:textId="77777777" w:rsidR="009569C7" w:rsidRPr="00755ABF" w:rsidRDefault="00A834F1" w:rsidP="009569C7">
      <w:pPr>
        <w:pStyle w:val="Heading1"/>
        <w:jc w:val="both"/>
      </w:pPr>
      <w:bookmarkStart w:id="32" w:name="_Toc362359281"/>
      <w:bookmarkStart w:id="33" w:name="_Toc188539736"/>
      <w:r>
        <w:t>Navodila v zvezi s predlogami</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539737"/>
      <w:r>
        <w:t>Bilanca stanja</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539738"/>
      <w:r>
        <w:t>Sredstva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„Denar v blagajni“ vključuje imetje domačih in tujih bankovcev ter kovancev v obtoku, ki se splošno uporabljajo za izvajanje plačil.</w:t>
      </w:r>
    </w:p>
    <w:p w14:paraId="60C44456" w14:textId="38863EBB" w:rsidR="009569C7" w:rsidRPr="00755ABF" w:rsidRDefault="00A834F1" w:rsidP="009569C7">
      <w:pPr>
        <w:pStyle w:val="Baseparagraphnumbered"/>
      </w:pPr>
      <w:r>
        <w:t>„Stanja na računih pri centralnih bankah“ vključujejo „kredite in druga finančna sredstva“, ki so stanja sredstev na vpogled v centralnih bankah.</w:t>
      </w:r>
    </w:p>
    <w:p w14:paraId="647E7DAB" w14:textId="04007A3B" w:rsidR="009569C7" w:rsidRPr="00755ABF" w:rsidRDefault="00A834F1" w:rsidP="009569C7">
      <w:pPr>
        <w:pStyle w:val="Baseparagraphnumbered"/>
      </w:pPr>
      <w:r>
        <w:t xml:space="preserve">„Vloge na vpogled pri bankah“ vključujejo „kredite in druga finančna sredstva“, ki so stanja sredstev na vpogled v kreditnih institucijah. </w:t>
      </w:r>
    </w:p>
    <w:p w14:paraId="63A7EE92" w14:textId="77777777" w:rsidR="009569C7" w:rsidRPr="00755ABF" w:rsidRDefault="00A834F1" w:rsidP="009569C7">
      <w:pPr>
        <w:pStyle w:val="Baseparagraphnumbered"/>
      </w:pPr>
      <w:r>
        <w:t xml:space="preserve">„Naložbe v kapital podrejenih, pridruženih in skupaj obvladovanih družb“ vključujejo naložbe v kapital podrejenih, pridruženih in skupaj obvladovanih družb, ki niso polno ali sorazmerno konsolidirane v skladu z regulativnim obsegom konsolidacije, razen če se razvrstijo kot v posesti za prodajo v skladu z MSRP 5, ne glede na to, kako se merijo, kar vključuje primere, ko računovodski standardi dovoljujejo njihovo vključitev v različne računovodske portfelje, uporabljene za finančne instrumente. Knjigovodska vrednost naložb v kapital, računovodsko obravnavana z uporabo kapitalske metode, vključuje z njimi povezano dobro ime. </w:t>
      </w:r>
    </w:p>
    <w:p w14:paraId="3C7854FE" w14:textId="77777777" w:rsidR="009569C7" w:rsidRPr="00755ABF" w:rsidRDefault="00A834F1" w:rsidP="009569C7">
      <w:pPr>
        <w:pStyle w:val="Baseparagraphnumbered"/>
      </w:pPr>
      <w:r>
        <w:t xml:space="preserve">O sredstvih, ki niso finančna sredstva in zaradi svoje narave ne morejo biti razvrščena v posamezne bilančne postavke, se poroča pod postavko „druga sredstva“. Druga sredstva med drugim vključujejo zlato, srebro in drugo blago, tudi če so namenjena trgovanju. </w:t>
      </w:r>
    </w:p>
    <w:p w14:paraId="6F617B13" w14:textId="77777777" w:rsidR="009569C7" w:rsidRPr="00755ABF" w:rsidRDefault="00A834F1" w:rsidP="009569C7">
      <w:pPr>
        <w:pStyle w:val="Baseparagraphnumbered"/>
      </w:pPr>
      <w:r>
        <w:t xml:space="preserve">V skladu z ustreznimi nacionalnimi GAAP na podlagi direktive o računovodskih izkazih bank se knjigovodska vrednost nazaj odkupljenih lastnih delnic poroča pod „drugimi sredstvi“, če ustrezni nacionalni GAAP dovoljujejo, da se izkazujejo kot sredstvo. </w:t>
      </w:r>
    </w:p>
    <w:p w14:paraId="09BB69D6" w14:textId="77777777" w:rsidR="009569C7" w:rsidRPr="00755ABF" w:rsidRDefault="00A834F1" w:rsidP="009569C7">
      <w:pPr>
        <w:pStyle w:val="Baseparagraphnumbered"/>
      </w:pPr>
      <w:r>
        <w:t xml:space="preserve">„Nekratkoročna sredstva in skupine za odtujitev, razvrščene kot v posesti za prodajo“ imajo enak pomen kot v MSRP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539739"/>
      <w:r>
        <w:t>Obveznosti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V skladu z nacionalnimi GAAP na podlagi direktive o računovodskih izkazih bank se rezervacije za pogojne izgube, ki izhajajo iz neuspešnega dela razmerja varovanja portfelja, poročajo pod postavko „izvedeni finančni instrumenti – obračunavanje varovanja pred tveganjem“, če izguba izhaja iz vrednotenja izvedenega finančnega instrumenta za varovanje, ali pod postavko „spremembe poštene vrednosti skupine varovanih postavk pred obrestnim tveganjem“, če izguba izhaja iz vrednotenja varovane postavke. Če razločevanje med izgubami, ki izhajajo iz vrednotenja izvedenega finančnega instrumenta za varovanje, in izgubo, ki izhaja iz vrednotenja varovane postavke, ni mogoče, se vse rezervacije za pogojne izgube, ki izhajajo iz </w:t>
      </w:r>
      <w:r>
        <w:lastRenderedPageBreak/>
        <w:t>neuspešnega dela razmerja varovanja portfelja, poročajo pod postavko „izvedeni finančni instrumenti – obračunavanje varovanja pred tveganjem“.</w:t>
      </w:r>
    </w:p>
    <w:p w14:paraId="3544D440" w14:textId="77777777" w:rsidR="009569C7" w:rsidRPr="00755ABF" w:rsidRDefault="00A834F1" w:rsidP="009569C7">
      <w:pPr>
        <w:pStyle w:val="Baseparagraphnumbered"/>
      </w:pPr>
      <w:r>
        <w:t xml:space="preserve">Rezervacije za „pokojnine in druge pozaposlitvene obveznosti za določene zaslužke“ vključujejo znesek neto obveznosti za določene zaslužke. </w:t>
      </w:r>
    </w:p>
    <w:p w14:paraId="2C8F78B0" w14:textId="77777777" w:rsidR="009569C7" w:rsidRPr="00755ABF" w:rsidRDefault="00A834F1" w:rsidP="009569C7">
      <w:pPr>
        <w:pStyle w:val="Baseparagraphnumbered"/>
      </w:pPr>
      <w:r>
        <w:t>V skladu z MSRP rezervacije za “druge dolgoročne zaslužke zaposlencev“ vključujejo vrednosti primanjkljajev v programih dolgoročnih zaslužkov zaposlencev iz 153. člena MRS 19. Vnaprej vračunani odhodki iz kratkoročnih zaslužkov zaposlencev (MRS 19, 11.(a) člen), programi z določenimi prispevki (MRS 19, 51.(a) člen) in odpravnine (MRS 19, 169.(a) člen) se vključijo v „druge obveznosti“.</w:t>
      </w:r>
    </w:p>
    <w:p w14:paraId="1715BED3" w14:textId="77777777" w:rsidR="009569C7" w:rsidRPr="00755ABF" w:rsidRDefault="00A834F1" w:rsidP="009569C7">
      <w:pPr>
        <w:pStyle w:val="Baseparagraphnumbered"/>
      </w:pPr>
      <w:r>
        <w:t>V skladu z MSRP rezervacije za „prevzete obveznosti in dana poroštva“ vključujejo rezervacije v zvezi z vsemi prevzetimi obveznostmi in poroštvi ne glede na to, ali se njihova oslabitev določa v skladu z MSRP 9 ali se rezervacije zanje oblikujejo v skladu z MRS 37 oziroma ali se obravnavajo kot zavarovalne pogodbe v skladu z MSRP 4. Obveznosti, ki izhajajo iz zavez in finančnih poroštev, merjenih po pošteni vrednosti prek poslovnega izida, se ne poročajo kot rezervacije, čeprav so posledica kreditnega tveganja, ampak kot „druge finančne obveznosti“ v skladu z odstavkom 40 dela 1 te priloge. V skladu z nacionalnimi GAAP na podlagi direktive o računovodskih izkazih bank rezervacije za „prevzete obveznosti in dana poroštva“ vključujejo rezervacije v zvezi z vsemi zavezami in poroštvi.</w:t>
      </w:r>
    </w:p>
    <w:p w14:paraId="384651AF" w14:textId="77777777" w:rsidR="009569C7" w:rsidRPr="00755ABF" w:rsidRDefault="00A834F1" w:rsidP="009569C7">
      <w:pPr>
        <w:pStyle w:val="Baseparagraphnumbered"/>
      </w:pPr>
      <w:r>
        <w:t>„Delniški kapital, vračljiv na zahtevo“ vključuje kapitalske instrumente, ki jih izda institucija in ne izpolnjujejo meril za razvrstitev v lastniški kapital. Institucije pod to postavko vključijo delnice zadrug, ki ne izpolnjujejo meril za razvrstitev v lastniški kapital.</w:t>
      </w:r>
    </w:p>
    <w:p w14:paraId="7CB886C7" w14:textId="77777777" w:rsidR="009569C7" w:rsidRPr="00755ABF" w:rsidRDefault="00A834F1" w:rsidP="009569C7">
      <w:pPr>
        <w:pStyle w:val="Baseparagraphnumbered"/>
      </w:pPr>
      <w:r>
        <w:t xml:space="preserve">O obveznostih, ki niso finančne obveznosti in zaradi svoje narave ne morejo biti razvrščene v posamezne bilančne postavke, se poroča pod postavko „druge obveznosti“. </w:t>
      </w:r>
    </w:p>
    <w:p w14:paraId="4E178930" w14:textId="77777777" w:rsidR="009569C7" w:rsidRPr="00755ABF" w:rsidRDefault="00A834F1" w:rsidP="009569C7">
      <w:pPr>
        <w:pStyle w:val="Baseparagraphnumbered"/>
      </w:pPr>
      <w:r>
        <w:t xml:space="preserve">„Obveznosti, vključene v skupine za odtujitev, razvrščene kot v posesti za prodajo“ imajo enak pomen kot v MSRP 5. </w:t>
      </w:r>
    </w:p>
    <w:p w14:paraId="77F6CAE1" w14:textId="77777777" w:rsidR="009569C7" w:rsidRPr="00755ABF" w:rsidRDefault="00A834F1" w:rsidP="009569C7">
      <w:pPr>
        <w:pStyle w:val="Baseparagraphnumbered"/>
      </w:pPr>
      <w:r>
        <w:t>V skladu z nacionalnimi GAAP na podlagi direktive o računovodskih izkazih bank so „rezervacije za splošna bančna tveganja“ zneski, ki so bili dodeljeni v skladu s členom 38 direktive o računovodskih izkazih bank. Če se pripoznajo, se prikažejo ločeno kot obveznosti pod postavko „rezervacije“ ali med lastniškim kapitalom pod postavko „druge rezerve“ v skladu z ustreznimi nacionalnimi GAAP.</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539740"/>
      <w:r>
        <w:t>Lastniški kapital (1.3)</w:t>
      </w:r>
      <w:bookmarkEnd w:id="49"/>
      <w:bookmarkEnd w:id="50"/>
      <w:bookmarkEnd w:id="51"/>
    </w:p>
    <w:p w14:paraId="028DB7A5" w14:textId="77777777" w:rsidR="009569C7" w:rsidRPr="00755ABF" w:rsidRDefault="00A834F1" w:rsidP="009569C7">
      <w:pPr>
        <w:pStyle w:val="Baseparagraphnumbered"/>
      </w:pPr>
      <w:r>
        <w:t xml:space="preserve">Lastniški instrumenti, ki so finančni instrumenti, v skladu z MSRP vključujejo pogodbe, ki spadajo v področje uporabe MRS 32. </w:t>
      </w:r>
    </w:p>
    <w:p w14:paraId="11CAF622" w14:textId="77777777" w:rsidR="009569C7" w:rsidRPr="00755ABF" w:rsidRDefault="00A834F1" w:rsidP="009569C7">
      <w:pPr>
        <w:pStyle w:val="Baseparagraphnumbered"/>
      </w:pPr>
      <w:r>
        <w:t xml:space="preserve">V skladu z ustreznimi nacionalnimi GAAP na podlagi direktive o računovodskih izkazih bank „nevplačani kapital, ki je bil vpoklican“ vključuje </w:t>
      </w:r>
      <w:r>
        <w:lastRenderedPageBreak/>
        <w:t>knjigovodsko vrednost kapitala, ki ga izda institucija in je bil vpoklican za vlagatelje, vendar ni bil plačan na referenčni datum. Če se povečanje kapitala, ki še ni bilo vplačano, evidentira kot povečanje delniškega kapitala, se nevplačani kapital, ki je bil vpoklican, poroča v vrsticah „nevplačani kapital, ki je bil vpoklican“ v predlogi 1.3 in „druga sredstva“ v predlogi 1.1. Če se lahko povečanje kapitala v skladu z ustreznimi nacionalnimi GAAP na podlagi direktive o računovodskih izkazih bank evidentira samo po prejemu plačila od delničarjev, se nevplačani kapital ne poroča v predlogi 1.3.</w:t>
      </w:r>
    </w:p>
    <w:p w14:paraId="32512AE1" w14:textId="77777777" w:rsidR="009569C7" w:rsidRPr="00755ABF" w:rsidRDefault="00A834F1" w:rsidP="009569C7">
      <w:pPr>
        <w:pStyle w:val="Baseparagraphnumbered"/>
      </w:pPr>
      <w:r>
        <w:t>„Sestavina lastniškega kapitala sestavljenih finančnih instrumentov“ vključuje sestavino lastniškega kapitala sestavljenih finančnih instrumentov (tj. finančnih instrumentov, ki vsebujejo sestavino obveznosti in sestavino lastniškega kapitala), ki jih izda institucija, če so ločeni v skladu z ustreznim računovodskim okvirom (vključno s sestavljenimi finančnimi instrumenti z več vgrajenimi izvedenimi finančnimi instrumenti, katerih vrednosti so medsebojno odvisne).</w:t>
      </w:r>
    </w:p>
    <w:p w14:paraId="6EE6D0E1" w14:textId="77777777" w:rsidR="009569C7" w:rsidRPr="00755ABF" w:rsidRDefault="00A834F1" w:rsidP="009569C7">
      <w:pPr>
        <w:pStyle w:val="Baseparagraphnumbered"/>
      </w:pPr>
      <w:r>
        <w:t xml:space="preserve">„Drugi izdani lastniški instrumenti“ vključujejo lastniške instrumente, ki so finančni instrumenti razen „kapitala“ in „sestavin lastniškega kapitala sestavljenih finančnih instrumentov“. </w:t>
      </w:r>
    </w:p>
    <w:p w14:paraId="27E82B18" w14:textId="77777777" w:rsidR="009569C7" w:rsidRPr="00755ABF" w:rsidRDefault="00A834F1" w:rsidP="009569C7">
      <w:pPr>
        <w:pStyle w:val="Baseparagraphnumbered"/>
      </w:pPr>
      <w:r>
        <w:t xml:space="preserve">„Drug lastniški kapital“ zajema vse lastniške instrumente, ki niso finančni instrumenti, med drugim z lastniškim kapitalom poravnane plačilne transakcije na podlagi delnic (MSRP 2, 10. člen). </w:t>
      </w:r>
    </w:p>
    <w:p w14:paraId="10CA0C2B" w14:textId="77777777" w:rsidR="009569C7" w:rsidRPr="00755ABF" w:rsidRDefault="00A834F1" w:rsidP="009569C7">
      <w:pPr>
        <w:pStyle w:val="Baseparagraphnumbered"/>
      </w:pPr>
      <w:r>
        <w:t xml:space="preserve">„Spremembe poštene vrednosti lastniških instrumentov, merjenih po pošteni vrednosti prek drugega vseobsegajočega donosa“ vključujejo akumulirane dobičke in izgube zaradi sprememb poštene vrednosti naložb v lastniške instrumente, v zvezi s katerimi se je poročajoče podjetje nepreklicno odločilo, da bo spremembe poštene vrednosti prikazovalo v drugem vseobsegajočem donosu. </w:t>
      </w:r>
    </w:p>
    <w:p w14:paraId="324175EF" w14:textId="77777777" w:rsidR="009569C7" w:rsidRPr="00755ABF" w:rsidRDefault="00A834F1" w:rsidP="009569C7">
      <w:pPr>
        <w:pStyle w:val="Baseparagraphnumbered"/>
      </w:pPr>
      <w:r>
        <w:t xml:space="preserve">„Neučinkovitost varovanja pri varovanjih poštene vrednosti za lastniške instrumente, merjene po pošteni vrednosti prek drugega vseobsegajočega donosa“ vključuje akumulirano neučinkovitost varovanja pri varovanjih poštene vrednosti, pri katerih je varovana postavka lastniški instrument, merjen po pošteni vrednosti prek drugega vseobsegajočega donosa. Neučinkovitost varovanja, ki se poroča v tej vrstici, je razlika med akumuliranimi spremembami poštene vrednosti lastniškega instrumenta, poročanimi pod „Spremembe poštene vrednosti lastniških instrumentov, merjenih po pošteni vrednosti prek drugega vseobsegajočega donosa (varovana postavka)“, in akumuliranimi spremembami poštene vrednosti izvedenega finančnega instrumenta za varovanje, poročanimi pod „Spremembe poštene vrednosti lastniških instrumentov, merjenih po pošteni vrednosti prek drugega vseobsegajočega donosa (instrument za varovanje)“ (MSRP 9, 6.5.3. člen in 6.5.8. člen). </w:t>
      </w:r>
    </w:p>
    <w:p w14:paraId="14562107" w14:textId="77777777" w:rsidR="009569C7" w:rsidRPr="00755ABF" w:rsidRDefault="00A834F1" w:rsidP="009569C7">
      <w:pPr>
        <w:pStyle w:val="Baseparagraphnumbered"/>
      </w:pPr>
      <w:r>
        <w:t xml:space="preserve">„Spremembe poštene vrednosti finančnih obveznosti, merjenih po pošteni vrednosti prek poslovnega izida, ki se lahko pripišejo spremembam njihovega kreditnega tveganja“ vključujejo akumulirane dobičke in izgube, pripoznane v </w:t>
      </w:r>
      <w:r>
        <w:lastRenderedPageBreak/>
        <w:t xml:space="preserve">drugem vseobsegajočem donosu in povezane z lastnim kreditnim tveganjem za obveznosti, določene za merjenje po pošteni vrednosti prek poslovnega izida, ne glede na to, ali se tako določijo ob začetnem pripoznanju ali pozneje. </w:t>
      </w:r>
    </w:p>
    <w:p w14:paraId="473DBCCB" w14:textId="77777777" w:rsidR="009569C7" w:rsidRPr="00755ABF" w:rsidRDefault="00A834F1" w:rsidP="009569C7">
      <w:pPr>
        <w:pStyle w:val="Baseparagraphnumbered"/>
      </w:pPr>
      <w:r>
        <w:t xml:space="preserve">„Dobički/izgube v zvezi z varovanjem neto naložb v kapital družb v tujini (uspešni del varovanja)“ vključujejo rezerve za pretvorbo v tujo valuto za učinkoviti del tako tekočih varovanj neto naložb v kapital družb v tujini kot varovanj neto naložb v kapital družb v tujini, ki se ne uporabljajo več, pri čemer je ta kapital družb v tujini še naprej pripoznan v bilanci stanja. </w:t>
      </w:r>
    </w:p>
    <w:p w14:paraId="26809AE1" w14:textId="77777777" w:rsidR="009569C7" w:rsidRPr="00755ABF" w:rsidRDefault="00A834F1" w:rsidP="009569C7">
      <w:pPr>
        <w:pStyle w:val="Baseparagraphnumbered"/>
      </w:pPr>
      <w:r>
        <w:t>„Izvedeni finančni instrumenti za varovanje. Rezerva za varovanja denarnih tokov (uspešni del varovanja)“ vključujejo rezervo za varovanja denarnih tokov za uspešni del sprememb poštene vrednosti izvedenih finančnih instrumentov za varovanje v varovanju denarnih tokov, in sicer tako za tekoča varovanja denarnih tokov kot za varovanja denarnih tokov, ki se ne uporabljajo več.</w:t>
      </w:r>
    </w:p>
    <w:p w14:paraId="2EC26921" w14:textId="77777777" w:rsidR="009569C7" w:rsidRPr="00755ABF" w:rsidRDefault="00A834F1" w:rsidP="009569C7">
      <w:pPr>
        <w:pStyle w:val="Baseparagraphnumbered"/>
      </w:pPr>
      <w:r>
        <w:t>„Spremembe poštene vrednosti dolžniških instrumentov, merjenih po pošteni vrednosti prek drugega vseobsegajočega donosa“ vključujejo akumulirane dobičke ali izgube pri dolžniških instrumentih, merjenih po pošteni vrednosti prek drugega vseobsegajočega donosa, od katerih se odšteje popravek vrednosti za izgubo, merjen na datum poročanja v skladu z oddelkom 5.5 MSRP 9.</w:t>
      </w:r>
    </w:p>
    <w:p w14:paraId="7347E416" w14:textId="77777777" w:rsidR="009569C7" w:rsidRPr="00755ABF" w:rsidRDefault="00A834F1" w:rsidP="009569C7">
      <w:pPr>
        <w:pStyle w:val="Baseparagraphnumbered"/>
      </w:pPr>
      <w:r>
        <w:t>„Instrumenti varovanja (elementi, ki niso določeni za komponento varovanja)“ vključujejo akumulirane spremembe poštene vrednosti vsega naslednjega:</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časovne vrednosti opcije, če so spremembe časovne vrednosti in notranje vrednosti te opcije ločene in je kot instrument za varovanje pred tveganjem določena samo sprememba notranje vrednosti (MSRP 9, 6.5.15. člen);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terminskega elementa terminske pogodbe, če sta terminski in promptni element te terminske pogodbe ločena in je kot instrument za varovanje pred tveganjem določena samo sprememba promptnega elementa terminske pogodbe;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valutnega tečajnega razmika finančnega instrumenta, izraženega v bazičnih točkah, če je ta razmik izključen iz določitve navedenega finančnega instrumenta kot instrumenta za varovanje pred tveganjem (MSRP 9, 6.5.15. člen in 6.5.16. člen).</w:t>
      </w:r>
    </w:p>
    <w:p w14:paraId="2DA6330C" w14:textId="77777777" w:rsidR="009569C7" w:rsidRPr="00755ABF" w:rsidRDefault="00A834F1" w:rsidP="009569C7">
      <w:pPr>
        <w:pStyle w:val="Baseparagraphnumbered"/>
      </w:pPr>
      <w:r>
        <w:t xml:space="preserve">„Rezerve iz prevrednotenja“ v skladu z MSRP vključujejo znesek rezerv, nastalih na podlagi prve uporabe MRS, ki niso bile evidentirane kot druge vrste rezerv. </w:t>
      </w:r>
    </w:p>
    <w:p w14:paraId="5C012B2D" w14:textId="77777777" w:rsidR="009569C7" w:rsidRPr="00755ABF" w:rsidRDefault="00A834F1" w:rsidP="009569C7">
      <w:pPr>
        <w:pStyle w:val="Baseparagraphnumbered"/>
      </w:pPr>
      <w:r>
        <w:t xml:space="preserve">„Druge rezerve“ se delijo na „rezerve ali bilančne izgube iz naložb v kapital podrejenih, pridruženih in skupaj obvladovanih družb, računovodsko obravnavanih s kapitalsko metodo“ ter „drugo“. „Rezerve ali bilančne izgube iz naložb v kapital podrejenih, pridruženih in skupaj obvladovanih družb, računovodsko obravnavanih s kapitalsko metodo“ vključujejo akumulirani </w:t>
      </w:r>
      <w:r>
        <w:lastRenderedPageBreak/>
        <w:t>znesek prihodkov in odhodkov, ki jih ustvarijo navedene naložbe z dobičkom ali izgubo v preteklih letih, če so računovodsko obravnavane s kapitalsko metodo. „Drugo“ vključuje rezerve, ki niso vključene že v drugih postavkah rezerv, lahko vključuje zakonske rezerve in statutarne rezerve.</w:t>
      </w:r>
    </w:p>
    <w:p w14:paraId="33E232B1" w14:textId="77777777" w:rsidR="009569C7" w:rsidRPr="00755ABF" w:rsidRDefault="00A834F1" w:rsidP="009569C7">
      <w:pPr>
        <w:pStyle w:val="Baseparagraphnumbered"/>
      </w:pPr>
      <w:r>
        <w:t xml:space="preserve">„Lastne delnice“ vključujejo vse finančne instrumente z značilnostmi lastnih lastniških instrumentov, ki jih je institucija ponovno odkupila, dokler niso prodani ali amortizirani, razen če se v skladu z ustreznimi nacionalnimi GAAP na podlagi direktive o računovodskih izkazih bank poročajo pod „drugimi sredstvi“.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539741"/>
      <w:bookmarkEnd w:id="52"/>
      <w:bookmarkEnd w:id="53"/>
      <w:bookmarkEnd w:id="54"/>
      <w:r>
        <w:t>Izkaz poslovnega izida (2)</w:t>
      </w:r>
      <w:bookmarkEnd w:id="55"/>
      <w:bookmarkEnd w:id="56"/>
      <w:bookmarkEnd w:id="57"/>
    </w:p>
    <w:p w14:paraId="597F801F" w14:textId="77777777" w:rsidR="009569C7" w:rsidRPr="00755ABF" w:rsidRDefault="00A834F1" w:rsidP="009569C7">
      <w:pPr>
        <w:pStyle w:val="Baseparagraphnumbered"/>
      </w:pPr>
      <w:r>
        <w:t>Prihodki in odhodki iz obresti od finančnih instrumentov, merjenih po pošteni vrednosti prek poslovnega izida, in od izvedenih finančnih instrumentov za varovanje, razvrščenih v kategorijo „obračunavanje varovanja pred tveganjem“, se poročajo ločeno od drugih dobičkov in izgub iz postavk „prihodki iz obresti“ in „odhodki iz obresti“ („čista cena“) ali kot del dobičkov ali izgub iz teh kategorij instrumentov („polna cena“). Pristop čiste ali polne cene se uporablja dosledno za vse finančne instrumente, merjene po pošteni vrednosti prek poslovnega izida, in za izvedene finančne instrumente za varovanje, razvrščene v kategorijo „obračunavanje varovanja pred tveganjem“.</w:t>
      </w:r>
    </w:p>
    <w:p w14:paraId="0B630360" w14:textId="77777777" w:rsidR="009569C7" w:rsidRPr="00755ABF" w:rsidRDefault="00A834F1" w:rsidP="009569C7">
      <w:pPr>
        <w:pStyle w:val="Baseparagraphnumbered"/>
      </w:pPr>
      <w:r>
        <w:t>Institucije poročajo naslednje postavke, ki vključujejo prihodke in odhodke v zvezi s povezanimi strankami, ki niso polno ali sorazmerno konsolidirane v skladu z regulativnim obsegom konsolidacije, razčlenjene po računovodskih portfeljih:</w:t>
      </w:r>
    </w:p>
    <w:p w14:paraId="708532BE" w14:textId="77777777" w:rsidR="009569C7" w:rsidRPr="00755ABF" w:rsidRDefault="00A834F1" w:rsidP="00C35843">
      <w:pPr>
        <w:pStyle w:val="Baseparagraphnumbered"/>
        <w:numPr>
          <w:ilvl w:val="0"/>
          <w:numId w:val="29"/>
        </w:numPr>
        <w:ind w:left="1134" w:hanging="425"/>
      </w:pPr>
      <w:r>
        <w:t>„prihodki iz obresti“;</w:t>
      </w:r>
    </w:p>
    <w:p w14:paraId="40F89E0E" w14:textId="77777777" w:rsidR="009569C7" w:rsidRPr="00755ABF" w:rsidRDefault="00A834F1" w:rsidP="00C35843">
      <w:pPr>
        <w:pStyle w:val="Baseparagraphnumbered"/>
        <w:numPr>
          <w:ilvl w:val="0"/>
          <w:numId w:val="29"/>
        </w:numPr>
        <w:ind w:left="1134" w:hanging="425"/>
      </w:pPr>
      <w:r>
        <w:t>„odhodki za obresti“;</w:t>
      </w:r>
    </w:p>
    <w:p w14:paraId="1CD462D1" w14:textId="77777777" w:rsidR="009569C7" w:rsidRPr="00755ABF" w:rsidRDefault="00A834F1" w:rsidP="00C35843">
      <w:pPr>
        <w:pStyle w:val="Baseparagraphnumbered"/>
        <w:numPr>
          <w:ilvl w:val="0"/>
          <w:numId w:val="29"/>
        </w:numPr>
        <w:ind w:left="1134" w:hanging="425"/>
      </w:pPr>
      <w:r>
        <w:t>„prihodki iz dividend“;</w:t>
      </w:r>
    </w:p>
    <w:p w14:paraId="1ADFBCB3" w14:textId="77777777" w:rsidR="009569C7" w:rsidRPr="00755ABF" w:rsidRDefault="00A834F1" w:rsidP="00C35843">
      <w:pPr>
        <w:pStyle w:val="Baseparagraphnumbered"/>
        <w:numPr>
          <w:ilvl w:val="0"/>
          <w:numId w:val="29"/>
        </w:numPr>
        <w:ind w:left="1134" w:hanging="425"/>
      </w:pPr>
      <w:r>
        <w:t>„dobički ali izgube iz odprave pripoznanja finančnih sredstev in obveznosti, ki niso merjeni po pošteni vrednosti prek poslovnega izida, neto“;</w:t>
      </w:r>
    </w:p>
    <w:p w14:paraId="1456F187" w14:textId="77777777" w:rsidR="009569C7" w:rsidRPr="00755ABF" w:rsidRDefault="00A834F1" w:rsidP="00C35843">
      <w:pPr>
        <w:pStyle w:val="Baseparagraphnumbered"/>
        <w:numPr>
          <w:ilvl w:val="0"/>
          <w:numId w:val="29"/>
        </w:numPr>
        <w:ind w:left="1134" w:hanging="425"/>
      </w:pPr>
      <w:r>
        <w:t>„dobički ali izgube iz naslova sprememb, neto“;</w:t>
      </w:r>
    </w:p>
    <w:p w14:paraId="667C7AFE" w14:textId="77777777" w:rsidR="009569C7" w:rsidRPr="00755ABF" w:rsidRDefault="00A834F1" w:rsidP="00C35843">
      <w:pPr>
        <w:pStyle w:val="Baseparagraphnumbered"/>
        <w:numPr>
          <w:ilvl w:val="0"/>
          <w:numId w:val="29"/>
        </w:numPr>
        <w:ind w:left="1134" w:hanging="425"/>
      </w:pPr>
      <w:r>
        <w:t>„oslabitve ali (–) razveljavitev oslabitev finančnih sredstev, ki niso merjena po pošteni vrednosti prek poslovnega izida“.</w:t>
      </w:r>
    </w:p>
    <w:p w14:paraId="50874FE5" w14:textId="77777777" w:rsidR="009569C7" w:rsidRPr="00755ABF" w:rsidRDefault="00A834F1" w:rsidP="009569C7">
      <w:pPr>
        <w:pStyle w:val="Baseparagraphnumbered"/>
      </w:pPr>
      <w:r>
        <w:t xml:space="preserve">„Prihodki iz obresti – finančna sredstva v posesti za trgovanje“ in „odhodki za obresti – finančne obveznosti v posesti za trgovanje“ vključujejo, kadar se uporablja čista cena, zneske, povezane s tistimi izvedenimi finančnimi instrumenti, razvrščenimi v kategorijo „v posesti za trgovanje“, ki so instrumenti za varovanje z ekonomskega, ne pa z računovodskega vidika, da se pravilno prikažejo prihodki in odhodki iz obresti iz finančnih instrumentov, ki se varujejo pred tveganji. </w:t>
      </w:r>
    </w:p>
    <w:p w14:paraId="7210D410" w14:textId="77777777" w:rsidR="009569C7" w:rsidRPr="00755ABF" w:rsidRDefault="00A834F1" w:rsidP="009569C7">
      <w:pPr>
        <w:pStyle w:val="Baseparagraphnumbered"/>
      </w:pPr>
      <w:r>
        <w:lastRenderedPageBreak/>
        <w:t xml:space="preserve">Če se uporablja čista cena, „prihodki iz obresti – finančna sredstva v posesti za trgovanje“ in „odhodki za obresti – finančne obveznosti v posesti za trgovanje“ vključujejo tudi časovno porazdeljene provizije in izravnalna plačila v zvezi s kreditnimi izvedenimi finančnimi instrumenti, merjenimi po pošteni vrednosti in uporabljenimi za obvladovanje kreditnega tveganja dela ali celotnega finančnega instrumenta, ki je ob tej priložnosti določen za merjenje po pošteni vrednosti (MSRP 9, oddelek 6.7). </w:t>
      </w:r>
    </w:p>
    <w:p w14:paraId="0AA45BC8" w14:textId="77777777" w:rsidR="009569C7" w:rsidRPr="00755ABF" w:rsidRDefault="00A834F1" w:rsidP="009569C7">
      <w:pPr>
        <w:pStyle w:val="Baseparagraphnumbered"/>
      </w:pPr>
      <w:r>
        <w:t>„Prihodki iz obresti – izvedeni finančni instrumenti – obračunavanje varovanja pred tveganjem, obrestno tveganje“ in „odhodki za obresti – izvedeni finančni instrumenti – obračunavanje varovanja pred tveganjem, obrestno tveganje“ vključujejo, kadar se uporablja čista cena, zneske, povezane s tistimi izvedenimi finančnimi instrumenti, razvrščenimi v kategorijo „obračunavanje varovanja pred tveganjem“, s katerimi s krije obrestno tveganje, vključno z varovanji skupine postavk z izravnalnimi pozicijami tveganja (varovanja neto pozicije), pri katerih tveganje, pred katerim se varuje, vpliva na različne vrstične postavke v izkazu poslovnega izida. Kadar se uporablja čista cena, se ti zneski poročajo kot prihodki in odhodki iz obresti na bruto osnovi, da se prikažejo pravilni prihodki in odhodki iz obresti iz postavk, varovanih pred tveganjem, s katerimi so povezani. V primeru čiste cene se, kadar varovana postavka ustvari prihodke (odhodke) iz obresti, ti zneski poročajo kot prihodki (odhodki) iz obresti, tudi če je znesek negativen (pozitiven).</w:t>
      </w:r>
    </w:p>
    <w:p w14:paraId="5E61C5C5" w14:textId="77777777" w:rsidR="009569C7" w:rsidRPr="00755ABF" w:rsidRDefault="00A834F1" w:rsidP="009569C7">
      <w:pPr>
        <w:pStyle w:val="Baseparagraphnumbered"/>
      </w:pPr>
      <w:r>
        <w:t>„Prihodki iz obresti – druga sredstva“ vključujejo zneske prihodkov iz obresti, ki niso vključeni v druge postavke, kot so prihodki iz obresti v zvezi z denarjem v blagajni, stanji na računih pri centralnih bankah in vlogami na vpogled pri bankah ter nekratkoročnimi sredstvi in skupinami za odtujitev, razvrščenimi kot v posesti za prodajo, ter neto prihodki iz obresti od neto sredstev za določene zaslužke.</w:t>
      </w:r>
    </w:p>
    <w:p w14:paraId="67ED06A8" w14:textId="77777777" w:rsidR="009569C7" w:rsidRPr="00755ABF" w:rsidRDefault="00A834F1" w:rsidP="009569C7">
      <w:pPr>
        <w:pStyle w:val="Baseparagraphnumbered"/>
      </w:pPr>
      <w:r>
        <w:t xml:space="preserve">V skladu z MSRP in kadar ni določeno drugače v skladu z nacionalnimi GAAP, se obresti v zvezi s finančnimi obveznostmi z negativno efektivno obrestno mero poročajo pod „prihodki iz obresti od obveznosti“. Te obveznosti in njihove obresti privedejo do pozitivnega donosa za institucijo.  </w:t>
      </w:r>
    </w:p>
    <w:p w14:paraId="0B25510C" w14:textId="77777777" w:rsidR="009569C7" w:rsidRPr="00755ABF" w:rsidRDefault="00A834F1" w:rsidP="009569C7">
      <w:pPr>
        <w:pStyle w:val="Baseparagraphnumbered"/>
      </w:pPr>
      <w:r>
        <w:t xml:space="preserve"> „Odhodki za obresti – druge obveznosti“ vključujejo zneske odhodkov za obresti, ki niso vključeni v druge postavke, kot so odhodki za obresti v zvezi z obveznostmi, vključenimi v skupine za odtujitev, razvrščene kot v posesti za prodajo, odhodki, ki nastanejo zaradi povečanja knjigovodske vrednosti rezervacije, ki izraža minevanje časa, ali neto odhodki za obresti od neto obveznosti za določene zaslužke. </w:t>
      </w:r>
    </w:p>
    <w:p w14:paraId="31A2F00F" w14:textId="77777777" w:rsidR="009569C7" w:rsidRPr="00755ABF" w:rsidRDefault="00A834F1" w:rsidP="009569C7">
      <w:pPr>
        <w:pStyle w:val="Baseparagraphnumbered"/>
      </w:pPr>
      <w:r>
        <w:t xml:space="preserve">V skladu z MSRP in kadar ni določeno drugače v skladu z nacionalnimi GAAP, se obresti v zvezi s finančnimi sredstvi z negativno efektivno obrestno mero poročajo pod „odhodki za obresti od sredstev“. Ta sredstva in njihove obresti privedejo do negativnega donosa za institucijo. </w:t>
      </w:r>
    </w:p>
    <w:p w14:paraId="52E039DA" w14:textId="77777777" w:rsidR="009569C7" w:rsidRPr="00755ABF" w:rsidRDefault="00A834F1" w:rsidP="009569C7">
      <w:pPr>
        <w:pStyle w:val="Baseparagraphnumbered"/>
      </w:pPr>
      <w:r>
        <w:t xml:space="preserve">Prihodki iz dividend iz lastniških instrumentov, merjenih po pošteni vrednosti prek poslovnega izida, se poročajo kot „prihodki iz dividend“ ločeno od drugih dobičkov in izgub iz teh razredov instrumentov, kadar se uporablja čista cena, </w:t>
      </w:r>
      <w:r>
        <w:lastRenderedPageBreak/>
        <w:t xml:space="preserve">ali kot del dobičkov ali izgub iz teh razredov instrumentov, če se uporablja polna cena. </w:t>
      </w:r>
    </w:p>
    <w:p w14:paraId="7F184831" w14:textId="77777777" w:rsidR="009569C7" w:rsidRPr="00755ABF" w:rsidRDefault="00A834F1" w:rsidP="009569C7">
      <w:pPr>
        <w:pStyle w:val="Baseparagraphnumbered"/>
      </w:pPr>
      <w:r>
        <w:t>Prihodki iz dividend iz lastniških instrumentov, določenih za merjenje po pošteni vrednosti prek drugega vseobsegajočega donosa, zajemajo dividende v zvezi z instrumenti, za katere se je v referenčnem obdobju poročanja odpravilo pripoznanje, in dividende v zvezi z instrumenti, ki se posedujejo na koncu referenčnega obdobja poročanja.</w:t>
      </w:r>
    </w:p>
    <w:p w14:paraId="6196847F" w14:textId="77777777" w:rsidR="009569C7" w:rsidRPr="00755ABF" w:rsidRDefault="00A834F1" w:rsidP="009569C7">
      <w:pPr>
        <w:pStyle w:val="Baseparagraphnumbered"/>
      </w:pPr>
      <w:r>
        <w:t>Prihodki iz dividend iz naložb v kapital podrejenih, pridruženih in skupaj obvladovanih družb, vključujejo dividende iz teh naložb, kadar se te obračunavajo drugače kot s kapitalsko metodo.</w:t>
      </w:r>
    </w:p>
    <w:p w14:paraId="6665F059" w14:textId="77777777" w:rsidR="009569C7" w:rsidRPr="00755ABF" w:rsidRDefault="00A834F1" w:rsidP="009569C7">
      <w:pPr>
        <w:pStyle w:val="Baseparagraphnumbered"/>
      </w:pPr>
      <w:r>
        <w:t xml:space="preserve">„Dobički ali (–) izgube iz finančnih sredstev in obveznosti v posesti za trgovanje, neto“ vključujejo dobičke in izgube iz ponovnega merjenja ter odprave pripoznanja finančnih instrumentov, razvrščenih kot v posesti za trgovanje. Ta postavka vključuje tudi dobičke in izgube iz kreditnih izvedenih finančnih instrumentov, merjenih po pošteni vrednosti prek poslovnega izida, ki se uporabljajo za obvladovanje kreditnega tveganja celotnega ali dela finančnega instrumenta, določenega za merjenega po pošteni vrednosti prek poslovnega izida, ter prihodke in odhodke iz naslova dividend in obresti od finančnih sredstev in obveznosti v posesti za trgovanje, kadar se uporablja polna cena. </w:t>
      </w:r>
    </w:p>
    <w:p w14:paraId="6FC27BF8" w14:textId="77777777" w:rsidR="009569C7" w:rsidRPr="00755ABF" w:rsidRDefault="00A834F1" w:rsidP="009569C7">
      <w:pPr>
        <w:pStyle w:val="Baseparagraphnumbered"/>
      </w:pPr>
      <w:r>
        <w:t>„Dobički ali izgube iz finančnih sredstev in obveznosti, določenih za merjenje po pošteni vrednosti prek poslovnega izida“ vključujejo tudi znesek, pripoznan v izkazu poslovnega izida za lastno kreditno tveganje obveznosti, določenih za merjenje po pošteni vrednosti, če pripoznanje sprememb lastnega kreditnega tveganja v drugem vseobsegajočem donosu ustvari ali poveča računovodsko neskladnost (MSRP 9, 5.7.8. člen). Ta postavka vključuje tudi dobičke in izgube iz varovanih instrumentov, ki so določeni za merjenje po pošteni vrednosti prek poslovnega izida, če se taka določitev uporablja za obvladovanje kreditnega tveganja, ter prihodke in odhodke iz obresti od finančnih sredstev in obveznosti, določenih za merjenje po pošteni vrednosti prek poslovnega izida, kadar se uporablja polna cena.</w:t>
      </w:r>
    </w:p>
    <w:p w14:paraId="131AB9AE" w14:textId="77777777" w:rsidR="009569C7" w:rsidRPr="00755ABF" w:rsidRDefault="00A834F1" w:rsidP="009569C7">
      <w:pPr>
        <w:pStyle w:val="Baseparagraphnumbered"/>
      </w:pPr>
      <w:r>
        <w:t>„Dobički ali (–) izgube iz odprave pripoznanja finančnih sredstev in obveznosti, ki niso merjeni po pošteni vrednosti prek poslovnega izida“ ne vključujejo dobičkov iz lastniških instrumentov, za katere se je poročajoče podjetje odločilo, da jih bo merilo po pošteni vrednosti prek drugega vseobsegajočega donosa (MSRP 9, 5.7.1.(b) člen).</w:t>
      </w:r>
    </w:p>
    <w:p w14:paraId="035200F0" w14:textId="77777777" w:rsidR="009569C7" w:rsidRPr="00755ABF" w:rsidRDefault="00A834F1" w:rsidP="009569C7">
      <w:pPr>
        <w:pStyle w:val="Baseparagraphnumbered"/>
      </w:pPr>
      <w:r>
        <w:t xml:space="preserve">Če sprememba poslovnega modela privede do prerazvrstitve finančnega sredstva v drug računovodski portfelj, se dobički ali izgube iz prerazvrstitve poročajo v ustreznih vrsticah računovodskega portfelja, v katerega se prerazvrsti finančno sredstvo, v skladu z naslednjim: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če se finančno sredstvo prerazvrsti iz kategorije, ki se meri po odplačni vrednosti, v računovodski portfelj, ki se meri po pošteni vrednosti prek poslovnega izida (MSRP 9, 5.6.2. člen), se dobički ali izgube zaradi </w:t>
      </w:r>
      <w:r>
        <w:rPr>
          <w:rFonts w:ascii="Times New Roman" w:hAnsi="Times New Roman"/>
          <w:sz w:val="24"/>
        </w:rPr>
        <w:lastRenderedPageBreak/>
        <w:t xml:space="preserve">prerazvrstitve poročajo pod postavko „dobički ali (–) izgube iz finančnih sredstev in obveznosti v posesti za trgovanje, neto“ ali „dobički ali (–) izgube iz </w:t>
      </w:r>
      <w:proofErr w:type="spellStart"/>
      <w:r>
        <w:rPr>
          <w:rFonts w:ascii="Times New Roman" w:hAnsi="Times New Roman"/>
          <w:sz w:val="24"/>
        </w:rPr>
        <w:t>netrgovalnih</w:t>
      </w:r>
      <w:proofErr w:type="spellEnd"/>
      <w:r>
        <w:rPr>
          <w:rFonts w:ascii="Times New Roman" w:hAnsi="Times New Roman"/>
          <w:sz w:val="24"/>
        </w:rPr>
        <w:t xml:space="preserve"> finančnih sredstev, obvezno merjenih po pošteni vrednosti prek poslovnega izida, neto“, kot je ustrezno;</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če se finančno sredstvo prerazvrsti iz kategorije, ki se meri po pošteni vrednosti prek drugega vseobsegajočega donosa, v kategorijo, ki se meri po pošteni vrednosti prek poslovnega izida (MSRP 9, 5.6.7. člen), se kumulativni dobički ali izgube, prej pripoznani v drugem vseobsegajočem donosu in prerazvrščeni v poslovni izid, poročajo pod postavko „dobički ali (–) izgube iz finančnih sredstev in obveznosti v posesti za trgovanje, neto“ ali „dobički ali (–) izgube iz </w:t>
      </w:r>
      <w:proofErr w:type="spellStart"/>
      <w:r>
        <w:rPr>
          <w:rFonts w:ascii="Times New Roman" w:hAnsi="Times New Roman"/>
          <w:sz w:val="24"/>
        </w:rPr>
        <w:t>netrgovalnih</w:t>
      </w:r>
      <w:proofErr w:type="spellEnd"/>
      <w:r>
        <w:rPr>
          <w:rFonts w:ascii="Times New Roman" w:hAnsi="Times New Roman"/>
          <w:sz w:val="24"/>
        </w:rPr>
        <w:t xml:space="preserve"> finančnih sredstev, obvezno merjenih po pošteni vrednosti prek poslovnega izida, neto“, kot je ustrezno.</w:t>
      </w:r>
    </w:p>
    <w:p w14:paraId="0C56AB3D" w14:textId="77777777" w:rsidR="009569C7" w:rsidRPr="00755ABF" w:rsidRDefault="00A834F1" w:rsidP="009569C7">
      <w:pPr>
        <w:pStyle w:val="Baseparagraphnumbered"/>
      </w:pPr>
      <w:r>
        <w:t>„Dobički ali (–) izgube iz obračunavanja varovanja pred tveganjem, neto“ vključujejo dobičke in izgube iz instrumentov varovanja in iz varovanih postavk, vključno s tistimi iz varovanih postavk, merjenih po pošteni vrednosti prek drugega vseobsegajočega donosa, ki niso lastniški instrumenti, v varovanju poštene vrednosti pred tveganjem v skladu s 6.5.8. členom MSRP 9. Vključujejo tudi neuspešni del variacije poštene vrednosti instrumentov varovanja v varovanju denarnih tokov. Prerazvrstitve rezerve za varovanje denarnih tokov ali rezerve za varovanje neto naložbe v kapital družb v tujini se pripoznajo v istih vrsticah „izkaza poslovnega izida“ kot tiste, na katere so vplivali denarnih tokovi iz varovanih postavk. „Dobički ali (–) izgube iz obračunavanja varovanja pred tveganjem, neto“ vključujejo tudi dobičke in izgube iz varovanj neto naložbe v kapital družb v tujini. Ta postavka vključuje tudi dobičke iz varovanj neto pozicij.</w:t>
      </w:r>
    </w:p>
    <w:p w14:paraId="73F3F582" w14:textId="77777777" w:rsidR="009569C7" w:rsidRPr="00755ABF" w:rsidRDefault="00A834F1" w:rsidP="009569C7">
      <w:pPr>
        <w:pStyle w:val="Baseparagraphnumbered"/>
      </w:pPr>
      <w:r>
        <w:t xml:space="preserve"> „Dobički ali izgube iz odprave pripoznanja nefinančnih sredstev“ vključujejo dobičke in izgube iz odprave pripoznanja nefinančnih sredstev, razen če so ta razvrščena kot v posesti za prodajo ali kot naložbe v kapital podrejenih, pridruženih in skupaj obvladovanih družb.</w:t>
      </w:r>
    </w:p>
    <w:p w14:paraId="711E7ED3" w14:textId="77777777" w:rsidR="00301A78" w:rsidRPr="00755ABF" w:rsidRDefault="00301A78" w:rsidP="00301A78">
      <w:pPr>
        <w:pStyle w:val="Baseparagraphnumbered"/>
        <w:numPr>
          <w:ilvl w:val="0"/>
          <w:numId w:val="0"/>
        </w:numPr>
        <w:ind w:left="786" w:hanging="360"/>
      </w:pPr>
      <w:r>
        <w:t>48i. „Denarni prispevki v sklade za reševanje in sisteme jamstva za vloge“ vključujejo zneske prispevkov v sklade za reševanje in sisteme jamstva za vloge, če se vplačajo v obliki denarnih sredstev. Če je prispevek v obliki plačilne obveznosti, se ta plačilna obveznost vključi v postavko „Rezervacije ali (–) odprava rezervacij“, če plačilna obveznost povzroči obveznost v skladu z računovodskim standardom, ki se uporablja.</w:t>
      </w:r>
    </w:p>
    <w:p w14:paraId="39F45592" w14:textId="77777777" w:rsidR="009569C7" w:rsidRPr="00755ABF" w:rsidRDefault="00A834F1" w:rsidP="009569C7">
      <w:pPr>
        <w:pStyle w:val="Baseparagraphnumbered"/>
      </w:pPr>
      <w:r>
        <w:t>„Dobički ali (–) izgube iz naslova sprememb, neto“ vključujejo zneske, ki izhajajo iz prilagoditve bruto knjigovodskih vrednosti finančnih sredstev, ki odraža ponovno dogovorjene ali spremenjene pogodbene denarne tokove (MSRP 9, 5.4.3. člen in Priloga A). Dobički ali izgube iz naslova sprememb ne vključujejo učinka sprememb na znesek pričakovanih kreditnih izgub, ki se poroča pod postavko „oslabitve ali (–) razveljavitev oslabitev finančnih sredstev, ki niso merjena po pošteni vrednosti prek poslovnega izida“.</w:t>
      </w:r>
    </w:p>
    <w:p w14:paraId="6D8391AF" w14:textId="77777777" w:rsidR="009569C7" w:rsidRPr="00755ABF" w:rsidRDefault="00A834F1" w:rsidP="009569C7">
      <w:pPr>
        <w:pStyle w:val="Baseparagraphnumbered"/>
      </w:pPr>
      <w:r>
        <w:t xml:space="preserve">„Rezervacije ali (–) odprava rezervacij – prevzete obveznosti in dana poroštva“ vključujejo neto zneske v „izkazu poslovnega izida“ za rezervacije za vse </w:t>
      </w:r>
      <w:r>
        <w:lastRenderedPageBreak/>
        <w:t>zaveze in poroštva, ki jih obravnavajo MSRP 9, MRS 37 ali MSRP 4, v skladu z odstavkom 11 tega dela ali v skladu z nacionalnimi GAAP na podlagi direktive o računovodskih izkazih bank. V skladu z MSRP se vse spremembe poštene vrednosti zavez in finančnih poroštev, merjenih po pošteni vrednosti, poročajo pod postavko „dobički ali (–) izgube iz finančnih sredstev in obveznosti, določenih za merjenje po pošteni vrednosti prek poslovnega izida, neto“. Rezervacije zato vključujejo znesek oslabitve za zaveze in poroštva, za katere se oslabitev določa v skladu z MSRP 9 ali se rezervacije zanje oblikujejo v skladu z MRS 37 ali pa se obravnavajo kot zavarovalne pogodbe v skladu z MSRP 4.</w:t>
      </w:r>
    </w:p>
    <w:p w14:paraId="6B78E9FF" w14:textId="77777777" w:rsidR="009569C7" w:rsidRPr="00755ABF" w:rsidRDefault="00A834F1" w:rsidP="009569C7">
      <w:pPr>
        <w:pStyle w:val="Baseparagraphnumbered"/>
      </w:pPr>
      <w:r>
        <w:t xml:space="preserve">V skladu z MSRP „oslabitve ali (–) razveljavitev oslabitev finančnih sredstev, ki niso merjena po pošteni vrednosti prek poslovnega izida“ vključujejo vse dobičke ali izgube zaradi oslabitve za dolžniške instrumente, ki nastanejo zaradi uporabe pravil o oslabitvi iz oddelka 5.5 MSRP 9, ne glede na to, ali se pričakovane kreditne izgube v skladu z oddelkom 5.5 MSRP 9 ocenijo v obdobju 12 mesecev ali v celotnem obdobju trajanja instrumenta, ter dobičke ali izgube zaradi oslabitve za odkupljene terjatve, sredstva iz pogodb in terjatve iz najemov (MSRP 9, 5.5.15. člen). </w:t>
      </w:r>
    </w:p>
    <w:p w14:paraId="18B5CC8E" w14:textId="77777777" w:rsidR="009569C7" w:rsidRPr="00755ABF" w:rsidRDefault="00A834F1" w:rsidP="009569C7">
      <w:pPr>
        <w:pStyle w:val="Baseparagraphnumbered"/>
      </w:pPr>
      <w:r>
        <w:t xml:space="preserve">V skladu z nacionalnimi GAAP na podlagi direktive o računovodskih izkazih bank postavka „oslabitve ali (–) razveljavitev oslabitev finančnih sredstev, ki niso merjena po pošteni vrednosti prek poslovnega izida“ vključuje vse popravke vrednosti in odprave popravkov vrednosti finančnih instrumentov, ki se merijo po metodah nabavne vrednosti, zaradi spremembe kreditne sposobnosti dolžnika ali izdajatelja, pa tudi, odvisno od določb v nacionalnih GAAP, popravke vrednosti zaradi oslabitve finančnih instrumentov, merjenih po pošteni vrednosti prek lastniškega kapitala ter z drugimi metodami merjenja, vključno z LOCOM. </w:t>
      </w:r>
    </w:p>
    <w:p w14:paraId="1175333D" w14:textId="77777777" w:rsidR="009569C7" w:rsidRPr="00755ABF" w:rsidRDefault="00A834F1" w:rsidP="009569C7">
      <w:pPr>
        <w:pStyle w:val="Baseparagraphnumbered"/>
      </w:pPr>
      <w:r>
        <w:t xml:space="preserve"> „Oslabitve ali (–) razveljavitev oslabitev finančnih sredstev, ki niso merjena po pošteni vrednosti prek poslovnega izida“ vključujejo odpisane zneske, kot so opredeljeni v odstavkih 72, 74 in 165(b) tega dela te priloge, ki presegajo znesek popravka vrednosti za izgubo na datum odpisa in so zato pripoznani kot izguba neposredno v poslovnem izidu, ter izterjave prej odpisanih zneskov, evidentirane neposredno v izkazu poslovnega izida. </w:t>
      </w:r>
    </w:p>
    <w:p w14:paraId="583B61DB" w14:textId="77777777" w:rsidR="009569C7" w:rsidRPr="00755ABF" w:rsidRDefault="00A834F1" w:rsidP="009569C7">
      <w:pPr>
        <w:pStyle w:val="Baseparagraphnumbered"/>
      </w:pPr>
      <w:r>
        <w:t xml:space="preserve">Delež dobička ali izgube iz naložb v kapital podrejenih, pridruženih in skupaj obvladovanih družb, ki se obračunavajo s kapitalsko metodo v skladu z regulativnim obsegom konsolidacije, se poročajo pod postavko „delež dobička ali (–) izgube iz naložb v kapital podrejenih, pridruženih in skupaj obvladovanih družb, računovodsko obravnavanih s kapitalsko metodo“. Knjigovodska vrednost naložbe se skladno z 10. členom MRS 28 zmanjša za znesek dividend, ki so jih izplačali ti subjekti. Oslabitve teh naložb se poročajo v postavki „(oslabitve ali (–) razveljavitev oslabitev naložb v kapital podrejenih, pridruženih in skupaj obvladovanih družb)“. Dobički ali izgube iz odprave pripoznanja teh naložb se poročajo v skladu z odstavkoma 55 in 56 tega dela. </w:t>
      </w:r>
    </w:p>
    <w:p w14:paraId="7925FF53" w14:textId="77777777" w:rsidR="009569C7" w:rsidRPr="00755ABF" w:rsidRDefault="00A834F1" w:rsidP="009569C7">
      <w:pPr>
        <w:pStyle w:val="Baseparagraphnumbered"/>
      </w:pPr>
      <w:r>
        <w:lastRenderedPageBreak/>
        <w:t>„Dobiček ali izguba iz nekratkoročnih sredstev in skupin za odtujitev, razvrščenih kot v posesti za prodajo, ki jih ni mogoče razvrstiti kot ustavljeno poslovanje“ vključuje dobiček ali izgubo, ki je bila ustvarjena z nekratkoročnimi sredstvi in skupinami za odtujitev, razvrščenimi kot v posesti za prodajo, ki jih ni mogoče razvrstiti kot ustavljeno poslovanje.</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V skladu z MSRP se dobički ali izgube iz odprave pripoznanja naložb v kapital podrejenih, pridruženih in skupaj obvladovanih družb, poročajo pod postavko „dobiček ali (–) izguba pred obdavčitvijo iz ustavljenega poslovanja“, če se ti štejejo za ustavljeno poslovanje v skladu z MSRP 5. Kadar se za naložbe v kapital podrejenih, pridruženih in skupaj obvladovanih družb odpravi pripoznanje, ne da bi bile prej pripoznane kot v posesti za prodajo in ne da bi se štele za ustavljeno poslovanje v skladu z MSRP 5, se dobički ali izgube iz odprave pripoznanja teh naložb poročajo pod postavko „dobički ali (–) izgube iz odprave pripoznanja naložb v kapital podrejenih, pridruženih in skupaj obvladovanih družb, neto“ ne glede na uporabljeno metodo konsolidacije.  V skladu z nacionalnimi GAAP na podlagi direktive o računovodskih izkazih bank se vsi dobički in izgube iz odprave pripoznanja naložb v kapital podrejenih, pridruženih in skupaj obvladovanih družb poročajo pod postavko „dobički ali (–) izgube iz odprave pripoznanja naložb v kapital podrejenih, pridruženih in skupaj obvladovanih družb, neto“.</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8539742"/>
      <w:bookmarkEnd w:id="61"/>
      <w:bookmarkEnd w:id="62"/>
      <w:bookmarkEnd w:id="63"/>
      <w:bookmarkEnd w:id="64"/>
      <w:bookmarkEnd w:id="65"/>
      <w:bookmarkEnd w:id="66"/>
      <w:bookmarkEnd w:id="67"/>
      <w:bookmarkEnd w:id="68"/>
      <w:bookmarkEnd w:id="69"/>
      <w:bookmarkEnd w:id="70"/>
      <w:bookmarkEnd w:id="71"/>
      <w:bookmarkEnd w:id="72"/>
      <w:r>
        <w:t>Izkaz vseobsegajočega donosa (3)</w:t>
      </w:r>
      <w:bookmarkEnd w:id="73"/>
      <w:bookmarkEnd w:id="74"/>
      <w:bookmarkEnd w:id="76"/>
    </w:p>
    <w:p w14:paraId="16C453A4" w14:textId="77777777" w:rsidR="009569C7" w:rsidRPr="00755ABF" w:rsidRDefault="00A834F1" w:rsidP="009569C7">
      <w:pPr>
        <w:pStyle w:val="Baseparagraphnumbered"/>
      </w:pPr>
      <w:r>
        <w:t>„Dobički ali (–) izgube v zvezi z obračunavanjem varovanja pred tveganjem naložb v lastniške instrumente, merjenih po pošteni vrednosti prek drugega vseobsegajočega donosa“ vključujejo spremembo akumulirane neučinkovitosti varovanja pri varovanjih poštene vrednosti, pri katerih je varovana postavka lastniški instrument, merjen po pošteni vrednosti prek drugega vseobsegajočega donosa. Sprememba akumulirane neučinkovitosti varovanja, ki se poroča v tej vrstici, je razlika med spremembami v variaciji poštene vrednosti lastniškega instrumenta, poročanimi pod „Spremembe poštene vrednosti lastniških instrumentov, merjenih po pošteni vrednosti prek drugega vseobsegajočega donosa (varovana postavka)“, in spremembami v variaciji poštene vrednosti izvedenega finančnega instrumenta za varovanje, poročanimi pod „Spremembe poštene vrednosti lastniških instrumentov, merjenih po pošteni vrednosti prek drugega vseobsegajočega donosa (instrument za varovanje)“.</w:t>
      </w:r>
    </w:p>
    <w:p w14:paraId="04C982E3" w14:textId="77777777" w:rsidR="009569C7" w:rsidRPr="00755ABF" w:rsidRDefault="00A834F1" w:rsidP="009569C7">
      <w:pPr>
        <w:pStyle w:val="Baseparagraphnumbered"/>
      </w:pPr>
      <w:r>
        <w:t xml:space="preserve"> „Dobički/izgube v zvezi z varovanjem neto naložb v kapital družb v tujini (uspešni del varovanja)“ vključujejo spremembe akumulirane rezerve za pretvorbo v tujo valuto za uspešni del tako tekočih varovanj neto naložb v kapital družb v tujini kot varovanj neto naložb v kapital družb v tujini, ki se ne uporabljajo več. </w:t>
      </w:r>
    </w:p>
    <w:p w14:paraId="41AEFCCE" w14:textId="77777777" w:rsidR="009569C7" w:rsidRPr="00755ABF" w:rsidRDefault="00A834F1" w:rsidP="009569C7">
      <w:pPr>
        <w:pStyle w:val="Baseparagraphnumbered"/>
      </w:pPr>
      <w:r>
        <w:t xml:space="preserve">Za varovanja neto naložb v kapital družb v tujini in varovanja denarnih tokov zadevni zneski, ki se poročajo pod postavko „prenos v poslovni izid“, vključujejo zneske, ki so se prenesli, ker je prišlo do varovanih tokov in se zanje ne pričakuje več, da bo do njih prišlo. </w:t>
      </w:r>
    </w:p>
    <w:p w14:paraId="71254978" w14:textId="77777777" w:rsidR="009569C7" w:rsidRPr="00755ABF" w:rsidRDefault="00A834F1" w:rsidP="009569C7">
      <w:pPr>
        <w:pStyle w:val="Baseparagraphnumbered"/>
      </w:pPr>
      <w:r>
        <w:lastRenderedPageBreak/>
        <w:t xml:space="preserve">„Instrumenti varovanja (elementi, ki niso določeni za komponento varovanja)“ vključujejo spremembe v akumuliranih spremembah poštene vrednosti vsega naslednjega, če ni določeno za komponento varovanja: </w:t>
      </w:r>
    </w:p>
    <w:p w14:paraId="3E806A3E" w14:textId="77777777" w:rsidR="009569C7" w:rsidRPr="00755ABF" w:rsidRDefault="00A834F1" w:rsidP="00C35843">
      <w:pPr>
        <w:pStyle w:val="Baseparagraphnumbered"/>
        <w:numPr>
          <w:ilvl w:val="0"/>
          <w:numId w:val="55"/>
        </w:numPr>
        <w:ind w:left="1134" w:hanging="425"/>
      </w:pPr>
      <w:r>
        <w:t xml:space="preserve">časovne vrednosti opcij; </w:t>
      </w:r>
    </w:p>
    <w:p w14:paraId="5F78AADB" w14:textId="77777777" w:rsidR="009569C7" w:rsidRPr="00755ABF" w:rsidRDefault="00A834F1" w:rsidP="00C35843">
      <w:pPr>
        <w:pStyle w:val="Baseparagraphnumbered"/>
        <w:numPr>
          <w:ilvl w:val="0"/>
          <w:numId w:val="55"/>
        </w:numPr>
        <w:ind w:left="1134" w:hanging="425"/>
      </w:pPr>
      <w:r>
        <w:t xml:space="preserve">terminskih elementov terminskih pogodb; </w:t>
      </w:r>
    </w:p>
    <w:p w14:paraId="333F87B3" w14:textId="77777777" w:rsidR="009569C7" w:rsidRPr="00755ABF" w:rsidRDefault="00A834F1" w:rsidP="00C35843">
      <w:pPr>
        <w:pStyle w:val="Baseparagraphnumbered"/>
        <w:numPr>
          <w:ilvl w:val="0"/>
          <w:numId w:val="55"/>
        </w:numPr>
        <w:ind w:left="1134" w:hanging="425"/>
      </w:pPr>
      <w:r>
        <w:t xml:space="preserve">valutnega tečajnega razmika finančnih instrumentov, izraženega v bazičnih točkah. </w:t>
      </w:r>
    </w:p>
    <w:p w14:paraId="2745A656" w14:textId="77777777" w:rsidR="009569C7" w:rsidRPr="00755ABF" w:rsidRDefault="00A834F1" w:rsidP="009569C7">
      <w:pPr>
        <w:pStyle w:val="Baseparagraphnumbered"/>
      </w:pPr>
      <w:r>
        <w:t>Za opcije zneski, prerazvrščeni v poslovni izid in poročani pod postavko „prenos v poslovni izid“, vključujejo prerazvrstitve zaradi opcij, ki varujejo s poslom povezano varovano postavko, in opcij, ki varujejo s časovnim obdobjem povezano varovano postavko.</w:t>
      </w:r>
    </w:p>
    <w:p w14:paraId="360AEF95" w14:textId="77777777" w:rsidR="009569C7" w:rsidRPr="00755ABF" w:rsidRDefault="00A834F1" w:rsidP="009569C7">
      <w:pPr>
        <w:pStyle w:val="Baseparagraphnumbered"/>
      </w:pPr>
      <w:r>
        <w:t>„Dolžniški instrumenti po pošteni vrednosti prek drugega vseobsegajočega donosa“ vključujejo dobičke ali izgube iz dolžniških instrumentov, merjenih po pošteni vrednosti prek drugega vseobsegajočega donosa, ki niso dobički ali izgube zaradi oslabitve ter dobički in izgube iz tečajnih razlik, ki se poročajo pod „(oslabitve ali (–) razveljavitev oslabitev finančnih sredstev, ki niso merjena po pošteni vrednosti prek poslovnega izida)“ oziroma pod „čisti dobički/(–) izgube iz tečajnih razlik“ v predlogi 2. Postavka „prenos v poslovni izid“ zlasti vključuje prenose v poslovni izid zaradi odprave pripoznanja ali prerazvrstitve v kategorijo, ki se meri po pošteni vrednosti prek poslovnega izida.</w:t>
      </w:r>
    </w:p>
    <w:p w14:paraId="5C9605C3" w14:textId="77777777" w:rsidR="009569C7" w:rsidRPr="00755ABF" w:rsidRDefault="00A834F1" w:rsidP="009569C7">
      <w:pPr>
        <w:pStyle w:val="Baseparagraphnumbered"/>
      </w:pPr>
      <w:r>
        <w:t>Če se finančno sredstvo prerazvrsti iz kategorije, ki se meri po odplačni vrednosti, v kategorijo, ki se meri po pošteni vrednosti prek drugega vseobsegajočega donosa (MSRP 9, 5.6.4. člen), se dobički ali izgube, nastali zaradi prerazvrstitve, poročajo pod postavko „dolžniški instrumenti po pošteni vrednosti prek drugega vseobsegajočega donosa“.</w:t>
      </w:r>
    </w:p>
    <w:p w14:paraId="0267F37E" w14:textId="77777777" w:rsidR="009569C7" w:rsidRPr="00755ABF" w:rsidRDefault="00A834F1" w:rsidP="009569C7">
      <w:pPr>
        <w:pStyle w:val="Baseparagraphnumbered"/>
      </w:pPr>
      <w:r>
        <w:t>Če se finančno sredstvo prerazvrsti iz kategorije, ki se meri po pošteni vrednosti prek drugega vseobsegajočega donosa, v kategorijo, ki se meri po pošteni vrednosti prek poslovnega izida (MSRP 9, 5.6.7. člen), ali v kategorijo, ki se meri po odplačni vrednosti (MSRP 9, 5.6.5. člen), se prerazvrščeni kumulativni dobički in izgube, prej pripoznani v drugem vseobsegajočem donosu, ustrezno poročajo v postavki „prenos v poslovni izid“ oziroma „druge prerazvrstitve“, pri čemer se v drugem primeru knjigovodska vrednost finančnega sredstva prilagodi.</w:t>
      </w:r>
    </w:p>
    <w:p w14:paraId="68F4E098" w14:textId="77777777" w:rsidR="009569C7" w:rsidRPr="00755ABF" w:rsidRDefault="00A834F1" w:rsidP="009569C7">
      <w:pPr>
        <w:pStyle w:val="Baseparagraphnumbered"/>
      </w:pPr>
      <w:r>
        <w:t xml:space="preserve">„Druge prerazvrstitve“ za vse sestavine drugega vseobsegajočega donosa vključujejo prenose, ki niso prerazvrstitve iz drugega vseobsegajočega donosa v poslovni izid ali v začetno knjigovodsko vrednost varovanih postavk v primeru varovanj denarnih tokov. </w:t>
      </w:r>
    </w:p>
    <w:p w14:paraId="15590D6D" w14:textId="77777777" w:rsidR="009569C7" w:rsidRPr="00755ABF" w:rsidRDefault="00A834F1" w:rsidP="009569C7">
      <w:pPr>
        <w:pStyle w:val="Baseparagraphnumbered"/>
      </w:pPr>
      <w:r>
        <w:t xml:space="preserve">V skladu z MSRP se „davek iz dohodka pravnih oseb v zvezi s postavkami, ki ne bodo prerazvrščene v poslovni izid“ in „davek iz dohodka pravnih oseb v </w:t>
      </w:r>
      <w:r>
        <w:lastRenderedPageBreak/>
        <w:t>zvezi s postavkami, ki se lahko pozneje prerazvrstijo v poslovni izid“ (MRS 1, 91.(b) člen in IG6. člen) poročata kot ločeni vrstični postavki.</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539743"/>
      <w:r>
        <w:t>Razčlenitev finančnih sredstev po instrumentih in po sektorju nasprotne stranke (4)</w:t>
      </w:r>
      <w:bookmarkEnd w:id="77"/>
      <w:bookmarkEnd w:id="78"/>
      <w:bookmarkEnd w:id="79"/>
    </w:p>
    <w:p w14:paraId="7A842CE8" w14:textId="75C380AD" w:rsidR="009569C7" w:rsidRPr="00755ABF" w:rsidRDefault="00A834F1" w:rsidP="009569C7">
      <w:pPr>
        <w:pStyle w:val="Baseparagraphnumbered"/>
      </w:pPr>
      <w:r>
        <w:t>Finančna sredstva se razčlenijo po računovodskih portfeljih, po instrumentih in, če se tako zahteva, po nasprotnih strankah. Za dolžniške instrumente, merjene po pošteni vrednosti prek drugega vseobsegajočega donosa in po odplačni vrednosti, se bruto knjigovodska vrednost sredstev in akumuliranih oslabitev razčleni po skupinah za namen oslabitev, razen kadar so kupljena ali izdana (ustvarjena) finančna sredstva, ki imajo ob začetnem pripoznanju poslabšano kreditno kakovost, kot so opredeljena v Prilogi A k MSRP 9. Za ta sredstva se bruto knjigovodska vrednost in akumulirane oslabitve poročajo ločeno, izven skupin za namen oslabitev, v predlogah 4.3.1 in 4.4.1.</w:t>
      </w:r>
    </w:p>
    <w:p w14:paraId="3BBBA6C9" w14:textId="77777777" w:rsidR="009569C7" w:rsidRPr="00755ABF" w:rsidRDefault="00A834F1" w:rsidP="009569C7">
      <w:pPr>
        <w:pStyle w:val="Baseparagraphnumbered"/>
      </w:pPr>
      <w:r>
        <w:t>Izvedeni finančni instrumenti, ki se v skladu z GAAP na podlagi direktive o računovodskih izkazih bank poročajo kot trgovalna finančna sredstva, vključujejo instrumente, merjene po pošteni vrednosti, in instrumente, merjene z metodami na podlagi nabavne vrednosti ali LOCOM.</w:t>
      </w:r>
    </w:p>
    <w:p w14:paraId="28FA3314" w14:textId="77777777" w:rsidR="009569C7" w:rsidRPr="00755ABF" w:rsidRDefault="00A834F1" w:rsidP="009569C7">
      <w:pPr>
        <w:pStyle w:val="Baseparagraphnumbered"/>
      </w:pPr>
      <w:r>
        <w:t>Za namene priloge III in IV ter te priloge „akumulirane negativne spremembe poštene vrednosti zaradi kreditnega tveganja“ pomenijo, pri nedonosnih izpostavljenostih, akumulirane spremembe poštne vrednosti zaradi kreditnega tveganja, kadar je akumulirana neto sprememba negativna. Akumulirana neto sprememba poštene vrednosti zaradi kreditnega tveganja se izračuna s seštetjem vseh negativnih in pozitivnih sprememb poštene vrednosti zaradi kreditnega tveganja, do katerih je prišlo od pripoznanja dolžniškega instrumenta. Ta znesek se poroča samo, če seštetje pozitivnih in negativnih sprememb poštene vrednosti zaradi kreditnega tveganja privede do negativnega zneska. Vrednotenje dolžniških instrumentov se izvede na ravni posameznih finančnih instrumentov. „Akumulirane negativne spremembe poštene vrednosti zaradi kreditnega tveganja“ se za vsak dolžniški instrument poročajo do odprave pripoznanja dokumenta.</w:t>
      </w:r>
    </w:p>
    <w:p w14:paraId="218659BD" w14:textId="77777777" w:rsidR="009569C7" w:rsidRPr="00755ABF" w:rsidRDefault="00A834F1" w:rsidP="009569C7">
      <w:pPr>
        <w:pStyle w:val="Baseparagraphnumbered"/>
      </w:pPr>
      <w:r>
        <w:t>V prilogah III in IV in v tej prilogi „akumulirana oslabitev“ pomeni naslednje: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za dolžniške instrumente, merjene po odplačni vrednosti ali z metodo na podlagi nabavne vrednosti, ki niso kupljena ali izdana (ustvarjena) finančna sredstva s poslabšano kreditno kakovostjo, je akumulirana oslabitev kumulativni znesek izgub zaradi oslabitve, od katerega se odštejejo uporaba in razveljavitve, ki je bil pripoznan, kot je bilo ustrezno, za vsako skupino za namen oslabitev. Akumulirana oslabitev zmanjša knjigovodsko vrednost dolžniškega instrumenta z uporabo konta popravkov vrednosti v skladu z MSRP in nacionalnimi GAAP na podlagi direktive o računovodskih izkazih bank ali z neposrednimi zmanjšanji, ki v skladu z nacionalnimi GAAP na podlagi direktive o računovodskih izkazih bank ne predstavljajo odprave pripoznanja;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za dolžniške instrumente, merjene po pošteni vrednosti prek drugega vseobsegajočega donosa v skladu z MSRP, ki niso kupljena ali izdana </w:t>
      </w:r>
      <w:r>
        <w:rPr>
          <w:rFonts w:ascii="Times New Roman" w:hAnsi="Times New Roman"/>
          <w:sz w:val="24"/>
        </w:rPr>
        <w:lastRenderedPageBreak/>
        <w:t xml:space="preserve">(ustvarjena) finančna sredstva s poslabšano kreditno kakovostjo, je akumulirana oslabitev vsota pričakovanih kreditnih izgub in njihovih variacij, pripoznana kot zmanjšanje poštene vrednosti danega instrumenta od začetnega pripoznanja;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za dolžniške instrumente po pošteni vrednosti prek lastniškega kapitala v skladu z nacionalnimi GAAP na podlagi direktive o računovodskih izkazih bank, ki so predmet oslabitve, je akumulirana oslabitev kumulativni znesek izgub zaradi oslabitve, od katerega se odštejejo priznana uporaba in razveljavitve. Zmanjšanje knjigovodske vrednosti se izvede z uporabo konta popravkov vrednosti ali z neposrednimi zmanjšanji, ki ne predstavljajo odprave pripoznanja.</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Za kupljena ali izdana (ustvarjena) finančna sredstva s poslabšano kreditno kakovostjo se začetna ocena pričakovanih kreditnih izgub v celotnem obdobju trajanja vključi v izračun kreditni kakovosti prilagojene efektivne obrestne mere, akumulirana oslabitev pa je vsota naknadnih sprememb pričakovanih kreditnih izgub v celotnem obdobju trajanja od začetnega pripoznanja, ki se pripoznajo kot variacija knjigovodske vrednosti/poštene vrednosti danega instrumenta. Akumulirana oslabitev za kupljena ali izdana (ustvarjena) finančna sredstva s poslabšano kreditno kakovostjo so lahko pozitivne, kadar dobički zaradi oslabitve presegajo prej pripoznane izgube zaradi oslabitve (MSRP 9, 5.5.14. člen). </w:t>
      </w:r>
    </w:p>
    <w:p w14:paraId="38BF6AD3" w14:textId="77777777" w:rsidR="009569C7" w:rsidRPr="00755ABF" w:rsidRDefault="00A834F1" w:rsidP="009569C7">
      <w:pPr>
        <w:pStyle w:val="Baseparagraphnumbered"/>
      </w:pPr>
      <w:r>
        <w:t>V skladu z MSRP akumulirana oslabitev vključuje popravek vrednosti za pričakovane kreditne izgube za finančna sredstva v vsaki skupini za namen oslabitev iz MSRP 9 in popravek vrednosti za kupljena ali izdana (ustvarjena) finančna sredstva s poslabšano kreditno kakovostjo. V skladu z nacionalnimi GAAP na podlagi direktive o računovodskih izkazih bank vključuje posebne in splošne popravke zaradi kreditnega tveganja ter splošni popravek za bančno tveganje, če zmanjša knjigovodsko vrednost dolžniškega instrumenta. Akumulirana oslabitev vključuje tudi prilagoditve vrednosti zaradi kreditnega tveganja pri finančnih sredstvih v skladu z LOCOM.</w:t>
      </w:r>
    </w:p>
    <w:p w14:paraId="2271F7CC" w14:textId="77777777" w:rsidR="009569C7" w:rsidRPr="00755ABF" w:rsidRDefault="00A834F1" w:rsidP="009569C7">
      <w:pPr>
        <w:pStyle w:val="Baseparagraphnumbered"/>
      </w:pPr>
      <w:r>
        <w:t>„Akumulirani delni odpisi“ in „akumulirani popolni odpisi“ vključujejo akumulirani delni oziroma polni znesek po stanju na referenčni datum za glavnico in zapadle natečene obresti ter provizije vseh dolžniških instrumentov, za katere se je do tega datuma odpravilo pripoznanje z uporabo ene od metod iz odstavka 74, ker institucija nima razumnih pričakovanj, da bo prišlo do povrnitve pogodbenih denarnih tokov. Ti zneski se poročajo do popolnega prenehanja vseh pravic institucije poročevalke zaradi izteka roka zastaranja, odpisa ali drugih vzrokov ali do njihove povrnitve. Zato se odpisani zneski, če niso povrnjeni, poročajo, dokler v zvezi z njimi potekajo postopki izvršbe.</w:t>
      </w:r>
    </w:p>
    <w:p w14:paraId="093C0A1B" w14:textId="77777777" w:rsidR="009569C7" w:rsidRPr="00755ABF" w:rsidRDefault="00A834F1" w:rsidP="009569C7">
      <w:pPr>
        <w:pStyle w:val="Baseparagraphnumbered"/>
      </w:pPr>
      <w:r>
        <w:t xml:space="preserve">Če se dolžniški instrument na koncu popolnoma odpiše zaradi zaporednih delnih odpisov, se odpisani kumulativni znesek prerazvrsti iz stolpca „akumulirani delni odpisi“ v stolpec „akumulirani popolni odpisi“. </w:t>
      </w:r>
    </w:p>
    <w:p w14:paraId="5F5C5BBD" w14:textId="77777777" w:rsidR="009569C7" w:rsidRPr="00755ABF" w:rsidRDefault="00A834F1" w:rsidP="009569C7">
      <w:pPr>
        <w:pStyle w:val="Baseparagraphnumbered"/>
      </w:pPr>
      <w:r>
        <w:t xml:space="preserve">Odpisi predstavljajo odpravo pripoznanja in se nanašajo na celotno finančno sredstvo ali njegov del, vključno s primeri, ko se institucija zaradi spremembe sredstva odpove pravici do prejemanja denarnih tokov iz dela ali celotnega </w:t>
      </w:r>
      <w:r>
        <w:lastRenderedPageBreak/>
        <w:t xml:space="preserve">sredstva, kot je dodatno pojasnjeno v odstavku 72. „Odpisi“ vključujejo zneske, nastale z znižanjem knjigovodske vrednosti finančnih sredstev, pripoznanih neposredno v dobičku ali izgubi, ter znižanjem zneskov kontov popravka vrednosti za kreditne izgube, in sicer na podlagi knjigovodske vrednosti finančnih sredstev. </w:t>
      </w:r>
    </w:p>
    <w:p w14:paraId="753848C2" w14:textId="77777777" w:rsidR="009569C7" w:rsidRPr="00755ABF" w:rsidRDefault="00A834F1" w:rsidP="009569C7">
      <w:pPr>
        <w:pStyle w:val="Baseparagraphnumbered"/>
      </w:pPr>
      <w:r>
        <w:t>Stolpec „od tega: instrumenti z nizkim kreditnim tveganjem“ vključuje instrumente, za katere je bilo na datum poročanja določeno, da imajo nizko kreditno tveganje, in za katere institucija predpostavlja, da se v skladu s 5.5.10. členom MSRP 9 njihovo kreditno tveganje od začetnega pripoznanja ni bistveno povečalo.</w:t>
      </w:r>
    </w:p>
    <w:p w14:paraId="0B4C3849" w14:textId="77777777" w:rsidR="009569C7" w:rsidRPr="00755ABF" w:rsidRDefault="00A834F1" w:rsidP="009569C7">
      <w:pPr>
        <w:pStyle w:val="Baseparagraphnumbered"/>
      </w:pPr>
      <w:r>
        <w:t>Terjatve do kupcev v smislu 54.(h) člena MRS 1, sredstva iz pogodbe in terjatve iz najema, za katere se je uporabil poenostavljeni pristop za oceno popravkov vrednosti za izgubo iz 5.5.15. člena MSRP 9, se poročajo med krediti in drugimi finančnimi sredstvi v predlogi 4.4.1. Ustrezni popravek vrednosti za izgubo za tista sredstva, ki niso kupljena ali izdana (ustvarjena) finančna sredstva s poslabšano kreditno kakovostjo, se poroča pod postavko „akumulirana oslabitev sredstev z večjim povečanjem kreditnega tveganja od začetnega pripoznanja, vendar brez poslabšanja kreditne kakovosti (druga skupina)“ ali „akumulirana oslabitev sredstev s poslabšano kreditno kakovostjo (tretja skupina)“, odvisno od tega, ali se odkupljene terjatve, sredstva iz pogodbe ali terjatve iz najema v skladu s poenostavljenim pristopom štejejo za sredstva s poslabšano kreditno kakovostjo.</w:t>
      </w:r>
    </w:p>
    <w:p w14:paraId="6108B8DC" w14:textId="77777777" w:rsidR="009569C7" w:rsidRPr="00755ABF" w:rsidRDefault="00A834F1" w:rsidP="00E32B97">
      <w:pPr>
        <w:pStyle w:val="Baseparagraphnumbered"/>
        <w:numPr>
          <w:ilvl w:val="0"/>
          <w:numId w:val="86"/>
        </w:numPr>
      </w:pPr>
      <w:r>
        <w:t>Institucije v predlogi 4.5 poročajo knjigovodsko vrednost za „kredite in druga finančna sredstva“ ter „dolžniške vrednostne papirje“, ki spadajo v opredelitev „podrejenega dolga“ iz odstavka 100 tega dela.</w:t>
      </w:r>
      <w:bookmarkStart w:id="80" w:name="_Toc361844218"/>
      <w:bookmarkStart w:id="81" w:name="_Toc362359289"/>
      <w:bookmarkEnd w:id="75"/>
    </w:p>
    <w:p w14:paraId="26A8B467" w14:textId="77777777" w:rsidR="009569C7" w:rsidRPr="00755ABF" w:rsidRDefault="00A834F1" w:rsidP="009569C7">
      <w:pPr>
        <w:pStyle w:val="Baseparagraphnumbered"/>
      </w:pPr>
      <w:r>
        <w:t>V predlogi 4.8 so informacije, ki se poročajo, odvisne od tega, ali se lahko za netrgovalna neizvedena finančna sredstva, merjena po pošteni vrednosti prek lastniškega kapitala, uporabljajo zahteve glede oslabitve pri uporabi nacionalnih GAAP na podlagi direktive o računovodskih izkazih bank. Če so ta finančna sredstva predmet oslabitve, institucije v tej predlogi poročajo informacije, ki se nanašajo na knjigovodsko vrednost, bruto knjigovodsko vrednost neoslabljenih sredstev in oslabljenih sredstev, akumulirano oslabitev in akumulirane odpise. Če ta finančna sredstva niso predmet oslabitve, institucije poročajo akumulirane negativne spremembe poštene vrednosti zaradi kreditnega tveganja za nedonosne izpostavljenosti.</w:t>
      </w:r>
    </w:p>
    <w:p w14:paraId="311D9D26" w14:textId="77777777" w:rsidR="009569C7" w:rsidRPr="00755ABF" w:rsidRDefault="00A834F1" w:rsidP="009569C7">
      <w:pPr>
        <w:pStyle w:val="Baseparagraphnumbered"/>
      </w:pPr>
      <w:r>
        <w:t xml:space="preserve">V predlogi 4.9 se finančna sredstva, merjena po zmernem LOCOM, in povezane prilagoditve vrednosti poročajo ločeno od drugih finančnih sredstev, merjenih z metodo na podlagi nabavne vrednosti, in povezanih oslabitev. Finančna sredstva po metodi na podlagi nabavne vrednosti, vključno s finančnimi sredstvi po zmernem LOCOM, se poročajo kot neoslabljena sredstva, če ni nobenih z njimi povezanih prilagoditev vrednosti ali oslabitev, in kot oslabljena sredstva, če imajo prilagoditve vrednosti, ki se štejejo za oslabitev, ali so z njimi povezane oslabitve. Prilagoditve vrednosti, ki se štejejo za oslabitev, so prilagoditve vrednosti zaradi kreditnega tveganja, ki odražajo poslabšanje kreditne kakovosti nasprotne stranke. Finančna sredstva po </w:t>
      </w:r>
      <w:r>
        <w:lastRenderedPageBreak/>
        <w:t xml:space="preserve">zmernem LOCOM s prilagoditvami vrednosti zaradi tržnega tveganja, ki odražajo učinek sprememb tržnih razmer v zvezi z vrednostjo sredstva, se ne štejejo za oslabljena. Akumulirane prilagoditve vrednosti zaradi kreditnega tveganja in akumulirane prilagoditve vrednosti zaradi tržnega tveganja se poročajo ločeno. </w:t>
      </w:r>
    </w:p>
    <w:p w14:paraId="58228A74" w14:textId="77777777" w:rsidR="009569C7" w:rsidRPr="00755ABF" w:rsidRDefault="00A834F1" w:rsidP="009569C7">
      <w:pPr>
        <w:pStyle w:val="Baseparagraphnumbered"/>
      </w:pPr>
      <w:r>
        <w:t>V predlogi 4.10 se finančna sredstva, merjena po strogem LOCOM, in povezane prilagoditve vrednosti poročajo ločeno od sredstev, merjenih z drugimi metodami. Finančna sredstva po strogem LOCOM in finančna sredstva po drugih metodah merjenja se poročajo kot oslabljena sredstva, če imajo prilagoditve vrednosti zaradi kreditnega tveganja, kot so opredeljene v odstavku 80, ali z njimi povezane oslabitve. Finančna sredstva po strogem LOCOM s prilagoditvami vrednosti zaradi tržnega tveganja, kot so opredeljene v odstavku 80, se ne štejejo za oslabljena. Akumulirane prilagoditve vrednosti zaradi kreditnega tveganja in akumulirane prilagoditve vrednosti zaradi tržnega tveganja se poročajo ločeno.</w:t>
      </w:r>
    </w:p>
    <w:p w14:paraId="40266134" w14:textId="77777777" w:rsidR="009569C7" w:rsidRPr="00755ABF" w:rsidRDefault="00A834F1" w:rsidP="009569C7">
      <w:pPr>
        <w:pStyle w:val="Baseparagraphnumbered"/>
      </w:pPr>
      <w:r>
        <w:t>V skladu z nacionalnimi GAAP na podlagi direktive o računovodskih izkazih bank je znesek splošnih popravkov vrednosti za bančno tveganje, ki se poroča v relevantnih predlogah, samo tisti del, ki vpliva na knjigovodsko vrednost dolžniških instrumentov (direktiva o računovodskih izkazih bank, člen 37.2).</w:t>
      </w:r>
    </w:p>
    <w:p w14:paraId="1B6BD24C" w14:textId="77777777" w:rsidR="009569C7" w:rsidRPr="00755ABF" w:rsidRDefault="00A834F1" w:rsidP="009569C7">
      <w:pPr>
        <w:pStyle w:val="subtitlenumbered"/>
        <w:jc w:val="both"/>
      </w:pPr>
      <w:bookmarkStart w:id="82" w:name="_Toc188539744"/>
      <w:r>
        <w:t>Razčlenitev kreditov in drugih netrgovalnih finančnih sredstev po produktih (5)</w:t>
      </w:r>
      <w:bookmarkEnd w:id="82"/>
    </w:p>
    <w:bookmarkEnd w:id="80"/>
    <w:p w14:paraId="126F6F40" w14:textId="454C5C66" w:rsidR="009569C7" w:rsidRPr="00755ABF" w:rsidRDefault="00A834F1" w:rsidP="009569C7">
      <w:pPr>
        <w:pStyle w:val="Baseparagraphnumbered"/>
      </w:pPr>
      <w:r>
        <w:t xml:space="preserve">Krediti in druga finančna sredstva, ki niso tisti v posesti za trgovanje, trgovalna sredstva ali sredstva v posesti za prodajo, se razčlenijo glede na vrsto produkta in </w:t>
      </w:r>
      <w:bookmarkEnd w:id="81"/>
      <w:r>
        <w:t>sektor nasprotne stranke za knjigovodsko vrednost, za bruto knjigovodsko vrednost pa samo glede na vrsto produkta.</w:t>
      </w:r>
    </w:p>
    <w:p w14:paraId="580BA238" w14:textId="77777777" w:rsidR="009569C7" w:rsidRPr="00755ABF" w:rsidRDefault="00A834F1" w:rsidP="009569C7">
      <w:pPr>
        <w:pStyle w:val="Baseparagraphnumbered"/>
      </w:pPr>
      <w:r>
        <w:t xml:space="preserve">Stanja sredstev na vpogled, ki so razvrščena kot „denar v blagajni, stanja na računih pri centralnih bankah in vloge na vpogled pri bankah“, se prav tako poročajo v tej predlogi neodvisno od tega, kako se merijo. </w:t>
      </w:r>
    </w:p>
    <w:p w14:paraId="515B327B" w14:textId="77777777" w:rsidR="009569C7" w:rsidRPr="00755ABF" w:rsidRDefault="00A834F1" w:rsidP="009569C7">
      <w:pPr>
        <w:pStyle w:val="Baseparagraphnumbered"/>
      </w:pPr>
      <w:r>
        <w:t xml:space="preserve">Krediti in druga finančna sredstva se razporedijo na naslednje produkte: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postavka „na vpogled (zahtevo) in s kratkim odpovednim rokom (transakcijski račun)“ vključuje stanja sredstev na vpogled (zahtevo), sredstev s kratkim odpovednim rokom (do konca delovnega dne po dnevu odpovedi), transakcijske račune in podobna stanja sredstev, vključno s krediti, ki za kreditojemalca ne glede na njihovo pravno obliko predstavljajo vloge čez noč (krediti, ki jih je treba odplačati do konca delovnega dne po dnevu, ko so bili odobreni). Prav tako vključuje „prekoračitve stanja“, ki so negativna stanja na transakcijskih računih;</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postavka „dolg po kreditnih karticah“ vključuje kredite, odobrene prek kartic z odloženim plačilom ali prek kreditnih kartic, kot so opredeljene v tabeli v delu 2 Priloge II k uredbi ECB o statističnih postavkah bilance stanja;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postavka „odkupljene terjatve“ vključuje kredite drugim dolžnikom, odobrene na podlagi računov ali drugih dokumentov, ki dajejo pravico do </w:t>
      </w:r>
      <w:r>
        <w:rPr>
          <w:rFonts w:ascii="Times New Roman" w:hAnsi="Times New Roman"/>
          <w:sz w:val="24"/>
        </w:rPr>
        <w:lastRenderedPageBreak/>
        <w:t xml:space="preserve">prejetja izkupička od poslov za prodajo blaga ali opravljanje storitev. Ta postavka vključuje vse posle odkupa terjatev in podobne posle, kot so akcepti, neposredni nakupi terjatev do kupcev, </w:t>
      </w:r>
      <w:proofErr w:type="spellStart"/>
      <w:r>
        <w:rPr>
          <w:rFonts w:ascii="Times New Roman" w:hAnsi="Times New Roman"/>
          <w:sz w:val="24"/>
        </w:rPr>
        <w:t>forfetiranje</w:t>
      </w:r>
      <w:proofErr w:type="spellEnd"/>
      <w:r>
        <w:rPr>
          <w:rFonts w:ascii="Times New Roman" w:hAnsi="Times New Roman"/>
          <w:sz w:val="24"/>
        </w:rPr>
        <w:t xml:space="preserve">, diskontiranje računov, menice, komercialni zapisi in druge terjatve, kadar institucija poročevalka kupi terjatve do kupcev (z regresom ali brez);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postavka „finančni najem“ vključuje knjigovodsko vrednost denarnih terjatev iz naslova finančnega najema. V skladu z MSRP so „terjatve iz naslova finančnega najema“ terjatve, kot so opredeljene v MRS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postavka „krediti z začasnim odkupom“ vključuje finančna sredstva, zagotovljena v zameno za vrednostne papirje ali zlato, kupljene na podlagi pogodb o začasni prodaji ali izposojene na podlagi pogodb o izposoji vrednostnih papirjev, kot so opredeljene v odstavkih 183 in 184 tega dela;</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postavka „drugi krediti“ vključuje negativna stanja s pogodbeno določenimi zapadlostmi ali roki, ki niso vključeni v druge postavke;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postavka „druga finančna sredstva, ki niso krediti“ vključuje druga finančna sredstva, ki ne morejo biti razvrščena kot krediti v skladu s tabelo v delu 2 Priloge II k uredbi ECB o statističnih postavkah bilance stanja. Ta postavka med drugim vključuje bruto terjatve v zvezi z aktivnimi časovnimi razmejitvami (kot so sredstva, ki čakajo na naložbo, prenos ali poravnavo) ter tranzitne postavke (kot so čeki in druge oblike plačila, ki so poslani na izterjavo).</w:t>
      </w:r>
    </w:p>
    <w:p w14:paraId="7572B505" w14:textId="77777777" w:rsidR="009569C7" w:rsidRPr="00755ABF" w:rsidRDefault="00A834F1" w:rsidP="009569C7">
      <w:pPr>
        <w:pStyle w:val="Baseparagraphnumbered"/>
      </w:pPr>
      <w:r>
        <w:t>Krediti in druga finančna sredstva se razvrstijo na podlagi prejetega zavarovanja s premoženjem, kot sledi:</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„krediti, zavarovani z nepremičninami“ vključujejo kredite in druga finančna sredstva, ki so formalno zavarovani s stanovanjskimi ali poslovnimi nepremičninami, ne glede na njihovo razmerje med kreditom in zavarovanjem (tj. razmerje med vrednostjo kredita in vrednostjo zavarovanja) ter pravno obliko zavarovanja;</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„drugi zavarovani krediti“ vključujejo kredite in druga finančna sredstva, ki so formalno kriti z zavarovanjem, ne glede na njihovo razmerje med kreditom in zavarovanjem (tj. razmerje med vrednostjo kredita in vrednostjo zavarovanja (LTV)) ter pravno obliko zavarovanja, ki niso „krediti, zavarovani z nepremičninami“. To zavarovanje s premoženjem vključuje zastavo vrednostnih papirjev, denarnih sredstev in drugo zavarovanje s premoženjem ne glede na pravno obliko zavarovanja.</w:t>
      </w:r>
    </w:p>
    <w:p w14:paraId="3168FD60" w14:textId="77777777" w:rsidR="009569C7" w:rsidRPr="00755ABF" w:rsidRDefault="00A834F1" w:rsidP="009569C7">
      <w:pPr>
        <w:pStyle w:val="Baseparagraphnumbered"/>
      </w:pPr>
      <w:r>
        <w:t xml:space="preserve">Krediti in druga finančna sredstva se razvrstijo glede na zavarovanje s premoženjem in brez upoštevanja namena kredita. Krediti in druga finančna sredstva, zavarovani z več kot eno vrsto zavarovanja s premoženjem, se razvrstijo in poročajo kot zavarovani z nepremičninami, če so ti krediti in druga finančna sredstva zavarovani z nepremičninami, ne glede na to, ali so zavarovani tudi z drugimi vrstami premoženja. </w:t>
      </w:r>
    </w:p>
    <w:p w14:paraId="23CD2AD0" w14:textId="77777777" w:rsidR="009569C7" w:rsidRPr="00755ABF" w:rsidRDefault="00A834F1" w:rsidP="009569C7">
      <w:pPr>
        <w:pStyle w:val="Baseparagraphnumbered"/>
      </w:pPr>
      <w:r>
        <w:t xml:space="preserve"> Krediti in druga finančna sredstva se razvrstijo na podlagi njihovega namena, kot sledi: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lastRenderedPageBreak/>
        <w:t>„potrošniški krediti“ vključujejo kredite, odobrene predvsem za namene osebne potrošnje blaga in storitev, kot so opredeljeni v tabeli v delu 2 Priloge II k uredbi ECB o statističnih postavkah bilance stanja;</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„stanovanjski krediti“ vključujejo kredite, odobrene gospodinjstvom za namene vlaganja v hiše za osebno rabo ali oddajo, vključno z gradnjo in prenavljanjem, kot so opredeljeni v tabeli v delu 2 Priloge II k uredbi ECB o statističnih postavkah bilance stanja.</w:t>
      </w:r>
    </w:p>
    <w:p w14:paraId="58C03DF6" w14:textId="77777777" w:rsidR="009569C7" w:rsidRPr="00755ABF" w:rsidRDefault="00A834F1" w:rsidP="009569C7">
      <w:pPr>
        <w:pStyle w:val="Baseparagraphnumbered"/>
      </w:pPr>
      <w:r>
        <w:t>Krediti se razvrstijo na podlagi tega, kako se lahko povrnejo. „Krediti za financiranje projektov“ vključujejo kredite, ki imajo značilnosti izpostavljenosti iz naslova posebnih kreditnih aranžmajev iz člena 147(8)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8539745"/>
      <w:r>
        <w:t xml:space="preserve">Razčlenitev kreditov in drugih netrgovalnih finančnih sredstev za nefinančne družbe po oznakah NACE </w:t>
      </w:r>
      <w:bookmarkEnd w:id="83"/>
      <w:r>
        <w:t>(6)</w:t>
      </w:r>
      <w:bookmarkEnd w:id="85"/>
    </w:p>
    <w:bookmarkEnd w:id="84"/>
    <w:p w14:paraId="7E86090F" w14:textId="4956D64C" w:rsidR="009569C7" w:rsidRPr="00755ABF" w:rsidRDefault="00A834F1" w:rsidP="009569C7">
      <w:pPr>
        <w:pStyle w:val="Baseparagraphnumbered"/>
      </w:pPr>
      <w:r>
        <w:t xml:space="preserve">Bruto knjigovodska vrednost kreditov in drugih finančnih sredstev za nefinančne družbe, razen tistih iz portfeljev v posesti za trgovanje, trgovalnih portfeljev in portfeljev v posesti za prodajo, se razvrsti po sektorju gospodarskih dejavnosti z uporabo oznak NACE na podlagi glavne dejavnosti nasprotne stranke. </w:t>
      </w:r>
    </w:p>
    <w:p w14:paraId="7716719E" w14:textId="77777777" w:rsidR="009569C7" w:rsidRPr="00755ABF" w:rsidRDefault="00A834F1" w:rsidP="009569C7">
      <w:pPr>
        <w:pStyle w:val="Baseparagraphnumbered"/>
      </w:pPr>
      <w:r>
        <w:t xml:space="preserve">Razvrstitev izpostavljenosti, nastalih skupno s strani več kot enega dolžnika, se izvede v skladu z odstavkom 43 dela 1 te priloge. </w:t>
      </w:r>
    </w:p>
    <w:p w14:paraId="3311AD44" w14:textId="77777777" w:rsidR="009569C7" w:rsidRPr="00755ABF" w:rsidRDefault="00A834F1" w:rsidP="009569C7">
      <w:pPr>
        <w:pStyle w:val="Baseparagraphnumbered"/>
      </w:pPr>
      <w:r>
        <w:t>Poročanje oznak NACE se izvede na podlagi prve ravni razčlenjevanja (po „področjih“). Institucije poročajo kredite in druga finančna sredstva za nefinančne družbe, ki se ukvarjajo s finančnimi ali zavarovalnimi dejavnostmi, pod postavko „K – Finančne in zavarovalniške dejavnosti“.</w:t>
      </w:r>
    </w:p>
    <w:p w14:paraId="4830CEB6" w14:textId="1D59336A" w:rsidR="009569C7" w:rsidRPr="00755ABF" w:rsidRDefault="00A834F1" w:rsidP="009569C7">
      <w:pPr>
        <w:pStyle w:val="Baseparagraphnumbered"/>
      </w:pPr>
      <w:r>
        <w:t>V skladu z MSRP so finančna sredstva, ki so predmet oslabitve, tista, ki so vključena v naslednje računovodske portfelje: (i) finančna sredstva, merjena po odplačni vrednosti, in (ii) finančna sredstva, merjena po pošteni vrednosti prek drugega vseobsegajočega donosa. V skladu z nacionalnimi GAAP na podlagi direktive o računovodskih izkazih bank finančna sredstva, ki so predmet oslabitve, vključujejo finančna sredstva, merjena z metodami na podlagi nabavne vrednosti, vključno z LOCOM. Glede na določbe v posameznih nacionalnih GAAP lahko vključujejo (i) finančna sredstva, merjena po pošteni vrednosti prek lastniškega kapitala, in (ii) finančna sredstva, merjena z drugimi metodami.</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8539746"/>
      <w:bookmarkEnd w:id="86"/>
      <w:bookmarkEnd w:id="87"/>
      <w:r>
        <w:t>Finančna sredstva, ki so predmet oslabitve in so prekoračila zapadlost v plačilo (7)</w:t>
      </w:r>
      <w:bookmarkEnd w:id="88"/>
      <w:bookmarkEnd w:id="90"/>
    </w:p>
    <w:bookmarkEnd w:id="89"/>
    <w:p w14:paraId="5772D668" w14:textId="77777777" w:rsidR="009569C7" w:rsidRPr="00755ABF" w:rsidRDefault="00A834F1" w:rsidP="009569C7">
      <w:pPr>
        <w:pStyle w:val="Baseparagraphnumbered"/>
      </w:pPr>
      <w:r>
        <w:t>Knjigovodska vrednost dolžniških instrumentov, vključenih v računovodske portfelje, ki so predmet oslabitve, se poroča v predlogi 7.1 samo, če so zapadli. Zapadli instrumenti se razporedijo v ustrezne žepke zapadlosti na podlagi njihove posamične situacije.</w:t>
      </w:r>
    </w:p>
    <w:p w14:paraId="6B982CF2" w14:textId="77777777" w:rsidR="009569C7" w:rsidRPr="00755ABF" w:rsidRDefault="00A834F1" w:rsidP="009569C7">
      <w:pPr>
        <w:pStyle w:val="Baseparagraphnumbered"/>
      </w:pPr>
      <w:r>
        <w:t xml:space="preserve"> Računovodski portfelji, ki so predmet oslabitve, so finančna sredstva, ki so predmet oslabitve, kot so opredeljena v odstavku 93 tega dela.</w:t>
      </w:r>
    </w:p>
    <w:p w14:paraId="48011F99" w14:textId="46D470FB" w:rsidR="009569C7" w:rsidRPr="00755ABF" w:rsidRDefault="00A834F1" w:rsidP="009569C7">
      <w:pPr>
        <w:pStyle w:val="Baseparagraphnumbered"/>
      </w:pPr>
      <w:r>
        <w:lastRenderedPageBreak/>
        <w:t xml:space="preserve">Finančna sredstva se štejejo za zapadla, kadar kateri koli znesek glavnice, obresti ali nadomestila na datum zapadlosti ni bil plačan. Zapadle izpostavljenosti se poročajo s celotno knjigovodsko vrednostjo in razčlenjene glede na število dni pri najstarejšem zapadlem znesku, ki je bil na referenčni datum neplačan. V skladu z MSRP se knjigovodske vrednosti sredstev, ki niso kupljena ali izdana (ustvarjena) finančna sredstva s poslabšano kreditno kakovostjo, poročajo po skupinah za namen oslabitev; knjigovodska vrednost kupljenih ali izdanih (ustvarjenih) finančnih sredstev s poslabšano kreditno kakovostjo se poroča ločeno. V skladu z nacionalnimi GAAP na podlagi direktive o računovodskih izkazih bank se zapadla sredstva poročajo po statusu oslabitve v skladu z veljavnimi računovodskimi standardi.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8539747"/>
      <w:bookmarkEnd w:id="91"/>
      <w:bookmarkEnd w:id="92"/>
      <w:r>
        <w:t>Razčlenitev finančnih obveznosti (8)</w:t>
      </w:r>
      <w:bookmarkEnd w:id="93"/>
      <w:bookmarkEnd w:id="95"/>
    </w:p>
    <w:bookmarkEnd w:id="94"/>
    <w:p w14:paraId="442B65C0" w14:textId="77777777" w:rsidR="009569C7" w:rsidRPr="00755ABF" w:rsidRDefault="00A834F1" w:rsidP="009569C7">
      <w:pPr>
        <w:pStyle w:val="Baseparagraphnumbered"/>
      </w:pPr>
      <w:r>
        <w:t>Postavka „vloge“ in razčlenitev produktov sta opredeljeni v skladu s tabelo v delu 2 Priloge II k uredbi ECB o statističnih postavkah bilance stanja. Regulirane varčevalne vloge se razvrstijo v skladu z uredbo ECB o statističnih postavkah bilance stanja in razporedijo glede na nasprotno stranko. Zlasti velja, da se neprenosljive varčevalne vloge na vpogled, ki so kljub pravni možnosti dviga na zahtevo predmet znatnih kazni in omejitev ter imajo zelo podobne značilnosti kot vloge čez noč, razvrstijo kot vloge na odpoklic.</w:t>
      </w:r>
    </w:p>
    <w:p w14:paraId="4FEB5E13" w14:textId="77777777" w:rsidR="009569C7" w:rsidRPr="00755ABF" w:rsidRDefault="00A834F1" w:rsidP="009569C7">
      <w:pPr>
        <w:pStyle w:val="Baseparagraphnumbered"/>
      </w:pPr>
      <w:r>
        <w:t xml:space="preserve">„Izdani dolžniški vrednostni papirji“ se razčlenijo v naslednje vrste produktov: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„potrdila o vlogah“ so vrednostni papirji, ki imetnikom omogočajo, da dvignejo sredstva z računa;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„vrednostni papirji s premoženjskim kritjem“ so vrednostni papirji, ki izhajajo iz poslov listinjenja, kot je opredeljeno v členu 4(1)(61)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„krite obveznice“ iz člena 129(1)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„hibridne pogodbe“ zajemajo pogodbe z vgrajenimi izvedenimi finančnimi instrumenti, ki niso vključeni med produkte iz točk (b) in (c) ali razvrščeni kot konvertibilni sestavljeni finančni instrumenti pod točko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„drugi izdani dolžniški vrednostni papirji“ so dolžniški vrednostni papirji, ki niso vključeni med produkte iz točk (a) do (d), pri čemer se delijo na konvertibilne sestavljene finančne instrumente in nekonvertibilne instrumente.</w:t>
      </w:r>
    </w:p>
    <w:p w14:paraId="6852B2CB" w14:textId="77777777" w:rsidR="009569C7" w:rsidRPr="00755ABF" w:rsidRDefault="00A834F1" w:rsidP="009569C7">
      <w:pPr>
        <w:pStyle w:val="Baseparagraphnumbered"/>
      </w:pPr>
      <w:r>
        <w:t>Izdane „podrejene obveznosti“ se obravnavajo enako kot druge nastale finančne obveznosti. Podrejene obveznosti, izdane v obliki vrednostnih papirjev, se razvrstijo kot „izdani dolžniški vrednostni papirji“, podrejene obveznosti v obliki vlog pa kot „vloge“.</w:t>
      </w:r>
    </w:p>
    <w:p w14:paraId="47A1F8F3" w14:textId="77777777" w:rsidR="009569C7" w:rsidRPr="00755ABF" w:rsidRDefault="00A834F1" w:rsidP="009569C7">
      <w:pPr>
        <w:pStyle w:val="Baseparagraphnumbered"/>
      </w:pPr>
      <w:r>
        <w:t>Predloga 8.2 vključuje knjigovodsko vrednost „vlog“ in „izdanih dolžniških vrednostnih papirjev“, ki so podrejeni dolg, kot je določen v tabeli v delu 2 Priloge II k uredbi ECB o statističnih postavkah bilance stanja, razvrščen po računovodskih portfeljih. Instrumenti „podrejenega dolga“ predstavljajo podrejeno terjatev do institucije izdajateljice, ki se lahko uveljavi le po tem, ko so vse terjatve z višjim statusom poravnane.</w:t>
      </w:r>
    </w:p>
    <w:p w14:paraId="2BD86F00" w14:textId="77777777" w:rsidR="009569C7" w:rsidRPr="00755ABF" w:rsidRDefault="00A834F1" w:rsidP="009569C7">
      <w:pPr>
        <w:pStyle w:val="Baseparagraphnumbered"/>
      </w:pPr>
      <w:r>
        <w:lastRenderedPageBreak/>
        <w:t xml:space="preserve">„Akumulirane spremembe poštene vrednosti zaradi sprememb lastnega kreditnega tveganja“ vključujejo vse navedene akumulirane spremembe poštene vrednosti ne glede na to, ali so pripoznane v poslovnem izidu ali v drugem vseobsegajočem donosu.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539748"/>
      <w:r>
        <w:t>Zaveze iz kreditov, finančna poroštva in druge zaveze (9)</w:t>
      </w:r>
      <w:bookmarkEnd w:id="96"/>
      <w:bookmarkEnd w:id="97"/>
      <w:bookmarkEnd w:id="98"/>
    </w:p>
    <w:p w14:paraId="5C6942E0" w14:textId="77777777" w:rsidR="009569C7" w:rsidRPr="00755ABF" w:rsidRDefault="00A834F1" w:rsidP="009569C7">
      <w:pPr>
        <w:pStyle w:val="Baseparagraphnumbered"/>
      </w:pPr>
      <w:r>
        <w:t>Zunajbilančne izpostavljenosti vključujejo zunajbilančne postavke iz Priloge I k CRR. V predlogah 9.1, 9.1.1 in 9.2 se vse zunajbilančne izpostavljenosti, ki so navedene v Prilogi I k CRR, razčlenijo na zaveze iz kreditov, finančna poroštva in druge zaveze.</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Informacije o prevzetih obveznostih iz kreditov, prejetih obvezah iz kreditov, danih in prejetih finančnih poroštvih ter drugih prevzetih obveznostih in prejetih obvezah vključujejo preklicne in nepreklicne obveze. </w:t>
      </w:r>
    </w:p>
    <w:p w14:paraId="621B962D" w14:textId="77777777" w:rsidR="009569C7" w:rsidRPr="00755ABF" w:rsidRDefault="00A834F1" w:rsidP="009569C7">
      <w:pPr>
        <w:pStyle w:val="Baseparagraphnumbered"/>
      </w:pPr>
      <w:r>
        <w:t xml:space="preserve">Prevzete obveznosti iz kreditov, dana finančna poroštva in druge prevzete obveznosti iz Priloge I k CRR so lahko instrumenti iz področja uporabe MSRP 9, če se merijo po pošteni vrednosti prek poslovnega izida ali če se zanje uporabljajo zahteve glede oslabitve iz MSRP 9, kot tudi instrumenti, ki spadajo v področje uporabe MRS 37 ali MSRP 4. </w:t>
      </w:r>
    </w:p>
    <w:p w14:paraId="575D2133" w14:textId="77777777" w:rsidR="009569C7" w:rsidRPr="00755ABF" w:rsidRDefault="00A834F1" w:rsidP="009569C7">
      <w:pPr>
        <w:pStyle w:val="Baseparagraphnumbered"/>
      </w:pPr>
      <w:r>
        <w:t>V skladu z MSRP se prevzete obveznosti iz kreditov, dana finančna poroštva in druge prevzete obveznosti poročajo v predlogi 9.1.1, če je izpolnjen kateri koli od naslednjih pogojev:</w:t>
      </w:r>
    </w:p>
    <w:p w14:paraId="2ACF8E1A" w14:textId="77777777" w:rsidR="009569C7" w:rsidRPr="00755ABF" w:rsidRDefault="00A834F1" w:rsidP="00C35843">
      <w:pPr>
        <w:pStyle w:val="Baseparagraphnumbered"/>
        <w:numPr>
          <w:ilvl w:val="0"/>
          <w:numId w:val="54"/>
        </w:numPr>
        <w:ind w:left="1134" w:hanging="425"/>
      </w:pPr>
      <w:r>
        <w:t>zanje veljajo zahteve glede oslabitve iz MSRP 9;</w:t>
      </w:r>
    </w:p>
    <w:p w14:paraId="778B367C" w14:textId="77777777" w:rsidR="009569C7" w:rsidRPr="00755ABF" w:rsidRDefault="00A834F1" w:rsidP="00C35843">
      <w:pPr>
        <w:pStyle w:val="Baseparagraphnumbered"/>
        <w:numPr>
          <w:ilvl w:val="0"/>
          <w:numId w:val="54"/>
        </w:numPr>
        <w:ind w:left="1134" w:hanging="425"/>
      </w:pPr>
      <w:r>
        <w:t>določeni so za merjenje po pošteni vrednosti prek poslovnega izida v skladu z MSRP 9;</w:t>
      </w:r>
    </w:p>
    <w:p w14:paraId="32B63858" w14:textId="77777777" w:rsidR="009569C7" w:rsidRPr="00755ABF" w:rsidRDefault="00A834F1" w:rsidP="00C35843">
      <w:pPr>
        <w:pStyle w:val="Baseparagraphnumbered"/>
        <w:numPr>
          <w:ilvl w:val="0"/>
          <w:numId w:val="54"/>
        </w:numPr>
        <w:ind w:left="1134" w:hanging="425"/>
      </w:pPr>
      <w:r>
        <w:t xml:space="preserve">spadajo v področje uporabe MRS 37 ali MSRP 4. </w:t>
      </w:r>
    </w:p>
    <w:p w14:paraId="139C6735" w14:textId="77777777" w:rsidR="009569C7" w:rsidRPr="00755ABF" w:rsidRDefault="00A834F1" w:rsidP="009569C7">
      <w:pPr>
        <w:pStyle w:val="Baseparagraphnumbered"/>
      </w:pPr>
      <w:r>
        <w:t>Obveznosti, ki se pripoznajo kot kreditne izgube za dana finančna poroštva in prevzete obveznosti iz točk (a) in (c) odstavka 105 tega dela te priloge, se poročajo kot rezervacije ne glede na uporabljena merila za merjenje.</w:t>
      </w:r>
    </w:p>
    <w:p w14:paraId="72300A8F" w14:textId="5EFF33AF" w:rsidR="009569C7" w:rsidRPr="00755ABF" w:rsidRDefault="00A834F1" w:rsidP="009569C7">
      <w:pPr>
        <w:pStyle w:val="Baseparagraphnumbered"/>
      </w:pPr>
      <w:r>
        <w:t>Institucije, ki uporabljajo MSRP, poročajo nominalni znesek in rezervacije instrumentov, za katere veljajo zahteve glede oslabitve iz MSRP 9, vključno s tistimi, ki se merijo po začetni nabavni vrednosti, zmanjšani za pripoznane kumulativne prihodke, razčlenjeno na skupine za namen oslabitev, razen če se šteje, da imajo ob začetnem pripoznanju poslabšano kreditno kakovost skladno z opredelitvijo kupljenih ali izdanih (ustvarjenih) finančnih sredstev iz Priloge A k MSRP 9. Za te izpostavljenosti se nominalni znesek in rezervacije poročajo ločeno, izven skupin za namen oslabitev, v predlogi 9.1.1.</w:t>
      </w:r>
    </w:p>
    <w:p w14:paraId="3811F388" w14:textId="7F6EACFE" w:rsidR="009569C7" w:rsidRPr="00755ABF" w:rsidRDefault="00A834F1" w:rsidP="009569C7">
      <w:pPr>
        <w:pStyle w:val="Baseparagraphnumbered"/>
      </w:pPr>
      <w:r>
        <w:t xml:space="preserve">V predlogi 9.1.1 se poroča samo nominalni znesek zaveze, če dolžniški instrument vključuje tako bilančni instrument kot zunajbilančno sestavino. Če subjekt, ki poroča, ne more ločiti pričakovanih kreditnih izgub pri bilančnih in zunajbilančnih sestavinah, se pričakovane kreditne izgube za zavezo poročajo skupaj z akumulirano oslabitvijo bilančne sestavine. Če skupne pričakovane </w:t>
      </w:r>
      <w:r>
        <w:lastRenderedPageBreak/>
        <w:t>kreditne izgube presegajo bruto knjigovodsko vrednost dolžniškega instrumenta, se preostalo stanje pričakovanih kreditnih izgub poroča kot rezervacija v ustreznem stolpcu v predlogi 9.1.1 (MSRP 9, 5.5.20. člen, in MSRP 7, B8.E člen).</w:t>
      </w:r>
    </w:p>
    <w:p w14:paraId="23B86B52" w14:textId="619D8712" w:rsidR="009569C7" w:rsidRPr="00755ABF" w:rsidRDefault="005D7A1A" w:rsidP="009569C7">
      <w:pPr>
        <w:pStyle w:val="Baseparagraphnumbered"/>
      </w:pPr>
      <w:r>
        <w:t>Finančno poroštvo ali zaveza za zagotovitev kredita po obrestni meri, ki je nižja od tržne obrestne mere, ki se meri v skladu s 4.2.1.(d) členom MSRP 9, in za katerega oziroma katero se popravek vrednosti za izgubo določi v skladu z oddelkom 5.5 MSRP 9, se poroča v ustreznem stolpcu.</w:t>
      </w:r>
    </w:p>
    <w:p w14:paraId="74F9E421" w14:textId="77777777" w:rsidR="009569C7" w:rsidRPr="00755ABF" w:rsidRDefault="00A834F1" w:rsidP="009569C7">
      <w:pPr>
        <w:pStyle w:val="Baseparagraphnumbered"/>
      </w:pPr>
      <w:r>
        <w:t>Če se zaveze iz kreditov, finančna poroštva in druge zaveze merijo po pošteni vrednosti v skladu z MSRP 9, institucije v predlogi 9.1.1 poročajo nominalni znesek in akumulirane negativne spremembe poštene vrednosti zaradi kreditnega tveganja teh finančnih poroštev in zavez v za to namenjenih stolpcih. „Akumulirane negativne spremembe poštene vrednosti zaradi kreditnega tveganja“ se poročajo z uporabo meril iz odstavka 69 tega dela.</w:t>
      </w:r>
    </w:p>
    <w:p w14:paraId="31B1C0CC" w14:textId="77777777" w:rsidR="009569C7" w:rsidRPr="00755ABF" w:rsidRDefault="00A834F1" w:rsidP="009569C7">
      <w:pPr>
        <w:pStyle w:val="Baseparagraphnumbered"/>
      </w:pPr>
      <w:r>
        <w:t>Nominalni znesek in rezervacije drugih zavez ali poroštev, ki spadajo v področje uporabe MRS 37 ali MSRP 4, se poročajo v za to namenjenih stolpcih.</w:t>
      </w:r>
    </w:p>
    <w:p w14:paraId="0B3E20DD" w14:textId="77777777" w:rsidR="009569C7" w:rsidRPr="00755ABF" w:rsidRDefault="00A834F1" w:rsidP="009569C7">
      <w:pPr>
        <w:pStyle w:val="Baseparagraphnumbered"/>
      </w:pPr>
      <w:r>
        <w:t>Institucije, ki poročajo v skladu z nacionalnimi GAAP na podlagi direktive o računovodskih izkazih bank, v predlogi 9.1 poročajo nominalni znesek zavez in finančnih poroštev iz odstavkov 102 in 103 ter znesek rezervacij, ki se morajo vzdrževati za te zunajbilančne izpostavljenosti.</w:t>
      </w:r>
    </w:p>
    <w:p w14:paraId="697F6E16" w14:textId="77777777" w:rsidR="009569C7" w:rsidRPr="00755ABF" w:rsidRDefault="00A834F1" w:rsidP="009569C7">
      <w:pPr>
        <w:pStyle w:val="Baseparagraphnumbered"/>
      </w:pPr>
      <w:r>
        <w:t xml:space="preserve">„Zaveze iz kreditov“ so trdne zaveze glede zagotovitve kredita pod vnaprej določenimi pogoji, razen v primeru izvedenih finančnih instrumentov, ker se ti lahko poravnajo z denarnimi sredstvi ali z izročitvijo ali izdajo drugega finančnega instrumenta. Kot „zaveze iz kreditov“ se razvrstijo naslednje postavke iz Priloge I k CRR: </w:t>
      </w:r>
    </w:p>
    <w:p w14:paraId="58AF3DD9" w14:textId="77777777" w:rsidR="009569C7" w:rsidRPr="00755ABF" w:rsidRDefault="00A834F1" w:rsidP="00C35843">
      <w:pPr>
        <w:pStyle w:val="Baseparagraphnumbered"/>
        <w:numPr>
          <w:ilvl w:val="0"/>
          <w:numId w:val="30"/>
        </w:numPr>
        <w:ind w:left="1134" w:hanging="425"/>
      </w:pPr>
      <w:r>
        <w:t>„terminski dogovori o obrestni meri vloge“;</w:t>
      </w:r>
    </w:p>
    <w:p w14:paraId="55E49156" w14:textId="77777777" w:rsidR="009569C7" w:rsidRPr="00755ABF" w:rsidRDefault="00A834F1" w:rsidP="00C35843">
      <w:pPr>
        <w:pStyle w:val="Baseparagraphnumbered"/>
        <w:numPr>
          <w:ilvl w:val="0"/>
          <w:numId w:val="30"/>
        </w:numPr>
        <w:ind w:left="1134" w:hanging="425"/>
      </w:pPr>
      <w:r>
        <w:t>„nečrpane kreditne obveznosti (</w:t>
      </w:r>
      <w:proofErr w:type="spellStart"/>
      <w:r>
        <w:t>undrawn</w:t>
      </w:r>
      <w:proofErr w:type="spellEnd"/>
      <w:r>
        <w:t xml:space="preserve"> </w:t>
      </w:r>
      <w:proofErr w:type="spellStart"/>
      <w:r>
        <w:t>credit</w:t>
      </w:r>
      <w:proofErr w:type="spellEnd"/>
      <w:r>
        <w:t xml:space="preserve"> </w:t>
      </w:r>
      <w:proofErr w:type="spellStart"/>
      <w:r>
        <w:t>facilities</w:t>
      </w:r>
      <w:proofErr w:type="spellEnd"/>
      <w:r>
        <w:t>)“, ki zajemajo pogodbe o „kreditiranju“ ali zagotavljajo „akceptiranje menic“ v skladu s predhodno določenimi pogoji.</w:t>
      </w:r>
    </w:p>
    <w:p w14:paraId="3CA87279" w14:textId="77777777" w:rsidR="009569C7" w:rsidRPr="00755ABF" w:rsidRDefault="00A834F1" w:rsidP="009569C7">
      <w:pPr>
        <w:pStyle w:val="Baseparagraphnumbered"/>
      </w:pPr>
      <w:r>
        <w:t xml:space="preserve">„Finančna poroštva“ so pogodbe, v skladu s katerimi mora izdajatelj opraviti določena plačila, s katerimi se imetniku povrne izguba, ki je nastala, ker določeni dolžnik ni izvedel plačila v prvotnem ali spremenjenem roku dolžniškega instrumenta, vključno s poroštvi, ki se zagotovijo za druga finančna poroštva. V skladu z MSRP morajo te pogodbe izpolnjevati opredelitev pogodbe o finančnem poroštvu iz 2.1.(e) člena MSRP 9 in Priloge A k MSRP 4. Kot „finančna poroštva“ se razvrstijo naslednje postavke iz Priloge I k CRR: </w:t>
      </w:r>
    </w:p>
    <w:p w14:paraId="253C6AD1" w14:textId="77777777" w:rsidR="009569C7" w:rsidRPr="00755ABF" w:rsidRDefault="00A834F1" w:rsidP="00C35843">
      <w:pPr>
        <w:pStyle w:val="Baseparagraphnumbered"/>
        <w:numPr>
          <w:ilvl w:val="0"/>
          <w:numId w:val="66"/>
        </w:numPr>
      </w:pPr>
      <w:r>
        <w:t xml:space="preserve">„poroštva, ki imajo lastnosti kreditnih nadomestkov“; </w:t>
      </w:r>
    </w:p>
    <w:p w14:paraId="19DAAC1E" w14:textId="77777777" w:rsidR="009569C7" w:rsidRPr="00755ABF" w:rsidRDefault="00A834F1" w:rsidP="00C35843">
      <w:pPr>
        <w:pStyle w:val="Baseparagraphnumbered"/>
        <w:numPr>
          <w:ilvl w:val="0"/>
          <w:numId w:val="66"/>
        </w:numPr>
        <w:ind w:left="1134" w:hanging="425"/>
      </w:pPr>
      <w:r>
        <w:t>„kreditni izvedeni finančni instrumenti“, ki so skladni z opredelitvijo finančnega poroštva;</w:t>
      </w:r>
    </w:p>
    <w:p w14:paraId="7509CCB8" w14:textId="77777777" w:rsidR="009569C7" w:rsidRPr="00755ABF" w:rsidRDefault="00A834F1" w:rsidP="00C35843">
      <w:pPr>
        <w:pStyle w:val="Baseparagraphnumbered"/>
        <w:numPr>
          <w:ilvl w:val="0"/>
          <w:numId w:val="66"/>
        </w:numPr>
        <w:ind w:left="1134" w:hanging="425"/>
      </w:pPr>
      <w:r>
        <w:lastRenderedPageBreak/>
        <w:t>„nepreklicni ‚</w:t>
      </w:r>
      <w:proofErr w:type="spellStart"/>
      <w:r>
        <w:t>stand-by</w:t>
      </w:r>
      <w:proofErr w:type="spellEnd"/>
      <w:r>
        <w:t>‘ akreditivi, ki imajo lastnosti kreditnih nadomestkov“.</w:t>
      </w:r>
    </w:p>
    <w:p w14:paraId="13FF962C" w14:textId="77777777" w:rsidR="009569C7" w:rsidRPr="00755ABF" w:rsidRDefault="00A834F1" w:rsidP="009569C7">
      <w:pPr>
        <w:pStyle w:val="Baseparagraphnumbered"/>
      </w:pPr>
      <w:r>
        <w:t xml:space="preserve">„Druge zaveze“ vključujejo naslednje postavke iz Priloge I k CRR:  </w:t>
      </w:r>
    </w:p>
    <w:p w14:paraId="4F30DC0B" w14:textId="77777777" w:rsidR="009569C7" w:rsidRPr="00755ABF" w:rsidRDefault="00A834F1" w:rsidP="00C35843">
      <w:pPr>
        <w:pStyle w:val="Baseparagraphnumbered"/>
        <w:numPr>
          <w:ilvl w:val="0"/>
          <w:numId w:val="31"/>
        </w:numPr>
        <w:ind w:left="1134" w:hanging="425"/>
      </w:pPr>
      <w:r>
        <w:t xml:space="preserve">„neplačani del vrednostnih papirjev oz. deleža v kapitalu“; </w:t>
      </w:r>
    </w:p>
    <w:p w14:paraId="20766578" w14:textId="77777777" w:rsidR="009569C7" w:rsidRPr="00755ABF" w:rsidRDefault="00A834F1" w:rsidP="00C35843">
      <w:pPr>
        <w:pStyle w:val="Baseparagraphnumbered"/>
        <w:numPr>
          <w:ilvl w:val="0"/>
          <w:numId w:val="31"/>
        </w:numPr>
        <w:ind w:left="1134" w:hanging="425"/>
      </w:pPr>
      <w:r>
        <w:t xml:space="preserve">„odprti ali potrjeni dokumentarni akreditivi“; </w:t>
      </w:r>
    </w:p>
    <w:p w14:paraId="791F6D67" w14:textId="77777777" w:rsidR="009569C7" w:rsidRPr="00755ABF" w:rsidRDefault="00A834F1" w:rsidP="00C35843">
      <w:pPr>
        <w:pStyle w:val="Baseparagraphnumbered"/>
        <w:numPr>
          <w:ilvl w:val="0"/>
          <w:numId w:val="31"/>
        </w:numPr>
        <w:ind w:left="1134" w:hanging="425"/>
      </w:pPr>
      <w:r>
        <w:t>„zunajbilančne postavke iz naslova trgovinskega financiranja“;</w:t>
      </w:r>
    </w:p>
    <w:p w14:paraId="45B50D31" w14:textId="77777777" w:rsidR="009569C7" w:rsidRPr="00755ABF" w:rsidRDefault="00A834F1" w:rsidP="00C35843">
      <w:pPr>
        <w:pStyle w:val="Baseparagraphnumbered"/>
        <w:numPr>
          <w:ilvl w:val="0"/>
          <w:numId w:val="31"/>
        </w:numPr>
        <w:ind w:left="1134" w:hanging="425"/>
      </w:pPr>
      <w:r>
        <w:t xml:space="preserve">„dokumentarni akreditivi, pri katerih blago, ki je predmet akreditiva, služi kot zavarovanje, in drugi posli, pri katerih obstaja možnost </w:t>
      </w:r>
      <w:proofErr w:type="spellStart"/>
      <w:r>
        <w:t>samoporavnave</w:t>
      </w:r>
      <w:proofErr w:type="spellEnd"/>
      <w:r>
        <w:t xml:space="preserve"> (</w:t>
      </w:r>
      <w:proofErr w:type="spellStart"/>
      <w:r>
        <w:t>self-liquidating</w:t>
      </w:r>
      <w:proofErr w:type="spellEnd"/>
      <w:r>
        <w:t xml:space="preserve"> </w:t>
      </w:r>
      <w:proofErr w:type="spellStart"/>
      <w:r>
        <w:t>transactions</w:t>
      </w:r>
      <w:proofErr w:type="spellEnd"/>
      <w:r>
        <w:t xml:space="preserve">)“; </w:t>
      </w:r>
    </w:p>
    <w:p w14:paraId="4DC7E58B" w14:textId="77777777" w:rsidR="009569C7" w:rsidRPr="00755ABF" w:rsidRDefault="00A834F1" w:rsidP="00C35843">
      <w:pPr>
        <w:pStyle w:val="Baseparagraphnumbered"/>
        <w:numPr>
          <w:ilvl w:val="0"/>
          <w:numId w:val="31"/>
        </w:numPr>
        <w:ind w:left="1134" w:hanging="425"/>
      </w:pPr>
      <w:r>
        <w:t>„garancije in zavarovanja odgovornosti“ (vključno z garancijami za resnost ponudbe in garancijami za dobro izvedbo del) ter „poroštva, ki nimajo lastnosti kreditnih nadomestkov“;</w:t>
      </w:r>
    </w:p>
    <w:p w14:paraId="08BDF00C" w14:textId="77777777" w:rsidR="009569C7" w:rsidRPr="00755ABF" w:rsidRDefault="00A834F1" w:rsidP="00C35843">
      <w:pPr>
        <w:pStyle w:val="Baseparagraphnumbered"/>
        <w:numPr>
          <w:ilvl w:val="0"/>
          <w:numId w:val="31"/>
        </w:numPr>
        <w:ind w:left="1134" w:hanging="425"/>
      </w:pPr>
      <w:r>
        <w:t>„garancije za plačilo dobavljenega blaga, garancije za plačilo carinskega dolga in garancije za plačilo davka“;</w:t>
      </w:r>
    </w:p>
    <w:p w14:paraId="79AEBB12" w14:textId="77777777" w:rsidR="009569C7" w:rsidRPr="00755ABF" w:rsidRDefault="00A834F1" w:rsidP="00C35843">
      <w:pPr>
        <w:pStyle w:val="Baseparagraphnumbered"/>
        <w:numPr>
          <w:ilvl w:val="0"/>
          <w:numId w:val="31"/>
        </w:numPr>
        <w:ind w:left="1134" w:hanging="425"/>
      </w:pPr>
      <w:r>
        <w:t xml:space="preserve">„prevzete obveznosti iz naslova odkupa neprodanih kratkoročnih in srednjeročnih </w:t>
      </w:r>
      <w:proofErr w:type="spellStart"/>
      <w:r>
        <w:t>evrozapisov</w:t>
      </w:r>
      <w:proofErr w:type="spellEnd"/>
      <w:r>
        <w:t xml:space="preserve">“ (NIF) in „obnavljajoče se prevzete obveznosti iz naslova kreditiranja poslovanja na trgu kratkoročnih in srednjeročnih </w:t>
      </w:r>
      <w:proofErr w:type="spellStart"/>
      <w:r>
        <w:t>evrozapisov</w:t>
      </w:r>
      <w:proofErr w:type="spellEnd"/>
      <w:r>
        <w:t>“ (RUF);</w:t>
      </w:r>
    </w:p>
    <w:p w14:paraId="3F4BA304" w14:textId="77777777" w:rsidR="009569C7" w:rsidRPr="00755ABF" w:rsidRDefault="00A834F1" w:rsidP="00C35843">
      <w:pPr>
        <w:pStyle w:val="Baseparagraphnumbered"/>
        <w:numPr>
          <w:ilvl w:val="0"/>
          <w:numId w:val="31"/>
        </w:numPr>
        <w:ind w:left="1134" w:hanging="425"/>
      </w:pPr>
      <w:r>
        <w:t>„nečrpane kreditne obveznosti (</w:t>
      </w:r>
      <w:proofErr w:type="spellStart"/>
      <w:r>
        <w:t>undrawn</w:t>
      </w:r>
      <w:proofErr w:type="spellEnd"/>
      <w:r>
        <w:t xml:space="preserve"> </w:t>
      </w:r>
      <w:proofErr w:type="spellStart"/>
      <w:r>
        <w:t>credit</w:t>
      </w:r>
      <w:proofErr w:type="spellEnd"/>
      <w:r>
        <w:t xml:space="preserve"> </w:t>
      </w:r>
      <w:proofErr w:type="spellStart"/>
      <w:r>
        <w:t>facilities</w:t>
      </w:r>
      <w:proofErr w:type="spellEnd"/>
      <w:r>
        <w:t xml:space="preserve">)“, ki zajemajo pogodbe o „kreditiranju“ ali zagotavljajo „akceptiranje menic“, kadar pogoji niso predhodno določeni; </w:t>
      </w:r>
    </w:p>
    <w:p w14:paraId="53B9A57F" w14:textId="77777777" w:rsidR="009569C7" w:rsidRPr="00755ABF" w:rsidRDefault="00A834F1" w:rsidP="00C35843">
      <w:pPr>
        <w:pStyle w:val="Baseparagraphnumbered"/>
        <w:numPr>
          <w:ilvl w:val="0"/>
          <w:numId w:val="31"/>
        </w:numPr>
        <w:ind w:left="1134" w:hanging="425"/>
      </w:pPr>
      <w:r>
        <w:t>„nečrpane kreditne obveznosti“, ki zajemajo pogodbe o „nakupu vrednostnih papirjev“ ali „zagotavljanju jamstev“;</w:t>
      </w:r>
    </w:p>
    <w:p w14:paraId="140ED933" w14:textId="77777777" w:rsidR="009569C7" w:rsidRPr="00755ABF" w:rsidRDefault="00A834F1" w:rsidP="00C35843">
      <w:pPr>
        <w:pStyle w:val="Baseparagraphnumbered"/>
        <w:numPr>
          <w:ilvl w:val="0"/>
          <w:numId w:val="31"/>
        </w:numPr>
        <w:ind w:left="1134" w:hanging="425"/>
      </w:pPr>
      <w:r>
        <w:t>„nečrpane kreditne obveznosti za garancije za resnost ponudbe in garancije za dobro izvedbo del“;</w:t>
      </w:r>
    </w:p>
    <w:p w14:paraId="18AF27C3" w14:textId="77777777" w:rsidR="009569C7" w:rsidRPr="00755ABF" w:rsidRDefault="00A834F1" w:rsidP="00C35843">
      <w:pPr>
        <w:pStyle w:val="Baseparagraphnumbered"/>
        <w:numPr>
          <w:ilvl w:val="0"/>
          <w:numId w:val="31"/>
        </w:numPr>
        <w:ind w:left="1134" w:hanging="425"/>
      </w:pPr>
      <w:r>
        <w:t>„druge zunajbilančne postavke“ iz Priloge I k CRR.</w:t>
      </w:r>
    </w:p>
    <w:p w14:paraId="12951A17" w14:textId="77777777" w:rsidR="009569C7" w:rsidRPr="00755ABF" w:rsidRDefault="00A834F1" w:rsidP="009569C7">
      <w:pPr>
        <w:pStyle w:val="Baseparagraphnumbered"/>
      </w:pPr>
      <w:r>
        <w:t>V skladu z MSRP se v bilanci stanja pripoznajo naslednje postavke, ki se zato ne smejo poročati kot zunajbilančne izpostavljenosti:</w:t>
      </w:r>
    </w:p>
    <w:p w14:paraId="7D16AB4F" w14:textId="77777777" w:rsidR="009569C7" w:rsidRPr="00755ABF" w:rsidRDefault="00A834F1" w:rsidP="00C35843">
      <w:pPr>
        <w:pStyle w:val="Baseparagraphnumbered"/>
        <w:numPr>
          <w:ilvl w:val="0"/>
          <w:numId w:val="32"/>
        </w:numPr>
        <w:ind w:left="1134" w:hanging="425"/>
      </w:pPr>
      <w:r>
        <w:t>„kreditni izvedeni finančni instrumenti“, ki niso skladni z opredelitvijo finančnega poroštva, so „izvedeni finančni instrumenti“ v skladu z MSRP 9;</w:t>
      </w:r>
    </w:p>
    <w:p w14:paraId="69B6F66C" w14:textId="77777777" w:rsidR="009569C7" w:rsidRPr="00755ABF" w:rsidRDefault="00A834F1" w:rsidP="00C35843">
      <w:pPr>
        <w:pStyle w:val="Baseparagraphnumbered"/>
        <w:numPr>
          <w:ilvl w:val="0"/>
          <w:numId w:val="32"/>
        </w:numPr>
        <w:ind w:left="1134" w:hanging="425"/>
      </w:pPr>
      <w:r>
        <w:t xml:space="preserve"> „akcepti“ so obveznosti institucije, da ob zapadlosti plača nominalno vrednost menice, ki običajno zajema prodajo blaga. Zato so v bilanci stanja razvrščeni kot „odkupljene terjatve“;</w:t>
      </w:r>
    </w:p>
    <w:p w14:paraId="2B188FD6" w14:textId="77777777" w:rsidR="009569C7" w:rsidRPr="00755ABF" w:rsidRDefault="00A834F1" w:rsidP="00C35843">
      <w:pPr>
        <w:pStyle w:val="Baseparagraphnumbered"/>
        <w:numPr>
          <w:ilvl w:val="0"/>
          <w:numId w:val="32"/>
        </w:numPr>
        <w:ind w:left="1134" w:hanging="425"/>
      </w:pPr>
      <w:r>
        <w:lastRenderedPageBreak/>
        <w:t>„</w:t>
      </w:r>
      <w:proofErr w:type="spellStart"/>
      <w:r>
        <w:t>indosamenti</w:t>
      </w:r>
      <w:proofErr w:type="spellEnd"/>
      <w:r>
        <w:t xml:space="preserve"> menic“, ki ne izpolnjujejo meril za odpravljanje pripoznavanja v skladu z MSRP 9;</w:t>
      </w:r>
    </w:p>
    <w:p w14:paraId="6852CF38" w14:textId="77777777" w:rsidR="009569C7" w:rsidRPr="00755ABF" w:rsidRDefault="00A834F1" w:rsidP="00C35843">
      <w:pPr>
        <w:pStyle w:val="Baseparagraphnumbered"/>
        <w:numPr>
          <w:ilvl w:val="0"/>
          <w:numId w:val="32"/>
        </w:numPr>
        <w:ind w:left="1134" w:hanging="425"/>
      </w:pPr>
      <w:r>
        <w:t>„posli z regresom“, ki ne izpolnjujejo meril za odpravljanje pripoznavanja v skladu z MSRP 9;</w:t>
      </w:r>
    </w:p>
    <w:p w14:paraId="4BE48650" w14:textId="77777777" w:rsidR="009569C7" w:rsidRPr="00755ABF" w:rsidRDefault="00A834F1" w:rsidP="00C35843">
      <w:pPr>
        <w:pStyle w:val="Baseparagraphnumbered"/>
        <w:numPr>
          <w:ilvl w:val="0"/>
          <w:numId w:val="32"/>
        </w:numPr>
        <w:ind w:left="1134" w:hanging="425"/>
      </w:pPr>
      <w:r>
        <w:t>„dogovori o terminskem nakupu sredstev“ so „izvedeni finančni instrumenti“ v skladu z MSRP 9;</w:t>
      </w:r>
    </w:p>
    <w:p w14:paraId="19018547" w14:textId="77777777" w:rsidR="009569C7" w:rsidRPr="00755ABF" w:rsidRDefault="00A834F1" w:rsidP="00C35843">
      <w:pPr>
        <w:pStyle w:val="Baseparagraphnumbered"/>
        <w:numPr>
          <w:ilvl w:val="0"/>
          <w:numId w:val="32"/>
        </w:numPr>
        <w:ind w:left="1134" w:hanging="425"/>
      </w:pPr>
      <w:r>
        <w:t>„pogodbe o prodaji in povratnem nakupu sredstev iz člena 12(3) in (5) Direktive 86/635/EGS“. V teh pogodbah ima prevzemnik možnost, vendar ne obveznosti, da vrne sredstva po vnaprej dogovorjeni ceni na določen datum (ali datum, ki ga je še treba določiti). Zato te pogodbe ustrezajo opredelitvi izvedenih finančnih instrumentov iz Priloge A k MSRP 9.</w:t>
      </w:r>
    </w:p>
    <w:p w14:paraId="6A62C2F1" w14:textId="77777777" w:rsidR="009569C7" w:rsidRPr="00755ABF" w:rsidRDefault="00A834F1" w:rsidP="009569C7">
      <w:pPr>
        <w:pStyle w:val="Baseparagraphnumbered"/>
      </w:pPr>
      <w:r>
        <w:t>Postavka „od tega: nedonosne“ vključuje nominalni znesek prevzetih obveznosti iz kreditov, danih finančnih poroštev in drugih prevzetih obveznosti, ki se štejejo za nedonosne v skladu z odstavki 213 do 239 tega dela.</w:t>
      </w:r>
    </w:p>
    <w:p w14:paraId="69DD82B2" w14:textId="77777777" w:rsidR="009569C7" w:rsidRPr="00755ABF" w:rsidRDefault="00A834F1" w:rsidP="009569C7">
      <w:pPr>
        <w:pStyle w:val="Baseparagraphnumbered"/>
      </w:pPr>
      <w:r>
        <w:t>Pri prevzetih obveznostih iz kreditov, danih finančnih poroštvih in drugih prevzetih obveznostih je „nominalni znesek“ znesek, ki najbolje predstavlja največjo izpostavljenost institucije kreditnemu tveganju, pri čemer se ne upoštevajo prejeta zavarovanja ali druge kreditne izboljšave. Zlasti pri danih finančnih poroštvih je nominalni znesek najvišji znesek, ki bi ga moral plačati subjekt, če bi bilo poroštvo unovčeno. Pri zavezah iz kreditov je nominalni znesek neizkoriščeni znesek, za katerega se je institucija zavezala, da ga bo posodila. Nominalni zneski so vrednosti izpostavljenosti, preden se uporabijo konverzijski faktorji in tehnike zmanjševanja kreditnega tveganja.</w:t>
      </w:r>
    </w:p>
    <w:p w14:paraId="71EBDD1F" w14:textId="77777777" w:rsidR="009569C7" w:rsidRPr="00755ABF" w:rsidRDefault="00A834F1" w:rsidP="009569C7">
      <w:pPr>
        <w:pStyle w:val="Baseparagraphnumbered"/>
      </w:pPr>
      <w:r>
        <w:t>V predlogi 9.2 je pri prejetih obvezah iz kreditov nominalni znesek celoten neizkoriščeni znesek, za katerega se je nasprotna stranka obvezala, da ga bo posodila instituciji. Pri drugih prejetih obvezah je nominalni znesek celoten znesek, za katerega se je obvezala druga stranka v poslu. Pri prejetih finančnih poroštvih je „najvišji znesek poroštva, ki se lahko upošteva“, najvišji znesek, ki bi ga nasprotna stran morala plačati, če bi bilo poroštvo unovčeno. Če je prejeto finančno poroštvo izdal več kot en dajalec poroštva, se zajamčeni znesek v tej predlogi poroča le enkrat; zajamčeni znesek se dodeli tistemu dajalcu poroštva, ki je pomembnejši za zmanjševanje kreditnega tveganja.</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539749"/>
      <w:r>
        <w:t>Izvedeni finančni instrumenti in obračunavanje varovanja pred tveganjem (10 in 11)</w:t>
      </w:r>
      <w:bookmarkEnd w:id="105"/>
      <w:bookmarkEnd w:id="106"/>
      <w:bookmarkEnd w:id="107"/>
    </w:p>
    <w:p w14:paraId="075EF165" w14:textId="77777777" w:rsidR="009569C7" w:rsidRPr="00755ABF" w:rsidRDefault="00A834F1" w:rsidP="009569C7">
      <w:pPr>
        <w:pStyle w:val="Baseparagraphnumbered"/>
      </w:pPr>
      <w:r>
        <w:t xml:space="preserve">Za namene predlog 10 in 11 se izvedeni finančni instrumenti štejejo kot izvedeni finančni instrumenti za varovanje, če se uporabljajo v razmerjih varovanja pred tveganjem, ki izpolnjujejo pogoje za to, v skladu z MSRP ali relevantnimi nacionalnimi GAAP na podlagi direktive o računovodskih izkazih bank, ali kot v posesti za trgovanje v drugih primerih. </w:t>
      </w:r>
    </w:p>
    <w:p w14:paraId="605F7393" w14:textId="77777777" w:rsidR="009569C7" w:rsidRPr="00755ABF" w:rsidRDefault="00A834F1" w:rsidP="009569C7">
      <w:pPr>
        <w:pStyle w:val="Baseparagraphnumbered"/>
      </w:pPr>
      <w:r>
        <w:t xml:space="preserve">Knjigovodska vrednost in hipotetični znesek izvedenih finančnih instrumentov v posesti za trgovanje, vključno z ekonomskimi varovanji, in izvedenih finančnih instrumentov v posesti za obračunavanje varovanja pred </w:t>
      </w:r>
      <w:r>
        <w:lastRenderedPageBreak/>
        <w:t>tveganjem se poročajo razčlenjeno po vrsti z njimi povezanih tveganj, vrsti trga in vrsti produkta v predlogah 10 in 11. Institucije izvedene finančne instrumente v posesti za obračunavanje varovanja pred tveganjem poročajo tudi razčlenjene po vrsti varovanja. Informacije o neizvedenih instrumentih varovanja se poročajo ločeno in razčlenjene po vrstah varovanj.</w:t>
      </w:r>
    </w:p>
    <w:p w14:paraId="48E1C979" w14:textId="77777777" w:rsidR="009569C7" w:rsidRPr="00755ABF" w:rsidRDefault="00A834F1" w:rsidP="009569C7">
      <w:pPr>
        <w:pStyle w:val="Baseparagraphnumbered"/>
      </w:pPr>
      <w:r>
        <w:t>V skladu z ustreznimi nacionalnimi GAAP na podlagi direktive o računovodskih izkazih bank se vsi izvedeni finančni instrumenti poročajo v teh predlogah ne glede na to, ali so pripoznani v bilanci stanja ali ne v skladu z ustreznimi nacionalnimi GAAP.</w:t>
      </w:r>
    </w:p>
    <w:p w14:paraId="18FAFAE1" w14:textId="77777777" w:rsidR="009569C7" w:rsidRPr="00755ABF" w:rsidRDefault="00A834F1" w:rsidP="009569C7">
      <w:pPr>
        <w:pStyle w:val="Baseparagraphnumbered"/>
      </w:pPr>
      <w:r>
        <w:t xml:space="preserve">Razčlenitev knjigovodske vrednosti, poštene vrednosti in hipotetičnega zneska izvedenih finančnih instrumentov za varovanje in trgovanje po računovodskih portfeljih in vrstah varovanja se izvede ob upoštevanju računovodskih portfeljev in vrst varovanja, ki veljajo za MSRP ali nacionalne GAAP na podlagi direktive o računovodskih izkazih bank, odvisno od tega, kateri okvir se uporablja za subjekt, ki poroča. </w:t>
      </w:r>
    </w:p>
    <w:p w14:paraId="6F774DFF" w14:textId="77777777" w:rsidR="009569C7" w:rsidRPr="00755ABF" w:rsidRDefault="00A834F1" w:rsidP="009569C7">
      <w:pPr>
        <w:pStyle w:val="Baseparagraphnumbered"/>
      </w:pPr>
      <w:r>
        <w:t>Izvedeni finančni instrumenti za varovanje in trgovanje, ki se v skladu z nacionalnimi GAAP na podlagi direktive o računovodskih izkazih bank merijo po nabavni vrednosti ali LOCOM, se navedejo ločeno.</w:t>
      </w:r>
    </w:p>
    <w:p w14:paraId="4EF81BAF" w14:textId="77777777" w:rsidR="009569C7" w:rsidRPr="00755ABF" w:rsidRDefault="00A834F1" w:rsidP="009569C7">
      <w:pPr>
        <w:pStyle w:val="Baseparagraphnumbered"/>
      </w:pPr>
      <w:r>
        <w:t>Predloga 11 vključuje instrumente varovanja in varovane postavke ne glede na računovodski standard, ki se uporablja za pripoznanje razmerja varovanja pred tveganjem, ki izpolnjuje pogoje za to, vključno s primeri, ko se to razmerje varovanja nanaša na neto pozicijo. Če se je institucija odločila, da bo za obračunavanje varovanja pred tveganjem še naprej uporabljala MRS 39 (MSRP 9, 7.2.21. člen), se sklicevanja in poimenovanja vrst varovanj pred tveganjem in računovodskih portfeljev berejo kot ustrezna sklicevanja in poimenovanja iz 9. člena MRS 39: „finančna sredstva, merjena po pošteni vrednosti prek drugega vseobsegajočega donosa“ se nanašajo na „za prodajo razpoložljiva finančna sredstva“, „finančna sredstva po odplačni vrednosti“ pa zajemajo „v posesti do zapadlosti“ in „posojila in terjatve“.</w:t>
      </w:r>
    </w:p>
    <w:p w14:paraId="1F4ADFB8" w14:textId="77777777" w:rsidR="009569C7" w:rsidRPr="00755ABF" w:rsidRDefault="00A834F1" w:rsidP="009569C7">
      <w:pPr>
        <w:pStyle w:val="Baseparagraphnumbered"/>
      </w:pPr>
      <w:r>
        <w:t>Izvedeni finančni instrumenti, vključeni v hibridne instrumente, ki so ločeni od gostiteljske pogodbe, se poročajo v predlogah 10 in 11 glede na značilnosti izvedenega finančnega instrumenta. Znesek gostiteljske pogodbe ni vključen v te predloge. Vendar, če je hibridni instrument merjen po pošteni vrednosti prek poslovnega izida, se pogodba poroča kot celota, vgrajeni izvedeni finančni instrumenti pa se ne poročajo v predlogah 10 in 11.</w:t>
      </w:r>
    </w:p>
    <w:p w14:paraId="167552D7" w14:textId="77777777" w:rsidR="009569C7" w:rsidRPr="00755ABF" w:rsidRDefault="00A834F1" w:rsidP="009569C7">
      <w:pPr>
        <w:pStyle w:val="Baseparagraphnumbered"/>
      </w:pPr>
      <w:r>
        <w:t xml:space="preserve">Zaveze, ki štejejo za izvedene finančne instrumente (MSRP 9, 2.3.(b) člen) in kreditne izvedene finančne instrumente, ki ne ustrezajo opredelitvi finančnega poroštva iz odstavka 114 tega dela te priloge, se poročajo v predlogah 10 in 11 ob upoštevanju iste razčlenitve kot pri drugih izvedenih finančnih instrumentih, ne poročajo pa se v predlogi 9. </w:t>
      </w:r>
    </w:p>
    <w:p w14:paraId="2DF7B00A" w14:textId="77777777" w:rsidR="009569C7" w:rsidRPr="00755ABF" w:rsidRDefault="00A834F1" w:rsidP="009569C7">
      <w:pPr>
        <w:pStyle w:val="Baseparagraphnumbered"/>
      </w:pPr>
      <w:r>
        <w:t xml:space="preserve">Knjigovodska vrednost neizvedenih finančnih sredstev ali neizvedenih finančnih obveznosti, pripoznanih kot instrumentov varovanja ob uporabi </w:t>
      </w:r>
      <w:r>
        <w:lastRenderedPageBreak/>
        <w:t xml:space="preserve">MSRP ali ustreznih nacionalnih GAAP na podlagi direktive o računovodskih izkazih bank, se poroča ločeno v predlogi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539750"/>
      <w:r>
        <w:t>Razčlenitev izvedenih finančnih instrumentov po vrsti tveganja</w:t>
      </w:r>
      <w:bookmarkEnd w:id="108"/>
      <w:bookmarkEnd w:id="109"/>
      <w:bookmarkEnd w:id="110"/>
    </w:p>
    <w:p w14:paraId="513183F4" w14:textId="77777777" w:rsidR="009569C7" w:rsidRPr="00755ABF" w:rsidRDefault="00A834F1" w:rsidP="009569C7">
      <w:pPr>
        <w:pStyle w:val="Baseparagraphnumbered"/>
      </w:pPr>
      <w:r>
        <w:t>Vsi izvedeni finančni instrumenti se razvrstijo v eno od naslednjih kategorij tveganja:</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obrestna mera: obrestni izvedeni finančni instrumenti so pogodbe, povezane z obrestonosnim finančnim instrumentom, katerega denarni tokovi so določeni z referenčnimi obrestnimi merami, ali druge pogodbe na obrestno mero, kot je možnost terminske pogodbe za nakup zakladne menice. Ta kategorija je omejena na posle, pri katerih so vse strani izpostavljene obrestni meri samo ene valute. Izključuje torej pogodbe, ki vključujejo izmenjavo ene ali več tujih valut, kot so medvalutne zamenjave in valutne opcije, ter druge pogodbe, katerih glavna značilnost tveganja je valutno tveganje in o katerih se poroča kot o pogodbah na tujo valuto. Edina izjema so primeri, ko se medvalutne zamenjave uporabljajo kot del varovanja portfelja pred obrestnim tveganjem, ki se poročajo v za to namenjenih vrsticah za te vrste varovanj. Pogodbe na obrestno mero vključujejo terminske dogovore o obrestni meri, </w:t>
      </w:r>
      <w:proofErr w:type="spellStart"/>
      <w:r>
        <w:rPr>
          <w:rFonts w:ascii="Times New Roman" w:hAnsi="Times New Roman"/>
          <w:sz w:val="24"/>
        </w:rPr>
        <w:t>enovalutne</w:t>
      </w:r>
      <w:proofErr w:type="spellEnd"/>
      <w:r>
        <w:rPr>
          <w:rFonts w:ascii="Times New Roman" w:hAnsi="Times New Roman"/>
          <w:sz w:val="24"/>
        </w:rPr>
        <w:t xml:space="preserve"> zamenjave obrestnih mer, terminske pogodbe na obrestno mero, obrestne opcije (vključno z obrestnimi kapicami (</w:t>
      </w:r>
      <w:proofErr w:type="spellStart"/>
      <w:r>
        <w:rPr>
          <w:rFonts w:ascii="Times New Roman" w:hAnsi="Times New Roman"/>
          <w:sz w:val="24"/>
        </w:rPr>
        <w:t>caps</w:t>
      </w:r>
      <w:proofErr w:type="spellEnd"/>
      <w:r>
        <w:rPr>
          <w:rFonts w:ascii="Times New Roman" w:hAnsi="Times New Roman"/>
          <w:sz w:val="24"/>
        </w:rPr>
        <w:t>), obrestnim dnom (</w:t>
      </w:r>
      <w:proofErr w:type="spellStart"/>
      <w:r>
        <w:rPr>
          <w:rFonts w:ascii="Times New Roman" w:hAnsi="Times New Roman"/>
          <w:sz w:val="24"/>
        </w:rPr>
        <w:t>floor</w:t>
      </w:r>
      <w:proofErr w:type="spellEnd"/>
      <w:r>
        <w:rPr>
          <w:rFonts w:ascii="Times New Roman" w:hAnsi="Times New Roman"/>
          <w:sz w:val="24"/>
        </w:rPr>
        <w:t>), obrestnimi ovratnicami (</w:t>
      </w:r>
      <w:proofErr w:type="spellStart"/>
      <w:r>
        <w:rPr>
          <w:rFonts w:ascii="Times New Roman" w:hAnsi="Times New Roman"/>
          <w:sz w:val="24"/>
        </w:rPr>
        <w:t>collars</w:t>
      </w:r>
      <w:proofErr w:type="spellEnd"/>
      <w:r>
        <w:rPr>
          <w:rFonts w:ascii="Times New Roman" w:hAnsi="Times New Roman"/>
          <w:sz w:val="24"/>
        </w:rPr>
        <w:t>) in obrestnimi koridorji (</w:t>
      </w:r>
      <w:proofErr w:type="spellStart"/>
      <w:r>
        <w:rPr>
          <w:rFonts w:ascii="Times New Roman" w:hAnsi="Times New Roman"/>
          <w:sz w:val="24"/>
        </w:rPr>
        <w:t>corridors</w:t>
      </w:r>
      <w:proofErr w:type="spellEnd"/>
      <w:r>
        <w:rPr>
          <w:rFonts w:ascii="Times New Roman" w:hAnsi="Times New Roman"/>
          <w:sz w:val="24"/>
        </w:rPr>
        <w:t>)), zamenjave obrestnih mer in nakupne bone na obrestne mere;</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lastniški kapital: lastniški izvedeni finančni instrumenti so pogodbe, pri katerih je donos ali del donosa povezan s ceno določenega lastniškega kapitala ali indeksom cen lastniškega kapitala;</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tuje valute in zlato: ti izvedeni finančni instrumenti zajemajo pogodbe, ki vključujejo izmenjavo valut na terminskem trgu in izpostavljenost zlatu. Zajemajo torej terminske posle, devizne zamenjave, valutne zamenjave (vključno z medvalutnimi zamenjavami obrestnih mer), terminske pogodbe na tujo valuto, valutne opcije, valutne zamenjave in valutne nakupne bone. Valutni izvedeni finančni instrumenti zajemajo vse posle, ki vključujejo izpostavljenost več kot eni valuti v zvezi z menjalnim tečajem ali obrestno mero, razen kadar se medvalutne zamenjave uporabljajo kot del varovanja portfelja pred obrestnim tveganjem. Pogodbe o zlatu zajemajo vse posle, ki vključujejo izpostavljenost tej vrsti blaga;</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kreditni izvedeni finančni instrumenti so pogodbe, pri katerih je izplačilo povezano predvsem z določenim merilom kreditne sposobnosti posameznega referenčnega kredita in ki ne ustrezajo opredelitvi finančnih poroštev (MSRP 9, 4.2.1.(c) člen). Pogodbe določajo izmenjavo plačil, pri katerih je vsaj ena od obeh strani določena na podlagi uspešnosti referenčnega kredita. Izplačila se lahko sprožijo na podlagi številnih dogodkov, vključno z neplačilom, znižanjem ocene ali določeno spremembo kreditnega razmika referenčnega sredstva. Kreditni izvedeni finančni instrumenti, ki ustrezajo opredelitvi finančnih poroštev iz odstavka 114 tega dela te priloge, se poročajo samo v predlogi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blago: ti izvedeni finančni instrumenti so pogodbe, pri katerih je donos ali del donosa povezan s ceno ali indeksom cen blaga, kot so plemenite kovine (razen zlata), nafta, les ali kmetijski proizvodi;</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drugo: ti izvedeni finančni instrumenti so katere koli druge pogodbe o izvedenih finančnih instrumentih, ki ne vključujejo izpostavljenosti tveganju zaradi tuje valute, obrestne mere, lastniškega kapitala, blaga ali kredita, kot so podnebni ali zavarovalniški izvedeni finančni instrumenti.</w:t>
      </w:r>
    </w:p>
    <w:p w14:paraId="07241291" w14:textId="77777777" w:rsidR="009569C7" w:rsidRPr="00755ABF" w:rsidRDefault="00A834F1" w:rsidP="009569C7">
      <w:pPr>
        <w:pStyle w:val="Baseparagraphnumbered"/>
      </w:pPr>
      <w:r>
        <w:t>Če na izvedeni finančni instrument vpliva več kot ena vrsta osnovnega tveganja, se instrument razporedi v najbolj občutljivo vrsto tveganja. Pri izvedenih finančnih instrumentih, ki so izpostavljeni več vrstam tveganja, se v primeru negotovosti posli razvrstijo po naslednjem vrstnem redu:</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blago: v tej kategoriji se poročajo vsi posli z izvedenimi finančnimi instrumenti, ki vključujejo izpostavljenost blagu ali indeksu na blago, ne glede na to, ali vključujejo skupno izpostavljenost blagu in kateri koli drugi kategoriji tveganja, ki lahko vključuje tujo valuto, obrestno mero ali lastniški kapital;</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lastniški kapital: razen pogodb s skupno izpostavljenostjo blagu in lastniškemu kapitalu, ki se jih poroča kot blago, se vsi posli z izvedenimi finančnimi instrumenti, ki so povezani z uspešnostjo lastniškega kapitala ali delniškimi indeksi, poročajo v kategoriji lastniškega kapitala. Posli z lastniškim kapitalom, ki so izpostavljeni tuji valuti ali obrestnim meram, so vključeni v to kategorijo;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tuje valute in zlato: ta kategorija vključuje vse posle z izvedenimi finančnimi instrumenti (razen poslov, ki se poročajo že v kategoriji blaga ali lastniškega kapitala), ki so izpostavljeni več kot eni valuti, pri čemer lahko gre za obrestonosne finančne instrumente ali menjalne tečaje, razen kadar se medvalutne zamenjave uporabljajo kot del varovanja portfelja pred obrestnim tveganjem.</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539751"/>
      <w:r>
        <w:t>Zneski, ki se poročajo za izvedene finančne instrumente</w:t>
      </w:r>
      <w:bookmarkEnd w:id="111"/>
      <w:bookmarkEnd w:id="112"/>
      <w:bookmarkEnd w:id="113"/>
    </w:p>
    <w:p w14:paraId="55DCC0E8" w14:textId="77777777" w:rsidR="009569C7" w:rsidRPr="00755ABF" w:rsidRDefault="00A834F1" w:rsidP="009569C7">
      <w:pPr>
        <w:pStyle w:val="Baseparagraphnumbered"/>
      </w:pPr>
      <w:r>
        <w:t xml:space="preserve">V skladu z MSRP je „knjigovodska vrednost“ za vse izvedene finančne instrumente (instrumente varovanja ali instrumente trgovanja) poštena vrednost. Izvedeni finančni instrumenti s pozitivno pošteno vrednostjo (več kot nič) so „finančna sredstva“, izvedeni finančni instrumenti z negativno pošteno vrednostjo (manj kot nič) pa so „finančne obveznosti“. „Knjigovodska vrednost“ se poroča ločeno za izvedene finančne instrumente s pozitivno pošteno vrednostjo („finančna sredstva“) in za izvedene finančne instrumente z negativno pošteno vrednostjo („finančne obveznosti“). Na datum začetnega pripoznanja je izveden finančni instrument glede na svojo začetno pošteno vrednost razvrščen kot „finančno sredstvo“ ali „finančna obveznost“. Po začetnem pripoznanju, ko se poštena vrednost izvedenega finančnega instrumenta poveča ali zmanjša, lahko pogoji izmenjave postanejo za institucijo ugodni (izvedeni finančni instrument se tako razvrsti kot „finančno sredstvo“) ali neugodni (izvedeni finančni instrument se razvrsti kot „finančna obveznost“). Knjigovodska vrednost izvedenih finančnih instrumentov za varovanje je njihova celotna poštena vrednost, vključno s sestavinami te </w:t>
      </w:r>
      <w:r>
        <w:lastRenderedPageBreak/>
        <w:t>poštene vrednosti, ki niso določene za instrumente za varovanje, kadar je relevantno.</w:t>
      </w:r>
    </w:p>
    <w:p w14:paraId="10E17786" w14:textId="77777777" w:rsidR="009569C7" w:rsidRPr="00755ABF" w:rsidRDefault="00A834F1" w:rsidP="009569C7">
      <w:pPr>
        <w:pStyle w:val="Baseparagraphnumbered"/>
      </w:pPr>
      <w:r>
        <w:t>Institucije poročevalke poleg knjigovodskih vrednosti, kot so opredeljene v odstavku 27 dela 1 te priloge, poročajo tudi poštene vrednosti v skladu z nacionalnimi GAAP na podlagi direktive o računovodskih izkazih bank za vse izvedene finančne instrumente ne glede na to, ali jih je glede na nacionalne GAAP na podlagi direktive o računovodskih izkazih bank treba knjižiti v bilanci stanja ali zunaj nje.</w:t>
      </w:r>
    </w:p>
    <w:p w14:paraId="34B31118" w14:textId="77777777" w:rsidR="009569C7" w:rsidRPr="00755ABF" w:rsidRDefault="00A834F1" w:rsidP="009569C7">
      <w:pPr>
        <w:pStyle w:val="Baseparagraphnumbered"/>
        <w:ind w:left="851"/>
      </w:pPr>
      <w:r>
        <w:t>„Hipotetični znesek“ je bruto nominalni znesek vseh poslov, ki so bili sklenjeni in na referenčni datum še niso bili poravnani, ne glede na to, ali ti posli vodijo do izpostavljenosti v izvedenih finančnih instrumentih, ki se knjižijo v bilanci stanja. Pri določanju hipotetičnega zneska se upošteva naslednje: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pri pogodbah z variabilnimi nominalnimi ali hipotetičnimi zneski so osnova za poročanje nominalni ali hipotetični zneski na referenčni datum;</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vrednost hipotetičnega zneska, ki jo je treba poročati za pogodbo o kreditnem izvedenem finančnem instrumentu, ki vključuje multiplikator, je efektivni hipotetični znesek ali nominalna vrednost;</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zamenjave: hipotetični znesek zamenjave je osnovna glavnica, na kateri temelji zamenjava obresti, valutna zamenjava ali drugi prihodki ali odhodki;</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pogodbe o lastniškem kapitalu ali v zvezi z blagom: hipotetični znesek, ki ga je treba poročati za pogodbo o lastniškem kapitalu ali blagu, je količina blaga ali produkta lastniškega kapitala, v zvezi s katerim je sklenjena pogodba o nakupu ali prodaji, pomnožena s pogodbeno ceno enote. Hipotetični znesek, ki ga je treba poročati za pogodbe o blagu z večkratnimi zamenjavami glavnice, je pogodbeni znesek, pomnožen s številom preostalih zamenjav glavnice v pogodbi;</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kreditni izvedeni finančni instrumenti: pogodbeni znesek, ki ga je treba poročati za kreditne izvedene finančne instrumente, je nominalna vrednost zadevnega referenčnega kredita;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digitalne opcije imajo vnaprej določeno izravnalno plačilo, ki ima lahko obliko denarnega zneska ali različnih pogodb osnove. Hipotetični znesek za digitalne opcije je vnaprej določen denarni znesek ali poštena vrednost osnove na referenčni datum.</w:t>
      </w:r>
    </w:p>
    <w:p w14:paraId="6FFC6B62" w14:textId="77777777" w:rsidR="009569C7" w:rsidRPr="00755ABF" w:rsidRDefault="00A834F1" w:rsidP="009569C7">
      <w:pPr>
        <w:pStyle w:val="Baseparagraphnumbered"/>
      </w:pPr>
      <w:r>
        <w:t>Stolpec „hipotetični znesek“ izvedenih finančnih instrumentov vključuje za vsako vrstično postavko vsoto hipotetičnih zneskov vseh pogodb, v katerih je institucija nasprotna stranka, ne glede na to, ali se izvedeni finančni instrumenti štejejo za sredstva ali obveznosti v bilanci stanja ali se knjižijo zunaj bilance stanje. Vsi hipotetični zneski se poročajo ne glede na to, ali je poštena vrednost izvedenih finančnih instrumentov pozitivna, negativna ali enaka nič. Pobot med hipotetičnimi zneski ni dovoljen.</w:t>
      </w:r>
    </w:p>
    <w:p w14:paraId="41B076FA" w14:textId="77777777" w:rsidR="009569C7" w:rsidRPr="00755ABF" w:rsidRDefault="00A834F1" w:rsidP="009569C7">
      <w:pPr>
        <w:pStyle w:val="Baseparagraphnumbered"/>
      </w:pPr>
      <w:r>
        <w:lastRenderedPageBreak/>
        <w:t>„Hipotetični znesek“ se poroča razčlenjen na „skupaj“ in „od tega: prodano“ za vrstične postavke: „opcije OTC“, „opcije organiziranega trga“, „kredit“, „blago“ in „drugo“. Postavka „od tega: prodano“ vključuje hipotetične zneske (izvršilna cena) pogodb, v katerih imajo nasprotne stranke (imetniki opcij) institucije (prodajalec opcije) pravico do uveljavitve opcije, in, za postavke v zvezi z izvedenimi finančnimi instrumenti s kreditnim tveganjem, hipotetične zneske pogodb, v katerih institucija (prodajalec zavarovanja) proda (daje) zavarovanje nasprotnim strankam (kupcem zavarovanja).</w:t>
      </w:r>
    </w:p>
    <w:p w14:paraId="29D12FB6" w14:textId="77777777" w:rsidR="009569C7" w:rsidRPr="00755ABF" w:rsidRDefault="00A834F1" w:rsidP="009569C7">
      <w:pPr>
        <w:pStyle w:val="Baseparagraphnumbered"/>
      </w:pPr>
      <w:r>
        <w:t>Posel se razporedi kot posel „OTC“ ali posel „organiziranega trga“ na podlagi narave trga, na katerem se izvede, in ne na podlagi tega, ali se mora zanj obvezno opraviti kliring. „Organizirani trg“ je regulirani trg v smislu člena 4(1)(92) CRR. Zato subjekt, ki poroča, kadar sklene pogodbo o izvedenem finančnem instrumentu na trgu OTC, za katero je obvezen centralni kliring, ta izvedeni finančni instrument razvrsti kot posel „OTC“ in ne kot posel „organiziranega trga“.</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539752"/>
      <w:r>
        <w:t>Izvedeni finančni instrumenti, razvrščeni kot „ekonomska varovanja“</w:t>
      </w:r>
      <w:bookmarkEnd w:id="114"/>
      <w:bookmarkEnd w:id="115"/>
      <w:bookmarkEnd w:id="116"/>
    </w:p>
    <w:p w14:paraId="3F75BF09" w14:textId="77777777" w:rsidR="009569C7" w:rsidRPr="00755ABF" w:rsidRDefault="00A834F1" w:rsidP="009569C7">
      <w:pPr>
        <w:pStyle w:val="Baseparagraphnumbered"/>
      </w:pPr>
      <w:r>
        <w:t>Izvedeni finančni instrumenti, ki se posedujejo za namene varovanja pred tveganjem, vendar ne izpolnjujejo meril za učinkovite (MRS 39: dejanske) instrumente za varovanje v skladu z MSRP 9, v skladu z MRS 39, kadar se ta uporablja za namene obračunavanja varovanja pred tveganjem, ali v skladu z nacionalnimi GAAP na podlagi direktive o računovodskih izkazih bank, se poročajo v predlogi 10 kot „ekonomska varovanja“. To se uporablja tudi za vse naslednje primere:</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izvedene finančne instrumente, s katerimi se varujejo lastniški instrumenti, ki ne kotirajo na borzi in za katere je nabavna vrednost lahko ustrezna ocena poštene vrednosti;</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kreditne izvedene finančne instrumente, merjene po pošteni vrednosti prek poslovnega izida, uporabljene za obvladovanje kreditnega tveganja celotnega ali dela finančnega instrumenta, ki je določen za merjenje po pošteni vrednosti prek poslovnega izida ob začetnem pripoznanju ali pozneje oziroma medtem ko je </w:t>
      </w:r>
      <w:proofErr w:type="spellStart"/>
      <w:r>
        <w:rPr>
          <w:rFonts w:ascii="Times New Roman" w:hAnsi="Times New Roman"/>
          <w:sz w:val="24"/>
        </w:rPr>
        <w:t>nepripoznan</w:t>
      </w:r>
      <w:proofErr w:type="spellEnd"/>
      <w:r>
        <w:rPr>
          <w:rFonts w:ascii="Times New Roman" w:hAnsi="Times New Roman"/>
          <w:sz w:val="24"/>
        </w:rPr>
        <w:t xml:space="preserve"> v skladu z oddelkom 6.7 MSRP 9;</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izvedene finančne instrumente, ki so razvrščeni kot „v posesti za trgovanje“ v skladu s Prilogo A k MSRP 9 ali kot trgovalna sredstva v skladu z nacionalnimi GAAP na podlagi direktive o računovodskih izkazih bank, vendar niso del trgovalne knjige, kot je opredeljena v členu 4(1)(86) CRR. </w:t>
      </w:r>
    </w:p>
    <w:p w14:paraId="5C1968E9" w14:textId="77777777" w:rsidR="009569C7" w:rsidRPr="00755ABF" w:rsidRDefault="00A834F1" w:rsidP="009569C7">
      <w:pPr>
        <w:pStyle w:val="Baseparagraphnumbered"/>
      </w:pPr>
      <w:r>
        <w:t>Postavka „ekonomska varovanja“ ne vključuje izvedenih finančnih instrumentov za trgovanje za lastni račun.</w:t>
      </w:r>
    </w:p>
    <w:p w14:paraId="55DA9D31" w14:textId="77777777" w:rsidR="009569C7" w:rsidRPr="00755ABF" w:rsidRDefault="00A834F1" w:rsidP="009569C7">
      <w:pPr>
        <w:pStyle w:val="Baseparagraphnumbered"/>
      </w:pPr>
      <w:r>
        <w:t>Izvedeni finančni instrumenti, ki ustrezajo opredelitvi „ekonomskih varovanj“, se poročajo ločeno v predlogi 10 za vsako vrsto tveganja.</w:t>
      </w:r>
    </w:p>
    <w:p w14:paraId="3ECD45E1" w14:textId="77777777" w:rsidR="009569C7" w:rsidRPr="00755ABF" w:rsidRDefault="00A834F1" w:rsidP="009569C7">
      <w:pPr>
        <w:pStyle w:val="Baseparagraphnumbered"/>
      </w:pPr>
      <w:r>
        <w:lastRenderedPageBreak/>
        <w:t xml:space="preserve">Kreditni izvedeni finančni instrumenti, uporabljeni za obvladovanje kreditnega tveganja celotnega ali dela finančnega instrumenta, ki je določen za merjenje po pošteni vrednosti prek poslovnega izida ob začetnem pripoznanju ali pozneje oziroma medtem ko je </w:t>
      </w:r>
      <w:proofErr w:type="spellStart"/>
      <w:r>
        <w:t>nepripoznan</w:t>
      </w:r>
      <w:proofErr w:type="spellEnd"/>
      <w:r>
        <w:t xml:space="preserve"> v skladu z oddelkom 6.7 MSRP 9, se poročajo v za to namenjeni vrstici v predlogi 10 pri kreditnem tveganju. Druga ekonomska varovanja pred kreditnim tveganjem, za katera subjekt, ki poroča, ne uporablja oddelka 6.7 MSRP 9, se poročajo ločeno.</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539753"/>
      <w:r>
        <w:t>Razčlenitev izvedenih finančnih instrumentov po sektorju nasprotne stranke</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Knjigovodska vrednost in skupni hipotetični znesek izvedenih finančnih instrumentov v posesti za trgovanje in tudi izvedenih finančnih instrumentov v posesti za obračunavanje varovanja pred tveganjem, s katerimi se trguje na trgu OTC, se poročata razčlenjena po nasprotnih strankah z uporabo naslednjih kategorij: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„kreditne institucije“;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„druge finančne družbe“;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„drugo“, kjer so zajete vse druge nasprotne stranke. </w:t>
      </w:r>
    </w:p>
    <w:p w14:paraId="52DF996E" w14:textId="77777777" w:rsidR="009569C7" w:rsidRPr="00755ABF" w:rsidRDefault="00A834F1" w:rsidP="009569C7">
      <w:pPr>
        <w:pStyle w:val="Baseparagraphnumbered"/>
        <w:tabs>
          <w:tab w:val="left" w:pos="851"/>
        </w:tabs>
        <w:ind w:left="709"/>
      </w:pPr>
      <w:r>
        <w:t xml:space="preserve">Vsi izvedeni finančni instrumenti OTC, ne glede na to, s katero vrsto tveganja so povezani, se razčlenijo po teh nasprotnih strankah. </w:t>
      </w:r>
    </w:p>
    <w:p w14:paraId="670DEB53" w14:textId="77777777" w:rsidR="009569C7" w:rsidRPr="00755ABF" w:rsidRDefault="00A834F1" w:rsidP="009569C7">
      <w:pPr>
        <w:pStyle w:val="sub-subtitlenumbered"/>
        <w:jc w:val="both"/>
      </w:pPr>
      <w:bookmarkStart w:id="120" w:name="_Toc362359299"/>
      <w:bookmarkStart w:id="121" w:name="_Toc188539754"/>
      <w:r>
        <w:t>Obračunavanje varovanja pred tveganjem v skladu z nacionalnimi GAAP (11.2)</w:t>
      </w:r>
      <w:bookmarkEnd w:id="121"/>
    </w:p>
    <w:p w14:paraId="1C09AB3E" w14:textId="77777777" w:rsidR="009569C7" w:rsidRPr="00755ABF" w:rsidRDefault="00A834F1" w:rsidP="009569C7">
      <w:pPr>
        <w:pStyle w:val="Baseparagraphnumbered"/>
      </w:pPr>
      <w:r>
        <w:t>Kadar nacionalni GAAP na podlagi direktive o računovodskih izkazih bank zahtevajo razporeditev izvedenih finančnih instrumentov za varovanje v različne kategorije varovanj, se izvedeni finančni instrumenti za varovanje poročajo ločeno za vsako od ustreznih kategorij: „varovanja poštene vrednosti“, „varovanja denarnih tokov“, „varovanja po nabavni vrednosti“, „varovanje neto naložb v kapital družb v tujini“, „varovanja poštene vrednosti portfelja pred obrestnim tveganjem“ in „varovanja denarnih tokov portfelja pred obrestnim tveganjem“.</w:t>
      </w:r>
    </w:p>
    <w:p w14:paraId="39FB2611" w14:textId="77777777" w:rsidR="009569C7" w:rsidRPr="00755ABF" w:rsidRDefault="00A834F1" w:rsidP="009569C7">
      <w:pPr>
        <w:pStyle w:val="Baseparagraphnumbered"/>
      </w:pPr>
      <w:r>
        <w:t>Kadar je relevantno v skladu z nacionalnimi GAAP na podlagi direktive o računovodskih izkazih bank, se „varovanja po nabavni vrednosti“ nanašajo na kategorijo varovanja, pri kateri se izvedeni finančni instrument za varovanje načeloma meri po nabavni vrednosti.</w:t>
      </w:r>
    </w:p>
    <w:p w14:paraId="72F02B05" w14:textId="77777777" w:rsidR="009569C7" w:rsidRPr="00755ABF" w:rsidRDefault="00A834F1" w:rsidP="009569C7">
      <w:pPr>
        <w:pStyle w:val="sub-subtitlenumbered"/>
        <w:jc w:val="both"/>
      </w:pPr>
      <w:bookmarkStart w:id="122" w:name="_Toc188539755"/>
      <w:r>
        <w:t>Znesek, ki se poroča za neizvedene instrumente za varovanje (11.3 in 11.3.1)</w:t>
      </w:r>
      <w:bookmarkEnd w:id="120"/>
      <w:bookmarkEnd w:id="122"/>
    </w:p>
    <w:p w14:paraId="02AF5EA6" w14:textId="77777777" w:rsidR="009569C7" w:rsidRPr="00755ABF" w:rsidRDefault="00A834F1" w:rsidP="009569C7">
      <w:pPr>
        <w:pStyle w:val="Baseparagraphnumbered"/>
      </w:pPr>
      <w:r>
        <w:t>Za neizvedene instrumente za varovanje je znesek, ki se poroča, knjigovodska vrednost teh neizvedenih instrumentov za varovanje v skladu s pravili merjenja iz MSRP ali nacionalnih GAAP na podlagi direktive o računovodskih izkazih bank, ki veljajo za računovodske portfelje, v katere spadajo. Za neizvedene instrumente za varovanje se „hipotetični znesek“ ne poroča.</w:t>
      </w:r>
    </w:p>
    <w:p w14:paraId="1CCEB54A" w14:textId="77777777" w:rsidR="009569C7" w:rsidRPr="00755ABF" w:rsidRDefault="00A834F1" w:rsidP="009569C7">
      <w:pPr>
        <w:pStyle w:val="sub-subtitlenumbered"/>
        <w:jc w:val="both"/>
      </w:pPr>
      <w:bookmarkStart w:id="123" w:name="_Toc188539756"/>
      <w:r>
        <w:lastRenderedPageBreak/>
        <w:t>Varovane postavke v varovanjih poštene vrednosti (11.4)</w:t>
      </w:r>
      <w:bookmarkEnd w:id="123"/>
    </w:p>
    <w:p w14:paraId="410D8717" w14:textId="77777777" w:rsidR="009569C7" w:rsidRPr="00755ABF" w:rsidRDefault="00A834F1" w:rsidP="009569C7">
      <w:pPr>
        <w:pStyle w:val="Baseparagraphnumbered"/>
        <w:tabs>
          <w:tab w:val="left" w:pos="851"/>
        </w:tabs>
        <w:ind w:left="709"/>
      </w:pPr>
      <w:r>
        <w:t>Knjigovodska vrednost varovanih postavk v varovanju poštene vrednosti, pripoznana v izkazu finančnega položaja, se razčleni po računovodskih portfeljih in vrstah tveganja, pred katerim se varuje, za varovana finančna sredstva in varovane finančne obveznosti. Če se finančni instrument varuje pred več kot enim tveganjem, se poroča pod vrsto tveganja, pod katero se poroča instrument za varovanje v skladu z odstavkom 129.</w:t>
      </w:r>
    </w:p>
    <w:p w14:paraId="3F045878" w14:textId="77777777" w:rsidR="009569C7" w:rsidRPr="00755ABF" w:rsidRDefault="00A834F1" w:rsidP="009569C7">
      <w:pPr>
        <w:pStyle w:val="Baseparagraphnumbered"/>
      </w:pPr>
      <w:r>
        <w:t>„Mikro varovanja“ so tista varovanja, ki niso varovanja portfelja pred obrestnim tveganjem v skladu z 89.A členom MRS 39. Mikro varovanja vključujejo varovanja v celoti izravnanih neto pozicij v skladu z oddelkom 6.6.6 MSRP 9.</w:t>
      </w:r>
    </w:p>
    <w:p w14:paraId="24C2C8A4" w14:textId="77777777" w:rsidR="009569C7" w:rsidRPr="00755ABF" w:rsidRDefault="00A834F1" w:rsidP="009569C7">
      <w:pPr>
        <w:pStyle w:val="Baseparagraphnumbered"/>
      </w:pPr>
      <w:r>
        <w:t xml:space="preserve">„Prilagoditve varovanja pri mikro varovanjih“ vključujejo vse prilagoditve varovanja za vsa mikro varovanja, kot so opredeljena v odstavku 147. </w:t>
      </w:r>
    </w:p>
    <w:p w14:paraId="5F97F545" w14:textId="77777777" w:rsidR="009569C7" w:rsidRPr="00755ABF" w:rsidRDefault="00A834F1" w:rsidP="009569C7">
      <w:pPr>
        <w:pStyle w:val="Baseparagraphnumbered"/>
      </w:pPr>
      <w:r>
        <w:t xml:space="preserve"> „Prilagoditve varovanja, vključene v knjigovodsko vrednost sredstev/obveznosti“ so akumulirani znesek dobičkov in izgub pri varovanih postavkah, s katerimi se je prilagodila knjigovodska vrednost teh postavk in ki so se pripoznali v poslovnem izidu. Prilagoditve varovanja za varovane postavke, ki so lastniški instrumenti, merjeni po pošteni vrednosti prek drugega vseobsegajočega donosa, se poročajo v predlogi 1.3. Prilagoditve varovanja za nepripoznane trdne zaveze ali njihovo sestavino se ne poročajo.</w:t>
      </w:r>
    </w:p>
    <w:p w14:paraId="63A95306" w14:textId="77777777" w:rsidR="009569C7" w:rsidRPr="00755ABF" w:rsidRDefault="00A834F1" w:rsidP="009569C7">
      <w:pPr>
        <w:pStyle w:val="Baseparagraphnumbered"/>
      </w:pPr>
      <w:r>
        <w:t>„Preostale prilagoditve za prekinjena mikro varovanja, vključno z varovanji neto pozicij“ vključujejo tiste prilagoditve varovanja, ki se po prekinitvi razmerja varovanja in koncu prilagajanja varovanih postavk za dobičke in izgube iz varovanja še naprej amortizirajo v poslovni izid prek preračunane efektivne obrestne mere za varovane postavke, merjene po odplačni vrednosti, ali v znesek, ki predstavlja prej pripoznani kumulativni dobiček ali izgubo iz varovanja za varovana sredstva, merjena po pošteni vrednosti prek drugega vseobsegajočega donosa.</w:t>
      </w:r>
    </w:p>
    <w:p w14:paraId="71E2E9CA" w14:textId="77777777" w:rsidR="009569C7" w:rsidRPr="00755ABF" w:rsidRDefault="00A834F1" w:rsidP="009569C7">
      <w:pPr>
        <w:pStyle w:val="Baseparagraphnumbered"/>
      </w:pPr>
      <w:r>
        <w:t>Če skupina finančnih sredstev ali finančnih obveznosti, vključno s skupino finančnih sredstev ali finančnih obveznosti, ki sestavlja neto pozicijo, izpolnjuje pogoje za varovano postavko, se finančna sredstva in finančne obveznosti, ki sestavljajo to skupino, poročajo po njihovi knjigovodski vrednosti na bruto osnovi, preden se izvede pobot med instrumenti znotraj skupine, pod postavko „sredstva ali obveznosti, vključene v varovanje neto pozicije (pred pobotom)“.</w:t>
      </w:r>
    </w:p>
    <w:p w14:paraId="292FD7B4" w14:textId="77777777" w:rsidR="009569C7" w:rsidRPr="00755ABF" w:rsidRDefault="00A834F1" w:rsidP="009569C7">
      <w:pPr>
        <w:pStyle w:val="Baseparagraphnumbered"/>
      </w:pPr>
      <w:r>
        <w:t>„Varovane postavke v varovanju portfelja pred obrestnim tveganjem“ vključujejo finančna sredstva in finančne obveznosti, vključene v varovanje poštene vrednosti izpostavljenosti portfelja finančnih sredstev ali finančnih obveznosti obrestnemu tveganju. Ti finančni instrumenti se poročajo po njihovi knjigovodski vrednosti na bruto osnovi, preden se izvede pobot med instrumenti znotraj portfelja.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539757"/>
      <w:bookmarkEnd w:id="124"/>
      <w:bookmarkEnd w:id="125"/>
      <w:bookmarkEnd w:id="126"/>
      <w:bookmarkEnd w:id="127"/>
      <w:bookmarkEnd w:id="128"/>
      <w:r>
        <w:lastRenderedPageBreak/>
        <w:t>Gibanja popravkov vrednosti in rezervacij za kreditne izgube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539758"/>
      <w:bookmarkEnd w:id="131"/>
      <w:bookmarkEnd w:id="132"/>
      <w:r>
        <w:t>Gibanja popravkov vrednosti za kreditne izgube in oslabitve lastniških instrumentov v skladu z nacionalnimi GAAP na podlagi direktive o računovodskih izkazih bank (12.0)</w:t>
      </w:r>
      <w:bookmarkEnd w:id="133"/>
    </w:p>
    <w:p w14:paraId="242B7753" w14:textId="1ACDC0F1" w:rsidR="009569C7" w:rsidRPr="00755ABF" w:rsidRDefault="00A834F1" w:rsidP="009569C7">
      <w:pPr>
        <w:pStyle w:val="Baseparagraphnumbered"/>
      </w:pPr>
      <w:r>
        <w:t xml:space="preserve">Predloga 12.0 vsebuje uskladitev začetnih in končnih stanj konta popravkov vrednosti za finančna sredstva, merjena z metodami na podlagi nabavne vrednosti, in za finančna sredstva, merjena z drugimi metodami ali po pošteni vrednosti prek lastniškega kapitala, če se v skladu z nacionalnimi GAAP na podlagi direktive o računovodskih izkazih bank zahteva, da se za ta sredstva uporabljajo oslabitve (vključno s stanji na računih pri centralnih bankah in vlogami na vpogled pri bankah). Prilagoditve vrednosti pri sredstvih, merjenih po nižji izmed nabavne ali tržne vrednosti, se ne poročajo v predlogi 12.0. </w:t>
      </w:r>
    </w:p>
    <w:p w14:paraId="328D7C73" w14:textId="77777777" w:rsidR="009569C7" w:rsidRPr="00755ABF" w:rsidRDefault="00A834F1" w:rsidP="009569C7">
      <w:pPr>
        <w:pStyle w:val="Baseparagraphnumbered"/>
      </w:pPr>
      <w:r>
        <w:t>„Povečanja zaradi zneskov, namenjenih za ocenjene kreditne izgube v zadevnem obdobju“ se poročajo, če za glavno kategorijo sredstev ali nasprotno stranko ocena oslabitve v zadevnem obdobju povzroči pripoznanje neto odhodkov, tj. pri dani kategoriji ali nasprotni stranki povečanja oslabitev v zadevnem obdobju presegajo njihova zmanjšanja. „Zmanjšanja zaradi zneskov, razveljavljenih za ocenjene kreditne izgube v zadevnem obdobju“ se poročajo, če za glavno kategorijo sredstev ali nasprotno stranko ocena oslabitve v zadevnem obdobju povzroči pripoznanje neto prihodkov, tj. pri dani kategoriji ali nasprotni stranki zmanjšanja oslabitev v zadevnem obdobju presegajo njihova povečanja.</w:t>
      </w:r>
    </w:p>
    <w:p w14:paraId="78EC24AF" w14:textId="77777777" w:rsidR="009569C7" w:rsidRPr="00755ABF" w:rsidRDefault="00A834F1" w:rsidP="009569C7">
      <w:pPr>
        <w:pStyle w:val="Baseparagraphnumbered"/>
      </w:pPr>
      <w:r>
        <w:t>Spremembe zneskov popravkov vrednosti zaradi poplačila in odtujitve finančnih sredstev se poročajo pod „drugimi prilagoditvami“. Odpisi se poročajo v skladu z odstavki 72 do 74.</w:t>
      </w:r>
    </w:p>
    <w:p w14:paraId="164856C5" w14:textId="77777777" w:rsidR="009569C7" w:rsidRPr="00755ABF" w:rsidRDefault="00A834F1" w:rsidP="009569C7">
      <w:pPr>
        <w:pStyle w:val="sub-subtitlenumbered"/>
        <w:jc w:val="both"/>
      </w:pPr>
      <w:bookmarkStart w:id="134" w:name="_Toc188539759"/>
      <w:r>
        <w:t>Gibanja popravkov vrednosti in rezervacij za kreditne izgube v skladu z MSRP (12.1)</w:t>
      </w:r>
      <w:bookmarkEnd w:id="134"/>
    </w:p>
    <w:p w14:paraId="70358D85" w14:textId="26F8A123" w:rsidR="009569C7" w:rsidRPr="00CC17BA" w:rsidRDefault="00A834F1" w:rsidP="009569C7">
      <w:pPr>
        <w:pStyle w:val="Baseparagraphnumbered"/>
        <w:rPr>
          <w:kern w:val="32"/>
        </w:rPr>
      </w:pPr>
      <w:r>
        <w:t xml:space="preserve"> Predloga 12.1 vsebuje uskladitev začetnih in končnih stanj konta popravkov vrednosti za finančna sredstva, merjena po odplačni vrednosti in po pošteni vrednosti prek drugega vseobsegajočega donosa, razčlenjenih po skupinah za namen oslabitev, po instrumentih (vključno s stanji na računih pri centralnih bankah in vlogami na vpogled pri bankah) in po nasprotnih strankah. V predlogi se poroča ločena uskladitev za kupljena ali izdana (ustvarjena) finančna sredstva s poslabšano kreditno kakovostjo.  </w:t>
      </w:r>
    </w:p>
    <w:p w14:paraId="51830BDF" w14:textId="76F34AA2" w:rsidR="009569C7" w:rsidRPr="00755ABF" w:rsidRDefault="00A834F1" w:rsidP="009569C7">
      <w:pPr>
        <w:pStyle w:val="Baseparagraphnumbered"/>
        <w:rPr>
          <w:kern w:val="32"/>
        </w:rPr>
      </w:pPr>
      <w:r>
        <w:t xml:space="preserve">Rezervacije za zunajbilančne izpostavljenosti, za katere veljajo zahteve glede oslabitve iz MSRP 9, se poročajo po skupinah za namen oslabitev in ločeno za kupljene ali izdane (ustvarjene) izpostavljenosti s poslabšano kreditno kakovostjo. Oslabitve za zaveze iz kreditov se poročajo kot rezervacije samo takrat, ko se ne obravnavajo skupaj z oslabitvijo bilančnih sredstev v skladu s 7.B8.E členom MSRP 9 in odstavkom 108 tega dela. Spremembe rezervacij za zaveze iz kreditov in finančna poroštva, ki se merijo v skladu z MRS 37, in finančna poroštva, ki se obravnavajo kot zavarovalne pogodbe v skladu z MSRP 4, se ne poročajo v tej predlogi, ampak v </w:t>
      </w:r>
      <w:r>
        <w:lastRenderedPageBreak/>
        <w:t>predlogi 43. Spremembe poštene vrednosti zaradi kreditnega tveganja pri zavezah in finančnih poroštvih, merjenih po pošteni vrednosti prek poslovnega izida v skladu z MSRP 9, se ne poročajo v tej predlogi ampak pod postavko „dobički ali (–) izgube iz finančnih sredstev in obveznosti, določenih za merjenje po pošteni vrednosti prek poslovnega izida, neto“ v skladu z odstavkom 50 tega dela.</w:t>
      </w:r>
    </w:p>
    <w:p w14:paraId="2B6B3ADC" w14:textId="77777777" w:rsidR="009569C7" w:rsidRPr="00755ABF" w:rsidRDefault="00A834F1" w:rsidP="009569C7">
      <w:pPr>
        <w:pStyle w:val="Baseparagraphnumbered"/>
        <w:rPr>
          <w:kern w:val="32"/>
        </w:rPr>
      </w:pPr>
      <w:r>
        <w:t xml:space="preserve">Postavki „od tega: popravki vrednosti, izmerjeni na skupinski osnovi“ in „od tega: popravki vrednosti, izmerjeni na posamični osnovi“ vključujeta spremembe kumulativnega zneska oslabitve v zvezi s finančnimi sredstvi, ki so se merile na skupinski oziroma posamični osnovi. </w:t>
      </w:r>
    </w:p>
    <w:p w14:paraId="4BBDE363" w14:textId="77777777" w:rsidR="009569C7" w:rsidRPr="00755ABF" w:rsidRDefault="00A834F1" w:rsidP="009569C7">
      <w:pPr>
        <w:pStyle w:val="Baseparagraphnumbered"/>
      </w:pPr>
      <w:r>
        <w:t>„Povečanja zaradi izdaje in pridobitve“ vključujejo znesek povečanj pričakovanih izgub, računovodsko obravnavanih ob začetnem pripoznanju izdanih ali pridobljenih finančnih sredstev. To povečanje popravka vrednosti se poroča na prvi referenčni datum poročanja po izdaji ali pridobitvi teh finančnih sredstev. Povečanja ali zmanjšanja pričakovanih izgub pri teh finančnih sredstvih po njihovem začetnem pripoznanju se poročajo v drugih stolpcih. Izdana ali pridobljena sredstva vključujejo sredstva, ki izhajajo iz črpanja prevzetih zunajbilančnih obveznosti.</w:t>
      </w:r>
    </w:p>
    <w:p w14:paraId="4EC92228" w14:textId="77777777" w:rsidR="00301A78" w:rsidRPr="00755ABF" w:rsidRDefault="00A834F1" w:rsidP="006F6027">
      <w:pPr>
        <w:pStyle w:val="Baseparagraphnumbered"/>
      </w:pPr>
      <w:r>
        <w:t>„Zmanjšanja zaradi odprave pripoznanja“ vključujejo znesek sprememb popravkov vrednosti zaradi odprave pripoznanja celotnih finančnih sredstev v referenčnem obdobju poročanja zaradi razlogov, ki niso povezani z odpisom, kot so med drugim prenosi tretjim osebam ali iztek pogodbenih pravic zaradi popolnega poplačila, odtujitev teh finančnih sredstev ali njihov prenos v drug računovodski portfelj. Sprememba popravka vrednosti se pripozna v tem stolpcu na prvi referenčni datum poročanja po poplačilu, odtujitvi ali prenosu. Za zunajbilančne izpostavljenosti ta postavka vključuje tudi zmanjšanja oslabitev, ker je zunajbilančna postavka postala sredstvo v bilanci stanja.</w:t>
      </w:r>
    </w:p>
    <w:p w14:paraId="15304687" w14:textId="77777777" w:rsidR="009569C7" w:rsidRPr="00755ABF" w:rsidRDefault="00A834F1" w:rsidP="009569C7">
      <w:pPr>
        <w:pStyle w:val="Baseparagraphnumbered"/>
      </w:pPr>
      <w:r>
        <w:t>„Spremembe zaradi spremembe kreditnega tveganja (neto)“ vključujejo neto znesek sprememb pričakovanih izgub na koncu referenčnega obdobja poročanja zaradi povečanja ali zmanjšanja kreditnega tveganja od začetnega pripoznanja ne glede na to, ali so te spremembe povzročile prenos finančnega sredstva v drugo skupino ali ne. V tem stolpcu se poroča učinek na popravek vrednosti kot posledica povečanja ali zmanjšanja zneska finančnih sredstev zaradi prihodkov od natečenih obresti in plačanih obresti. Ta postavka vključuje tudi učinek minevanja časa na pričakovane izgube, izračunane v skladu s 5.4.1.(a) in (b) členom MSRP 9. Spremembe ocen zaradi posodobitev ali pregleda parametrov tveganja in sprememb gospodarskih podatkov za prihodnost se prav tako poročajo v tem stolpcu. Spremembe pričakovanih izgub zaradi delnega poplačila izpostavljenosti v obliki obrokov se poročajo v tem stolpcu z izjemo zadnjega obroka, ki se poroča pod postavko „Zmanjšanja zaradi odprave pripoznanja“.</w:t>
      </w:r>
    </w:p>
    <w:p w14:paraId="780E7564" w14:textId="77777777" w:rsidR="009569C7" w:rsidRPr="00755ABF" w:rsidRDefault="00A834F1" w:rsidP="009569C7">
      <w:pPr>
        <w:pStyle w:val="Baseparagraphnumbered"/>
      </w:pPr>
      <w:r>
        <w:t xml:space="preserve">Vse spremembe pričakovanih kreditnih izgub v zvezi z obnavljajočimi se izpostavljenostmi se poročajo pod postavko „spremembe zaradi spremembe kreditnega tveganja (neto)“ razen sprememb, povezanih z odpisi in posodobitvami metodologije, ki jo institucija uporablja za ocenjevanje </w:t>
      </w:r>
      <w:r>
        <w:lastRenderedPageBreak/>
        <w:t>kreditnih izgub. Obnavljajoče se izpostavljenosti so izpostavljenosti, pri katerih lahko neporavnani saldi strank nihajo na podlagi njihove odločitve o črpanju in vračilu sredstev do omejitve, ki jo določi institucija.</w:t>
      </w:r>
    </w:p>
    <w:p w14:paraId="5DBA810D" w14:textId="77777777" w:rsidR="009569C7" w:rsidRPr="00755ABF" w:rsidRDefault="00A834F1" w:rsidP="009569C7">
      <w:pPr>
        <w:pStyle w:val="Baseparagraphnumbered"/>
      </w:pPr>
      <w:r>
        <w:t>„Spremembe zaradi posodobitve metodologije ocenjevanja institucije (neto)“ vključujejo spremembe zaradi posodobitev metodologije, ki jo institucija uporablja za ocenjevanje pričakovanih izgub, ker so se spremenili obstoječi ali razvili novi modeli za ocenjevanje oslabitev. Posodobitve metodologije zajemajo tudi učinek sprejetja novih standardov. Spremembe metodologije, zaradi katerih se spremeni skupina za namen oslabitev sredstva, se v celoti obravnavajo kot sprememba modela. Spremembe ocen zaradi posodobitev ali pregleda parametrov tveganja in sprememb gospodarskih podatkov za prihodnost se ne poročajo v tem stolpcu.</w:t>
      </w:r>
    </w:p>
    <w:p w14:paraId="56F5B626" w14:textId="77777777" w:rsidR="009569C7" w:rsidRPr="00755ABF" w:rsidRDefault="00A834F1" w:rsidP="009569C7">
      <w:pPr>
        <w:pStyle w:val="Baseparagraphnumbered"/>
      </w:pPr>
      <w:r>
        <w:t xml:space="preserve">Poročanje sprememb pričakovanih izgub pri spremenjenih sredstvih (MSRP 9, 5.4.3. člen in Priloga A) je odvisno od vrste spremembe v skladu z naslednjim: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če sprememba povzroči delno ali popolno odpravo pripoznanja sredstva zaradi odpisa, kot je določeno v odstavku 74, se učinek na pričakovane izgube zaradi te odprave pripoznanja poroča pod postavko „zmanjšanje na kontu popravkov vrednosti zaradi odpisov“, vsi drugi učinki spremembe na pričakovane kreditne izgube pa v drugih ustreznih stolpcih;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če sprememba povzroči odpravo pripoznanja celotnega sredstva zaradi drugačnih razlogov od odpisa, kot je določeno v odstavku 74, in njegovo nadomestitev z novim sredstvom, se učinek spremembe na pričakovane kreditne izgube poroča pod postavko „spremembe zaradi odprave pripoznanja“ za spremembe zaradi odprave pripoznanja sredstva in pod postavko „povečanja zaradi izdaje in pridobitve“ za spremembe zaradi na novo pripoznanega spremenjenega sredstva. Odprava pripoznanja zaradi drugih razlogov, kot je odpis, vključuje odpravo pripoznanja, kadar so se pogoji spremenjenih sredstev bistveno spremenili;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če sprememba ne povzroči odprave pripoznanja celotnega ali dela spremenjenega sredstva, se njen učinek na pričakovane izgube poroča pod postavko „spremembe zaradi sprememb brez odprave pripoznanja“.</w:t>
      </w:r>
    </w:p>
    <w:p w14:paraId="49AA0340" w14:textId="77777777" w:rsidR="009569C7" w:rsidRPr="00755ABF" w:rsidRDefault="00A834F1" w:rsidP="009569C7">
      <w:pPr>
        <w:pStyle w:val="Baseparagraphnumbered"/>
      </w:pPr>
      <w:r>
        <w:t xml:space="preserve">Odpisi se poročajo v skladu z odstavki 72 do 74 tega dela te priloge in v skladu z naslednjim: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če se za dolžniški instrument delno ali popolnoma odpravi pripoznanje, ker se utemeljeno ne pričakuje, da bo poplačan, se zmanjšanje popravka vrednosti za izgubo, poročano zaradi odpisanih zneskov, poroča pod postavko „zmanjšanje na kontu popravkov vrednosti zaradi odpisov“;</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„zneski, odpisani neposredno v izkaz poslovnega izida“ so zneski finančnih sredstev, odpisanih v referenčnem obdobju poročanja, ki so višji od vrednosti na kontu popravkov vrednosti zadevnih finančnih sredstev na datum odprave pripoznanja. Vključujejo vse zneske, odpisane v referenčnem obdobju poročanja, in ne samo tiste, ki so še vedno v postopku izvršbe. </w:t>
      </w:r>
    </w:p>
    <w:p w14:paraId="65B4014C" w14:textId="77777777" w:rsidR="009569C7" w:rsidRPr="00755ABF" w:rsidRDefault="00A834F1" w:rsidP="009569C7">
      <w:pPr>
        <w:pStyle w:val="Baseparagraphnumbered"/>
      </w:pPr>
      <w:r>
        <w:lastRenderedPageBreak/>
        <w:t>„Druge prilagoditve“ vključujejo vse zneske, ki niso poročani v prejšnjih stolpcih, vključno s prilagoditvami pričakovanih izgub zaradi tečajnih razlik, če je to skladno s poročanjem učinka tečajnih razlik v predlogi 2.</w:t>
      </w:r>
    </w:p>
    <w:p w14:paraId="45A2B606" w14:textId="77777777" w:rsidR="008B4737" w:rsidRPr="00755ABF" w:rsidRDefault="00E7314A" w:rsidP="008B4737">
      <w:pPr>
        <w:pStyle w:val="Baseparagraphnumbered"/>
        <w:numPr>
          <w:ilvl w:val="0"/>
          <w:numId w:val="0"/>
        </w:numPr>
        <w:ind w:left="426"/>
      </w:pPr>
      <w:r>
        <w:t xml:space="preserve">166i. </w:t>
      </w:r>
      <w:r>
        <w:tab/>
        <w:t xml:space="preserve">„Dobički/izgube ob odpravi pripoznanja dolžniških instrumentov“ vključujejo razliko med knjigovodsko vrednostjo finančnih sredstev, izmerjeno na datum odprave pripoznanja, in prejetim nadomestilom. </w:t>
      </w:r>
    </w:p>
    <w:p w14:paraId="0E2DCFDC" w14:textId="77777777" w:rsidR="009569C7" w:rsidRPr="00755ABF" w:rsidRDefault="00A834F1" w:rsidP="009569C7">
      <w:pPr>
        <w:pStyle w:val="sub-subtitlenumbered"/>
        <w:jc w:val="both"/>
      </w:pPr>
      <w:bookmarkStart w:id="135" w:name="_Toc188539760"/>
      <w:r>
        <w:t>Prenosi med skupinami za namen oslabitev (predstavitev na bruto osnovi) (12.2)</w:t>
      </w:r>
      <w:bookmarkEnd w:id="135"/>
    </w:p>
    <w:p w14:paraId="0E8BEFEF" w14:textId="17DC3258" w:rsidR="009569C7" w:rsidRPr="00755ABF" w:rsidRDefault="00A834F1" w:rsidP="009569C7">
      <w:pPr>
        <w:pStyle w:val="Baseparagraphnumbered"/>
      </w:pPr>
      <w:r>
        <w:t xml:space="preserve">V predlogi 12.2 se za finančna sredstva, vključena v računovodske portfelje, in zunajbilančne izpostavljenosti, ki niso kupljene ali izdane (ustvarjene) finančne izpostavljenosti s poslabšano kreditno kakovostjo, za katere veljajo zahteve glede oslabitve iz MSRP 9, poročata bruto knjigovodska vrednost oziroma nominalni znesek, ki sta bila prenesena med skupinami za namen oslabitev v referenčnem obdobju poročanja. </w:t>
      </w:r>
    </w:p>
    <w:p w14:paraId="29806277" w14:textId="77777777" w:rsidR="009569C7" w:rsidRPr="00755ABF" w:rsidRDefault="00A834F1" w:rsidP="009569C7">
      <w:pPr>
        <w:pStyle w:val="Baseparagraphnumbered"/>
      </w:pPr>
      <w:r>
        <w:t>Poroča se samo bruto knjigovodska vrednost ali nominalni znesek teh finančnih sredstev oziroma zunajbilančnih izpostavljenosti, ki so v drugačni skupini za namen oslabitev na referenčni datum poročanja, kot so bili na začetku poslovnega leta oziroma ob začetnem pripoznanju. Pri bilančnih izpostavljenostih, za katere oslabitev, poročana v predlogi 12.1, vključuje zunajbilančno sestavino (MSRP 9, 5.5.20. člen, in MSRP 7, B8.E člen), se upošteva sprememba skupine bilančne in zunajbilančne sestavine.</w:t>
      </w:r>
    </w:p>
    <w:p w14:paraId="3D4E4360" w14:textId="77777777" w:rsidR="009569C7" w:rsidRPr="00755ABF" w:rsidRDefault="00A834F1" w:rsidP="009569C7">
      <w:pPr>
        <w:pStyle w:val="Baseparagraphnumbered"/>
      </w:pPr>
      <w:r>
        <w:t>Za poročanje prenosov, do katerih je prišlo v poslovnem letu, se za finančna sredstva ali zunajbilančne izpostavljenosti, pri katerih se je od začetka poslovnega leta oziroma od začetnega pripoznanja večkrat spremenila skupina za namen oslabitev, poroča, da so se prenesli iz skupine za namen oslabitev, v kateri so bili na začetku poslovnega leta ali ob začetnem pripoznanju, v skupino za namen oslabitev, v katero so vključeni na referenčni datum poročanja.</w:t>
      </w:r>
    </w:p>
    <w:p w14:paraId="7E7B9309" w14:textId="77777777" w:rsidR="009569C7" w:rsidRPr="00755ABF" w:rsidRDefault="00A834F1" w:rsidP="009569C7">
      <w:pPr>
        <w:pStyle w:val="Baseparagraphnumbered"/>
      </w:pPr>
      <w:r>
        <w:t>Bruto knjigovodska vrednost oziroma nominalni znesek, ki se poroča v predlogi 12.2, je bruto knjigovodska vrednost oziroma nominalni znesek na datum poročanja ne glede na to, ali je bil ta znesek na datum prenosa višji ali nižji.</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188539761"/>
      <w:r>
        <w:t>Prejeta zavarovanja in poroštva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539762"/>
      <w:bookmarkEnd w:id="137"/>
      <w:r>
        <w:t>Razčlenitev kreditov in drugih finančnih sredstev, ki niso v posesti za trgovanje, po zavarovanjih in poroštvih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Zavarovanja in poroštva za kritje kreditov in drugih finančnih sredstev, vključenih v računovodske portfelje, se neodvisno od njihove pravne oblike poročajo glede na vrsto zastav (krediti, zavarovani z nepremičninami, in drugi zavarovani krediti) ter glede na prejeta finančna poroštva. Krediti in druga finančna sredstva se razčlenijo po nasprotnih strankah in namenu. V postavki „od tega: nedonosni“ se krediti in druga finančna sredstva poročajo, kot je določeno v odstavkih 213 do 239 ali 260 tega dela. </w:t>
      </w:r>
    </w:p>
    <w:p w14:paraId="48A55FAB" w14:textId="2D38D89E" w:rsidR="009569C7" w:rsidRPr="00755ABF" w:rsidRDefault="00A834F1" w:rsidP="00E32B97">
      <w:pPr>
        <w:pStyle w:val="Baseparagraphnumbered"/>
        <w:numPr>
          <w:ilvl w:val="0"/>
          <w:numId w:val="87"/>
        </w:numPr>
        <w:tabs>
          <w:tab w:val="left" w:pos="851"/>
        </w:tabs>
      </w:pPr>
      <w:r>
        <w:lastRenderedPageBreak/>
        <w:t xml:space="preserve">V predlogi 13.1 se poroča „najvišji znesek zavarovanja ali poroštva, ki se lahko upošteva“. Vsota zneskov finančnega poroštva in/ali zavarovanja, prikazanih v ustreznih stolpcih predloge 13.1, ne sme presegati knjigovodske vrednosti zadevnega kredita.  </w:t>
      </w:r>
    </w:p>
    <w:p w14:paraId="0B540F79" w14:textId="77777777" w:rsidR="009569C7" w:rsidRPr="00755ABF" w:rsidRDefault="00A834F1" w:rsidP="009569C7">
      <w:pPr>
        <w:pStyle w:val="Baseparagraphnumbered"/>
        <w:tabs>
          <w:tab w:val="left" w:pos="851"/>
        </w:tabs>
        <w:ind w:left="709"/>
      </w:pPr>
      <w:r>
        <w:t>Za poročanje kreditov in drugih finančnih sredstev glede na vrsto zastave se uporabljajo naslednje opredelitve:</w:t>
      </w:r>
    </w:p>
    <w:p w14:paraId="32E23B19" w14:textId="77777777" w:rsidR="009569C7" w:rsidRPr="00755ABF" w:rsidRDefault="00A834F1" w:rsidP="00C35843">
      <w:pPr>
        <w:pStyle w:val="Text1"/>
        <w:numPr>
          <w:ilvl w:val="0"/>
          <w:numId w:val="45"/>
        </w:numPr>
        <w:ind w:left="1134" w:hanging="425"/>
      </w:pPr>
      <w:r>
        <w:t>pod postavko „krediti, zavarovani z nepremičninami“ stolpec „stanovanjski“ vključuje kredite, zavarovane s stanovanjskimi nepremičninami, stolpec „poslovni“ pa kredite, zavarovane z zastavo nepremičnin, ki niso stanovanjske, med drugim s pisarnami in poslovnimi zgradbami ter drugimi vrstami poslovnih nepremičnin. Ali se zavarovanje z nepremičninami nanaša na stanovanjske ali poslovne nepremičnine, se določa v skladu s členom 4(1)(75) CRR;</w:t>
      </w:r>
    </w:p>
    <w:p w14:paraId="2C01F305" w14:textId="77777777" w:rsidR="00A54B83" w:rsidRPr="00755ABF" w:rsidRDefault="00A834F1" w:rsidP="00C35843">
      <w:pPr>
        <w:pStyle w:val="Text1"/>
        <w:numPr>
          <w:ilvl w:val="0"/>
          <w:numId w:val="45"/>
        </w:numPr>
        <w:ind w:left="1134" w:hanging="425"/>
      </w:pPr>
      <w:r>
        <w:t>pod postavko „drugi zavarovani krediti“:</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„denar, vloge (izdani dolžniški vrednostni papirji)“ vključujejo (a) vloge pri instituciji poročevalki, ki so bile zastavljene kot zavarovanje za kredit, in (b) dolžniške vrednostne papirje, ki jih izdala institucija poročevalka, zastavljene kot zavarovanje za kredit;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„premičnine“ zajemajo zastavo fizičnega zavarovanja s premoženjem, ki ni nepremičnina, in vključujejo avtomobile, zrakoplove, plovila, industrijsko in mehansko opremo (stroji, mehanska in tehnološka oprema), zaloge in blago (trgovsko blago, končni izdelki in polizdelki, surovine) ter druge oblike premičnega premoženja;</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„lastniški in dolžniški vrednostni papirji“ vključujejo zavarovanje s premoženjem v obliki lastniških finančnih instrumentov, vključno z naložbami v kapital podrejenih, pridruženih in skupaj obvladovanih družb, ter v obliki dolžniških vrednostnih papirjev, ki jih izdajo tretje osebe.</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„drugo“ vključuje zastave drugih sredstev;</w:t>
      </w:r>
    </w:p>
    <w:p w14:paraId="0003AF99" w14:textId="77777777" w:rsidR="009569C7" w:rsidRPr="00755ABF" w:rsidRDefault="00A834F1" w:rsidP="00C35843">
      <w:pPr>
        <w:pStyle w:val="Text1"/>
        <w:numPr>
          <w:ilvl w:val="0"/>
          <w:numId w:val="45"/>
        </w:numPr>
        <w:ind w:left="1134" w:hanging="425"/>
      </w:pPr>
      <w:r>
        <w:t>„prejeta finančna poroštva“ vključujejo pogodbe, na podlagi katerih mora v skladu z odstavkom 114 tega dela te priloge izdajatelj opraviti določena plačila, s katerimi se instituciji povrne izguba, ki je nastala, ker določeni dolžnik ni izvedel plačila ob dospelosti v skladu s prvotnimi ali spremenjenimi pogoji dolžniškega instrumenta.</w:t>
      </w:r>
    </w:p>
    <w:p w14:paraId="28742333" w14:textId="77777777" w:rsidR="009569C7" w:rsidRPr="00755ABF" w:rsidRDefault="00A834F1" w:rsidP="009569C7">
      <w:pPr>
        <w:pStyle w:val="Baseparagraphnumbered"/>
      </w:pPr>
      <w:r>
        <w:t xml:space="preserve">Za kredite in druga finančna sredstva, ki imajo hkrati več vrst zavarovanja ali poroštva, se „najvišji znesek zavarovanja ali poroštva, ki se lahko upošteva“ razvrsti v skladu z njegovo kakovostjo, pri čemer se začne s tistim z najboljšo kakovostjo. Za kredite, zavarovane z nepremičninami, se zavarovanje z nepremičninami vedno poroča prvo ne glede na njegovo kakovost v primerjavi z drugim zavarovanjem. Če „najvišji znesek zavarovanja ali poroštva, ki se lahko upošteva“ presega vrednost zavarovanja z nepremičninami, se njegova preostala vrednost razvrsti med druge vrste zavarovanja in poroštev v skladu z njegovo kakovostjo, pri čemer se začne s tistim z najboljšo kakovostjo.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539763"/>
      <w:r>
        <w:lastRenderedPageBreak/>
        <w:t>Zavarovanje, pridobljeno s priposestvovanjem v obdobju (v posesti na referenčni datum) (13.2.1)</w:t>
      </w:r>
      <w:bookmarkEnd w:id="142"/>
      <w:bookmarkEnd w:id="143"/>
      <w:bookmarkEnd w:id="144"/>
    </w:p>
    <w:p w14:paraId="19CE7C14" w14:textId="77777777" w:rsidR="009569C7" w:rsidRPr="00755ABF" w:rsidRDefault="00A834F1" w:rsidP="00A54B83">
      <w:pPr>
        <w:pStyle w:val="Baseparagraphnumbered"/>
        <w:tabs>
          <w:tab w:val="left" w:pos="851"/>
        </w:tabs>
        <w:ind w:left="709"/>
      </w:pPr>
      <w:r>
        <w:t>Ta predloga se uporablja za poročanje informacij o zavarovanju, ki je bilo pridobljeno med začetkom in koncem referenčnega obdobja ter ostane pripoznano v bilanci stanja na referenčni datum. Zavarovanje s premoženjem, pridobljeno s priposestvovanjem, vključuje sredstva, ki jih dolžnik ni zastavil kot zavarovanje, ampak so se pridobila v zamenjavo za odpis dolga, in sicer prostovoljno ali v okviru pravnega postopka. Vrste zavarovanja s premoženjem so tiste iz odstavka 173, z izjemo tistih iz točke (b)(i) navedenega odstavka.</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„Vrednost ob začetnem pripoznanju“ pomeni bruto knjigovodsko vrednost zavarovanja, pridobljenega s priposestvovanjem, v trenutku začetnega pripoznanja v bilanci stanja institucije poročevalke.</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„Akumulirane negativne spremembe“ so razlika, na ravni posamezne postavke zavarovanja s premoženjem, med vrednostjo zavarovanja s premoženjem ob začetnem pripoznanju in knjigovodsko vrednostjo na referenčni datum poročanja, če je razlika negativna.</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539764"/>
      <w:r>
        <w:t>Zavarovanje, pridobljeno s priposestvovanjem, akumulirano (13.3.1)</w:t>
      </w:r>
      <w:bookmarkEnd w:id="145"/>
      <w:bookmarkEnd w:id="146"/>
      <w:bookmarkEnd w:id="147"/>
    </w:p>
    <w:p w14:paraId="22F1A294" w14:textId="77777777" w:rsidR="009569C7" w:rsidRPr="00755ABF" w:rsidRDefault="00A54B83" w:rsidP="00A54B83">
      <w:pPr>
        <w:pStyle w:val="Baseparagraphnumbered"/>
        <w:tabs>
          <w:tab w:val="left" w:pos="851"/>
        </w:tabs>
        <w:ind w:left="709"/>
      </w:pPr>
      <w:r>
        <w:t>Zavarovanje s premoženjem, pridobljeno s priposestvovanjem, ki na referenčni datum ostane pripoznano v bilanci stanja, ne glede na trenutek pridobitve, se poroča v predlogi 13.3.1. Vključi se zavarovanje s premoženjem, pridobljeno s priposestvovanjem, ki je razvrščeno kot „opredmetena osnovna sredstva“, in drugo zavarovanje s premoženjem, pridobljeno s priposestvovanjem. Zavarovanje s premoženjem, pridobljeno s priposestvovanjem, vključuje sredstva, ki jih dolžnik ni zastavil kot zavarovanje, ampak so se pridobila v zamenjavo za odpis dolga, in sicer prostovoljno ali v okviru pravnega postopka.</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539765"/>
      <w:r>
        <w:t>Hierarhija poštene vrednosti</w:t>
      </w:r>
      <w:bookmarkEnd w:id="148"/>
      <w:r>
        <w:t>: Finančni instrumenti po pošteni vrednosti (14)</w:t>
      </w:r>
      <w:bookmarkEnd w:id="149"/>
      <w:bookmarkEnd w:id="150"/>
      <w:bookmarkEnd w:id="151"/>
    </w:p>
    <w:p w14:paraId="5734E2CA" w14:textId="77777777" w:rsidR="009569C7" w:rsidRPr="00755ABF" w:rsidRDefault="00A834F1" w:rsidP="009569C7">
      <w:pPr>
        <w:pStyle w:val="Baseparagraphnumbered"/>
        <w:tabs>
          <w:tab w:val="left" w:pos="851"/>
        </w:tabs>
        <w:ind w:left="709"/>
      </w:pPr>
      <w:r>
        <w:t>Institucije poročajo vrednost finančnih instrumentov, merjeno po pošteni vrednosti v skladu s hierarhijo iz 72. člena MSRP 13. Kadar nacionalni GAAP na podlagi direktive o računovodskih izkazih bank zahtevajo razporeditev sredstev, merjenih po pošteni vrednosti, med različne ravni poštene vrednosti, institucije, ki uporabljajo nacionalne GAAP, prav tako poročajo po tej predlogi.</w:t>
      </w:r>
    </w:p>
    <w:p w14:paraId="22ED3973" w14:textId="77777777" w:rsidR="009569C7" w:rsidRPr="00755ABF" w:rsidRDefault="00A834F1" w:rsidP="009569C7">
      <w:pPr>
        <w:pStyle w:val="Baseparagraphnumbered"/>
        <w:ind w:left="709" w:hanging="283"/>
      </w:pPr>
      <w:r>
        <w:t>„Sprememba poštene vrednosti v zadevnem obdobju“ vključuje dobičke ali izgube iz ponovnega merjenja instrumentov v skladu z MSRP 9, MSRP 13 ali nacionalnimi GAAP, kjer je relevantno, v zadevnem obdobju, ki na datum poročanja še vedno obstajajo. Poročajo se isti dobički in izgube kot tisti za vključitev v izkaz poslovnega izida ali, kjer je relevantno, izkaz vseobsegajočega donosa, torej se poročajo zneski pred davki.</w:t>
      </w:r>
    </w:p>
    <w:p w14:paraId="01C1B0FF" w14:textId="77777777" w:rsidR="009569C7" w:rsidRPr="00755ABF" w:rsidRDefault="00A834F1" w:rsidP="009569C7">
      <w:pPr>
        <w:pStyle w:val="Baseparagraphnumbered"/>
        <w:tabs>
          <w:tab w:val="left" w:pos="851"/>
        </w:tabs>
        <w:ind w:left="709"/>
      </w:pPr>
      <w:r>
        <w:t>„Akumulirana sprememba poštene vrednosti pred obdavčitvijo“ vključuje znesek dobičkov ali izgub iz ponovnega merjenja instrumentov, akumuliran od začetnega pripoznanja do referenčnega datuma.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539766"/>
      <w:r>
        <w:lastRenderedPageBreak/>
        <w:t>Odprava pripoznanja in finančne obveznosti, povezane s prenesenimi finančnimi sredstvi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Predloga 15 vključuje informacije o prenesenih finančnih sredstvih, ki delno ali v celoti niso primerna za odpravo pripoznanja, ter finančna sredstva, katerih pripoznanje se v celoti odpravi in za katere institucija ohrani pravice servisiranja. </w:t>
      </w:r>
    </w:p>
    <w:p w14:paraId="45889258" w14:textId="77777777" w:rsidR="009569C7" w:rsidRPr="00755ABF" w:rsidRDefault="00A834F1" w:rsidP="009569C7">
      <w:pPr>
        <w:pStyle w:val="Baseparagraphnumbered"/>
        <w:tabs>
          <w:tab w:val="left" w:pos="851"/>
        </w:tabs>
        <w:ind w:left="709"/>
      </w:pPr>
      <w:r>
        <w:t xml:space="preserve">S tem povezane obveznosti se poročajo v skladu s portfeljem, v katerem so bila zadevna prenesena finančna sredstva vključena na strani sredstev, in ne v skladu s portfeljem, v katerem so bila vključena na strani obveznosti. </w:t>
      </w:r>
      <w:bookmarkStart w:id="155" w:name="_Toc119725774"/>
      <w:bookmarkEnd w:id="155"/>
    </w:p>
    <w:p w14:paraId="23630BCB" w14:textId="77777777" w:rsidR="009569C7" w:rsidRPr="00755ABF" w:rsidRDefault="00A834F1" w:rsidP="009569C7">
      <w:pPr>
        <w:pStyle w:val="Baseparagraphnumbered"/>
      </w:pPr>
      <w:r>
        <w:t xml:space="preserve">Stolpec „sredstva, katerih pripoznanje je bilo odpravljeno za kapitalske namene“ vključuje knjigovodsko vrednost finančnih sredstev, ki so bila pripoznana za računovodske namene, vendar je bilo njihovo pripoznanje odpravljeno za bonitetne namene, ker jih institucija obravnava kot pozicije v listinjenju za kapitalske namene v skladu s členi 109, 243 in 244 CRR. </w:t>
      </w:r>
    </w:p>
    <w:p w14:paraId="29C82BB6" w14:textId="77777777" w:rsidR="009569C7" w:rsidRPr="00755ABF" w:rsidRDefault="00A834F1" w:rsidP="009569C7">
      <w:pPr>
        <w:pStyle w:val="Baseparagraphnumbered"/>
      </w:pPr>
      <w:r>
        <w:t>„Pogodbe o začasni prodaji“ (repo posli) so posli, v katerih institucija prejme denarna sredstva v zameno za finančna sredstva, prodana po dani ceni, pri čemer se zaveže, da bo ponovno kupila ista (ali enaka) sredstva po fiksni ceni na dogovorjen datum v prihodnosti. Posli, ki vključujejo začasen prenos zlata v zameno za zavarovanje z denarnimi sredstvi, se prav tako štejejo za „pogodbe o začasni prodaji“ (repo posle). Zneski, ki jih prejme institucija v zameno za finančna sredstva, prenesena na tretjo osebo („začasni pridobitelj“), se razvrstijo pod „pogodbe o začasni prodaji“, kadar pri tem obstaja obveznost povratnosti posla in ne le možnost takšne povratnosti. Pogodbe o začasni prodaji vključujejo tudi posle, podobne repo poslom, ki lahko vključujejo:</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zneske, prejete v zameno za vrednostne papirje, ki se začasno prenesejo na tretjo osebo, v obliki posojanja vrednostnih papirjev v zameno za zavarovanje z denarnimi sredstvi;</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zneske, prejete v zameno za vrednostne papirje, ki se začasno prenesejo na tretjo osebo, v obliki dogovora o prodaji/povratnem odkupu.</w:t>
      </w:r>
    </w:p>
    <w:p w14:paraId="6555BF49" w14:textId="77777777" w:rsidR="009569C7" w:rsidRPr="00755ABF" w:rsidRDefault="00A834F1" w:rsidP="009569C7">
      <w:pPr>
        <w:pStyle w:val="Baseparagraphnumbered"/>
        <w:tabs>
          <w:tab w:val="left" w:pos="851"/>
        </w:tabs>
        <w:ind w:left="709"/>
      </w:pPr>
      <w:r>
        <w:t xml:space="preserve">„Pogodbe o začasni prodaji“ (repo posli) in „krediti z začasnim odkupom“ (povratni repo posli) vključujejo denarna sredstva, ki jih je prejela ali posodila institucija. </w:t>
      </w:r>
    </w:p>
    <w:p w14:paraId="25983886" w14:textId="77777777" w:rsidR="009569C7" w:rsidRPr="00755ABF" w:rsidRDefault="00A834F1" w:rsidP="009569C7">
      <w:pPr>
        <w:pStyle w:val="Baseparagraphnumbered"/>
        <w:tabs>
          <w:tab w:val="left" w:pos="851"/>
        </w:tabs>
        <w:ind w:left="709"/>
      </w:pPr>
      <w:r>
        <w:t>Če je za prenesena finančna sredstva odpravljeno pripoznanje, institucije v poslu listinjenja navedejo dobiček (ali izgubo), ustvarjen na podlagi postavke v izkazu poslovnega izida, ki ustreza „računovodskim portfeljem“, v katere so bila finančna sredstva vključena pred njihovo odpravo pripoznanja.</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8539767"/>
      <w:bookmarkEnd w:id="156"/>
      <w:bookmarkEnd w:id="157"/>
      <w:bookmarkEnd w:id="158"/>
      <w:bookmarkEnd w:id="159"/>
      <w:bookmarkEnd w:id="160"/>
      <w:bookmarkEnd w:id="161"/>
      <w:bookmarkEnd w:id="162"/>
      <w:bookmarkEnd w:id="163"/>
      <w:bookmarkEnd w:id="164"/>
      <w:r>
        <w:t>Razčlenitev izbranih postavk</w:t>
      </w:r>
      <w:bookmarkEnd w:id="165"/>
      <w:r>
        <w:t xml:space="preserve"> izkaza poslovnega izida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Za izbrane postavke izkaza poslovnega izida se poročajo dodatne razčlenitve dobičkov (ali prihodkov) in izgub (ali odhodkov).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539768"/>
      <w:r>
        <w:t>Prihodki in odhodki iz obresti po instrumentih in sektorju nasprotne stranke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lastRenderedPageBreak/>
        <w:t>Prihodki iz obresti se razčlenijo v skladu z obojim od naslednjega:</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prihodki iz obresti od finančnih sredstev, vključenih v računovodske portfelje, in drugih sredstev (vključno s stanji na računih pri centralnih bankah in vlogami na vpogled pri bankah);</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prihodki iz obresti od finančnih obveznosti z negativno efektivno obrestno mero.</w:t>
      </w:r>
    </w:p>
    <w:p w14:paraId="7F8AEF7E" w14:textId="77777777" w:rsidR="009569C7" w:rsidRPr="00755ABF" w:rsidRDefault="00A834F1" w:rsidP="0062156F">
      <w:pPr>
        <w:pStyle w:val="Baseparagraphnumbered"/>
        <w:tabs>
          <w:tab w:val="left" w:pos="851"/>
        </w:tabs>
        <w:ind w:left="709"/>
      </w:pPr>
      <w:r>
        <w:t>Odhodki za obresti se razčlenijo v skladu z obojim od naslednjega:</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odhodki za obresti od finančnih obveznosti, vključenih v računovodske portfelje, in drugih obveznosti;</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odhodki za obresti od finančnih sredstev z negativno efektivno obrestno mero.</w:t>
      </w:r>
    </w:p>
    <w:p w14:paraId="40C6EEA8" w14:textId="77777777" w:rsidR="009569C7" w:rsidRPr="00755ABF" w:rsidRDefault="00A834F1" w:rsidP="009569C7">
      <w:pPr>
        <w:pStyle w:val="Baseparagraphnumbered"/>
        <w:tabs>
          <w:tab w:val="left" w:pos="851"/>
        </w:tabs>
        <w:ind w:left="709" w:hanging="283"/>
      </w:pPr>
      <w:r>
        <w:t xml:space="preserve">Prihodki iz obresti od finančnih sredstev in finančnih obveznosti z negativno efektivno obrestno mero vključujejo prihodke iz obresti od izvedenih finančnih instrumentov v posesti za trgovanje, dolžniških vrednostnih papirjev, kreditov in drugih finančnih sredstev, kot tudi od vlog, izdanih dolžniških vrednostnih papirjev in drugih finančnih obveznosti z negativno efektivno obrestno mero. </w:t>
      </w:r>
    </w:p>
    <w:p w14:paraId="2ABE74EE" w14:textId="77777777" w:rsidR="009569C7" w:rsidRPr="00755ABF" w:rsidRDefault="00A834F1" w:rsidP="0062156F">
      <w:pPr>
        <w:pStyle w:val="Baseparagraphnumbered"/>
        <w:tabs>
          <w:tab w:val="left" w:pos="851"/>
        </w:tabs>
        <w:ind w:left="709"/>
      </w:pPr>
      <w:r>
        <w:t xml:space="preserve">Odhodki za obresti od finančnih obveznosti in finančnih sredstev z negativno efektivno obrestno mero vključujejo odhodke za obresti od izvedenih finančnih instrumentov v posesti za trgovanje, vlog, izdanih dolžniških vrednostnih papirjev in drugih finančnih obveznosti, kot tudi od dolžniških vrednostnih papirjev ter kreditov in drugih sredstev z negativno efektivno obrestno mero. </w:t>
      </w:r>
    </w:p>
    <w:p w14:paraId="67989664" w14:textId="77777777" w:rsidR="009569C7" w:rsidRPr="00755ABF" w:rsidRDefault="00A834F1" w:rsidP="0062156F">
      <w:pPr>
        <w:pStyle w:val="Baseparagraphnumbered"/>
        <w:tabs>
          <w:tab w:val="left" w:pos="851"/>
        </w:tabs>
        <w:ind w:left="709"/>
      </w:pPr>
      <w:r>
        <w:t xml:space="preserve">Za namene predloge 16.1 se kratke pozicije upoštevajo v drugih finančnih obveznostih. Upoštevajo se vsi instrumenti v različnih portfeljih razen instrumentov, vključenih v postavko „izvedeni finančni instrumenti – obračunavanje varovanja pred tveganjem“, ki se ne uporabljajo za varovanje obrestnega tveganja. </w:t>
      </w:r>
    </w:p>
    <w:p w14:paraId="63CE628D" w14:textId="77777777" w:rsidR="009569C7" w:rsidRPr="00755ABF" w:rsidRDefault="00A834F1" w:rsidP="0062156F">
      <w:pPr>
        <w:pStyle w:val="Baseparagraphnumbered"/>
        <w:tabs>
          <w:tab w:val="left" w:pos="851"/>
        </w:tabs>
        <w:ind w:left="709"/>
      </w:pPr>
      <w:r>
        <w:t xml:space="preserve">„Izvedeni finančni instrumenti – obračunavanje varovanja pred tveganjem, obrestno tveganje“ vključujejo prihodke in odhodke iz obresti od instrumentov za varovanje pred tveganjem, če varovane postavke ustvarjajo obresti.  </w:t>
      </w:r>
    </w:p>
    <w:p w14:paraId="7FA7AE75" w14:textId="77777777" w:rsidR="009569C7" w:rsidRPr="00755ABF" w:rsidRDefault="00A834F1" w:rsidP="0062156F">
      <w:pPr>
        <w:pStyle w:val="Baseparagraphnumbered"/>
        <w:tabs>
          <w:tab w:val="left" w:pos="851"/>
        </w:tabs>
        <w:ind w:left="709"/>
      </w:pPr>
      <w:r>
        <w:t xml:space="preserve">Kadar se uporablja čista cena, obresti iz naslova izvedenih finančnih instrumentov v posesti za trgovanje vključujejo zneske v zvezi z izvedenimi finančnimi instrumenti v posesti za trgovanje, ki se štejejo za „ekonomska varovanja“, ki so vključena kot prihodki ali odhodki iz obresti, da se popravijo prihodki in odhodki iz naslova pred tveganjem varovanih finančnih instrumentov z ekonomskega, ne pa z računovodskega vidika. V takem primeru se prihodki iz obresti od izvedenih finančnih instrumentov za ekonomsko varovanje poročajo ločeno pod prihodki iz obresti od izvedenih finančnih instrumentov za trgovanje. Časovno porazdeljene provizije ali izravnalna plačila v zvezi s kreditnimi izvedenimi finančnimi instrumenti, merjenimi po pošteni vrednosti in uporabljenimi za obvladovanje kreditnega tveganja dela ali celotnega finančnega instrumenta, ki je ob tej priložnosti določen za merjenje </w:t>
      </w:r>
      <w:r>
        <w:lastRenderedPageBreak/>
        <w:t>po pošteni vrednosti, se prav tako poročajo med obrestmi od izvedenih finančnih instrumentov v posesti za trgovanje.</w:t>
      </w:r>
    </w:p>
    <w:p w14:paraId="5EDCCCA4" w14:textId="39D359D5" w:rsidR="009569C7" w:rsidRPr="00755ABF" w:rsidRDefault="00A834F1" w:rsidP="0062156F">
      <w:pPr>
        <w:pStyle w:val="Baseparagraphnumbered"/>
        <w:tabs>
          <w:tab w:val="left" w:pos="851"/>
        </w:tabs>
        <w:ind w:left="709"/>
      </w:pPr>
      <w:r>
        <w:t>V skladu z MSRP postavka „od tega: prihodki iz obresti od finančnih sredstev s poslabšano kreditno kakovostjo“ pomeni prihodke iz obresti od finančnih sredstev s poslabšano kreditno kakovostjo, vključno s kupljenimi ali izdanimi (ustvarjenimi) finančnimi sredstvi s poslabšano kreditno kakovostjo, če se slednja štejejo za nedonosna v skladu z odstavkom 215 tega dela. V skladu z nacionalnimi GAAP na podlagi direktive o računovodskih izkazih bank postavka vključuje prihodke iz obresti od oslabljenih sredstev s posebnim popravkom vrednosti za oslabitev v zvezi s kreditnim tveganjem.</w:t>
      </w:r>
    </w:p>
    <w:p w14:paraId="57A39F72" w14:textId="77777777" w:rsidR="00A54B83" w:rsidRPr="00755ABF" w:rsidRDefault="00A54B83" w:rsidP="0062156F">
      <w:pPr>
        <w:pStyle w:val="Baseparagraphnumbered"/>
        <w:numPr>
          <w:ilvl w:val="0"/>
          <w:numId w:val="0"/>
        </w:numPr>
        <w:ind w:left="782" w:hanging="357"/>
      </w:pPr>
      <w:r>
        <w:t>194i.</w:t>
      </w:r>
      <w:r>
        <w:tab/>
        <w:t>Postavki „od tega: potrošniški krediti“ in „od tega: stanovanjski krediti“ odražata prihodke in odhodke iz kreditov in drugih finančnih sredstev, kot so opisani v odstavku 88 tega dela.</w:t>
      </w:r>
    </w:p>
    <w:p w14:paraId="3B28B986" w14:textId="77777777" w:rsidR="00A54B83" w:rsidRPr="00755ABF" w:rsidRDefault="00A54B83" w:rsidP="00A54B83">
      <w:pPr>
        <w:pStyle w:val="Baseparagraphnumbered"/>
        <w:numPr>
          <w:ilvl w:val="0"/>
          <w:numId w:val="0"/>
        </w:numPr>
        <w:ind w:left="782" w:hanging="357"/>
      </w:pPr>
      <w:r>
        <w:t>194ii.</w:t>
      </w:r>
      <w:r>
        <w:tab/>
        <w:t>Postavki „od tega: obresti iz najemov“ odraža prihodke najemodajalca od obresti na terjatev iz naslova najema (finančni najemi) oziroma odhodke najemnika za obresti na obveznost iz naslova najema.</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539769"/>
      <w:r>
        <w:t>Dobički ali izgube iz odprave pripoznanja finančnih sredstev in obveznosti, ki niso merjeni po pošteni vrednosti prek poslovnega izida, po instrumentih (16.2)</w:t>
      </w:r>
      <w:bookmarkEnd w:id="173"/>
      <w:bookmarkEnd w:id="174"/>
      <w:bookmarkEnd w:id="175"/>
    </w:p>
    <w:p w14:paraId="608F9E4D" w14:textId="77777777" w:rsidR="009569C7" w:rsidRPr="00755ABF" w:rsidRDefault="00A834F1" w:rsidP="009569C7">
      <w:pPr>
        <w:pStyle w:val="Baseparagraphnumbered"/>
        <w:tabs>
          <w:tab w:val="left" w:pos="851"/>
        </w:tabs>
        <w:ind w:left="709"/>
      </w:pPr>
      <w:r>
        <w:t>Dobički in izgube iz odprave pripoznanja finančnih sredstev in obveznosti, ki niso merjeni po pošteni vrednosti prek poslovnega izida, se razčlenijo po vrsti finančnega instrumenta in po računovodskem portfelju. Za vsako postavko se poroča neto realizirani dobiček ali izguba iz posla, za katerega je bilo odpravljeno pripoznanje. Neto znesek pomeni razliko med realiziranimi dobički in realiziranimi izgubami.</w:t>
      </w:r>
    </w:p>
    <w:p w14:paraId="00B8E28B" w14:textId="77777777" w:rsidR="00E87D3C" w:rsidRPr="00755ABF" w:rsidRDefault="00A834F1" w:rsidP="000D4350">
      <w:pPr>
        <w:pStyle w:val="Baseparagraphnumbered"/>
        <w:tabs>
          <w:tab w:val="left" w:pos="851"/>
        </w:tabs>
        <w:ind w:left="709"/>
      </w:pPr>
      <w:r>
        <w:t>Predloga 16.2 se v skladu z MSRP uporablja za finančna sredstva in obveznosti po odplačni vrednosti ter za dolžniške instrumente, merjene po pošteni vrednosti prek drugega vseobsegajočega donosa. V skladu z nacionalnimi GAAP na podlagi direktive o računovodskih izkazih bank se predloga 16.2 uporablja za finančna sredstva, merjena z metodo na podlagi nabavne vrednosti, po pošteni vrednosti prek lastniškega kapitala in v skladu z metodami merjenja, kot je nižja izmed nabavne ali tržne vrednosti. Dobički in izgube iz finančnih instrumentov, razvrščenih kot trgovalni v skladu z ustreznimi nacionalnimi GAAP na podlagi direktive o računovodskih izkazih bank, se ne poročajo v tej predlogi ne glede na pravila vrednotenja, ki si uporabljajo za te instrumente.</w:t>
      </w:r>
    </w:p>
    <w:p w14:paraId="4FD7978E" w14:textId="77777777" w:rsidR="009569C7" w:rsidRPr="00755ABF" w:rsidRDefault="00A834F1" w:rsidP="00C93712">
      <w:pPr>
        <w:pStyle w:val="sub-subtitlenumbered"/>
      </w:pPr>
      <w:bookmarkStart w:id="176" w:name="_Toc361844238"/>
      <w:bookmarkStart w:id="177" w:name="_Toc362359309"/>
      <w:bookmarkStart w:id="178" w:name="_Toc188539770"/>
      <w:r>
        <w:t>Dobički ali izgube iz finančnih sredstev in obveznosti v posesti za trgovanje ter iz trgovalnih finančnih sredstev in obveznosti, po instrumentih (16.3)</w:t>
      </w:r>
      <w:bookmarkEnd w:id="176"/>
      <w:bookmarkEnd w:id="177"/>
      <w:bookmarkEnd w:id="178"/>
    </w:p>
    <w:p w14:paraId="1CDE111C" w14:textId="77777777" w:rsidR="009569C7" w:rsidRPr="00755ABF" w:rsidRDefault="00A834F1" w:rsidP="009569C7">
      <w:pPr>
        <w:pStyle w:val="Baseparagraphnumbered"/>
        <w:tabs>
          <w:tab w:val="left" w:pos="851"/>
        </w:tabs>
        <w:ind w:left="709"/>
      </w:pPr>
      <w:r>
        <w:t>Dobički in izgube iz finančnih sredstev in obveznosti v posesti za trgovanje se razčlenijo glede na vrsto instrumenta, pri tem je vsaka postavka razčlenitve neto realizirani in nerealizirani znesek (dobički minus izgube) finančnega instrumenta.</w:t>
      </w:r>
    </w:p>
    <w:p w14:paraId="0E431B0B" w14:textId="77777777" w:rsidR="009569C7" w:rsidRPr="00755ABF" w:rsidRDefault="00A834F1" w:rsidP="009569C7">
      <w:pPr>
        <w:pStyle w:val="Baseparagraphnumbered"/>
      </w:pPr>
      <w:r>
        <w:lastRenderedPageBreak/>
        <w:t>Dobički in izgube iz trgovanja s tujimi valutami na promptnem trgu razen menjave tujih bankovcev in kovancev, se vključijo kot dobički in izgube iz trgovanja. Dobički in izgube iz trgovanja s plemenitimi kovinami ali odprave pripoznanja in ponovnega merjenja se ne vključijo v dobičke in izgube iz trgovanja temveč v „druge poslovne prihodke“ ali „druge poslovne odhodke“ v skladu z odstavkom 316 tega dela.</w:t>
      </w:r>
    </w:p>
    <w:p w14:paraId="3F712D7E" w14:textId="77777777" w:rsidR="009569C7" w:rsidRPr="00755ABF" w:rsidRDefault="00A834F1" w:rsidP="009569C7">
      <w:pPr>
        <w:pStyle w:val="Baseparagraphnumbered"/>
      </w:pPr>
      <w:r>
        <w:t>Postavka „od tega: ekonomska varovanja z uporabo možnosti vrednotenja po pošteni vrednosti“ vključuje samo dobičke in izgube iz kreditnih izvedenih finančnih instrumentov, merjenih po pošteni vrednosti prek poslovnega izida, ki se uporabljajo za obvladovanje kreditnega tveganja celotnega ali dela finančnega instrumenta, ob tej priložnosti določenega za merjenje po pošteni vrednosti prek poslovnega izida v skladu z oddelkom 6.7 MSRP 9. Dobički ali izgube zaradi prerazvrstitve finančnih sredstev iz računovodskega portfelja, ki se meri po odplačni vrednosti, v računovodski portfelj sredstev, ki se merijo po pošteni vrednosti prek poslovnega izida, ali v računovodski portfelj sredstev v posesti za trgovanje (MSRP 9, 5.6.2. člen), se poročajo pod postavko „od tega: dobički in izgube zaradi prerazvrstitve sredstev, obračunanih po odplačni vrednosti“.</w:t>
      </w:r>
    </w:p>
    <w:p w14:paraId="73EB12F6" w14:textId="77777777" w:rsidR="009569C7" w:rsidRPr="00755ABF" w:rsidRDefault="00A834F1" w:rsidP="00C93712">
      <w:pPr>
        <w:pStyle w:val="sub-subtitlenumbered"/>
      </w:pPr>
      <w:bookmarkStart w:id="179" w:name="_Toc361844239"/>
      <w:bookmarkStart w:id="180" w:name="_Toc362359310"/>
      <w:bookmarkStart w:id="181" w:name="_Toc188539771"/>
      <w:r>
        <w:t>Dobički ali izgube iz finančnih sredstev in obveznosti v posesti za trgovanje ter iz trgovalnih finančnih sredstev in obveznosti, po tveganju (16.4)</w:t>
      </w:r>
      <w:bookmarkEnd w:id="179"/>
      <w:bookmarkEnd w:id="180"/>
      <w:bookmarkEnd w:id="181"/>
    </w:p>
    <w:p w14:paraId="1C435F8E" w14:textId="77777777" w:rsidR="009569C7" w:rsidRPr="00755ABF" w:rsidRDefault="00A834F1" w:rsidP="009569C7">
      <w:pPr>
        <w:pStyle w:val="Baseparagraphnumbered"/>
        <w:tabs>
          <w:tab w:val="left" w:pos="851"/>
        </w:tabs>
        <w:ind w:left="709"/>
      </w:pPr>
      <w:r>
        <w:t>Dobički in izgube iz finančnih sredstev in finančnih obveznosti v posesti za trgovanje se prav tako razčlenijo glede na vrsto tveganja. Vsaka postavka razčlenitve je neto realizirani in nerealizirani znesek (dobički minus izgube) osnovnega tveganja (obrestna mera, lastniški kapital, tuja valuta, kredit, blago in drugo), povezanega z izpostavljenostjo, vključno z zadevnimi izvedenimi finančnimi instrumenti. Dobički in izgube iz naslova tečajnih razlik se vključijo v postavko, v katero so vključeni preostali dobički in izgube, nastali na podlagi pretvorjenega instrumenta. Dobički in izgube iz naslova finančnih sredstev in finančnih obveznosti, ki niso izvedeni finančni instrumenti, se v kategorije tveganj vključijo na naslednji način:</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obrestni instrumenti: vključuje trgovanje s krediti in drugimi finančnimi sredstvi, vlogami in dolžniškimi vrednostnimi papirji (v posesti ali izdanimi);</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lastniški instrumenti: vključuje trgovanje z delnicami, kvotami KNPVP in drugimi lastniškimi instrumenti;</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trgovanje v tujih valutah: vključuje izključno trgovanje v tujih valutah;</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instrumenti kreditnega tveganja: vključuje trgovanje s kreditnimi zapisi;</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izvedeni finančni instrumenti, povezani z blagom: ta postavka vključuje samo izvedene finančne instrumente, ker se dobički in izgube od blaga, namenjenega trgovanju, poročajo pod postavko „drugi poslovni prihodki“ ali „drugi poslovni odhodki“ v skladu z odstavkom 316 tega dela;</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lastRenderedPageBreak/>
        <w:t>drugo: vključuje trgovanje s finančnimi instrumenti, ki jih ni mogoče razvrstiti v druge razčlenitve.</w:t>
      </w:r>
    </w:p>
    <w:p w14:paraId="43E3537B" w14:textId="77777777" w:rsidR="009569C7" w:rsidRPr="00755ABF" w:rsidRDefault="00A834F1" w:rsidP="009569C7">
      <w:pPr>
        <w:pStyle w:val="sub-subtitlenumbered"/>
        <w:jc w:val="both"/>
      </w:pPr>
      <w:bookmarkStart w:id="182" w:name="_Toc188539772"/>
      <w:r>
        <w:t xml:space="preserve">Dobički ali izgube iz </w:t>
      </w:r>
      <w:proofErr w:type="spellStart"/>
      <w:r>
        <w:t>netrgovalnih</w:t>
      </w:r>
      <w:proofErr w:type="spellEnd"/>
      <w:r>
        <w:t xml:space="preserve"> finančnih sredstev, obvezno merjenih po pošteni vrednosti prek poslovnega izida, po instrumentih (16.4.1)</w:t>
      </w:r>
      <w:bookmarkEnd w:id="182"/>
    </w:p>
    <w:p w14:paraId="030674C6" w14:textId="77777777" w:rsidR="009569C7" w:rsidRPr="00755ABF" w:rsidRDefault="00A834F1" w:rsidP="009569C7">
      <w:pPr>
        <w:pStyle w:val="Baseparagraphnumbered"/>
        <w:tabs>
          <w:tab w:val="left" w:pos="851"/>
        </w:tabs>
        <w:ind w:left="709"/>
      </w:pPr>
      <w:r>
        <w:t xml:space="preserve">Dobički in izgube iz </w:t>
      </w:r>
      <w:proofErr w:type="spellStart"/>
      <w:r>
        <w:t>netrgovalnih</w:t>
      </w:r>
      <w:proofErr w:type="spellEnd"/>
      <w:r>
        <w:t xml:space="preserve"> finančnih sredstev, obvezno merjenih po pošteni vrednosti prek poslovnega izida, se razčlenijo po vrsti instrumenta. Pri tem je vsaka postavka razčlenitve neto realizirani in nerealizirani znesek (dobički minus izgube) finančnega instrumenta.</w:t>
      </w:r>
    </w:p>
    <w:p w14:paraId="29BA704D" w14:textId="77777777" w:rsidR="009569C7" w:rsidRPr="00755ABF" w:rsidRDefault="00A834F1" w:rsidP="009569C7">
      <w:pPr>
        <w:pStyle w:val="Baseparagraphnumbered"/>
        <w:tabs>
          <w:tab w:val="left" w:pos="567"/>
        </w:tabs>
      </w:pPr>
      <w:r>
        <w:t xml:space="preserve">Dobički ali izgube zaradi prerazvrstitve finančnih sredstev iz računovodskega portfelja, ki se meri po odplačni vrednosti, v računovodski portfelj </w:t>
      </w:r>
      <w:proofErr w:type="spellStart"/>
      <w:r>
        <w:t>netrgovalnih</w:t>
      </w:r>
      <w:proofErr w:type="spellEnd"/>
      <w:r>
        <w:t xml:space="preserve"> finančnih sredstev, obvezno merjenih po pošteni vrednosti prek poslovnega izida (MSRP 9, 5.6.2. člen), se poročajo pod postavko „od tega: dobički in izgube zaradi prerazvrstitve sredstev, obračunanih po odplačni vrednosti“.</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539773"/>
      <w:r>
        <w:t>Dobički ali izgube iz finančnih sredstev in obveznosti, določenih za merjenje po pošteni vrednosti prek poslovnega izida, po instrumentih (16.5)</w:t>
      </w:r>
      <w:bookmarkEnd w:id="183"/>
      <w:bookmarkEnd w:id="184"/>
      <w:bookmarkEnd w:id="185"/>
    </w:p>
    <w:p w14:paraId="06BE1E6B" w14:textId="77777777" w:rsidR="009569C7" w:rsidRPr="00755ABF" w:rsidRDefault="00A834F1" w:rsidP="009569C7">
      <w:pPr>
        <w:pStyle w:val="Baseparagraphnumbered"/>
        <w:tabs>
          <w:tab w:val="left" w:pos="851"/>
        </w:tabs>
        <w:ind w:left="709"/>
      </w:pPr>
      <w:r>
        <w:t>Dobički in izgube iz finančnih sredstev in obveznosti, določenih za merjenje po pošteni vrednosti prek poslovnega izida, se razčlenijo po vrsti instrumenta. Institucije poročajo neto realizirane in nerealizirane dobičke ali izgube ter znesek spremembe poštene vrednosti finančnih obveznosti v zadevnem obdobju zaradi sprememb kreditnega tveganja (lastnega kreditnega tveganja kreditojemalca ali izdajatelja), če se lastno kreditno tveganje ne poroča v drugem vseobsegajočem donosu.</w:t>
      </w:r>
    </w:p>
    <w:p w14:paraId="46A1A14C" w14:textId="77777777" w:rsidR="009569C7" w:rsidRPr="00755ABF" w:rsidRDefault="00A834F1" w:rsidP="009569C7">
      <w:pPr>
        <w:pStyle w:val="Baseparagraphnumbered"/>
      </w:pPr>
      <w:r>
        <w:t>Če se kreditni izvedeni finančni instrument, merjen po pošteni vrednosti, uporablja za obvladovanje kreditnega tveganja celotnega ali dela finančnega instrumenta, ob tej priložnosti določenega za merjenje po pošteni vrednosti prek poslovnega izida, se dobički ali izgube iz finančnega instrumenta ob taki določitvi poročajo pod postavko „od tega: dobički ali (–) izgube ob določitvi finančnih sredstev in obveznosti, določenih za merjenje po pošteni vrednosti prek poslovnega izida, za namene varovanja, neto“. Poznejši dobički ali izgube iz teh finančnih instrumentov se poročajo pod postavko „od tega: dobički ali (–) izgube po določitvi finančnih sredstev in obveznosti, določenih za merjenje po pošteni vrednosti prek poslovnega izida, za namene varovanja, neto“.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539774"/>
      <w:r>
        <w:t>Dobički ali izgube iz obračunavanja varovanja pred tveganjem (16.6)</w:t>
      </w:r>
      <w:bookmarkEnd w:id="186"/>
      <w:bookmarkEnd w:id="187"/>
      <w:bookmarkEnd w:id="188"/>
    </w:p>
    <w:p w14:paraId="7525EF48" w14:textId="77777777" w:rsidR="009569C7" w:rsidRPr="00755ABF" w:rsidRDefault="00A834F1" w:rsidP="009569C7">
      <w:pPr>
        <w:pStyle w:val="Baseparagraphnumbered"/>
      </w:pPr>
      <w:r>
        <w:t xml:space="preserve">Vsi dobički in izgube iz obračunavanja varovanja pred tveganjem razen prihodkov ali odhodkov iz obresti, kadar se uporablja čista cena, se razčlenijo po vrsti obračunavanja varovanja pred tveganjem: varovanje poštene vrednosti pred tveganjem, varovanje denarnega toka in varovanje neto naložb v kapital družb v tujini. Dobički in izgube v zvezi z varovanjem poštene vrednosti pred tveganjem se razčlenijo na instrument varovanja in na pred tveganjem varovano postavko. Dobički in izgube iz instrumentov za varovanje ne vključujejo dobičkov in izgub, povezanih z elementi instrumentov za varovanje, ki niso določeni za instrumente za varovanje pred tveganjem v </w:t>
      </w:r>
      <w:r>
        <w:lastRenderedPageBreak/>
        <w:t xml:space="preserve">skladu s 6.2.4. členom MSRP 9. Tisti instrumenti za varovanje, ki niso tako določeni, se poročajo v skladu z odstavkom 60 tega dela. Dobički in izgube iz obračunavanja varovanja pred tveganjem vključujejo tudi dobičke in izgube iz varovanja skupine postavk z izravnalnimi pozicijami tveganja (varovanja neto pozicije). </w:t>
      </w:r>
    </w:p>
    <w:p w14:paraId="4B598C80" w14:textId="77777777" w:rsidR="009569C7" w:rsidRPr="00755ABF" w:rsidRDefault="00A834F1" w:rsidP="009569C7">
      <w:pPr>
        <w:pStyle w:val="Baseparagraphnumbered"/>
      </w:pPr>
      <w:r>
        <w:t>„Spremembe poštene vrednosti varovane postavke, ki se lahko pripišejo zavarovanemu tveganju“ vključujejo dobičke in izgube iz varovanih postavk, če so postavke dolžniški instrumenti, merjeni po pošteni vrednosti prek drugega vseobsegajočega donosa v skladu s 4.1.2.A členom MSRP 9 (MSRP 9, 6.5.8. člen).</w:t>
      </w:r>
    </w:p>
    <w:p w14:paraId="456FE158" w14:textId="77777777" w:rsidR="009569C7" w:rsidRPr="00755ABF" w:rsidRDefault="00A834F1" w:rsidP="009569C7">
      <w:pPr>
        <w:pStyle w:val="Baseparagraphnumbered"/>
      </w:pPr>
      <w:r>
        <w:t>V skladu z nacionalnimi GAAP na podlagi direktive o računovodskih izkazih bank se razčlenitev po vrstah varovanj pred tveganjem, kot jo vsebuje ta predloga, poroča v obsegu, v katerem je razčlenitev združljiva z veljavnimi računovodskimi zahtevami.</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539775"/>
      <w:r>
        <w:rPr>
          <w:caps/>
        </w:rPr>
        <w:t>O</w:t>
      </w:r>
      <w:r>
        <w:t>slabitev nefinančnih sredstev (16.7)</w:t>
      </w:r>
      <w:bookmarkEnd w:id="189"/>
      <w:bookmarkEnd w:id="190"/>
      <w:bookmarkEnd w:id="191"/>
    </w:p>
    <w:p w14:paraId="4B2B848E" w14:textId="77777777" w:rsidR="009569C7" w:rsidRPr="00755ABF" w:rsidRDefault="00A834F1" w:rsidP="009569C7">
      <w:pPr>
        <w:pStyle w:val="Baseparagraphnumbered"/>
        <w:tabs>
          <w:tab w:val="left" w:pos="851"/>
        </w:tabs>
        <w:ind w:left="709"/>
      </w:pPr>
      <w:r>
        <w:t>„Povečanja“ se poročajo, kadar za računovodski portfelj ali glavno kategorijo sredstev ocena oslabitve v zadevnem obdobju povzroči pripoznanje neto odhodkov. „Razveljavitve“ se poročajo, kadar za računovodski portfelj ali glavno kategorijo sredstev ocena oslabitve v zadevnem obdobju povzroči pripoznanje neto prihodkov.</w:t>
      </w:r>
    </w:p>
    <w:p w14:paraId="5F892143" w14:textId="77777777" w:rsidR="0062156F" w:rsidRPr="00755ABF" w:rsidRDefault="0062156F" w:rsidP="00C35843">
      <w:pPr>
        <w:pStyle w:val="sub-subtitlenumbered"/>
        <w:jc w:val="both"/>
      </w:pPr>
      <w:bookmarkStart w:id="192" w:name="_Toc520396077"/>
      <w:bookmarkStart w:id="193" w:name="_Toc188539776"/>
      <w:r>
        <w:t>Drugi administrativni stroški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„Stroški informacijske tehnologije“ so odhodki za izvajanje z informacijsko tehnologijo (IT) podprtih poslovnih procesov, aplikacijskih storitev in infrastrukturnih rešitev za dosego poslovnih ciljev, vključno s stroški, povezanimi z vzpostavljanjem in vzdrževanjem sistemov IT, brez nadomestil za strokovnjake IT na plačilni listi institucije, ki se poročajo pod odhodki za zaposlene.</w:t>
      </w:r>
    </w:p>
    <w:p w14:paraId="3A10332E" w14:textId="77777777" w:rsidR="0062156F" w:rsidRPr="00755ABF" w:rsidRDefault="0062156F" w:rsidP="0062156F">
      <w:pPr>
        <w:pStyle w:val="Baseparagraphnumbered"/>
        <w:numPr>
          <w:ilvl w:val="0"/>
          <w:numId w:val="0"/>
        </w:numPr>
        <w:ind w:left="782" w:hanging="357"/>
      </w:pPr>
      <w:r>
        <w:t>208ii.</w:t>
      </w:r>
      <w:r>
        <w:tab/>
        <w:t>Pri stroških informacijske tehnologije „zunanje storitve IT“ pomenijo odhodke za IT, povezane z uporabo zunanjih izvajalcev storitev. Ne vključujejo odhodkov, povezanih (i) izključno s storitvami zaposlenih (osebje institucije) v obsegu, v katerem institucija samo začasno najame osebje in ima popoln nadzor nad opravljenimi storitvami, ter (ii) s povsem standardiziranimi pogodbami za operativno vzdrževanje strojne/programske opreme za zgolj kupljena sredstva.</w:t>
      </w:r>
    </w:p>
    <w:p w14:paraId="1A884EC5" w14:textId="77777777" w:rsidR="0062156F" w:rsidRPr="00755ABF" w:rsidRDefault="0062156F" w:rsidP="0062156F">
      <w:pPr>
        <w:pStyle w:val="Baseparagraphnumbered"/>
        <w:numPr>
          <w:ilvl w:val="0"/>
          <w:numId w:val="0"/>
        </w:numPr>
        <w:ind w:left="782" w:hanging="357"/>
      </w:pPr>
      <w:r>
        <w:t>208iii.</w:t>
      </w:r>
      <w:r>
        <w:tab/>
        <w:t>„Davki in dajatve (drugo)“ vključujejo davke in dajatve, ki niso (i) davki, povezani z obdavčitvijo poslovnega izida, in (ii) davki in dajatve iz naslova ustavljenega poslovanja. Ta postavka vključuje davke in dajatve, kot so davki na blago in storitve, ter dajatve, ki jih plača institucija.</w:t>
      </w:r>
    </w:p>
    <w:p w14:paraId="7A4293FC" w14:textId="77777777" w:rsidR="0062156F" w:rsidRPr="00755ABF" w:rsidRDefault="0062156F" w:rsidP="0062156F">
      <w:pPr>
        <w:pStyle w:val="Baseparagraphnumbered"/>
        <w:numPr>
          <w:ilvl w:val="0"/>
          <w:numId w:val="0"/>
        </w:numPr>
        <w:ind w:left="782" w:hanging="357"/>
      </w:pPr>
      <w:r>
        <w:t>208iv.</w:t>
      </w:r>
      <w:r>
        <w:tab/>
        <w:t>„Svetovalne in strokovne storitve“ pomenijo odhodke za strokovno ali strateško svetovanje.</w:t>
      </w:r>
    </w:p>
    <w:p w14:paraId="67342221" w14:textId="77777777" w:rsidR="0062156F" w:rsidRPr="00755ABF" w:rsidRDefault="0062156F" w:rsidP="0062156F">
      <w:pPr>
        <w:pStyle w:val="Baseparagraphnumbered"/>
        <w:numPr>
          <w:ilvl w:val="0"/>
          <w:numId w:val="0"/>
        </w:numPr>
        <w:ind w:left="782" w:hanging="357"/>
      </w:pPr>
      <w:r>
        <w:lastRenderedPageBreak/>
        <w:t>208v.</w:t>
      </w:r>
      <w:r>
        <w:tab/>
        <w:t>„Oglaševanje, trženje in komunikacijske dejavnosti“ vključujejo odhodke, povezane z dejavnostmi tržnega komuniciranja, kot so oglaševanje, neposredno ali spletno trženje in dogodki.</w:t>
      </w:r>
    </w:p>
    <w:p w14:paraId="560E484B" w14:textId="77777777" w:rsidR="0062156F" w:rsidRPr="00755ABF" w:rsidRDefault="0062156F" w:rsidP="0062156F">
      <w:pPr>
        <w:pStyle w:val="Baseparagraphnumbered"/>
        <w:numPr>
          <w:ilvl w:val="0"/>
          <w:numId w:val="0"/>
        </w:numPr>
        <w:ind w:left="782" w:hanging="357"/>
      </w:pPr>
      <w:r>
        <w:t>208vi.</w:t>
      </w:r>
      <w:r>
        <w:tab/>
        <w:t>„Odhodki, povezani s kreditnim tveganjem“ pomenijo administrativne stroške v okviru kreditnih dogodkov, kot so odhodki v zvezi s priposestvovanjem zavarovanja s premoženjem ali pravnimi postopki.</w:t>
      </w:r>
    </w:p>
    <w:p w14:paraId="7CF84C32" w14:textId="77777777" w:rsidR="0062156F" w:rsidRPr="00755ABF" w:rsidRDefault="0062156F" w:rsidP="0062156F">
      <w:pPr>
        <w:pStyle w:val="Baseparagraphnumbered"/>
        <w:numPr>
          <w:ilvl w:val="0"/>
          <w:numId w:val="0"/>
        </w:numPr>
        <w:ind w:left="782" w:hanging="357"/>
      </w:pPr>
      <w:r>
        <w:t>208vii.</w:t>
      </w:r>
      <w:r>
        <w:tab/>
        <w:t>„Stroški pravdnih postopkov, ki niso pokriti z rezervacijami“ pomenijo odhodke za pravdne postopke, ki niso povezani s kreditnim tveganjem in niso pokriti z ustrezno rezervacijo.</w:t>
      </w:r>
    </w:p>
    <w:p w14:paraId="5C900A08" w14:textId="77777777" w:rsidR="0062156F" w:rsidRPr="00755ABF" w:rsidRDefault="0062156F" w:rsidP="0062156F">
      <w:pPr>
        <w:pStyle w:val="Baseparagraphnumbered"/>
        <w:numPr>
          <w:ilvl w:val="0"/>
          <w:numId w:val="0"/>
        </w:numPr>
        <w:ind w:left="782" w:hanging="357"/>
      </w:pPr>
      <w:r>
        <w:t>208viii.</w:t>
      </w:r>
      <w:r>
        <w:tab/>
        <w:t xml:space="preserve">„Stroški nepremičnin“ pomenijo odhodke za popravila in vzdrževanje, ki ne izboljšajo uporabnosti in ne podaljšajo dobe koristnosti nepremičnin, ter stroške za komunalne storitve (voda, elektrika in ogrevanje). </w:t>
      </w:r>
    </w:p>
    <w:p w14:paraId="1CDDB617" w14:textId="77777777" w:rsidR="0062156F" w:rsidRPr="00755ABF" w:rsidRDefault="0062156F" w:rsidP="0062156F">
      <w:pPr>
        <w:pStyle w:val="Baseparagraphnumbered"/>
        <w:numPr>
          <w:ilvl w:val="0"/>
          <w:numId w:val="0"/>
        </w:numPr>
        <w:ind w:left="782" w:hanging="357"/>
      </w:pPr>
      <w:r>
        <w:t>208ix.</w:t>
      </w:r>
      <w:r>
        <w:tab/>
        <w:t>V skladu z MSRP „stroški najemov“ zajemajo odhodke najemnika za kratkoročne najeme in najeme sredstev majhne vrednosti, kot je navedeno v 5. in 6. členu MSRP 16. V skladu z nacionalnimi GAAP stroški najemov zajemajo odhodke najemnika, kadar računovodski standard določa, da se plačila najemnine obravnavajo kot odhodki.</w:t>
      </w:r>
    </w:p>
    <w:p w14:paraId="009F5A64" w14:textId="0DDE6814" w:rsidR="0062156F" w:rsidRPr="00755ABF" w:rsidRDefault="0062156F" w:rsidP="0062156F">
      <w:pPr>
        <w:pStyle w:val="Baseparagraphnumbered"/>
        <w:numPr>
          <w:ilvl w:val="0"/>
          <w:numId w:val="0"/>
        </w:numPr>
        <w:ind w:left="782" w:hanging="357"/>
      </w:pPr>
      <w:r>
        <w:t>208x.</w:t>
      </w:r>
      <w:r>
        <w:tab/>
        <w:t>„Drugi administrativni stroški – ostalo“ vključujejo vse preostale sestavine „drugih administrativnih stroškov“, kot so nadzorniške pristojbine ali dajatve za banke, administrativne in logistične storitve, pošiljanje in prevoz dokumentacije, nadzorne in varnostne storitve, storitve štetja denarja in prevoz. Denarni prispevki v sklade za reševanje in sisteme jamstva za vloge se ne poročajo v tej kategoriji, ker se poročajo v ločeni vrstici v predlogi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539777"/>
      <w:r>
        <w:t>Uskladitev med računovodskim obsegom konsolidacije in obsegom konsolidacije v skladu s 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„Računovodski obseg konsolidacije“ vključuje knjigovodsko vrednost sredstev, obveznosti in lastniškega kapitala ter nominalne zneske zunajbilančnih izpostavljenosti, ki se izračunajo z uporabo računovodskega obsega konsolidacije, kar pomeni, da se v konsolidacijo vključijo podrejene družbe, ki so zavarovalnice in nefinančne družbe. Institucije obračunavajo podrejene, pridružene in skupaj obvladovane družbe na podlagi enake metode kot v svojih računovodskih izkazih.</w:t>
      </w:r>
    </w:p>
    <w:p w14:paraId="0B914F56" w14:textId="77777777" w:rsidR="009569C7" w:rsidRPr="00755ABF" w:rsidRDefault="00A834F1" w:rsidP="009569C7">
      <w:pPr>
        <w:pStyle w:val="Baseparagraphnumbered"/>
        <w:tabs>
          <w:tab w:val="left" w:pos="851"/>
        </w:tabs>
        <w:ind w:left="709"/>
      </w:pPr>
      <w:r>
        <w:t xml:space="preserve">V tej predlogi postavka „naložbe v kapital podrejenih, pridruženih in skupaj obvladovanih družb, obračunane po kapitalski metodi“ ne vključuje podrejenih družb, ker so vse podrejene družbe polno konsolidirane v skladu z obsegom konsolidacije za računovodske namene. </w:t>
      </w:r>
    </w:p>
    <w:p w14:paraId="609D48BE" w14:textId="77777777" w:rsidR="009569C7" w:rsidRPr="00755ABF" w:rsidRDefault="00A834F1" w:rsidP="009569C7">
      <w:pPr>
        <w:pStyle w:val="Baseparagraphnumbered"/>
        <w:tabs>
          <w:tab w:val="left" w:pos="851"/>
        </w:tabs>
        <w:ind w:left="709"/>
      </w:pPr>
      <w:r>
        <w:t xml:space="preserve">„Sredstva na podlagi pozavarovalnih in zavarovalnih pogodb“ vključujejo sredstva v okviru </w:t>
      </w:r>
      <w:proofErr w:type="spellStart"/>
      <w:r>
        <w:t>cediranega</w:t>
      </w:r>
      <w:proofErr w:type="spellEnd"/>
      <w:r>
        <w:t xml:space="preserve"> pozavarovanja ter, če obstajajo, sredstva v zvezi z izdanimi zavarovalnimi in pozavarovalnimi pogodbami.</w:t>
      </w:r>
    </w:p>
    <w:p w14:paraId="0CFC8B33" w14:textId="77777777" w:rsidR="009569C7" w:rsidRPr="00755ABF" w:rsidRDefault="00A834F1" w:rsidP="009569C7">
      <w:pPr>
        <w:pStyle w:val="Baseparagraphnumbered"/>
        <w:tabs>
          <w:tab w:val="left" w:pos="851"/>
        </w:tabs>
        <w:ind w:left="709"/>
      </w:pPr>
      <w:r>
        <w:t>„Obveznosti na podlagi zavarovalnih in pozavarovalnih pogodb“ vključujejo obveznosti na podlagi izdanih zavarovalnih in pozavarovalnih pogodb.</w:t>
      </w:r>
    </w:p>
    <w:p w14:paraId="4F74E5C3" w14:textId="77777777" w:rsidR="009569C7" w:rsidRPr="00755ABF" w:rsidRDefault="00A834F1" w:rsidP="009569C7">
      <w:pPr>
        <w:pStyle w:val="subtitlenumbered"/>
        <w:jc w:val="both"/>
      </w:pPr>
      <w:bookmarkStart w:id="197" w:name="_Toc188539778"/>
      <w:r>
        <w:lastRenderedPageBreak/>
        <w:t>Nedonosne izpostavljenosti (18)</w:t>
      </w:r>
      <w:bookmarkEnd w:id="197"/>
    </w:p>
    <w:p w14:paraId="529F598F" w14:textId="77777777" w:rsidR="0062156F" w:rsidRPr="00755ABF" w:rsidRDefault="0062156F" w:rsidP="00C35843">
      <w:pPr>
        <w:pStyle w:val="sub-subtitlenumbered"/>
        <w:jc w:val="both"/>
      </w:pPr>
      <w:bookmarkStart w:id="198" w:name="_Toc188539779"/>
      <w:r>
        <w:t>Informacije o donosnih in nedonosnih izpostavljenostih (18.0)</w:t>
      </w:r>
      <w:bookmarkEnd w:id="198"/>
    </w:p>
    <w:p w14:paraId="139EF936" w14:textId="78A64225" w:rsidR="009569C7" w:rsidRPr="001F788F" w:rsidRDefault="00A834F1" w:rsidP="001F788F">
      <w:pPr>
        <w:pStyle w:val="Baseparagraphnumbered"/>
        <w:tabs>
          <w:tab w:val="left" w:pos="851"/>
        </w:tabs>
        <w:ind w:left="709"/>
      </w:pPr>
      <w:r>
        <w:t>Za namene predloge 18 so nedonosne izpostavljenosti tiste izpostavljenosti, ki so navedene v členu 47a(3) CRR.</w:t>
      </w:r>
    </w:p>
    <w:p w14:paraId="1369B5C6" w14:textId="11F00A4D" w:rsidR="009569C7" w:rsidRPr="00755ABF" w:rsidRDefault="00A834F1" w:rsidP="00E32B97">
      <w:pPr>
        <w:pStyle w:val="Baseparagraphnumbered"/>
        <w:numPr>
          <w:ilvl w:val="0"/>
          <w:numId w:val="88"/>
        </w:numPr>
        <w:tabs>
          <w:tab w:val="left" w:pos="851"/>
        </w:tabs>
      </w:pPr>
      <w:r>
        <w:t xml:space="preserve">V skladu z MSRP so za namene predloge 18 oslabljene izpostavljenosti tiste, za katere se je določilo, da imajo poslabšano kreditno kakovost (tretja skupina). Izpostavljenosti, vključene v skupine za namen oslabitev, ki niso tretja skupina, in tiste, ki so kupljene ali izdane (ustvarjene) s poslabšano kreditno kakovostjo, se obravnavajo kot nedonosne, če izpolnjujejo merila za obravnavanje kot nedonosne v skladu s členom 47a(3) CRR. </w:t>
      </w:r>
    </w:p>
    <w:p w14:paraId="596F3157" w14:textId="2BB7C57C" w:rsidR="009569C7" w:rsidRPr="00755ABF" w:rsidRDefault="00A834F1" w:rsidP="009569C7">
      <w:pPr>
        <w:pStyle w:val="Baseparagraphnumbered"/>
        <w:tabs>
          <w:tab w:val="left" w:pos="851"/>
        </w:tabs>
        <w:ind w:left="709"/>
      </w:pPr>
      <w:r>
        <w:t xml:space="preserve">Izpostavljenosti se razvrstijo v celotnem znesku in brez upoštevanja obstoja kakršnega koli zavarovanja s premoženjem. V zvezi z izpostavljenostmi iz točke (a) člena 47a(3) CRR se pomembnost ocenjuje v skladu s členom 178 CRR in Delegirano uredbo Komisije (EU) 2018/171 (regulativni tehnični standardi za prag pomembnosti za kreditne obveznosti v zamudi).   </w:t>
      </w:r>
    </w:p>
    <w:p w14:paraId="19C4AA3A" w14:textId="77777777" w:rsidR="009569C7" w:rsidRPr="00755ABF" w:rsidRDefault="00A834F1" w:rsidP="009569C7">
      <w:pPr>
        <w:pStyle w:val="Baseparagraphnumbered"/>
        <w:tabs>
          <w:tab w:val="left" w:pos="851"/>
        </w:tabs>
        <w:ind w:left="709"/>
      </w:pPr>
      <w:r>
        <w:t xml:space="preserve">Za namene predloge 18 „izpostavljenosti“ vključujejo vse dolžniške instrumente (dolžniške vrednostne papirje ter kredite in druga finančna sredstva, vključno s stanji na računih pri centralnih bankah in vlogami na vpogled pri bankah) in zunajbilančne izpostavljenosti razen izpostavljenosti v posesti za trgovanje. </w:t>
      </w:r>
    </w:p>
    <w:p w14:paraId="28C341D2" w14:textId="77777777" w:rsidR="009569C7" w:rsidRPr="00755ABF" w:rsidRDefault="00A834F1" w:rsidP="009569C7">
      <w:pPr>
        <w:pStyle w:val="Baseparagraphnumbered"/>
        <w:tabs>
          <w:tab w:val="left" w:pos="851"/>
        </w:tabs>
        <w:ind w:left="709"/>
      </w:pPr>
      <w:r>
        <w:t xml:space="preserve">Dolžniški instrumenti se vključijo v naslednje računovodske portfelje: (a) dolžniški instrumenti po nabavni ali odplačni vrednosti, (b) dolžniški instrumenti po pošteni vrednosti prek drugega vseobsegajočega donosa ali prek lastniškega kapitala, ki so predmet oslabitve, in (c) dolžniški instrumenti po strogem LOCOM ali pošteni vrednosti prek poslovnega izida ali prek lastniškega kapitala, ki niso predmet oslabitve, v skladu z merili iz odstavka 233 tega dela. Vsaka kategorija se razčleni po instrumentih in po nasprotnih strankah. </w:t>
      </w:r>
    </w:p>
    <w:p w14:paraId="65C0EB74" w14:textId="77777777" w:rsidR="009569C7" w:rsidRPr="00755ABF" w:rsidRDefault="00A834F1" w:rsidP="009569C7">
      <w:pPr>
        <w:pStyle w:val="Baseparagraphnumbered"/>
        <w:tabs>
          <w:tab w:val="left" w:pos="851"/>
        </w:tabs>
        <w:ind w:left="709"/>
      </w:pPr>
      <w:r>
        <w:t xml:space="preserve">V skladu z MSRP in ustreznimi nacionalnimi GAAP na podlagi direktive o računovodskih izkazih bank zunajbilančne postavke zajemajo naslednje preklicne in nepreklicne postavke: </w:t>
      </w:r>
    </w:p>
    <w:p w14:paraId="3515BD00" w14:textId="77777777" w:rsidR="009569C7" w:rsidRPr="00755ABF" w:rsidRDefault="00A834F1" w:rsidP="00C35843">
      <w:pPr>
        <w:pStyle w:val="Text1"/>
        <w:numPr>
          <w:ilvl w:val="1"/>
          <w:numId w:val="39"/>
        </w:numPr>
        <w:ind w:left="1134" w:hanging="425"/>
      </w:pPr>
      <w:r>
        <w:t>prevzete obveznosti iz kreditov;</w:t>
      </w:r>
    </w:p>
    <w:p w14:paraId="1E006625" w14:textId="77777777" w:rsidR="009569C7" w:rsidRPr="00755ABF" w:rsidRDefault="00A834F1" w:rsidP="00C35843">
      <w:pPr>
        <w:pStyle w:val="Text1"/>
        <w:numPr>
          <w:ilvl w:val="1"/>
          <w:numId w:val="39"/>
        </w:numPr>
        <w:ind w:left="1134" w:hanging="425"/>
      </w:pPr>
      <w:r>
        <w:t>dana finančna poroštva;</w:t>
      </w:r>
    </w:p>
    <w:p w14:paraId="105B5550" w14:textId="77777777" w:rsidR="009569C7" w:rsidRPr="00755ABF" w:rsidRDefault="00A834F1" w:rsidP="00C35843">
      <w:pPr>
        <w:pStyle w:val="Text1"/>
        <w:numPr>
          <w:ilvl w:val="1"/>
          <w:numId w:val="39"/>
        </w:numPr>
        <w:ind w:left="1134" w:hanging="425"/>
      </w:pPr>
      <w:r>
        <w:t>druge prevzete obveznosti.</w:t>
      </w:r>
    </w:p>
    <w:p w14:paraId="1AE49690" w14:textId="77777777" w:rsidR="009569C7" w:rsidRPr="00755ABF" w:rsidRDefault="00A834F1" w:rsidP="009569C7">
      <w:pPr>
        <w:pStyle w:val="Baseparagraphnumbered"/>
      </w:pPr>
      <w:r>
        <w:t xml:space="preserve">Dolžniški instrumenti, razvrščeni kot v posesti za prodajo v skladu z MSRP 5, se poročajo ločeno. </w:t>
      </w:r>
    </w:p>
    <w:p w14:paraId="4E70C424" w14:textId="77777777" w:rsidR="009569C7" w:rsidRPr="00755ABF" w:rsidRDefault="00A834F1" w:rsidP="009569C7">
      <w:pPr>
        <w:pStyle w:val="Baseparagraphnumbered"/>
      </w:pPr>
      <w:r>
        <w:t>V predlogi 18 se za dolžniške instrumente poroča „bruto knjigovodska vrednost“, kot je opredeljena v odstavku 34 dela 1 te priloge. Za zunajbilančne izpostavljenosti se poroča nominalni znesek, kot je opredeljen v odstavku 118 te priloge.</w:t>
      </w:r>
    </w:p>
    <w:p w14:paraId="57216AE6" w14:textId="16B78688" w:rsidR="009569C7" w:rsidRPr="00755ABF" w:rsidRDefault="00A834F1" w:rsidP="004F1742">
      <w:pPr>
        <w:pStyle w:val="Baseparagraphnumbered"/>
        <w:ind w:hanging="426"/>
      </w:pPr>
      <w:r>
        <w:lastRenderedPageBreak/>
        <w:t xml:space="preserve">Za namene predloge 18 je izpostavljenost „zapadla“, če izpolnjuje merila iz odstavka 96 tega dela. Za namene razvrstitve izpostavljenosti kot nedonosnih v skladu s točko (a) člena 47a(3) CRR se štetje 90 dni po zapadlosti začne, ko zapadli znesek, ki je vsota zapadle glavnice, obresti in provizije, preseže prag pomembnosti, kot je določeno v odstavku 216 tega dela. Če je zapadli del izpostavljenosti pomemben 90 zaporednih dni, je treba izpostavljenost razvrstiti kot nedonosno.  </w:t>
      </w:r>
    </w:p>
    <w:p w14:paraId="380EE0E2" w14:textId="77777777" w:rsidR="009569C7" w:rsidRPr="00755ABF" w:rsidRDefault="00A834F1" w:rsidP="009569C7">
      <w:pPr>
        <w:pStyle w:val="Baseparagraphnumbered"/>
        <w:tabs>
          <w:tab w:val="left" w:pos="851"/>
        </w:tabs>
        <w:ind w:left="709"/>
      </w:pPr>
      <w:r>
        <w:t xml:space="preserve"> Za namene predloge 18 „dolžnik“ pomeni dolžnika v smislu člena 178 CRR.</w:t>
      </w:r>
    </w:p>
    <w:p w14:paraId="4D85A912" w14:textId="3A42CC63" w:rsidR="009569C7" w:rsidRPr="00755ABF" w:rsidRDefault="00A834F1" w:rsidP="00802753">
      <w:pPr>
        <w:pStyle w:val="Baseparagraphnumbered"/>
        <w:numPr>
          <w:ilvl w:val="0"/>
          <w:numId w:val="89"/>
        </w:numPr>
        <w:tabs>
          <w:tab w:val="left" w:pos="851"/>
        </w:tabs>
      </w:pPr>
      <w:r>
        <w:t xml:space="preserve">Izpostavljenosti, ki se opredelijo kot nedonosne v skladu z odstavkom 213, se razvrstijo kot nedonosne na posamični podlagi („na ravni posla“) ali upoštevaje celotno izpostavljenost do določenega dolžnika („na ravni dolžnika“). Pri razvrstitvi nedonosnih izpostavljenosti na posamični podlagi oziroma izpostavljenosti na ravni določenega dolžnika se za različne tipe nedonosnih izpostavljenosti uporabijo naslednji pristopi razvrščanja: </w:t>
      </w:r>
    </w:p>
    <w:p w14:paraId="1BB3F594" w14:textId="77777777" w:rsidR="009569C7" w:rsidRPr="00755ABF" w:rsidRDefault="00A834F1" w:rsidP="00C35843">
      <w:pPr>
        <w:pStyle w:val="Text1"/>
        <w:numPr>
          <w:ilvl w:val="2"/>
          <w:numId w:val="39"/>
        </w:numPr>
        <w:ind w:left="1134" w:hanging="425"/>
      </w:pPr>
      <w:r>
        <w:t xml:space="preserve">za nedonosne izpostavljenosti, razvrščene kot neplačane v skladu s členom 178 CRR, se uporabi pristop razvrščanja iz navedenega člena; </w:t>
      </w:r>
    </w:p>
    <w:p w14:paraId="61E0E0AB" w14:textId="77777777" w:rsidR="009569C7" w:rsidRPr="00755ABF" w:rsidRDefault="00A834F1" w:rsidP="00C35843">
      <w:pPr>
        <w:pStyle w:val="Text1"/>
        <w:numPr>
          <w:ilvl w:val="2"/>
          <w:numId w:val="39"/>
        </w:numPr>
        <w:ind w:left="1134" w:hanging="425"/>
      </w:pPr>
      <w:r>
        <w:t>za izpostavljenosti, razvrščene kot nedonosne zaradi oslabitve v skladu z veljavnim računovodskim okvirom, se uporabijo merila za pripoznanje oslabitve iz veljavnega računovodskega okvira;</w:t>
      </w:r>
    </w:p>
    <w:p w14:paraId="0B17D8EA" w14:textId="77777777" w:rsidR="009569C7" w:rsidRPr="00755ABF" w:rsidRDefault="00A834F1" w:rsidP="00C35843">
      <w:pPr>
        <w:pStyle w:val="Text1"/>
        <w:numPr>
          <w:ilvl w:val="2"/>
          <w:numId w:val="39"/>
        </w:numPr>
        <w:ind w:left="1134" w:hanging="425"/>
      </w:pPr>
      <w:r>
        <w:t xml:space="preserve">za druge nedonosne izpostavljenosti, ki niso razvrščene kot neplačane ali oslabljene, se uporabljajo določbe člena 178 CRR za neplačane izpostavljenosti. </w:t>
      </w:r>
    </w:p>
    <w:p w14:paraId="2CE945DA" w14:textId="3BA0C87A" w:rsidR="009569C7" w:rsidRPr="00755ABF" w:rsidRDefault="00A834F1" w:rsidP="009569C7">
      <w:pPr>
        <w:pStyle w:val="Baseparagraphnumbered"/>
        <w:tabs>
          <w:tab w:val="left" w:pos="851"/>
        </w:tabs>
        <w:ind w:left="709"/>
      </w:pPr>
      <w:r>
        <w:t xml:space="preserve"> Če ima institucija bilančne izpostavljenosti do dolžnika, ki so zapadle več kot 90 dni in bruto knjigovodska vrednost zapadlih izpostavljenosti predstavlja več kot 20 % bruto knjigovodske vrednosti vseh bilančnih izpostavljenosti do tega dolžnika, se vse bilančne in zunajbilančne izpostavljenosti do tega dolžnika štejejo za nedonosne. Če dolžnik pripada skupini, se oceni, ali je potrebno, da se kot nedonosne štejejo tudi izpostavljenosti do drugih subjektov v skupini, razen pri izpostavljenostih, na katere vplivajo individualni spori, ki niso povezani s kapitalsko ustreznostjo nasprotne stranke. </w:t>
      </w:r>
    </w:p>
    <w:p w14:paraId="0C29828E" w14:textId="19B0DD7C" w:rsidR="009569C7" w:rsidRPr="00755ABF" w:rsidRDefault="00A834F1" w:rsidP="009569C7">
      <w:pPr>
        <w:pStyle w:val="Baseparagraphnumbered"/>
      </w:pPr>
      <w:r>
        <w:t xml:space="preserve">Za izpostavljenosti se šteje, da niso več nedonosne, če so izpolnjeni vsi pogoji iz člena 47a(4) CRR. </w:t>
      </w:r>
    </w:p>
    <w:p w14:paraId="654C83A9" w14:textId="312D9BDD" w:rsidR="009569C7" w:rsidRPr="00755ABF" w:rsidRDefault="00A834F1" w:rsidP="00CC553B">
      <w:pPr>
        <w:pStyle w:val="Baseparagraphnumbered"/>
        <w:numPr>
          <w:ilvl w:val="0"/>
          <w:numId w:val="90"/>
        </w:numPr>
      </w:pPr>
      <w:r>
        <w:t>Z razvrstitvijo nedonosne izpostavljenosti kot nekratkoročnega sredstva v posesti za prodajo v skladu z MSRP 5 se ne preneha njena razvrstitev kot nedonosna izpostavljenost v skladu s členom 47a(5) CRR.</w:t>
      </w:r>
    </w:p>
    <w:p w14:paraId="4363D6F7" w14:textId="3DC14181" w:rsidR="009569C7" w:rsidRPr="00755ABF" w:rsidRDefault="00A834F1" w:rsidP="009569C7">
      <w:pPr>
        <w:pStyle w:val="Baseparagraphnumbered"/>
        <w:tabs>
          <w:tab w:val="left" w:pos="851"/>
        </w:tabs>
        <w:ind w:left="709"/>
      </w:pPr>
      <w:r>
        <w:t xml:space="preserve"> Z odobritvijo ukrepov restrukturiranja za nedonosno izpostavljenost se ne preneha njen status nedonosne izpostavljenosti. V primeru nedonosnih izpostavljenosti z ukrepi restrukturiranja, kot je navedeno v odstavku 262, se za navedene izpostavljenosti šteje, da niso več nedonosne, če so izpolnjeni vsi pogoji iz člena 47a(6) CRR.</w:t>
      </w:r>
    </w:p>
    <w:p w14:paraId="557A0729" w14:textId="39FAD1FF" w:rsidR="009569C7" w:rsidRPr="00755ABF" w:rsidRDefault="00A834F1" w:rsidP="009569C7">
      <w:pPr>
        <w:pStyle w:val="Baseparagraphnumbered"/>
        <w:tabs>
          <w:tab w:val="left" w:pos="851"/>
        </w:tabs>
        <w:ind w:left="709"/>
      </w:pPr>
      <w:r>
        <w:t xml:space="preserve">Če pogoji iz odstavka 231 tega dela te priloge na koncu obdobja enega leta, določenega v točki (b) člena 47a(6) CRR, niso izpolnjeni, se izpostavljenost še </w:t>
      </w:r>
      <w:r>
        <w:lastRenderedPageBreak/>
        <w:t xml:space="preserve">naprej obravnava kot nedonosna </w:t>
      </w:r>
      <w:proofErr w:type="spellStart"/>
      <w:r>
        <w:t>restrukturirana</w:t>
      </w:r>
      <w:proofErr w:type="spellEnd"/>
      <w:r>
        <w:t xml:space="preserve"> izpostavljenost, dokler niso izpolnjeni vsi pogoji. Ti pogoji se ocenjujejo vsaj četrtletno.</w:t>
      </w:r>
    </w:p>
    <w:p w14:paraId="457198B8" w14:textId="77777777" w:rsidR="009569C7" w:rsidRPr="00755ABF" w:rsidRDefault="00A834F1" w:rsidP="00152278">
      <w:pPr>
        <w:pStyle w:val="Baseparagraphnumbered"/>
      </w:pPr>
      <w:r>
        <w:t xml:space="preserve">Računovodski portfelji po MSRP iz odstavka 15 dela 1 te priloge in po ustreznih nacionalnih GAAP na podlagi direktive o računovodskih izkazih bank iz odstavka 16 dela 1 te priloge se poročajo v predlogi 18, kot sledi: </w:t>
      </w:r>
    </w:p>
    <w:p w14:paraId="31FCA91B" w14:textId="77777777" w:rsidR="009569C7" w:rsidRPr="00755ABF" w:rsidRDefault="00A834F1" w:rsidP="009569C7">
      <w:pPr>
        <w:pStyle w:val="Baseparagraphnumbered"/>
        <w:numPr>
          <w:ilvl w:val="0"/>
          <w:numId w:val="0"/>
        </w:numPr>
        <w:ind w:left="1134" w:hanging="425"/>
      </w:pPr>
      <w:r>
        <w:t>(a)</w:t>
      </w:r>
      <w:r>
        <w:tab/>
        <w:t>„dolžniški instrumenti po nabavni ali odplačni vrednosti“ zajemajo dolžniške instrumente, vključene v katero koli od naslednjih kategorij:</w:t>
      </w:r>
    </w:p>
    <w:p w14:paraId="44F0379E" w14:textId="77777777" w:rsidR="009569C7" w:rsidRPr="00755ABF" w:rsidRDefault="00A834F1" w:rsidP="009569C7">
      <w:pPr>
        <w:pStyle w:val="Baseparagraphnumbered"/>
        <w:numPr>
          <w:ilvl w:val="0"/>
          <w:numId w:val="0"/>
        </w:numPr>
        <w:ind w:left="1440"/>
      </w:pPr>
      <w:r>
        <w:t>(i) „finančna sredstva, merjena po odplačni vrednosti“ (MSRP);</w:t>
      </w:r>
    </w:p>
    <w:p w14:paraId="4E9274D3" w14:textId="77777777" w:rsidR="009569C7" w:rsidRPr="00755ABF" w:rsidRDefault="00A834F1" w:rsidP="009569C7">
      <w:pPr>
        <w:pStyle w:val="Baseparagraphnumbered"/>
        <w:numPr>
          <w:ilvl w:val="0"/>
          <w:numId w:val="0"/>
        </w:numPr>
        <w:ind w:left="1440"/>
      </w:pPr>
      <w:r>
        <w:t>(ii) „netrgovalna neizvedena finančna sredstva, merjena z metodo na podlagi nabavne vrednosti“, vključno z dolžniškimi instrumenti po zmernem LOCOM (nacionalni GAAP na podlagi direktive o računovodskih izkazih bank);</w:t>
      </w:r>
    </w:p>
    <w:p w14:paraId="6398A6FB" w14:textId="77777777" w:rsidR="009569C7" w:rsidRPr="00755ABF" w:rsidRDefault="00A834F1" w:rsidP="009569C7">
      <w:pPr>
        <w:pStyle w:val="Baseparagraphnumbered"/>
        <w:numPr>
          <w:ilvl w:val="0"/>
          <w:numId w:val="0"/>
        </w:numPr>
        <w:ind w:left="1440"/>
      </w:pPr>
      <w:r>
        <w:t xml:space="preserve">(iii) „druga netrgovalna neizvedena finančna sredstva“ razen dolžniških instrumentov, merjenih po strogem LOCOM (nacionalni GAAP na podlagi direktive o računovodskih izkazih bank); </w:t>
      </w:r>
    </w:p>
    <w:p w14:paraId="724ACD56" w14:textId="77777777" w:rsidR="009569C7" w:rsidRPr="00755ABF" w:rsidRDefault="00A834F1" w:rsidP="009569C7">
      <w:pPr>
        <w:pStyle w:val="Baseparagraphnumbered"/>
        <w:numPr>
          <w:ilvl w:val="0"/>
          <w:numId w:val="0"/>
        </w:numPr>
        <w:ind w:left="1134" w:hanging="425"/>
      </w:pPr>
      <w:r>
        <w:t>(b) „dolžniški instrumenti po pošteni vrednosti prek drugega vseobsegajočega donosa ali prek lastniškega kapitala, ki so predmet oslabitve“ zajemajo dolžniške instrumente, vključene v katero koli od naslednjih kategorij:</w:t>
      </w:r>
    </w:p>
    <w:p w14:paraId="3AB45A7F" w14:textId="77777777" w:rsidR="009569C7" w:rsidRPr="00755ABF" w:rsidRDefault="00A834F1" w:rsidP="009569C7">
      <w:pPr>
        <w:pStyle w:val="Baseparagraphnumbered"/>
        <w:numPr>
          <w:ilvl w:val="0"/>
          <w:numId w:val="0"/>
        </w:numPr>
        <w:ind w:left="1440"/>
      </w:pPr>
      <w:r>
        <w:t>(i) „finančna sredstva, merjena po pošteni vrednosti prek drugega vseobsegajočega donosa“ (MSRP);</w:t>
      </w:r>
    </w:p>
    <w:p w14:paraId="34009686" w14:textId="77777777" w:rsidR="009569C7" w:rsidRPr="00755ABF" w:rsidRDefault="00A834F1" w:rsidP="009569C7">
      <w:pPr>
        <w:pStyle w:val="Baseparagraphnumbered"/>
        <w:numPr>
          <w:ilvl w:val="0"/>
          <w:numId w:val="0"/>
        </w:numPr>
        <w:ind w:left="1440"/>
      </w:pPr>
      <w:r>
        <w:t>(ii) „netrgovalna neizvedena finančna sredstva, merjena po pošteni vrednosti prek lastniškega kapitala“, pri čemer so lahko instrumenti v tej kategoriji merjenja predmet oslabitve v skladu z veljavnim računovodskim okvirom po nacionalnih GAAP na podlagi direktive o računovodskih izkazih bank;</w:t>
      </w:r>
    </w:p>
    <w:p w14:paraId="159B6B19" w14:textId="77777777" w:rsidR="009569C7" w:rsidRPr="00755ABF" w:rsidRDefault="00A834F1" w:rsidP="009569C7">
      <w:pPr>
        <w:pStyle w:val="Baseparagraphnumbered"/>
        <w:numPr>
          <w:ilvl w:val="0"/>
          <w:numId w:val="0"/>
        </w:numPr>
        <w:ind w:left="1134" w:hanging="425"/>
      </w:pPr>
      <w:r>
        <w:t>(c) „dolžniški instrumenti po strogem LOCOM ali po pošteni vrednosti prek poslovnega izida ali prek lastniškega kapitala, ki niso predmet oslabitve“ zajemajo dolžniške instrumente, vključene v katero koli od naslednjih kategorij:</w:t>
      </w:r>
    </w:p>
    <w:p w14:paraId="06685E73" w14:textId="77777777" w:rsidR="009569C7" w:rsidRPr="00755ABF" w:rsidRDefault="00A834F1" w:rsidP="009569C7">
      <w:pPr>
        <w:pStyle w:val="Baseparagraphnumbered"/>
        <w:numPr>
          <w:ilvl w:val="0"/>
          <w:numId w:val="0"/>
        </w:numPr>
        <w:ind w:left="1418"/>
      </w:pPr>
      <w:r>
        <w:t>(i) „netrgovalna finančna sredstva, obvezno merjena po pošteni vrednosti prek poslovnega izida“ (MSRP);</w:t>
      </w:r>
    </w:p>
    <w:p w14:paraId="6CFC1660" w14:textId="77777777" w:rsidR="009569C7" w:rsidRPr="00755ABF" w:rsidRDefault="00A834F1" w:rsidP="009569C7">
      <w:pPr>
        <w:pStyle w:val="Baseparagraphnumbered"/>
        <w:numPr>
          <w:ilvl w:val="0"/>
          <w:numId w:val="0"/>
        </w:numPr>
        <w:ind w:left="1418"/>
      </w:pPr>
      <w:r>
        <w:t>(ii) „finančna sredstva, določena za merjenje po pošteni vrednosti prek poslovnega izida“ (MSRP);</w:t>
      </w:r>
    </w:p>
    <w:p w14:paraId="1DF34E59" w14:textId="77777777" w:rsidR="009569C7" w:rsidRPr="00755ABF" w:rsidRDefault="00A834F1" w:rsidP="009569C7">
      <w:pPr>
        <w:pStyle w:val="Baseparagraphnumbered"/>
        <w:numPr>
          <w:ilvl w:val="0"/>
          <w:numId w:val="0"/>
        </w:numPr>
        <w:ind w:left="1418"/>
      </w:pPr>
      <w:r>
        <w:t>(iii) „netrgovalna neizvedena finančna sredstva, merjena po pošteni vrednosti prek poslovnega izida“ (nacionalni GAAP na podlagi direktive o računovodskih izkazih bank);</w:t>
      </w:r>
    </w:p>
    <w:p w14:paraId="1A116E59" w14:textId="77777777" w:rsidR="009569C7" w:rsidRPr="00755ABF" w:rsidRDefault="00A834F1" w:rsidP="009569C7">
      <w:pPr>
        <w:pStyle w:val="Baseparagraphnumbered"/>
        <w:numPr>
          <w:ilvl w:val="0"/>
          <w:numId w:val="0"/>
        </w:numPr>
        <w:ind w:left="1418"/>
      </w:pPr>
      <w:r>
        <w:lastRenderedPageBreak/>
        <w:t>(iv) „druga netrgovalna neizvedena finančna sredstva“, če se dolžniški instrumenti merijo po strogem LOCOM (nacionalni GAAP na podlagi direktive o računovodskih izkazih bank);</w:t>
      </w:r>
    </w:p>
    <w:p w14:paraId="29C300C9" w14:textId="77777777" w:rsidR="009569C7" w:rsidRPr="00755ABF" w:rsidRDefault="00A834F1" w:rsidP="009569C7">
      <w:pPr>
        <w:pStyle w:val="Baseparagraphnumbered"/>
        <w:numPr>
          <w:ilvl w:val="0"/>
          <w:numId w:val="0"/>
        </w:numPr>
        <w:ind w:left="1418"/>
      </w:pPr>
      <w:r>
        <w:t>(v) „netrgovalna neizvedena finančna sredstva, merjena po pošteni vrednosti prek lastniškega kapitala“, pri čemer dolžniški instrumenti v tej kategoriji merjenja niso predmet oslabitve v skladu z veljavnim računovodskim okvirom po nacionalnih GAAP na podlagi direktive o računovodskih izkazih bank.</w:t>
      </w:r>
    </w:p>
    <w:p w14:paraId="3901D831" w14:textId="77777777" w:rsidR="009569C7" w:rsidRPr="00755ABF" w:rsidRDefault="00A834F1" w:rsidP="0062156F">
      <w:pPr>
        <w:pStyle w:val="Baseparagraphnumbered"/>
        <w:tabs>
          <w:tab w:val="left" w:pos="851"/>
        </w:tabs>
        <w:ind w:left="709"/>
      </w:pPr>
      <w:r>
        <w:t>Če MSRP ali relevantni nacionalni GAAP na podlagi direktive o računovodskih izkazih bank predpisujejo določitev zavez po pošteni vrednosti prek poslovnega izida, se knjigovodska vrednost vseh sredstev, ki izhajajo iz take določitve in merjenja po pošteni vrednosti, poročajo pod postavko „finančna sredstva, določena za merjenje po pošteni vrednosti prek poslovnega izida“ (MSRP) ali „netrgovalna neizvedena finančna sredstva, merjena po pošteni vrednosti prek poslovnega izida“ (nacionalni GAAP na podlagi direktive o računovodskih izkazih bank). Knjigovodska vrednost vseh obveznosti, ki izhajajo iz take označitve, se ne poroča v predlogi 18. Nominalni znesek vseh zavez, določenih za merjenje po pošteni vrednosti prek poslovnega izida, se poroča v predlogi 9.</w:t>
      </w:r>
    </w:p>
    <w:p w14:paraId="16CF99FC" w14:textId="77777777" w:rsidR="0062156F" w:rsidRPr="00755ABF" w:rsidRDefault="0062156F" w:rsidP="0062156F">
      <w:pPr>
        <w:pStyle w:val="Baseparagraphnumbered"/>
        <w:numPr>
          <w:ilvl w:val="0"/>
          <w:numId w:val="0"/>
        </w:numPr>
        <w:tabs>
          <w:tab w:val="left" w:pos="851"/>
        </w:tabs>
        <w:ind w:left="709" w:hanging="357"/>
      </w:pPr>
      <w:r>
        <w:t>234i. Naslednje izpostavljenosti se navedejo v ločenih vrsticah:</w:t>
      </w:r>
    </w:p>
    <w:p w14:paraId="35530548" w14:textId="77777777" w:rsidR="0062156F" w:rsidRPr="00755ABF" w:rsidRDefault="0062156F" w:rsidP="00C35843">
      <w:pPr>
        <w:pStyle w:val="Text1"/>
        <w:numPr>
          <w:ilvl w:val="0"/>
          <w:numId w:val="70"/>
        </w:numPr>
        <w:ind w:left="1134" w:hanging="425"/>
      </w:pPr>
      <w:r>
        <w:t xml:space="preserve">krediti, zavarovani z nepremičninami, kot so opredeljeni v odstavkih 86(a) in 87 tega dela; </w:t>
      </w:r>
    </w:p>
    <w:p w14:paraId="4CFE5F7E" w14:textId="77777777" w:rsidR="0062156F" w:rsidRPr="00755ABF" w:rsidRDefault="0062156F" w:rsidP="00C35843">
      <w:pPr>
        <w:pStyle w:val="Text1"/>
        <w:numPr>
          <w:ilvl w:val="0"/>
          <w:numId w:val="70"/>
        </w:numPr>
        <w:ind w:left="1134" w:hanging="425"/>
      </w:pPr>
      <w:r>
        <w:t>potrošniški krediti, kot so opredeljeni v odstavku 88(a) tega dela.</w:t>
      </w:r>
    </w:p>
    <w:p w14:paraId="55A2316D" w14:textId="77777777" w:rsidR="009569C7" w:rsidRPr="00755ABF" w:rsidRDefault="00A834F1" w:rsidP="009569C7">
      <w:pPr>
        <w:pStyle w:val="Baseparagraphnumbered"/>
        <w:tabs>
          <w:tab w:val="left" w:pos="851"/>
        </w:tabs>
        <w:ind w:left="709"/>
      </w:pPr>
      <w:r>
        <w:t>Zapadle izpostavljenosti se poročajo ločeno znotraj kategorij donosnih in nedonosnih izpostavljenosti v celotnem znesku, kot je opredeljeno v odstavku 96 tega dela. Izpostavljenosti, zapadle več kot 90 dni, ki niso pomembne v skladu s členom 178 CRR, se poročajo med donosnimi izpostavljenostmi pod postavko „zapadle &gt; 30 dni &lt;= 90 dni“.</w:t>
      </w:r>
    </w:p>
    <w:p w14:paraId="4A4EF578" w14:textId="2EAF514B" w:rsidR="009569C7" w:rsidRPr="00755ABF" w:rsidRDefault="00A834F1" w:rsidP="009569C7">
      <w:pPr>
        <w:pStyle w:val="Baseparagraphnumbered"/>
        <w:tabs>
          <w:tab w:val="left" w:pos="851"/>
        </w:tabs>
        <w:ind w:left="709"/>
      </w:pPr>
      <w:r>
        <w:t xml:space="preserve">Nedonosne izpostavljenosti se poročajo razčlenjeno na časovne razrede zapadlosti. V primeru uporabe pristopa na ravni dolžnika iz odstavka 226 tega dela te priloge pri razvrstitvi izpostavljenosti kot nedonosnih, se izpostavljenosti dolžnika poročajo po časovnih razredih zapadlosti nedonosnih izpostavljenosti glede na njihov posamezni status zapadlosti. Izpostavljenosti, ki niso zapadle ali so zapadle 90 dni ali manj, vendar so kljub temu opredeljene kot nedonosne zaradi verjetnosti, da ne bodo poplačane v celoti, se poročajo v za to namenjenem stolpcu. Izpostavljenosti, ki predstavljajo tako zapadle zneske kot tudi zneske, ki verjetno ne bodo poplačani v celoti, se razporedijo v časovne razrede zapadlosti skladno s številom dni zamude pri odplačevanju. </w:t>
      </w:r>
    </w:p>
    <w:p w14:paraId="522BD263" w14:textId="77777777" w:rsidR="009569C7" w:rsidRPr="00755ABF" w:rsidRDefault="00A834F1" w:rsidP="009569C7">
      <w:pPr>
        <w:pStyle w:val="Baseparagraphnumbered"/>
        <w:tabs>
          <w:tab w:val="left" w:pos="851"/>
        </w:tabs>
        <w:ind w:left="709"/>
      </w:pPr>
      <w:r>
        <w:t>Naslednje izpostavljenosti se navedejo v ločenih stolpcih:</w:t>
      </w:r>
    </w:p>
    <w:p w14:paraId="7632F8FA" w14:textId="765172CA" w:rsidR="009569C7" w:rsidRPr="001D2FE6" w:rsidRDefault="00A834F1" w:rsidP="00C35843">
      <w:pPr>
        <w:pStyle w:val="Text1"/>
        <w:numPr>
          <w:ilvl w:val="0"/>
          <w:numId w:val="71"/>
        </w:numPr>
        <w:ind w:left="1134" w:hanging="425"/>
      </w:pPr>
      <w:r>
        <w:t xml:space="preserve">izpostavljenosti, ki se štejejo za oslabljene v skladu z veljavnim računovodskim okvirom; v skladu z MSRP se poroča znesek sredstev s poslabšano kreditno kakovostjo (tretja skupina), ki ne vključuje kupljenih </w:t>
      </w:r>
      <w:r>
        <w:lastRenderedPageBreak/>
        <w:t>ali izdanih (ustvarjenih) sredstev s poslabšano kreditno kakovostjo; v skladu z nacionalnimi GAAP se poroča znesek oslabljenih sredstev;</w:t>
      </w:r>
    </w:p>
    <w:p w14:paraId="1C8686EF" w14:textId="2DADA16D" w:rsidR="009569C7" w:rsidRPr="001D2FE6" w:rsidRDefault="00A834F1" w:rsidP="00C35843">
      <w:pPr>
        <w:pStyle w:val="Text1"/>
        <w:numPr>
          <w:ilvl w:val="0"/>
          <w:numId w:val="71"/>
        </w:numPr>
        <w:ind w:left="1134" w:hanging="425"/>
      </w:pPr>
      <w:r>
        <w:t xml:space="preserve">izpostavljenosti, v zvezi s katerimi se šteje, da je prišlo do neplačila v skladu s členom 178 CRR; </w:t>
      </w:r>
    </w:p>
    <w:p w14:paraId="6FF338E4" w14:textId="185FA7F2" w:rsidR="0062156F" w:rsidRPr="001D2FE6" w:rsidRDefault="0062156F" w:rsidP="00C35843">
      <w:pPr>
        <w:pStyle w:val="Text1"/>
        <w:numPr>
          <w:ilvl w:val="0"/>
          <w:numId w:val="71"/>
        </w:numPr>
        <w:ind w:left="1134" w:hanging="425"/>
      </w:pPr>
      <w:r>
        <w:t>v skladu z MSRP sredstva z večjim povečanjem kreditnega tveganja od začetnega pripoznanja, vendar brez poslabšanja kreditne kakovosti (druga skupina), ki ne vključujejo kupljenih ali izdanih (ustvarjenih) sredstev s poslabšano kreditno kakovostjo;</w:t>
      </w:r>
    </w:p>
    <w:p w14:paraId="79A5F58E" w14:textId="77777777" w:rsidR="00CC553B" w:rsidRDefault="0062156F" w:rsidP="00C35843">
      <w:pPr>
        <w:pStyle w:val="Text1"/>
        <w:numPr>
          <w:ilvl w:val="0"/>
          <w:numId w:val="71"/>
        </w:numPr>
        <w:ind w:left="1134" w:hanging="425"/>
      </w:pPr>
      <w:r>
        <w:t>v skladu z MSRP, za donosne izpostavljenosti, sredstva brez večjega povečanja kreditnega tveganja od začetnega pripoznanja (prva skupina);</w:t>
      </w:r>
    </w:p>
    <w:p w14:paraId="26728FFB" w14:textId="37FF1A82" w:rsidR="00CC553B" w:rsidRDefault="00CC553B" w:rsidP="00C35843">
      <w:pPr>
        <w:pStyle w:val="Text1"/>
        <w:numPr>
          <w:ilvl w:val="0"/>
          <w:numId w:val="71"/>
        </w:numPr>
        <w:ind w:left="1134" w:hanging="425"/>
      </w:pPr>
      <w:r>
        <w:t>izpostavljenosti, ki se štejejo za kupljena ali izdana (ustvarjena) finančna sredstva, ki imajo ob začetnem pripoznanju poslabšano kreditno kakovost v skladu s Prilogo A k MSRP 9, vključno z zunajbilančnimi izpostavljenostmi, za katere se šteje, da imajo ob začetnem pripoznanju poslabšano kreditno kakovost;</w:t>
      </w:r>
    </w:p>
    <w:p w14:paraId="60DA7A43" w14:textId="28BAC0D0" w:rsidR="0062156F" w:rsidRPr="00755ABF" w:rsidRDefault="00CC553B" w:rsidP="00CC553B">
      <w:pPr>
        <w:pStyle w:val="Text1"/>
        <w:numPr>
          <w:ilvl w:val="0"/>
          <w:numId w:val="71"/>
        </w:numPr>
        <w:ind w:left="1134" w:hanging="425"/>
      </w:pPr>
      <w:r>
        <w:t xml:space="preserve">za donosne izpostavljenosti znesek akumulirane oslabitve za izpostavljenosti, ki so zapadle več kot 30 dni. </w:t>
      </w:r>
    </w:p>
    <w:p w14:paraId="38914ADC" w14:textId="77777777" w:rsidR="009569C7" w:rsidRPr="00755ABF" w:rsidRDefault="00A834F1" w:rsidP="009569C7">
      <w:pPr>
        <w:pStyle w:val="Baseparagraphnumbered"/>
        <w:tabs>
          <w:tab w:val="left" w:pos="851"/>
        </w:tabs>
        <w:ind w:left="709"/>
      </w:pPr>
      <w:r>
        <w:t xml:space="preserve">Akumulirane oslabitve, akumulirane negativne spremembe poštene vrednosti zaradi kreditnega tveganja in rezervacije se poročajo v skladu z odstavki 11, 69 do 71, 106 in 110 tega dela. </w:t>
      </w:r>
    </w:p>
    <w:p w14:paraId="38F1B0B1" w14:textId="77777777" w:rsidR="009569C7" w:rsidRPr="00755ABF" w:rsidRDefault="00A834F1" w:rsidP="0062156F">
      <w:pPr>
        <w:pStyle w:val="Baseparagraphnumbered"/>
        <w:tabs>
          <w:tab w:val="left" w:pos="851"/>
        </w:tabs>
        <w:ind w:left="709"/>
      </w:pPr>
      <w:r>
        <w:t>Informacije o prejetem zavarovanju s premoženjem in prejetih poroštvih za donosne in nedonosne izpostavljenosti se poročajo ločeno. Zneski, ki se poročajo za prejeto zavarovanje s premoženjem in prejeta poroštva, se izračunajo v skladu z odstavkoma 172 in 174 tega dela. Zgornja meja vsote poročanih zneskov za zavarovanje s premoženjem in poroštva je knjigovodska vrednost ali nominalni znesek povezane izpostavljenosti po odbitku rezervacij.</w:t>
      </w:r>
    </w:p>
    <w:p w14:paraId="2B1436D1" w14:textId="77777777" w:rsidR="0062156F" w:rsidRPr="00755ABF" w:rsidRDefault="0062156F" w:rsidP="0062156F">
      <w:pPr>
        <w:pStyle w:val="sub-subtitlenumbered"/>
        <w:jc w:val="both"/>
      </w:pPr>
      <w:bookmarkStart w:id="199" w:name="_Toc188539780"/>
      <w:r>
        <w:t>Prilivi in odlivi iz naslova nedonosnih izpostavljenosti – krediti in druga finančna sredstva glede na sektor nasprotne stranke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V predlogi 18.1 se poročajo prilivi in odlivi iz naslova kreditov in drugih finančnih sredstev razen kreditov in drugih finančnih sredstev, razvrščenih kot trgovalna finančna sredstva ali v posesti za trgovanje, ki so bili razvrščeni v ali iz kategorije nedonosnih izpostavljenosti, kot je opredeljeno v odstavkih 213 do 239 ali 260 tega dela. Prilivi in odlivi iz naslova nedonosnih kreditov in drugih finančnih sredstev se razčlenijo glede na sektor nasprotne stranke.</w:t>
      </w:r>
    </w:p>
    <w:p w14:paraId="0DD63E19" w14:textId="77777777" w:rsidR="0062156F" w:rsidRPr="00755ABF" w:rsidRDefault="0062156F" w:rsidP="0062156F">
      <w:pPr>
        <w:pStyle w:val="Baseparagraphnumbered"/>
        <w:numPr>
          <w:ilvl w:val="0"/>
          <w:numId w:val="0"/>
        </w:numPr>
        <w:tabs>
          <w:tab w:val="left" w:pos="851"/>
        </w:tabs>
        <w:ind w:left="709" w:hanging="357"/>
      </w:pPr>
      <w:r>
        <w:t>239ii. Prilivi v kategorijo nedonosnih izpostavljenosti se poročajo na kumulativni podlagi od začetka poslovnega leta. Priliv odraža bruto knjigovodsko vrednost izpostavljenosti, ki so v obdobju postale nedonosne, kot je opredeljeno v odstavkih 213 do 239 ali 260 tega dela, vključno s kupljenimi nedonosnimi izpostavljenostmi. Povečanje bruto knjigovodske vrednosti nedonosne izpostavljenosti zaradi obračunanih obresti ali zaradi povečanja akumuliranih negativnih sprememb poštene vrednosti zaradi kreditnega tveganja se prav tako poroča kot priliv.</w:t>
      </w:r>
    </w:p>
    <w:p w14:paraId="6F1907C4" w14:textId="77777777" w:rsidR="0062156F" w:rsidRPr="00755ABF" w:rsidRDefault="0062156F" w:rsidP="0062156F">
      <w:pPr>
        <w:pStyle w:val="Baseparagraphnumbered"/>
        <w:numPr>
          <w:ilvl w:val="0"/>
          <w:numId w:val="0"/>
        </w:numPr>
        <w:tabs>
          <w:tab w:val="left" w:pos="851"/>
        </w:tabs>
        <w:ind w:left="709" w:hanging="357"/>
      </w:pPr>
      <w:r>
        <w:lastRenderedPageBreak/>
        <w:t>239iii.</w:t>
      </w:r>
      <w:r>
        <w:tab/>
        <w:t>Za izpostavljenost, ki je bila v obdobju večkrat prerazvrščena iz nedonosnih med donosne in obratno, se znesek prilivov in odlivov določi na podlagi primerjave med statusom izpostavljenosti (donosna ali nedonosna) na začetku poslovnega leta ali ob začetnem pripoznanju ter njenim statusom na referenčni datum poročanja.</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Odlivi iz kategorije nedonosnih izpostavljenosti se poročajo na kumulativni podlagi od začetka poslovnega leta. Odliv odraža vsoto bruto knjigovodskih vrednosti izpostavljenosti, ki v obdobju prenehajo biti nedonosne, in, kjer je relevantno, vključuje znesek odpisov, opravljenih v okviru delne ali polne odprave pripoznanja izpostavljenosti. Zmanjšanje bruto knjigovodske vrednosti nedonosne izpostavljenosti zaradi plačanih obresti ali zmanjšanja akumuliranih negativnih sprememb poštene vrednosti zaradi kreditnega tveganja se prav tako poroča kot odliv.</w:t>
      </w:r>
    </w:p>
    <w:p w14:paraId="2F784008" w14:textId="77777777" w:rsidR="0062156F" w:rsidRPr="00755ABF" w:rsidRDefault="0062156F" w:rsidP="0062156F">
      <w:pPr>
        <w:pStyle w:val="Baseparagraphnumbered"/>
        <w:numPr>
          <w:ilvl w:val="0"/>
          <w:numId w:val="0"/>
        </w:numPr>
        <w:tabs>
          <w:tab w:val="left" w:pos="851"/>
        </w:tabs>
        <w:ind w:left="709" w:hanging="357"/>
      </w:pPr>
      <w:r>
        <w:t>239v. Odliv se poroča v naslednjih primerih:</w:t>
      </w:r>
    </w:p>
    <w:p w14:paraId="333D476D" w14:textId="77777777" w:rsidR="00D821B0" w:rsidRPr="00755ABF" w:rsidRDefault="00E64E18" w:rsidP="00C35843">
      <w:pPr>
        <w:pStyle w:val="Text1"/>
        <w:numPr>
          <w:ilvl w:val="0"/>
          <w:numId w:val="72"/>
        </w:numPr>
        <w:ind w:left="1134" w:hanging="425"/>
      </w:pPr>
      <w:r>
        <w:t>nedonosna izpostavljenost izpolnjuje merila za prenehanje razvrstitve kot nedonosna, kot je določeno v odstavkih 228–232 tega dela, in se prerazvrsti med donosne izpostavljenosti, ki niso restrukturirane, ali restrukturirane donosne izpostavljenosti;</w:t>
      </w:r>
    </w:p>
    <w:p w14:paraId="50E9F63D" w14:textId="77777777" w:rsidR="0062156F" w:rsidRPr="00755ABF" w:rsidRDefault="00E64E18" w:rsidP="00C35843">
      <w:pPr>
        <w:pStyle w:val="Text1"/>
        <w:numPr>
          <w:ilvl w:val="0"/>
          <w:numId w:val="72"/>
        </w:numPr>
        <w:ind w:left="1134" w:hanging="425"/>
      </w:pPr>
      <w:r>
        <w:t>nedonosna izpostavljenost se delno ali v celoti odplača; v primeru delnega odplačila se samo odplačani znesek razvrsti kot odliv;</w:t>
      </w:r>
    </w:p>
    <w:p w14:paraId="3A98739A" w14:textId="77777777" w:rsidR="0062156F" w:rsidRPr="00755ABF" w:rsidRDefault="00E64E18" w:rsidP="00C35843">
      <w:pPr>
        <w:pStyle w:val="Text1"/>
        <w:numPr>
          <w:ilvl w:val="0"/>
          <w:numId w:val="72"/>
        </w:numPr>
        <w:ind w:left="1134" w:hanging="425"/>
      </w:pPr>
      <w:r>
        <w:t>zavarovanje s premoženjem se unovči, vključno z odlivi zaradi drugih postopkov unovčenja ali pravnih postopkov, kot je unovčenje drugih sredstev, ki niso zavarovanje s premoženjem, pridobljenih s pravnimi postopki, in prostovoljna prodaja zavarovanja s premoženjem;</w:t>
      </w:r>
    </w:p>
    <w:p w14:paraId="0597B4F0" w14:textId="77777777" w:rsidR="0062156F" w:rsidRPr="00755ABF" w:rsidRDefault="00E64E18" w:rsidP="00C35843">
      <w:pPr>
        <w:pStyle w:val="Text1"/>
        <w:numPr>
          <w:ilvl w:val="0"/>
          <w:numId w:val="72"/>
        </w:numPr>
        <w:ind w:left="1134" w:hanging="425"/>
      </w:pPr>
      <w:r>
        <w:t>institucija pridobi posest nad zavarovanjem s premoženjem, kot je navedeno v odstavku 175 tega dela, vključno s primeri zamenjav dolga za sredstva, prostovoljnih odstopov in zamenjav dolga za lastniški kapital;</w:t>
      </w:r>
    </w:p>
    <w:p w14:paraId="2805146F" w14:textId="77777777" w:rsidR="0062156F" w:rsidRPr="00755ABF" w:rsidRDefault="00E64E18" w:rsidP="00C35843">
      <w:pPr>
        <w:pStyle w:val="Text1"/>
        <w:numPr>
          <w:ilvl w:val="0"/>
          <w:numId w:val="72"/>
        </w:numPr>
        <w:ind w:left="1134" w:hanging="425"/>
      </w:pPr>
      <w:r>
        <w:t>nedonosna izpostavljenost se proda;</w:t>
      </w:r>
    </w:p>
    <w:p w14:paraId="65EDB778" w14:textId="77777777" w:rsidR="0062156F" w:rsidRPr="00755ABF" w:rsidRDefault="00E64E18" w:rsidP="00C35843">
      <w:pPr>
        <w:pStyle w:val="Text1"/>
        <w:numPr>
          <w:ilvl w:val="0"/>
          <w:numId w:val="72"/>
        </w:numPr>
        <w:ind w:left="1134" w:hanging="425"/>
      </w:pPr>
      <w:r>
        <w:t xml:space="preserve">tveganje v zvezi z nedonosno izpostavljenostjo se prenese in izpostavljenost izpolnjuje merila za odpravo pripoznanja; </w:t>
      </w:r>
    </w:p>
    <w:p w14:paraId="6BA46BEE" w14:textId="77777777" w:rsidR="0062156F" w:rsidRPr="00755ABF" w:rsidRDefault="00E64E18" w:rsidP="00C35843">
      <w:pPr>
        <w:pStyle w:val="Text1"/>
        <w:numPr>
          <w:ilvl w:val="0"/>
          <w:numId w:val="72"/>
        </w:numPr>
        <w:ind w:left="1134" w:hanging="425"/>
      </w:pPr>
      <w:r>
        <w:t>nedonosna izpostavljenost se delno ali v celoti odpiše; v primeru delnega odpisa se samo odpisani znesek razvrsti kot odliv;</w:t>
      </w:r>
    </w:p>
    <w:p w14:paraId="1DCD7489" w14:textId="77777777" w:rsidR="0062156F" w:rsidRPr="00755ABF" w:rsidRDefault="00E64E18" w:rsidP="00C35843">
      <w:pPr>
        <w:pStyle w:val="Text1"/>
        <w:numPr>
          <w:ilvl w:val="0"/>
          <w:numId w:val="72"/>
        </w:numPr>
        <w:ind w:left="1134" w:hanging="425"/>
      </w:pPr>
      <w:r>
        <w:t>nedonosna izpostavljenost ali deli nedonosne izpostavljenosti niso več nedonosni zaradi drugih razlogov.</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Prerazvrstitev nedonosne izpostavljenosti iz enega računovodskega portfelja v drugega se ne poroča niti kot priliv niti kot odliv. Izjemoma se prerazvrstitev nedonosne izpostavljenosti iz katerega koli računovodskega portfelja v kategorijo „v posesti za trgovanje“ poroča kot odliv iz prvotnega računovodskega portfelja in priliv v kategorijo „v posesti za trgovanje“.</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Naslednje izpostavljenosti se navedejo v ločenih vrsticah:</w:t>
      </w:r>
    </w:p>
    <w:p w14:paraId="3A11CCA2" w14:textId="77777777" w:rsidR="0062156F" w:rsidRPr="00755ABF" w:rsidRDefault="00E64E18" w:rsidP="00C35843">
      <w:pPr>
        <w:pStyle w:val="Baseparagraphnumbered"/>
        <w:numPr>
          <w:ilvl w:val="0"/>
          <w:numId w:val="69"/>
        </w:numPr>
        <w:tabs>
          <w:tab w:val="left" w:pos="851"/>
        </w:tabs>
        <w:ind w:left="1066" w:hanging="357"/>
      </w:pPr>
      <w:r>
        <w:lastRenderedPageBreak/>
        <w:t>krediti za poslovne nepremičnine, kot so opredeljeni v odstavku 239ix, razčlenjeni na kredite za poslovne nepremičnine MSP in kredite za poslovne nepremičnine nefinančnim družbam razen MSP;</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krediti, zavarovani z nepremičninami, kot so opredeljeni v odstavkih 86(a) in 87 tega dela; </w:t>
      </w:r>
    </w:p>
    <w:p w14:paraId="67446323" w14:textId="77777777" w:rsidR="0062156F" w:rsidRPr="00755ABF" w:rsidRDefault="00E64E18" w:rsidP="00C35843">
      <w:pPr>
        <w:pStyle w:val="Baseparagraphnumbered"/>
        <w:numPr>
          <w:ilvl w:val="0"/>
          <w:numId w:val="69"/>
        </w:numPr>
        <w:tabs>
          <w:tab w:val="left" w:pos="851"/>
        </w:tabs>
        <w:ind w:left="1066" w:hanging="357"/>
      </w:pPr>
      <w:r>
        <w:t>potrošniški krediti, kot so opredeljeni v odstavku 88(a) tega dela.</w:t>
      </w:r>
    </w:p>
    <w:p w14:paraId="459C3132" w14:textId="77777777" w:rsidR="0062156F" w:rsidRPr="00755ABF" w:rsidRDefault="0062156F" w:rsidP="0062156F">
      <w:pPr>
        <w:pStyle w:val="sub-subtitlenumbered"/>
        <w:jc w:val="both"/>
      </w:pPr>
      <w:bookmarkStart w:id="200" w:name="_Toc188539781"/>
      <w:r>
        <w:t>Krediti za poslovne nepremičnine in dodatne informacije o kreditih, zavarovanih z nepremičninami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V predlogi 18.2 se navedejo informacije o kreditih za poslovne nepremičnine nefinančnim družbam in o kreditih, zavarovanih s poslovnimi ali stanovanjskimi nepremičninami, nefinančnim družbam oziroma gospodinjstvom, razčlenjenih glede na razmerje med vrednostjo kredita in vrednostjo zavarovanja (LTV). Krediti in druga finančna sredstva, razvrščeni kot v posesti za trgovanje, trgovalna finančna sredstva in dolžniški instrumenti v posesti za prodajo, se izključijo.</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Postavka „krediti za poslovne nepremičnine“ zajema izpostavljenosti, kot so opredeljene v odstavku 1 poglavja 1 oddelka 2 Priporočila ESRB o odpravljanju vrzeli v podatkih o nepremičninah</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Razmerje LTV se izračuna v skladu z metodo za izračun „sedanjega razmerja med posojilom in vrednostjo nepremičnine“ (LTV-C), določeno v odstavku 1 poglavja 1 oddelka 2 Priporočila ESRB o odpravljanju vrzeli v podatkih o nepremičninah.</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Informacije o prejetem zavarovanju s premoženjem in prejetih finančnih poroštvih za kredite se poročajo v skladu z odstavkom 239 tega dela. Zato je zgornja meja vsote poročanih zneskov za zavarovanje s premoženjem in poroštva knjigovodska vrednost povezane izpostavljenosti.</w:t>
      </w:r>
    </w:p>
    <w:p w14:paraId="0624DC55" w14:textId="77777777" w:rsidR="009569C7" w:rsidRPr="00755ABF" w:rsidRDefault="00A834F1" w:rsidP="009569C7">
      <w:pPr>
        <w:pStyle w:val="subtitlenumbered"/>
        <w:jc w:val="both"/>
      </w:pPr>
      <w:bookmarkStart w:id="201" w:name="_Toc188539782"/>
      <w:r>
        <w:t>Restrukturirane izpostavljenosti (19)</w:t>
      </w:r>
      <w:bookmarkEnd w:id="201"/>
    </w:p>
    <w:p w14:paraId="4F255C5B" w14:textId="6656FF32" w:rsidR="009569C7" w:rsidRPr="00755ABF" w:rsidRDefault="00A834F1" w:rsidP="009569C7">
      <w:pPr>
        <w:pStyle w:val="Baseparagraphnumbered"/>
        <w:tabs>
          <w:tab w:val="left" w:pos="851"/>
        </w:tabs>
        <w:ind w:left="709"/>
      </w:pPr>
      <w:r>
        <w:t xml:space="preserve"> Za namene predloge 19 so restrukturirane izpostavljenosti dolžniške pogodbe, v zvezi s katerimi so se uporabili ukrepi restrukturiranja, kot so opredeljeni v členu 47b(1) in (2) CRR. </w:t>
      </w:r>
    </w:p>
    <w:p w14:paraId="0E473FEA" w14:textId="7C311179" w:rsidR="009569C7" w:rsidRPr="00755ABF" w:rsidRDefault="00427B62" w:rsidP="00427B62">
      <w:pPr>
        <w:pStyle w:val="Baseparagraphnumbered"/>
        <w:numPr>
          <w:ilvl w:val="0"/>
          <w:numId w:val="91"/>
        </w:numPr>
        <w:tabs>
          <w:tab w:val="left" w:pos="851"/>
        </w:tabs>
      </w:pPr>
      <w:r>
        <w:t xml:space="preserve"> Ukrepi restrukturiranja vključujejo tudi izvajanje klavzul, ki po diskrecijski presoji omogočajo dolžniku spremembo pogojev pogodbe („vgrajene klavzule o </w:t>
      </w:r>
      <w:proofErr w:type="spellStart"/>
      <w:r>
        <w:t>restrukturiranju</w:t>
      </w:r>
      <w:proofErr w:type="spellEnd"/>
      <w:r>
        <w:t xml:space="preserve">“) in ki se obravnavajo kot koncesija, kadar institucija odobri izvajanje navedenih klavzul in sklene, da ima dolžnik finančne težave. </w:t>
      </w:r>
    </w:p>
    <w:p w14:paraId="5E6BB199" w14:textId="77777777" w:rsidR="009569C7" w:rsidRPr="00755ABF" w:rsidRDefault="00A834F1" w:rsidP="00D821B0">
      <w:pPr>
        <w:pStyle w:val="Baseparagraphnumbered"/>
        <w:tabs>
          <w:tab w:val="left" w:pos="851"/>
        </w:tabs>
        <w:ind w:left="709"/>
      </w:pPr>
      <w:r>
        <w:lastRenderedPageBreak/>
        <w:t xml:space="preserve">Za namene prilog III in IV ter te priloge „refinanciranje“ pomeni uporabo dolžniške pogodbe, s katero se zagotovi popolno ali delno poplačilo drugih dolžniških pogodb, katerih pogoji so takšni, da jih dolžnik ne more izpolnjevati. </w:t>
      </w:r>
    </w:p>
    <w:p w14:paraId="64892042" w14:textId="32892005" w:rsidR="009569C7" w:rsidRPr="00755ABF" w:rsidRDefault="00A834F1" w:rsidP="009569C7">
      <w:pPr>
        <w:pStyle w:val="Baseparagraphnumbered"/>
        <w:tabs>
          <w:tab w:val="left" w:pos="851"/>
        </w:tabs>
        <w:ind w:left="709"/>
      </w:pPr>
      <w:r>
        <w:t xml:space="preserve">Za namene predloge 19 „dolžnik“ pomeni dolžnika v smislu člena 47b(4) CRR. </w:t>
      </w:r>
    </w:p>
    <w:p w14:paraId="7BA77078" w14:textId="77777777" w:rsidR="009569C7" w:rsidRPr="00755ABF" w:rsidRDefault="00A834F1" w:rsidP="00D821B0">
      <w:pPr>
        <w:pStyle w:val="Baseparagraphnumbered"/>
        <w:tabs>
          <w:tab w:val="left" w:pos="851"/>
        </w:tabs>
        <w:ind w:left="709"/>
      </w:pPr>
      <w:r>
        <w:t xml:space="preserve">Za namene predloge 19 pojem „dolg“ vključuje kredite in druga finančna sredstva (ki vključujejo tudi stanja na računih pri centralnih bankah in vloge na vpogled pri bankah), dolžniške vrednostne papirje ter preklicne in nepreklicne prevzete obveznosti iz kreditov, vključno s tistimi zavezami iz kreditov, ki so določene za merjenje po pošteni vrednosti prek poslovnega izida, ki so na datum poročanja sredstva. „Dolg“ izključuje izpostavljenosti v posesti za trgovanje. </w:t>
      </w:r>
    </w:p>
    <w:p w14:paraId="6192AC65" w14:textId="77777777" w:rsidR="009569C7" w:rsidRPr="00755ABF" w:rsidRDefault="00A834F1" w:rsidP="00D821B0">
      <w:pPr>
        <w:pStyle w:val="Baseparagraphnumbered"/>
        <w:tabs>
          <w:tab w:val="left" w:pos="851"/>
        </w:tabs>
        <w:ind w:left="709"/>
      </w:pPr>
      <w:r>
        <w:t>Pojem „dolg“ vključuje tudi kredite in druga finančna sredstva ter dolžniške vrednostne papirje, razvrščene kot nekratkoročna sredstva in skupine za odtujitev, razvrščene kot v posesti za prodajo v skladu z MSRP 5.</w:t>
      </w:r>
    </w:p>
    <w:p w14:paraId="52EC81D2" w14:textId="519E2726" w:rsidR="009569C7" w:rsidRPr="00755ABF" w:rsidRDefault="00A834F1" w:rsidP="009569C7">
      <w:pPr>
        <w:pStyle w:val="Baseparagraphnumbered"/>
        <w:tabs>
          <w:tab w:val="left" w:pos="851"/>
        </w:tabs>
        <w:ind w:left="709"/>
      </w:pPr>
      <w:r>
        <w:t xml:space="preserve"> Za namene predloge 19 ima pojem „izpostavljenost“ isti pomen kot pojem „dolg“ v odstavkih 246 in 247 tega dela. </w:t>
      </w:r>
    </w:p>
    <w:p w14:paraId="563D3B0A" w14:textId="77777777" w:rsidR="009569C7" w:rsidRPr="00755ABF" w:rsidRDefault="00A834F1" w:rsidP="00D821B0">
      <w:pPr>
        <w:pStyle w:val="Baseparagraphnumbered"/>
        <w:tabs>
          <w:tab w:val="left" w:pos="851"/>
        </w:tabs>
        <w:ind w:left="709"/>
      </w:pPr>
      <w:r>
        <w:t xml:space="preserve">Računovodski portfelji po MSRP iz odstavka 15 dela 1 te priloge in po nacionalnih GAAP na podlagi direktive o računovodskih izkazih bank iz odstavka 16 dela 1 te priloge se poročajo v predlogi 19 v skladu z odstavkom 233 tega dela. </w:t>
      </w:r>
    </w:p>
    <w:p w14:paraId="060EE21A" w14:textId="77777777" w:rsidR="009569C7" w:rsidRPr="00755ABF" w:rsidRDefault="00A834F1" w:rsidP="009569C7">
      <w:pPr>
        <w:pStyle w:val="Baseparagraphnumbered"/>
        <w:tabs>
          <w:tab w:val="left" w:pos="851"/>
        </w:tabs>
        <w:ind w:left="709"/>
      </w:pPr>
      <w:r>
        <w:t>Za namene predloge 19 pojem „institucija“ pomeni institucijo, ki je uporabila ukrepe restrukturiranja.</w:t>
      </w:r>
    </w:p>
    <w:p w14:paraId="0404AF67" w14:textId="77777777" w:rsidR="009569C7" w:rsidRPr="00755ABF" w:rsidRDefault="00A834F1" w:rsidP="009569C7">
      <w:pPr>
        <w:pStyle w:val="Baseparagraphnumbered"/>
        <w:tabs>
          <w:tab w:val="left" w:pos="851"/>
        </w:tabs>
        <w:ind w:left="709"/>
      </w:pPr>
      <w:r>
        <w:t>V predlogi 19 se „bruto knjigovodska vrednost“ za „dolg“ poroča v skladu z odstavkom 34 dela 1 te priloge. Za prevzete obveznosti iz kreditov, ki so zunajbilančne izpostavljenosti, se poroča nominalni znesek, kot je opredeljen v odstavku 118 tega dela te priloge.</w:t>
      </w:r>
    </w:p>
    <w:p w14:paraId="42C9BF7C" w14:textId="2208AECA" w:rsidR="009569C7" w:rsidRPr="00755ABF" w:rsidRDefault="00A834F1" w:rsidP="00D821B0">
      <w:pPr>
        <w:pStyle w:val="Baseparagraphnumbered"/>
        <w:tabs>
          <w:tab w:val="left" w:pos="851"/>
        </w:tabs>
        <w:ind w:left="709"/>
      </w:pPr>
      <w:r>
        <w:t xml:space="preserve">Izpostavljenosti se štejejo za restrukturirane, kadar je bila odobrena koncesija v skladu s členom 47b(1) CRR, ne glede na to, ali je kateri koli znesek zapadel oziroma ali so izpostavljenosti razvrščene kot oslabljene v skladu z veljavnim računovodskim standardom ali kot neplačane v skladu s členom 178 CRR. Izpostavljenosti se ne obravnavajo kot restrukturirane, kadar dolžnik nima finančnih težav. V skladu z MSRP se spremenjena finančna sredstva (MSRP 9, 5.4.3. člen in Priloga A) obravnavajo kot </w:t>
      </w:r>
      <w:proofErr w:type="spellStart"/>
      <w:r>
        <w:t>restrukturirana</w:t>
      </w:r>
      <w:proofErr w:type="spellEnd"/>
      <w:r>
        <w:t xml:space="preserve">, če je bila dana koncesija, kot je opredeljena v členu 47b(1) CRR, ne glede na pogostost spremembe ali spremembo kreditnega tveganja finančnega sredstva od začetnega pripoznanja. </w:t>
      </w:r>
    </w:p>
    <w:p w14:paraId="1BA8EF62" w14:textId="71C10D81" w:rsidR="009569C7" w:rsidRPr="00755ABF" w:rsidRDefault="00A834F1" w:rsidP="00B32A99">
      <w:pPr>
        <w:pStyle w:val="Baseparagraphnumbered"/>
        <w:numPr>
          <w:ilvl w:val="0"/>
          <w:numId w:val="92"/>
        </w:numPr>
        <w:tabs>
          <w:tab w:val="left" w:pos="851"/>
        </w:tabs>
      </w:pPr>
      <w:r>
        <w:t>Izpodbojna predpostavka, da je do restrukturiranja prišlo, obstaja v kateri koli od okoliščin iz člena 47b(3) CRR.</w:t>
      </w:r>
    </w:p>
    <w:p w14:paraId="05ABC58D" w14:textId="77777777" w:rsidR="009569C7" w:rsidRPr="00755ABF" w:rsidRDefault="004F1742" w:rsidP="009569C7">
      <w:pPr>
        <w:pStyle w:val="Baseparagraphnumbered"/>
        <w:tabs>
          <w:tab w:val="left" w:pos="851"/>
        </w:tabs>
        <w:ind w:left="709"/>
      </w:pPr>
      <w:r>
        <w:t>Finančne težave se ocenijo na ravni dolžnika, kot je opredeljeno v odstavku 245. Kot restrukturirane izpostavljenosti se opredelijo samo izpostavljenosti, za katere so se uporabili ukrepi restrukturiranja.</w:t>
      </w:r>
    </w:p>
    <w:p w14:paraId="29C6750F" w14:textId="4F842CB6" w:rsidR="009569C7" w:rsidRPr="00755ABF" w:rsidRDefault="00A834F1" w:rsidP="009569C7">
      <w:pPr>
        <w:pStyle w:val="Baseparagraphnumbered"/>
        <w:tabs>
          <w:tab w:val="left" w:pos="851"/>
        </w:tabs>
        <w:ind w:left="709"/>
      </w:pPr>
      <w:r>
        <w:lastRenderedPageBreak/>
        <w:t>Restrukturirane izpostavljenosti se vključijo v kategorijo nedonosnih izpostavljenosti ali kategorijo donosnih izpostavljenosti v skladu z odstavki 213 do 239 in 260 tega dela. Razvrstitev med restrukturirane izpostavljenosti se preneha, ko so izpolnjeni vsi pogoji iz člena 47a(7) CRR.</w:t>
      </w:r>
    </w:p>
    <w:p w14:paraId="4945238A" w14:textId="1CB427A6" w:rsidR="009569C7" w:rsidRPr="00755ABF" w:rsidRDefault="00A834F1" w:rsidP="009569C7">
      <w:pPr>
        <w:pStyle w:val="Baseparagraphnumbered"/>
        <w:tabs>
          <w:tab w:val="left" w:pos="851"/>
        </w:tabs>
        <w:ind w:left="709"/>
      </w:pPr>
      <w:r>
        <w:t xml:space="preserve">Če pogoji iz člena 47a(7) CRR na koncu poskusne dobe niso izpolnjeni, se izpostavljenost še naprej obravnava kot donosna </w:t>
      </w:r>
      <w:proofErr w:type="spellStart"/>
      <w:r>
        <w:t>restrukturirana</w:t>
      </w:r>
      <w:proofErr w:type="spellEnd"/>
      <w:r>
        <w:t xml:space="preserve"> izpostavljenost v poskusni dobi, dokler niso izpolnjeni vsi pogoji. Ti pogoji se ocenjujejo vsaj četrtletno. </w:t>
      </w:r>
    </w:p>
    <w:p w14:paraId="7C7151E3" w14:textId="77777777" w:rsidR="009569C7" w:rsidRPr="00755ABF" w:rsidRDefault="00A834F1" w:rsidP="009569C7">
      <w:pPr>
        <w:pStyle w:val="Baseparagraphnumbered"/>
        <w:tabs>
          <w:tab w:val="left" w:pos="851"/>
        </w:tabs>
        <w:ind w:left="709"/>
      </w:pPr>
      <w:r>
        <w:t>Restrukturirane izpostavljenosti, ki so razvrščene kot nekratkoročna sredstva v posesti za prodajo v skladu z MSRP 5, ostanejo razvrščene kot restrukturirane izpostavljenosti.</w:t>
      </w:r>
    </w:p>
    <w:p w14:paraId="225F7770" w14:textId="77777777" w:rsidR="009569C7" w:rsidRPr="00755ABF" w:rsidRDefault="00A834F1" w:rsidP="009569C7">
      <w:pPr>
        <w:pStyle w:val="Baseparagraphnumbered"/>
        <w:tabs>
          <w:tab w:val="left" w:pos="851"/>
        </w:tabs>
        <w:ind w:left="709"/>
      </w:pPr>
      <w:proofErr w:type="spellStart"/>
      <w:r>
        <w:t>Restrukturirana</w:t>
      </w:r>
      <w:proofErr w:type="spellEnd"/>
      <w:r>
        <w:t xml:space="preserve"> izpostavljenost se lahko šteje za donosno od datuma, ko so se uporabili ukrepi restrukturiranja, če sta izpolnjena oba od naslednjih pogojev:</w:t>
      </w:r>
    </w:p>
    <w:p w14:paraId="4375D4D6" w14:textId="77777777" w:rsidR="009569C7" w:rsidRPr="00755ABF" w:rsidRDefault="00A834F1" w:rsidP="00C35843">
      <w:pPr>
        <w:pStyle w:val="Text1"/>
        <w:numPr>
          <w:ilvl w:val="0"/>
          <w:numId w:val="46"/>
        </w:numPr>
        <w:ind w:left="1134" w:hanging="425"/>
      </w:pPr>
      <w:r>
        <w:t>izvedeni ukrepi niso privedli do razvrstitve izpostavljenosti kot nedonosne;</w:t>
      </w:r>
    </w:p>
    <w:p w14:paraId="1A72E4B8" w14:textId="77777777" w:rsidR="009569C7" w:rsidRPr="00755ABF" w:rsidRDefault="00A834F1" w:rsidP="00C35843">
      <w:pPr>
        <w:pStyle w:val="Text1"/>
        <w:numPr>
          <w:ilvl w:val="0"/>
          <w:numId w:val="46"/>
        </w:numPr>
        <w:ind w:left="1134" w:hanging="425"/>
      </w:pPr>
      <w:r>
        <w:t xml:space="preserve">izpostavljenost se ni štela za nedonosno izpostavljenost na datum, ko so bili izvedeni ukrepi restrukturiranja. </w:t>
      </w:r>
    </w:p>
    <w:p w14:paraId="44BD2B8E" w14:textId="2F95E82F" w:rsidR="009569C7" w:rsidRPr="00755ABF" w:rsidRDefault="00A834F1" w:rsidP="00286B6F">
      <w:pPr>
        <w:pStyle w:val="Baseparagraphnumbered"/>
        <w:tabs>
          <w:tab w:val="left" w:pos="851"/>
        </w:tabs>
        <w:ind w:left="709"/>
      </w:pPr>
      <w:r>
        <w:t xml:space="preserve">Če se za donosno </w:t>
      </w:r>
      <w:proofErr w:type="spellStart"/>
      <w:r>
        <w:t>restrukturirano</w:t>
      </w:r>
      <w:proofErr w:type="spellEnd"/>
      <w:r>
        <w:t xml:space="preserve"> izpostavljenost s poskusno dobo, ki je bila prerazvrščena iz kategorije nedonosnih izpostavljenosti, uporabijo dodatni ukrepi restrukturiranja ali pride pri restrukturirani izpostavljenosti s poskusno dobo, prerazvrščeni iz kategorije nedonosnih izpostavljenosti, do zamude pri odplačevanju za več kot 30 dni, se izpostavljenost razvrsti kot nedonosna v skladu s točko (c) člena 47a(3) CRR. </w:t>
      </w:r>
    </w:p>
    <w:p w14:paraId="283CAFB8" w14:textId="01C1F249" w:rsidR="009569C7" w:rsidRPr="00755ABF" w:rsidRDefault="00A834F1" w:rsidP="009569C7">
      <w:pPr>
        <w:pStyle w:val="Baseparagraphnumbered"/>
        <w:tabs>
          <w:tab w:val="left" w:pos="851"/>
        </w:tabs>
        <w:ind w:left="709"/>
      </w:pPr>
      <w:r>
        <w:t xml:space="preserve">„Donosne izpostavljenosti z ukrepi restrukturiranja“ (donosne restrukturirane izpostavljenosti) so sestavljene iz restrukturiranih izpostavljenosti, ki ne izpolnjujejo meril za obravnavo kot nedonosne in ki so vključene v kategorijo donosnih izpostavljenosti. Donosna </w:t>
      </w:r>
      <w:proofErr w:type="spellStart"/>
      <w:r>
        <w:t>restrukturirana</w:t>
      </w:r>
      <w:proofErr w:type="spellEnd"/>
      <w:r>
        <w:t xml:space="preserve"> izpostavljenost je v poskusni dobi, dokler niso izpolnjena vsa merila iz člena 47a(7) CRR, tudi kadar se uporablja odstavek 259 tega dela. Donosne restrukturirane izpostavljenosti v poskusni dobi, ki so bile prerazvrščene iz kategorije nedonosnih izpostavljenosti, se poročajo ločeno znotraj donosnih izpostavljenosti z ukrepi restrukturiranja pod postavko „od tega: donosne restrukturirane izpostavljenosti s poskusno dobo, prerazvrščene iz kategorije nedonosnih“. </w:t>
      </w:r>
    </w:p>
    <w:p w14:paraId="3B2DE41C" w14:textId="77777777" w:rsidR="009569C7" w:rsidRPr="00755ABF" w:rsidRDefault="00A834F1" w:rsidP="009569C7">
      <w:pPr>
        <w:pStyle w:val="Baseparagraphnumbered"/>
        <w:tabs>
          <w:tab w:val="left" w:pos="851"/>
        </w:tabs>
        <w:ind w:left="709"/>
      </w:pPr>
      <w:r>
        <w:t xml:space="preserve">„Nedonosne izpostavljenosti z ukrepi restrukturiranja“ (nedonosne restrukturirane izpostavljenosti) so sestavljene iz restrukturiranih izpostavljenosti, ki izpolnjujejo merila za obravnavo kot nedonosne in ki so vključene v kategorijo nedonosnih izpostavljenosti. Navedene nedonosne restrukturirane izpostavljenosti vključujejo naslednje: </w:t>
      </w:r>
    </w:p>
    <w:p w14:paraId="6A94DDD6" w14:textId="77777777" w:rsidR="009569C7" w:rsidRPr="00755ABF" w:rsidRDefault="00A834F1" w:rsidP="00C35843">
      <w:pPr>
        <w:pStyle w:val="Text1"/>
        <w:numPr>
          <w:ilvl w:val="0"/>
          <w:numId w:val="47"/>
        </w:numPr>
        <w:ind w:left="1134" w:hanging="425"/>
      </w:pPr>
      <w:r>
        <w:t xml:space="preserve">izpostavljenosti, ki so postale nedonosne zaradi uporabe ukrepov restrukturiranja; </w:t>
      </w:r>
    </w:p>
    <w:p w14:paraId="6C0F4883" w14:textId="77777777" w:rsidR="009569C7" w:rsidRPr="00755ABF" w:rsidRDefault="00A834F1" w:rsidP="00C35843">
      <w:pPr>
        <w:pStyle w:val="Text1"/>
        <w:numPr>
          <w:ilvl w:val="0"/>
          <w:numId w:val="47"/>
        </w:numPr>
        <w:ind w:left="1134" w:hanging="425"/>
      </w:pPr>
      <w:r>
        <w:t xml:space="preserve">izpostavljenosti, ki so bile nedonosne pred izvedbo ukrepov restrukturiranja;  </w:t>
      </w:r>
    </w:p>
    <w:p w14:paraId="215DA767" w14:textId="77777777" w:rsidR="009569C7" w:rsidRPr="00755ABF" w:rsidRDefault="00A834F1" w:rsidP="00C35843">
      <w:pPr>
        <w:pStyle w:val="Text1"/>
        <w:numPr>
          <w:ilvl w:val="0"/>
          <w:numId w:val="47"/>
        </w:numPr>
        <w:ind w:left="1134" w:hanging="425"/>
      </w:pPr>
      <w:r>
        <w:lastRenderedPageBreak/>
        <w:t xml:space="preserve">restrukturirane izpostavljenosti, ki so bile prerazvrščene iz kategorije donosnih, vključno z izpostavljenostmi, prerazvrščenimi ob uporabi odstavka 260. </w:t>
      </w:r>
    </w:p>
    <w:p w14:paraId="20EBDDC8" w14:textId="77777777" w:rsidR="009569C7" w:rsidRPr="00755ABF" w:rsidRDefault="00A834F1" w:rsidP="009569C7">
      <w:pPr>
        <w:pStyle w:val="Baseparagraphnumbered"/>
        <w:tabs>
          <w:tab w:val="left" w:pos="851"/>
        </w:tabs>
        <w:ind w:left="709"/>
      </w:pPr>
      <w:r>
        <w:t xml:space="preserve">Če se ukrepi restrukturiranja izvedejo za izpostavljenosti, ki so bile nedonosne pred izvedbo ukrepov prestrukturiranja, se znesek navedenih restrukturiranih izpostavljenosti opredeli ločeno pod postavko „od tega: restrukturiranje izpostavljenosti, ki so bile pred </w:t>
      </w:r>
      <w:proofErr w:type="spellStart"/>
      <w:r>
        <w:t>restrukturiranjem</w:t>
      </w:r>
      <w:proofErr w:type="spellEnd"/>
      <w:r>
        <w:t xml:space="preserve"> nedonosne“.</w:t>
      </w:r>
    </w:p>
    <w:p w14:paraId="13A80073" w14:textId="77777777" w:rsidR="009569C7" w:rsidRPr="00755ABF" w:rsidRDefault="00A834F1" w:rsidP="009569C7">
      <w:pPr>
        <w:pStyle w:val="Baseparagraphnumbered"/>
        <w:tabs>
          <w:tab w:val="left" w:pos="851"/>
        </w:tabs>
        <w:ind w:left="709"/>
      </w:pPr>
      <w:r>
        <w:t>Naslednje nedonosne izpostavljenosti z ukrepi restrukturiranja se navedejo v ločenih stolpcih:</w:t>
      </w:r>
    </w:p>
    <w:p w14:paraId="2F25F77F" w14:textId="3CF7E83A" w:rsidR="009569C7" w:rsidRPr="00755ABF" w:rsidRDefault="00A834F1" w:rsidP="00C35843">
      <w:pPr>
        <w:pStyle w:val="Text1"/>
        <w:numPr>
          <w:ilvl w:val="0"/>
          <w:numId w:val="48"/>
        </w:numPr>
        <w:ind w:left="1134" w:hanging="425"/>
      </w:pPr>
      <w:r>
        <w:t>izpostavljenosti, ki se štejejo za oslabljene v skladu z veljavnim računovodskim okvirom. V skladu z MSRP se znesek sredstev s poslabšano kreditno kakovostjo (tretja skupina) in znesek kupljenih ali izdanih (ustvarjenih) finančnih sredstev s poslabšano kreditno kakovostjo, če se štejejo za nedonosna v skladu z odstavkom 215 tega dela, poroča v tem stolpcu;</w:t>
      </w:r>
    </w:p>
    <w:p w14:paraId="5E94940F" w14:textId="77777777" w:rsidR="009569C7" w:rsidRPr="00755ABF" w:rsidRDefault="00A834F1" w:rsidP="00C35843">
      <w:pPr>
        <w:pStyle w:val="Text1"/>
        <w:numPr>
          <w:ilvl w:val="0"/>
          <w:numId w:val="48"/>
        </w:numPr>
        <w:ind w:left="1134" w:hanging="425"/>
      </w:pPr>
      <w:r>
        <w:t>izpostavljenosti, v zvezi s katerimi se šteje, da je prišlo do neplačila v skladu s členom 178 CRR;</w:t>
      </w:r>
    </w:p>
    <w:p w14:paraId="0500E3E3" w14:textId="77777777" w:rsidR="009569C7" w:rsidRPr="00755ABF" w:rsidRDefault="00A834F1" w:rsidP="009569C7">
      <w:pPr>
        <w:pStyle w:val="Baseparagraphnumbered"/>
        <w:tabs>
          <w:tab w:val="left" w:pos="851"/>
        </w:tabs>
        <w:ind w:left="709"/>
      </w:pPr>
      <w:r>
        <w:t xml:space="preserve">Stolpec „refinanciranje“ obsega bruto knjigovodsko vrednost nove pogodbe („refinancirani dolg“), odobrene v okviru posla refinanciranja, ki izpolnjuje pogoje za opredelitev kot ukrep restrukturiranja, ter bruto knjigovodsko vrednost prejšnje odplačane pogodbe, ki je še vedno neporavnana. </w:t>
      </w:r>
    </w:p>
    <w:p w14:paraId="0E33262D" w14:textId="77777777" w:rsidR="009569C7" w:rsidRPr="00755ABF" w:rsidRDefault="00A834F1" w:rsidP="009569C7">
      <w:pPr>
        <w:pStyle w:val="Baseparagraphnumbered"/>
        <w:tabs>
          <w:tab w:val="left" w:pos="851"/>
        </w:tabs>
        <w:ind w:left="709"/>
      </w:pPr>
      <w:r>
        <w:t xml:space="preserve">Restrukturirane izpostavljenosti, ki združujejo spremembe in refinanciranje, se razvrstijo v stolpec „instrumenti s spremenjenimi pogoji“ ali v stolpec „refinanciranje“, odvisno od ukrepa, ki ima največji vpliv na denarne tokove. Refinanciranje s strani skupine bank se poroča pod postavko „refinanciranje“ za celoten znesek refinanciranega dolga, ki ga zagotovi institucija poročevalka, oziroma refinanciranega dolga, ki je pri instituciji poročevalki še neporavnan. </w:t>
      </w:r>
      <w:proofErr w:type="spellStart"/>
      <w:r>
        <w:t>Prepakiranje</w:t>
      </w:r>
      <w:proofErr w:type="spellEnd"/>
      <w:r>
        <w:t xml:space="preserve"> več dolgov v nov dolg se poroča kot sprememba, razen če je prisoten tudi posel refinanciranja, ki ima večji vpliv na denarne tokove. Če restrukturiranje s spremembo pogojev problematične izpostavljenosti privede do odprave njenega pripoznanja in do pripoznanja nove izpostavljenosti, se taka nova izpostavljenost šteje za </w:t>
      </w:r>
      <w:proofErr w:type="spellStart"/>
      <w:r>
        <w:t>restrukturiran</w:t>
      </w:r>
      <w:proofErr w:type="spellEnd"/>
      <w:r>
        <w:t xml:space="preserve"> dolg.</w:t>
      </w:r>
    </w:p>
    <w:p w14:paraId="5B4C545A" w14:textId="77777777" w:rsidR="009569C7" w:rsidRPr="00755ABF" w:rsidRDefault="004F1742" w:rsidP="009569C7">
      <w:pPr>
        <w:pStyle w:val="Baseparagraphnumbered"/>
        <w:tabs>
          <w:tab w:val="left" w:pos="851"/>
        </w:tabs>
        <w:ind w:left="709"/>
      </w:pPr>
      <w:r>
        <w:t xml:space="preserve">Akumulirane oslabitve, akumulirane negativne spremembe poštene vrednosti zaradi kreditnega tveganja in rezervacije se poročajo v skladu z odstavki 11, 69 do 71, 106 in 110 tega dela.  </w:t>
      </w:r>
    </w:p>
    <w:p w14:paraId="1A4CEFE4" w14:textId="77777777" w:rsidR="009569C7" w:rsidRPr="00755ABF" w:rsidRDefault="00A834F1" w:rsidP="00BA0DE3">
      <w:pPr>
        <w:pStyle w:val="Baseparagraphnumbered"/>
        <w:tabs>
          <w:tab w:val="left" w:pos="851"/>
        </w:tabs>
        <w:ind w:left="709"/>
      </w:pPr>
      <w:r>
        <w:t xml:space="preserve">Prejeto zavarovanje s premoženjem in prejeta poroštva v zvezi z izpostavljenostmi z ukrepi restrukturiranja se poročajo za vse izpostavljenosti z ukrepi restrukturiranja ne glede na njihov status donosnosti oziroma nedonosnosti. Poleg tega se prejeto zavarovanje s premoženjem in prejeta finančna poroštva v zvezi z nedonosnimi izpostavljenostmi z ukrepi restrukturiranja poročajo ločeno. Zneski, ki se poročajo za prejeto zavarovanje s premoženjem in prejeta poroštva, se izračunajo v skladu z odstavkoma 172 in 174 tega dela. Zgornja meja vsote poročanih zneskov za zavarovanje s premoženjem in poroštva je knjigovodska vrednost povezane bilančne </w:t>
      </w:r>
      <w:r>
        <w:lastRenderedPageBreak/>
        <w:t>izpostavljenosti ali nominalni znesek povezane zunajbilančne izpostavljenosti po odbitku rezervacij.</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539783"/>
      <w:r>
        <w:t>Geografska razčlenitev</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Predloga 20 se poroča, če institucija preseže prag iz člena 5(a)(4) te uredbe. </w:t>
      </w:r>
    </w:p>
    <w:p w14:paraId="1B48D211" w14:textId="77777777" w:rsidR="009569C7" w:rsidRPr="00755ABF" w:rsidRDefault="00A834F1" w:rsidP="009569C7">
      <w:pPr>
        <w:pStyle w:val="sub-subtitlenumbered"/>
        <w:jc w:val="both"/>
      </w:pPr>
      <w:bookmarkStart w:id="205" w:name="_Toc188539784"/>
      <w:r>
        <w:t>Geografska razčlenitev po lokaciji dejavnosti (20.1–20.3)</w:t>
      </w:r>
      <w:bookmarkEnd w:id="205"/>
    </w:p>
    <w:p w14:paraId="53AF9BB5" w14:textId="77777777" w:rsidR="009569C7" w:rsidRPr="00755ABF" w:rsidRDefault="00A834F1" w:rsidP="009569C7">
      <w:pPr>
        <w:pStyle w:val="Baseparagraphnumbered"/>
      </w:pPr>
      <w:r>
        <w:t>Pri geografski razčlenitvi po lokaciji dejavnosti v predlogah 20.1 do 20.3 gre za razlikovanje med „domačimi dejavnostmi“ in „nedomačimi dejavnostmi“. Za namene tega dela „lokacija“ pomeni državo registracije pravnega subjekta, ki je pripoznal ustrezno sredstvo ali obveznost. Pri podružnicah pomeni državo njihovega sedeža. „Domače“ dejavnosti vključujejo dejavnosti, pripoznane v državi članici, v kateri se nahaja institucija poročevalka.</w:t>
      </w:r>
    </w:p>
    <w:p w14:paraId="12F55E2D" w14:textId="77777777" w:rsidR="009569C7" w:rsidRPr="00755ABF" w:rsidRDefault="00A834F1" w:rsidP="009569C7">
      <w:pPr>
        <w:pStyle w:val="sub-subtitlenumbered"/>
        <w:jc w:val="both"/>
      </w:pPr>
      <w:bookmarkStart w:id="206" w:name="_Toc188539785"/>
      <w:r>
        <w:t>Geografska razčlenitev po sedežu nasprotne stranke (20.4–20.7)</w:t>
      </w:r>
      <w:bookmarkEnd w:id="206"/>
    </w:p>
    <w:p w14:paraId="6A2A9BA4" w14:textId="77777777" w:rsidR="009569C7" w:rsidRPr="00755ABF" w:rsidRDefault="00A834F1" w:rsidP="009569C7">
      <w:pPr>
        <w:pStyle w:val="Baseparagraphnumbered"/>
      </w:pPr>
      <w:r>
        <w:t>Predloge 20.4 do 20.7 vsebujejo informacije „po državah“ na podlagi sedeža neposredne nasprotne stranke, kot je opredeljeno v odstavku 43 dela 1 te priloge. Predložena razčlenitev vključuje izpostavljenosti ali obveznosti v zvezi z rezidenti v vsaki tuji državi, v kateri ima institucija izpostavljenosti. Izpostavljenosti ali obveznosti v zvezi z mednarodnimi organizacijami in multilateralnimi razvojnimi bankami se ne dodelijo državi sedeža institucije, ampak geografskemu področju „druge države“.</w:t>
      </w:r>
    </w:p>
    <w:p w14:paraId="7FA1E4BA" w14:textId="77777777" w:rsidR="009569C7" w:rsidRPr="00755ABF" w:rsidRDefault="00A834F1" w:rsidP="009569C7">
      <w:pPr>
        <w:pStyle w:val="Baseparagraphnumbered"/>
      </w:pPr>
      <w:r>
        <w:t xml:space="preserve">„Izvedeni finančni instrumenti“ vključujejo tako trgovalne izvedene finančne instrumente, vključno z ekonomskimi varovanji, kot izvedene finančne instrumente za varovanje v skladu z MSRP in v skladu z nacionalnimi GAAP na podlagi direktive o računovodskih izkazih bank, ki se poročajo v predlogah 10 in 11. </w:t>
      </w:r>
    </w:p>
    <w:p w14:paraId="00D0A0F8" w14:textId="11D5F0E1" w:rsidR="009569C7" w:rsidRPr="00755ABF" w:rsidRDefault="00A834F1" w:rsidP="009569C7">
      <w:pPr>
        <w:pStyle w:val="Baseparagraphnumbered"/>
      </w:pPr>
      <w:r>
        <w:t>Sredstva v posesti za trgovanje po MSRP in trgovalna sredstva po GAAP se poročajo ločeno. Izraz finančna sredstva, ki so predmet oslabitve, ima isti pomen kot v odstavku 93 tega dela. Za namene predloge 20.4 se stanja na računih pri centralnih bankah in vloge na vpogled pri bankah poročajo skupaj s finančnimi sredstvi, ki so predmet oslabitve. Sredstva, merjena po LOCOM, s prilagoditvami vrednosti zaradi kreditnega tveganja, se štejejo za oslabljena.</w:t>
      </w:r>
    </w:p>
    <w:p w14:paraId="5EBC0510" w14:textId="77777777" w:rsidR="009569C7" w:rsidRPr="00755ABF" w:rsidRDefault="00A834F1" w:rsidP="009569C7">
      <w:pPr>
        <w:pStyle w:val="Baseparagraphnumbered"/>
      </w:pPr>
      <w:r>
        <w:t>V predlogah 20.4 in 20.7 se poročajo „akumulirane oslabitve“ in „akumulirane negativne spremembe poštene vrednosti zaradi kreditnega tveganja pri nedonosnih izpostavljenostih“, kot so določene v skladu z odstavki 69 do 71 tega dela.</w:t>
      </w:r>
    </w:p>
    <w:p w14:paraId="6E1B0EC7" w14:textId="77777777" w:rsidR="009569C7" w:rsidRPr="00755ABF" w:rsidRDefault="00A834F1" w:rsidP="009569C7">
      <w:pPr>
        <w:pStyle w:val="Baseparagraphnumbered"/>
      </w:pPr>
      <w:r>
        <w:t xml:space="preserve">V predlogi 20.4 se za dolžniške instrumente poroča „bruto knjigovodska vrednost“, kot je določena v skladu z odstavkom 34 dela 1 te priloge. Za izvedene finančne instrumente in lastniške instrumente je znesek, ki ga je treba poročati, knjigovodska vrednost. Pod postavko „od tega: nedonosni“ se poročajo dolžniški instrumenti, kot so določeni v skladu z odstavki 213 do 239 </w:t>
      </w:r>
      <w:r>
        <w:lastRenderedPageBreak/>
        <w:t xml:space="preserve">ali 260 tega dela. Restrukturiranje dolgov vključuje vse „dolžniške“ pogodbe za namene predloge 19, ki so predmet ukrepov prestrukturiranja, kot so opredeljeni v odstavkih 240 do 268 tega dela. </w:t>
      </w:r>
    </w:p>
    <w:p w14:paraId="1F12D70A" w14:textId="77777777" w:rsidR="009569C7" w:rsidRPr="00755ABF" w:rsidRDefault="00A834F1" w:rsidP="009569C7">
      <w:pPr>
        <w:pStyle w:val="Baseparagraphnumbered"/>
      </w:pPr>
      <w:r>
        <w:t>V predlogi 20.5 postavka „rezervacije za prevzete obveznosti in dana poroštva“ vključuje rezervacije, merjene po MRS 37, kreditne izgube pri finančnih poroštvih, ki se obravnavajo kot zavarovalne pogodbe v skladu z MSRP 4, ter rezervacije za zaveze iz kreditov in finančna poroštva v skladu z zahtevami glede oslabitve iz MSRP 9 in rezervacije za zaveze in poroštva po nacionalnih GAAP na podlagi direktive o računovodskih izkazih bank v skladu z odstavkom 11 tega dela.</w:t>
      </w:r>
    </w:p>
    <w:p w14:paraId="30D06018" w14:textId="5020FFEF" w:rsidR="009569C7" w:rsidRPr="00755ABF" w:rsidRDefault="00A834F1" w:rsidP="009569C7">
      <w:pPr>
        <w:pStyle w:val="Baseparagraphnumbered"/>
      </w:pPr>
      <w:r>
        <w:t>V predlogi 20.7 se krediti in druga finančna sredstva, ki niso v posesti za trgovanje, trgovalna sredstva ali sredstva v posesti za prodajo, poročajo z razvrstitvijo po oznakah NACE, in sicer „po državah“. Oznake NACE se poročajo na podlagi prve ravni razčlenjevanja (po „področjih“). Krediti in druga finančna sredstva, ki so predmet oslabitve, se nanašajo na iste portfelje, kot so določeni v odstavku 93 tega dela.</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8539786"/>
      <w:bookmarkEnd w:id="207"/>
      <w:bookmarkEnd w:id="208"/>
      <w:r>
        <w:t>Opredmetena in neopredmetena sredstva: sredstva, ki so predmet poslovnega najema (21)</w:t>
      </w:r>
      <w:bookmarkEnd w:id="209"/>
      <w:bookmarkEnd w:id="210"/>
      <w:bookmarkEnd w:id="212"/>
    </w:p>
    <w:p w14:paraId="27F3D29F" w14:textId="77777777" w:rsidR="009569C7" w:rsidRPr="00755ABF" w:rsidRDefault="00A834F1" w:rsidP="009569C7">
      <w:pPr>
        <w:pStyle w:val="Baseparagraphnumbered"/>
      </w:pPr>
      <w:r>
        <w:t>Za namene izračuna praga iz člena 9(e) te uredbe se opredmetena sredstva, ki jih je institucija (najemodajalec) dala v najem tretjim osebam na podlagi sporazumov, ki se v skladu z ustreznim računovodskim okvirom štejejo za poslovne najeme, delijo s celotnimi opredmetenimi sredstvi.</w:t>
      </w:r>
    </w:p>
    <w:p w14:paraId="4FE3D2CF" w14:textId="77777777" w:rsidR="009569C7" w:rsidRPr="00755ABF" w:rsidRDefault="00A834F1" w:rsidP="009569C7">
      <w:pPr>
        <w:pStyle w:val="Baseparagraphnumbered"/>
      </w:pPr>
      <w:r>
        <w:t>V skladu z MSRP se sredstva, ki jih je institucija (najemodajalec) dala v najem tretjim osebam v okviru poslovnih najemov, razčlenijo po načinu merjenja.</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188539787"/>
      <w:r>
        <w:t>Upravljanje premoženja, skrbništvo in druge storitve (22)</w:t>
      </w:r>
      <w:bookmarkEnd w:id="213"/>
      <w:bookmarkEnd w:id="218"/>
    </w:p>
    <w:bookmarkEnd w:id="214"/>
    <w:p w14:paraId="1A778E7A" w14:textId="77777777" w:rsidR="009569C7" w:rsidRPr="00755ABF" w:rsidRDefault="00A834F1" w:rsidP="009569C7">
      <w:pPr>
        <w:pStyle w:val="Baseparagraphnumbered"/>
      </w:pPr>
      <w:r>
        <w:t>Za namene izračuna praga iz člena 9(f) te uredbe je znesek „neto prihodka iz naslova provizij in opravnin“ absolutna vrednost razlike med „prihodkom iz naslova provizij in opravnin“ ter „odhodkom iz naslova provizij in opravnin“. Za enake namene je znesek „neto obresti“ absolutna vrednost razlike med „prihodki iz obresti“ in „odhodki za obresti“.</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539788"/>
      <w:r>
        <w:t>Prihodki in odhodki</w:t>
      </w:r>
      <w:bookmarkEnd w:id="215"/>
      <w:bookmarkEnd w:id="216"/>
      <w:bookmarkEnd w:id="217"/>
      <w:r>
        <w:t xml:space="preserve"> iz naslova provizij in opravnin, po dejavnosti (22.1)</w:t>
      </w:r>
      <w:bookmarkEnd w:id="219"/>
      <w:bookmarkEnd w:id="220"/>
      <w:bookmarkEnd w:id="221"/>
    </w:p>
    <w:p w14:paraId="0BD916FE" w14:textId="77777777" w:rsidR="009569C7" w:rsidRPr="00755ABF" w:rsidRDefault="00A834F1" w:rsidP="009569C7">
      <w:pPr>
        <w:pStyle w:val="Baseparagraphnumbered"/>
      </w:pPr>
      <w:r>
        <w:t xml:space="preserve">Prihodki in odhodki iz naslova provizij in opravnin se poročajo po vrsti dejavnosti. V skladu z MSRP ta predloga vključuje prihodke in odhodke iz naslova provizij in opravnin razen naslednjega: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zneskov, upoštevanih pri izračunu efektivnih obresti finančnih instrumentov (MSRP 7, 20.(c) člen);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zneskov, ki izhajajo iz finančnih instrumentov, merjenih po pošteni vrednosti prek poslovnega izida (MSRP 7, 20.(c)(i) člen). </w:t>
      </w:r>
    </w:p>
    <w:p w14:paraId="2AC9DC51" w14:textId="77777777" w:rsidR="009569C7" w:rsidRPr="00755ABF" w:rsidRDefault="00A834F1" w:rsidP="009569C7">
      <w:pPr>
        <w:pStyle w:val="Baseparagraphnumbered"/>
      </w:pPr>
      <w:r>
        <w:t xml:space="preserve">Stroški posla, ki se lahko neposredno pripišejo pridobitvi ali izdaji finančnih instrumentov, ki niso merjeni po pošteni vrednosti prek poslovnega </w:t>
      </w:r>
      <w:r>
        <w:lastRenderedPageBreak/>
        <w:t>izida, se ne vključijo. Ti stroški posla so del začetne vrednosti pridobitve/izdaje teh instrumentov in se amortizirajo v poslovni izid do svoje preostale zapadlosti z uporabo efektivne obrestne mere (MSRP 9, 5.1.1. člen).</w:t>
      </w:r>
    </w:p>
    <w:p w14:paraId="1D15D3C4" w14:textId="77777777" w:rsidR="009569C7" w:rsidRPr="00755ABF" w:rsidRDefault="00A834F1" w:rsidP="009569C7">
      <w:pPr>
        <w:pStyle w:val="Baseparagraphnumbered"/>
      </w:pPr>
      <w:r>
        <w:t xml:space="preserve">V skladu z MSRP se stroški posla, ki se lahko neposredno pripišejo pridobitvi ali izdaji finančnih instrumentov, ki so merjeni po pošteni vrednosti prek poslovnega izida, vključijo kot del postavke „dobički ali izgube iz finančnih sredstev in obveznosti v posesti za trgovanje, neto“, postavke „dobički ali (–) izgube iz </w:t>
      </w:r>
      <w:proofErr w:type="spellStart"/>
      <w:r>
        <w:t>netrgovalnih</w:t>
      </w:r>
      <w:proofErr w:type="spellEnd"/>
      <w:r>
        <w:t xml:space="preserve"> finančnih sredstev, obvezno merjenih po pošteni vrednosti prek poslovnega izida, neto“ in postavke „dobički ali izgube iz finančnih sredstev in obveznosti, določenih za merjenje po pošteni vrednosti prek poslovnega izida, neto“, odvisno od računovodskega portfelja, v katerega so ti stroški posla razvrščeni. Ti stroški posla niso del začetne vrednosti pridobitve ali izdaje teh instrumentov in se takoj pripoznajo v poslovnem izidu.</w:t>
      </w:r>
    </w:p>
    <w:p w14:paraId="6969C37E" w14:textId="77777777" w:rsidR="009569C7" w:rsidRPr="00755ABF" w:rsidRDefault="00A834F1" w:rsidP="009569C7">
      <w:pPr>
        <w:pStyle w:val="Baseparagraphnumbered"/>
      </w:pPr>
      <w:r>
        <w:t xml:space="preserve">Institucije poročajo prihodke in odhodke iz naslova provizij in opravnin v skladu z naslednjimi merili: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„vrednostni papirji – izdaje“ vključuje provizije in opravnine, prejete za sodelovanje pri uvedbi ali izdaji vrednostnih papirjev, ki ne izvirajo iz te institucije ali jih ni izdala ta institucija;</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„vrednostni papirji – naročila za prenos“ vključuje provizije in opravnine, ustvarjene s sprejemanjem, prenosom in izvrševanjem naročil za nakup ali prodajo vrednostnih papirjev v imenu strank;</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„vrednostni papirji – drugi prihodki iz naslova provizij in opravnin v zvezi z vrednostnimi papirji“ vključuje provizije in opravnine, ki jih institucija ustvari z opravljanjem drugih storitev v zvezi z vrednostnimi papirji, ki ne izvirajo iz te institucije ali jih ni izdala ta institucija;</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pri odhodkih iz naslova provizij in opravnin postavka „vrednostni papirji“ vključuje provizije in opravnine, zaračunane instituciji, kadar ta prejema storitve, povezane z vrednostnimi papirji, ne glede na to, ali izvirajo iz institucije oziroma jih je izdala institucija ali ne;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„podjetniške finance – svetovanje M&amp;A“ vključuje provizije in opravnine za svetovalne storitve v zvezi združitvami in prevzemi za stranke, ki so podjetja;</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„podjetniške finance – zakladniške storitve“ vključuje provizije in opravnine za storitve podjetniških financ, povezane s svetovanjem o kapitalskih trgih za stranke, ki so podjetja;</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„podjetniške finance – drugi prihodki iz naslova provizij in opravnin v zvezi z dejavnostmi podjetniških financ“ vključuje vse druge provizije in opravnine, povezane s podjetniškimi financami;</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postavka „svetovanje na podlagi plačila“ vključuje provizije in opravnine za svetovalne storitve, zaračunane strankam, ki niso neposredno povezane z upravljanjem premoženja, kot so provizije v zvezi z zasebnim </w:t>
      </w:r>
      <w:r>
        <w:rPr>
          <w:rFonts w:ascii="Times New Roman" w:hAnsi="Times New Roman"/>
          <w:sz w:val="24"/>
        </w:rPr>
        <w:lastRenderedPageBreak/>
        <w:t>bančništvom. Provizije za svetovanje M&amp;A se ne vključijo tukaj, ampak v postavko „podjetniške finance –  svetovanje M&amp;A“;</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„kliring in poravnava“ vključuje prihodke (odhodke) iz naslova provizij in opravnin, ki jih ustvari institucija (se zaračunajo instituciji), kadar ta institucija sodeluje v instrumentih v zvezi z nasprotno stranko, kliringom in poravnavo;</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postavke „upravljanje premoženja“, „skrbništvo“, „osrednje administrativne storitve za kolektivne naložbene podjeme“ in „fiduciarni posli“ vključujejo prihodke (odhodke) iz naslova provizij in opravnin, ki jih ustvari institucija (se zaračunajo instituciji), ki opravlja te storitve;</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postavka „plačilne storitve“ vključuje prihodke (odhodke) iz naslova provizij in opravnin, ki jih ustvari institucija (se zaračunajo instituciji), ki opravlja (prejema) plačilne storitve iz Priloge I k Direktivi (EU) 2015/2366 </w:t>
      </w:r>
      <w:r>
        <w:rPr>
          <w:rFonts w:ascii="Times New Roman" w:hAnsi="Times New Roman"/>
          <w:color w:val="444444"/>
          <w:sz w:val="24"/>
        </w:rPr>
        <w:t>Evropskega parlamenta in Sveta</w:t>
      </w:r>
      <w:r>
        <w:rPr>
          <w:rStyle w:val="FootnoteReference"/>
          <w:rFonts w:ascii="Times New Roman" w:hAnsi="Times New Roman"/>
          <w:sz w:val="24"/>
          <w:szCs w:val="24"/>
        </w:rPr>
        <w:footnoteReference w:id="10"/>
      </w:r>
      <w:r>
        <w:rPr>
          <w:rFonts w:ascii="Times New Roman" w:hAnsi="Times New Roman"/>
          <w:sz w:val="24"/>
        </w:rPr>
        <w:t>. Informacije o prihodkih iz naslova provizij in opravnin se poročajo ločeno za tekoče račune, kreditne kartice, debetne kartice ter druga plačila s kartico, prenose in druge plačilne naloge ter druge prihodke iz naslova provizij in opravnin v zvezi s plačilnimi storitvami. Postavka „drugi prihodki iz naslova provizij in opravnin v zvezi s plačilnimi storitvami“ vključuje zaračunane stroške za uporabo mreže bankomatov institucije s karticami, ki jih ni izdala ta institucija. Informacije o odhodkih iz naslova provizij in opravnin v zvezi s kreditnimi, debetnimi in drugimi karticami se poročajo ločeno;</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„viri strank, ki se razdelijo, ne pa upravljajo (po vrsti produkta)“ vključuje prihodke iz naslova provizij in opravnin za distribucijo produktov, izdanih s strani subjektov, ki ne spadajo v bonitetno skupino, trenutnim strankam. Te informacije se poročajo po vrsti produkta;</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pri odhodkih iz naslova provizij in opravnin postavka „zunanje zagotovljena distribucija produktov“ vključuje odhodke za distribucijo produktov in storitev institucije prek zunanje mreže zastopnikov/distribucijske dogovore z zunanjimi izvajalci, kot so hipotekarni posredniki, spletne platforme za kreditiranje ali čelni deli sistemov finančne tehnologije;</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postavka „strukturirani finančni instrumenti“ vključuje provizije in opravnine, prejete za sodelovanje pri uvedbi ali izdaji finančnih instrumentov razen vrednostnih papirjev, ki izvirajo iz institucije ali jih je izdala institucija;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opravnine iz naslova „dejavnosti servisiranja kreditov“ na strani prihodkov vključujejo prihodke iz naslova provizij in opravnin, ki jih institucija ustvari z opravljanjem storitev servisiranja kreditov, na strani odhodkov pa odhodke iz naslova provizij in opravnin, ki so jih instituciji zaračunali ponudniki storitev kreditiranja;</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postavki „prevzete obveznosti iz kreditov“ in „dana finančna poroštva“ vključujeta znesek, ki je bil pripoznan kot prihodek v zadevnem obdobju ter zajema odplačilo provizij in opravnin za navedene dejavnosti, ki so bile prvotno pripoznane kot „druge obveznosti“;</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postavki „prejete obveze iz kreditov“ in „prejeta finančna poroštva“ vključujeta provizije in opravnine, ki jih je institucija v obdobju pripoznala kot odhodek zaradi obračuna stroška za nasprotno stranko, ki je prevzela obvezo iz kreditov oziroma finančno poroštvo, ki je bil na začetku pripoznan med „drugimi sredstvi“;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pod postavko „odobreni krediti“ se poročajo provizije in opravnine, ki se zaračunajo v postopku odobritve kreditov, vendar niso vključene v izračun efektivne obrestne mere;</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„tuje valute“ vključuje prihodke (odhodke) iz naslova provizij in opravnin za storitve v zvezi s tujimi valutami (vključno z menjavo bankovcev in kovancev tujih valut, provizijami za mednarodne čeke v tujih valutah, razmikom med nakupno in prodajno ceno) ter prihodke od oziroma odhodke za mednarodne transakcije. Če se lahko prihodki (odhodki), ki se lahko pripišejo transakcijam s tujimi valutami, ločijo od drugih prihodkov iz naslova provizij v zvezi s kreditnimi/debetnimi karticami, ta postavka vključuje tudi provizije in opravnine v zvezi s tujimi valutami, ustvarjene s kreditnimi ali debetnimi karticami;</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„blago“ vključuje prihodke iz naslova provizij in opravnin v zvezi s posli z blagom razen prihodkov, povezanih s trgovanjem z blagom, ki se poročajo kot drugi poslovni prihodki;</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postavka „drugi prihodki (odhodki) iz naslova provizij in opravnin“ vključuje tiste prihodke (odhodke) iz naslova provizij in opravnin, ki jih institucija ustvari (oz. se ji zaračunajo), ki se ne morejo razporediti na nobeno drugo navedeno postavko.</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539789"/>
      <w:r>
        <w:t>Sredstva, vključena v opravljene storitve (22.2)</w:t>
      </w:r>
      <w:bookmarkEnd w:id="222"/>
      <w:bookmarkEnd w:id="223"/>
      <w:bookmarkEnd w:id="224"/>
    </w:p>
    <w:p w14:paraId="6FB25B4C" w14:textId="77777777" w:rsidR="009569C7" w:rsidRPr="00755ABF" w:rsidRDefault="00A834F1" w:rsidP="009569C7">
      <w:pPr>
        <w:pStyle w:val="Baseparagraphnumbered"/>
      </w:pPr>
      <w:r>
        <w:t>Poslovanje v zvezi z upravljanjem premoženja, funkcijami skrbništva in drugimi storitvami, ki jih opravi institucija, se poroča na podlagi naslednjih opredelitev:</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„upravljanje premoženja“ pomeni sredstva, ki pripadajo neposredno strankam, za katere institucija izvaja upravljanje. „Upravljanje premoženja“ se poroča po vrsti stranke: kolektivni naložbeni podjemi, pokojninski skladi, portfelji strank, ki se upravljajo na podlagi diskrecijske odločitve, in drugi naložbeni nosilci;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„skrbniška sredstva“ pomenijo storitve hrambe in administrativne storitve v zvezi s finančnimi instrumenti za račun strank, ki jih opravlja institucija, ter storitve, povezane s skrbništvom, kot je upravljanje denarnih sredstev in zavarovanj. „Skrbniška sredstva“ se poročajo po vrsti stranke, za katero ima institucija sredstva, pri čemer se razlikuje med kolektivnimi naložbenimi podjemi in drugimi; Postavka „od tega: zaupano drugim subjektom“ pomeni znesek sredstev, vključenih v skrbniška sredstva, ki jih je institucija dala v efektivno skrbništvo drugim subjektom;</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„osrednje administrativne storitve za kolektivne naložbe“ pomenijo administrativne storitve, ki jih institucija opravlja za kolektivne naložbene podjeme. Te med drugim vključujejo storitve osebe, pristojne za prenos, pripravo računovodskih dokumentov, pripravo prospektov, finančnih poročil in vseh drugih dokumentov za investitorje, izvajanje korespondence z razdelitvijo finančnih poročil in vseh drugih dokumentov za investitorje, izvajanje izdaj in odkupov, vodenje evidence investitorjev ter izračunavanje neto vrednosti sredstev;</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„fiduciarni posli“ pomenijo dejavnosti, pri katerih institucija deluje v svojem imenu, vendar za račun in na tveganje svojih strank. Pri </w:t>
      </w:r>
      <w:proofErr w:type="spellStart"/>
      <w:r>
        <w:rPr>
          <w:rFonts w:ascii="Times New Roman" w:hAnsi="Times New Roman"/>
          <w:sz w:val="24"/>
        </w:rPr>
        <w:t>fiduciranih</w:t>
      </w:r>
      <w:proofErr w:type="spellEnd"/>
      <w:r>
        <w:rPr>
          <w:rFonts w:ascii="Times New Roman" w:hAnsi="Times New Roman"/>
          <w:sz w:val="24"/>
        </w:rPr>
        <w:t xml:space="preserve"> poslih institucija pogosto opravlja storitve, kot so skrbniške storitve ali storitve upravljanja sredstev za strukturirane subjekte ali upravljanje portfeljev po lastni presoji. Vsi fiduciarni posli se poročajo izključno v tej postavki, ne glede na to, ali institucija zagotavlja druge storitve;</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„plačilne storitve“ pomenijo plačilne storitve iz Priloge I k Direktivi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„viri strank, ki se razdelijo, ne pa upravljajo“ pomenijo produkte, ki jih izdajo subjekti zunaj bonitetne skupine in jih institucija razdeli svojim trenutnim strankam. Ta postavka se poroča po vrsti produkta;</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„znesek sredstev, vključenih v opravljene storitve“ pomeni znesek sredstev, v zvezi s katerimi institucija deluje, pri čemer se uporabi poštena vrednost. Če poštena vrednost ni na voljo, se lahko uporabijo druge osnove za merjenje, vključno z nominalno vrednostjo. Kadar institucija opravlja storitve za subjekte, kot so kolektivni naložbeni podjemi ali pokojninski skladi, se lahko zadevna sredstva prikažejo po vrednosti, po kateri ti subjekti poročajo sredstva v svoji bilanci stanja. Poročani zneski vključujejo obračunane obresti, kjer je relevantno.</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539790"/>
      <w:r>
        <w:t>Deleži v nekonsolidiranih strukturiranih subjektih (30)</w:t>
      </w:r>
      <w:bookmarkEnd w:id="225"/>
      <w:bookmarkEnd w:id="226"/>
      <w:bookmarkEnd w:id="227"/>
    </w:p>
    <w:p w14:paraId="2AE8AB3C" w14:textId="77777777" w:rsidR="009569C7" w:rsidRPr="00755ABF" w:rsidRDefault="00A834F1" w:rsidP="009569C7">
      <w:pPr>
        <w:pStyle w:val="Baseparagraphnumbered"/>
      </w:pPr>
      <w:r>
        <w:t xml:space="preserve">Za namene prilog III in IV ter te priloge „izkoriščena likvidnostna podpora“ pomeni vsoto knjigovodske vrednosti kreditov in drugih finančnih sredstev, odobrenih </w:t>
      </w:r>
      <w:proofErr w:type="spellStart"/>
      <w:r>
        <w:t>nekonsolidiranim</w:t>
      </w:r>
      <w:proofErr w:type="spellEnd"/>
      <w:r>
        <w:t xml:space="preserve"> strukturiranim subjektom, in knjigovodske vrednosti dolžniških vrednostnih papirjev v posesti, ki so jih izdali </w:t>
      </w:r>
      <w:proofErr w:type="spellStart"/>
      <w:r>
        <w:t>nekonsolidirani</w:t>
      </w:r>
      <w:proofErr w:type="spellEnd"/>
      <w:r>
        <w:t xml:space="preserve"> strukturirani subjekti.</w:t>
      </w:r>
    </w:p>
    <w:p w14:paraId="3AFDF3DD" w14:textId="77777777" w:rsidR="009569C7" w:rsidRPr="00755ABF" w:rsidRDefault="00A834F1" w:rsidP="009569C7">
      <w:pPr>
        <w:pStyle w:val="Baseparagraphnumbered"/>
      </w:pPr>
      <w:r>
        <w:t>„Izgube, ki jih ima institucija poročevalka v tekočem obdobju“ vključujejo izgube zaradi oslabitve in vse druge izgube, ki jih institucija poročevalka ustvari v referenčnem obdobju poročanja v zvezi s svojimi deleži v nekonsolidiranih strukturiranih subjektih.</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539791"/>
      <w:r>
        <w:t>Povezane stranke</w:t>
      </w:r>
      <w:bookmarkEnd w:id="211"/>
      <w:r>
        <w:t xml:space="preserve"> (31)</w:t>
      </w:r>
      <w:bookmarkEnd w:id="228"/>
      <w:bookmarkEnd w:id="229"/>
      <w:bookmarkEnd w:id="230"/>
    </w:p>
    <w:p w14:paraId="68C13BE6" w14:textId="77777777" w:rsidR="009569C7" w:rsidRPr="00755ABF" w:rsidRDefault="00A834F1" w:rsidP="009569C7">
      <w:pPr>
        <w:pStyle w:val="Baseparagraphnumbered"/>
      </w:pPr>
      <w:r>
        <w:t xml:space="preserve">Institucije poročajo zneske ali posle v zvezi z bilančnimi in zunajbilančnimi izpostavljenostmi, kadar je nasprotna stranka povezana stranka iz MRS 24. </w:t>
      </w:r>
    </w:p>
    <w:p w14:paraId="5823CD48" w14:textId="77777777" w:rsidR="009569C7" w:rsidRPr="00755ABF" w:rsidRDefault="00A834F1" w:rsidP="009569C7">
      <w:pPr>
        <w:pStyle w:val="Baseparagraphnumbered"/>
      </w:pPr>
      <w:r>
        <w:t xml:space="preserve">Za bonitetne skupine se posli znotraj skupine in neporavnani zneski znotraj skupine izključijo. Institucije pod postavko „podrejene družbe in drugi subjekti v isti skupini“ vključijo stanja in posle s podrejenimi družbami, ki niso </w:t>
      </w:r>
      <w:r>
        <w:lastRenderedPageBreak/>
        <w:t>bile izključene, ker podrejene družbe niso polno konsolidirane v skladu z obsegom bonitetne konsolidacije ali ker so v skladu s členom 19 CRR podrejene družbe zaradi nepomembnosti izključene iz obsega bonitetne konsolidacije ali ker v primeru institucij, ki so del širše skupine, podrejene družbe spadajo pod končni nadrejeni subjekt, in ne pod institucijo. Pod postavko „pridružene in skupaj obvladovane družbe“ pa institucije vključijo deleže stanj in poslov s skupaj obvladovanimi in pridruženimi družbami skupine, ki ji pripada subjekt, in sicer deleže, ki niso bili izključeni z uporabo metode sorazmerne konsolidacije.</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539792"/>
      <w:r>
        <w:t>Povezane stranke: obveznosti za plačilo in zneski terjatev (31.1)</w:t>
      </w:r>
      <w:bookmarkEnd w:id="231"/>
      <w:bookmarkEnd w:id="232"/>
      <w:bookmarkEnd w:id="233"/>
    </w:p>
    <w:p w14:paraId="0A9B525F" w14:textId="77777777" w:rsidR="009569C7" w:rsidRPr="00755ABF" w:rsidRDefault="00A834F1" w:rsidP="009569C7">
      <w:pPr>
        <w:pStyle w:val="Baseparagraphnumbered"/>
      </w:pPr>
      <w:r>
        <w:t>Kot „prejete obveze iz kreditov, prejeta finančna poroštva in druge prejete obveze“ se poroča znesek, ki je vsota „nominalnega zneska“ prejetih obvez iz kreditov in drugih prejetih obvez ter „najvišjega zneska poroštva, ki se lahko upošteva“ pri prejetih finančnih poroštvih, kot je določeno v odstavku 119.</w:t>
      </w:r>
    </w:p>
    <w:p w14:paraId="03B3C887" w14:textId="77777777" w:rsidR="009569C7" w:rsidRPr="00755ABF" w:rsidRDefault="00A834F1" w:rsidP="009569C7">
      <w:pPr>
        <w:pStyle w:val="Baseparagraphnumbered"/>
      </w:pPr>
      <w:r>
        <w:t>„Akumulirane oslabitve in akumulirane negativne spremembe poštene vrednosti zaradi kreditnega tveganja pri nedonosnih izpostavljenostih“, kot so določene v odstavkih 69 do 71 tega dela, se poročajo samo za nedonosne izpostavljenosti. „Rezervacije za nedonosne zunajbilančne izpostavljenosti“ vključujejo rezervacije v skladu z odstavki 11, 106 in 111 tega dela za izpostavljenosti, ki so nedonosne, kot je določeno v skladu z odstavki 213 do 239 tega dela.</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53979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Povezane stranke: ustvarjeni odhodki in prihodki (31.2)</w:t>
      </w:r>
      <w:bookmarkEnd w:id="249"/>
      <w:bookmarkEnd w:id="250"/>
      <w:bookmarkEnd w:id="251"/>
    </w:p>
    <w:p w14:paraId="34609C4F" w14:textId="77777777" w:rsidR="009569C7" w:rsidRPr="00755ABF" w:rsidRDefault="00A834F1" w:rsidP="009569C7">
      <w:pPr>
        <w:pStyle w:val="Baseparagraphnumbered"/>
      </w:pPr>
      <w:r>
        <w:t xml:space="preserve">„Dobički ali izgube iz odprave pripoznanja sredstev, razen finančnih“ vključujejo vse dobičke in izgube iz odprave pripoznanja nefinančnih sredstev, ki se ustvarijo v poslih s povezanimi strankami. Ta postavka vključuje dobičke in izgube iz odprave pripoznanja nefinančnih sredstev, ki so bili ustvarjeni v poslih s povezanimi strankami ter so del katere koli od naslednjih vrstičnih postavk „izkaza poslovnega izida“: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„dobički ali izgube iz odprave pripoznanja naložb v kapital podrejenih, pridruženih in skupaj obvladovanih družb, obračunanih po kapitalski metodi“ v primeru poročanja po nacionalnih GAAP na podlagi direktive o računovodskih izkazih bank;</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„dobički ali izgube iz odprave pripoznanja nefinančnih sredstev“;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„dobiček ali izguba iz nekratkoročnih sredstev in skupin za odtujitev, razvrščenih kot v posesti za prodajo, ki jih ni mogoče razvrstiti kot ustavljeno poslovanje“;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„dobiček ali izguba po obdavčitvi iz ustavljenega poslovanja“.</w:t>
      </w:r>
    </w:p>
    <w:p w14:paraId="71BDD700" w14:textId="77777777" w:rsidR="009569C7" w:rsidRPr="00755ABF" w:rsidRDefault="00A834F1" w:rsidP="009569C7">
      <w:pPr>
        <w:pStyle w:val="Baseparagraphnumbered"/>
      </w:pPr>
      <w:r>
        <w:t xml:space="preserve">„Oslabitve ali (–) razveljavitev oslabitev nedonosnih izpostavljenosti“ vključujejo izgube zaradi oslabitve, kot so opredeljene v odstavkih 51 do 53 tega dela, za izpostavljenosti, ki so nedonosne v skladu z odstavki 213 do 239 tega dela. „Rezervacije ali (–) odprava rezervacij za nedonosne izpostavljenosti“ vključujejo rezervacije, kot so opredeljene v odstavku 50 tega </w:t>
      </w:r>
      <w:r>
        <w:lastRenderedPageBreak/>
        <w:t xml:space="preserve">dela, za zunajbilančne izpostavljenosti, ki so nedonosne, iz odstavkov 213 do 239 tega dela.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188539794"/>
      <w:r>
        <w:t>Struktura skupine (40)</w:t>
      </w:r>
      <w:bookmarkEnd w:id="252"/>
      <w:bookmarkEnd w:id="254"/>
    </w:p>
    <w:bookmarkEnd w:id="253"/>
    <w:p w14:paraId="3A6B7917" w14:textId="77777777" w:rsidR="009569C7" w:rsidRPr="00755ABF" w:rsidRDefault="00A834F1" w:rsidP="009569C7">
      <w:pPr>
        <w:pStyle w:val="Baseparagraphnumbered"/>
      </w:pPr>
      <w:r>
        <w:t xml:space="preserve">Institucije predložijo natančne informacije po stanju na datum poročanja o podrejenih, pridruženih in skupaj obvladovanih družbah, ki so polno ali sorazmerno konsolidirane v skladu z obsegom računovodske konsolidacije, ter o subjektih, ki se poročajo kot „naložbe v kapital podrejenih, pridruženih in skupaj obvladovanih družb, obračunane po kapitalski metodi“ v skladu z odstavkom 4 tega dela, vključno s tistimi subjekti, v katerih imajo naložbe v posesti za prodajo v skladu z MSRP 5. Poroča se o vseh subjektih, ne glede na dejavnost, ki jo opravljajo. </w:t>
      </w:r>
    </w:p>
    <w:p w14:paraId="481127F2" w14:textId="77777777" w:rsidR="009569C7" w:rsidRPr="00755ABF" w:rsidRDefault="00A834F1" w:rsidP="009569C7">
      <w:pPr>
        <w:pStyle w:val="Baseparagraphnumbered"/>
      </w:pPr>
      <w:r>
        <w:t>Lastniški instrumenti, ki ne izpolnjujejo meril za razvrstitev kot naložbe v kapital podrejenih, pridruženih in skupaj obvladovanih družb, obračunane po kapitalski metodi, in delnice same institucije poročevalke, ki jih ima ta v lasti („lastne delnice“), so izključeni iz poročanja po tej predlogi.</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539795"/>
      <w:r>
        <w:t>Struktura skupine: po posameznih subjektih (40.1)</w:t>
      </w:r>
      <w:bookmarkEnd w:id="255"/>
      <w:bookmarkEnd w:id="256"/>
      <w:bookmarkEnd w:id="257"/>
    </w:p>
    <w:p w14:paraId="1C1F41FB" w14:textId="77777777" w:rsidR="009569C7" w:rsidRPr="00755ABF" w:rsidRDefault="00A834F1" w:rsidP="009569C7">
      <w:pPr>
        <w:pStyle w:val="Baseparagraphnumbered"/>
      </w:pPr>
      <w:r>
        <w:t>Naslednje informacije se poročajo „po posameznih subjektih“, pri čemer se za namene prilog III in IV ter te priloge uporabljajo naslednje zahteve:</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„koda“ pomeni identifikacijsko kodo podjetja, v katero se vlaga. Koda mora biti kot del identifikatorja vrstice enoznačna za vsak poročani subjekt. Koda za institucije in zavarovalnice je koda LEI. Za druge subjekte je koda </w:t>
      </w:r>
      <w:proofErr w:type="spellStart"/>
      <w:r>
        <w:rPr>
          <w:rFonts w:ascii="Times New Roman" w:hAnsi="Times New Roman"/>
          <w:sz w:val="24"/>
        </w:rPr>
        <w:t>koda</w:t>
      </w:r>
      <w:proofErr w:type="spellEnd"/>
      <w:r>
        <w:rPr>
          <w:rFonts w:ascii="Times New Roman" w:hAnsi="Times New Roman"/>
          <w:sz w:val="24"/>
        </w:rPr>
        <w:t xml:space="preserve"> LEI ali nacionalna koda, če koda LEI ni na voljo. Koda je enoznačna in se uporablja dosledno po vseh predlogah in skozi čas. Koda ima vedno določeno vrednost;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„vrsta kode“: institucije določijo vrsto kode, ki se poroča v stolpcu „koda“, kot „koda LEI“ ali „ni koda LEI“. Vrsto kode je treba vedno poročati;</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„nacionalna koda“: institucije lahko dodatno poročajo nacionalno kodo, kadar kot identifikator v stolpcu „koda“ poročajo kodo LEI;</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„ime subjekta“ pomeni ime podjetja, v katero se vlaga;</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„vstopni datum“ pomeni datum, na katerega je podjetje, v katero se vlaga, vstopilo v „okvir skupine“;</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„delniški kapital podjetja, v katero se vlaga“ pomeni celoten znesek kapitala, ki ga izda podjetje, v katero se vlaga, na referenčni datum;</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„lastniški kapital podjetja, v katero se vlaga“, „bilančna vsota podjetja, v katero se vlaga“ in „dobiček (ali izguba) podjetja, v katero se vlaga“ vključujejo zneske navedenih postavk iz zadnjih računovodskih izkazov, ki jih je odobril upravni odbor ali podoben pooblaščeni organ podjetja, v katero se vlaga;</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„sedež podjetja, v katero se vlaga“ pomeni državo sedeža podjetja, v katero se vlaga;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„sektor podjetja, v katero se vlaga“ pomeni sektor nasprotne stranke iz odstavka 42 dela 1 te priloge;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„oznaka NACE“ se določi na podlagi glavne dejavnosti podjetja, v katero se vlaga. Za nefinančne družbe se oznake NACE poročajo na podlagi prve ravni razčlenjevanja (po „področjih“). Za finančne družbe se oznake NACE poročajo s podrobnostmi na dveh ravneh (po „oddelkih“);</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„akumulirani lastniški delež (%)“ je delež lastniških instrumentov, ki jih ima institucija v lasti na referenčni datum;</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„glasovalne pravice (%)“ pomenijo delež glasovalnih pravic v zvezi z lastniškimi instrumenti, ki jih ima institucija v lasti na referenčni datum;</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„struktura skupine (razmerje)“ pomeni razmerje med končnim nadrejenim subjektom in podjetjem, v katero se vlaga (nadrejenim subjektom ali subjektom s skupnim nadzorom nad institucijo poročevalko, podrejeno, pridruženo ali skupaj obvladovano družbo);</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„računovodska obravnava (računovodska skupina)“ pomeni razmerje med računovodsko obravnavo in obsegom računovodske konsolidacije (polna konsolidacija, sorazmerna konsolidacija, kapitalska metoda ali drugo);</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„računovodska obravnava (skupina v skladu s CRR)“ pomeni razmerje med računovodsko obravnavo in obsegom konsolidacije po CRR (polna konsolidacija, sorazmerna konsolidacija, kapitalska metoda ali drugo);</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„knjigovodska vrednost“ pomeni zneske, poročane v okviru bilance stanja institucije za podjetja, v katera se vlaga, ki niso niti polno niti sorazmerno konsolidirana;</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„strošek pridobitve“ pomeni znesek, ki ga plačajo investitorji;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„dobro ime, povezano s podjetjem, v katero se vlaga“ pomeni znesek dobrega imena, poročan v okviru konsolidirane bilance stanja institucije poročevalke za podjetje, v katero se vlaga, pod postavko „dobro ime“ ali „naložbe v kapital podrejenih, pridruženih in skupaj obvladovanih družb, obračunane po kapitalski metodi“;</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„poštena vrednost naložb, za katere so objavljene cene“ pomeni ceno na referenčni datum. Navede se le, če instrumenti kotirajo na borzi.</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539796"/>
      <w:r>
        <w:t>Struktura skupine: po posameznih instrumentih (40.2)</w:t>
      </w:r>
      <w:bookmarkEnd w:id="258"/>
      <w:bookmarkEnd w:id="259"/>
      <w:bookmarkEnd w:id="260"/>
    </w:p>
    <w:p w14:paraId="6BA30FF7" w14:textId="77777777" w:rsidR="009569C7" w:rsidRPr="00755ABF" w:rsidRDefault="00A834F1" w:rsidP="009569C7">
      <w:pPr>
        <w:pStyle w:val="Baseparagraphnumbered"/>
      </w:pPr>
      <w:r>
        <w:t>„Po posameznih instrumentih“ se poročajo naslednje informacije:</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„koda vrednostnega papirja“ pomeni kodo ISIN za vrednostni papir. Če vrednostni papirji nimajo kode ISIN, pomeni drugo kodo, ki enoznačno označuje vrednostni papir. „Koda vrednostnega papirja“ in „holding/koda“ tvorita identifikator vrstice in sta skupaj enoznačni za vsako vrstico v predlogi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„holding/koda“ je identifikacijska koda subjekta znotraj skupine, ki ima v lasti naložbo. Koda mora biti kot del identifikatorja vrstice enoznačna za vsak poročani subjekt. Koda za institucije in zavarovalnice je koda LEI. Za druge subjekte je koda </w:t>
      </w:r>
      <w:proofErr w:type="spellStart"/>
      <w:r>
        <w:rPr>
          <w:rFonts w:ascii="Times New Roman" w:hAnsi="Times New Roman"/>
          <w:sz w:val="24"/>
        </w:rPr>
        <w:t>koda</w:t>
      </w:r>
      <w:proofErr w:type="spellEnd"/>
      <w:r>
        <w:rPr>
          <w:rFonts w:ascii="Times New Roman" w:hAnsi="Times New Roman"/>
          <w:sz w:val="24"/>
        </w:rPr>
        <w:t xml:space="preserve"> LEI ali nacionalna koda, če koda LEI ni na </w:t>
      </w:r>
      <w:r>
        <w:rPr>
          <w:rFonts w:ascii="Times New Roman" w:hAnsi="Times New Roman"/>
          <w:sz w:val="24"/>
        </w:rPr>
        <w:lastRenderedPageBreak/>
        <w:t>voljo. Koda je enoznačna in se uporablja dosledno po vseh predlogah in skozi čas. Koda ima vedno določeno vrednost;</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„holding/vrsta kode“: institucije določijo vrsto kode, ki se poroča v stolpcu „holding/koda“ kot „koda LEI“ ali „ni koda LEI“. Vrsto kode je treba vedno poročati;</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„holding/nacionalna koda“: institucije lahko dodatno poročajo nacionalno kodo, kadar kot identifikator v stolpcu „holding/koda“ poročajo kodo LEI;</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postavke „podjetje, v katero se vlaga/koda“, „podjetje, v katero se vlaga/vrsta kode“, „akumulirani lastniški delež (%)“, „knjigovodska vrednost“ in „strošek pridobitve“ so opredeljene v odstavku 296 tega dela. Zneski ustrezajo vrednostnemu papirju, ki ga ima v lasti zadevni holding.</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539797"/>
      <w:r>
        <w:t>Poštena vrednost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539798"/>
      <w:r>
        <w:t>Hierarhija poštene vrednosti: finančni instrumenti po odplačni vrednosti (41.1)</w:t>
      </w:r>
      <w:bookmarkEnd w:id="264"/>
      <w:bookmarkEnd w:id="265"/>
      <w:bookmarkEnd w:id="266"/>
      <w:r>
        <w:t xml:space="preserve"> </w:t>
      </w:r>
    </w:p>
    <w:p w14:paraId="2F7294E9" w14:textId="77777777" w:rsidR="009569C7" w:rsidRPr="00755ABF" w:rsidRDefault="00A834F1" w:rsidP="009569C7">
      <w:pPr>
        <w:pStyle w:val="Baseparagraphnumbered"/>
      </w:pPr>
      <w:r>
        <w:t>V tej predlogi se poročajo informacije o pošteni vrednosti finančnih instrumentov, merjenih po odplačni vrednosti, z uporabo hierarhije iz 72., 76., 81. in 86. člena MSRP 13. Kadar nacionalni GAAP na podlagi direktive o računovodskih izkazih bank zahtevajo tudi razporeditev sredstev, merjenih po pošteni vrednosti, med različne ravni poštene vrednosti, institucije, ki uporabljajo nacionalne GAAP, prav tako poročajo po tej predlogi.</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539799"/>
      <w:r>
        <w:t>Uporaba možnosti vrednotenja po pošteni vrednosti (41.2)</w:t>
      </w:r>
      <w:bookmarkEnd w:id="267"/>
      <w:bookmarkEnd w:id="268"/>
      <w:bookmarkEnd w:id="269"/>
    </w:p>
    <w:p w14:paraId="546D4A01" w14:textId="77777777" w:rsidR="009569C7" w:rsidRPr="00755ABF" w:rsidRDefault="00A834F1" w:rsidP="009569C7">
      <w:pPr>
        <w:pStyle w:val="Baseparagraphnumbered"/>
      </w:pPr>
      <w:r>
        <w:t xml:space="preserve">V tej predlogi se poročajo informacije o uporabi možnosti vrednotenja po pošteni vrednosti za finančna sredstva in obveznosti, določene za merjenje po pošteni vrednosti prek poslovnega izida. </w:t>
      </w:r>
    </w:p>
    <w:p w14:paraId="7FBCFB4D" w14:textId="77777777" w:rsidR="009569C7" w:rsidRPr="00755ABF" w:rsidRDefault="00A834F1" w:rsidP="009569C7">
      <w:pPr>
        <w:pStyle w:val="Baseparagraphnumbered"/>
      </w:pPr>
      <w:r>
        <w:t xml:space="preserve">„Hibridne pogodbe“ za obveznosti vključujejo knjigovodsko vrednost hibridnih finančnih instrumentov, ki se kot celota razvrstijo v računovodski portfelj finančnih obveznosti, določenih za merjenje po pošteni vrednosti prek poslovnega izida. To pomeni, da vključujejo </w:t>
      </w:r>
      <w:proofErr w:type="spellStart"/>
      <w:r>
        <w:t>neločene</w:t>
      </w:r>
      <w:proofErr w:type="spellEnd"/>
      <w:r>
        <w:t xml:space="preserve"> hibridne instrumente kot celoto.</w:t>
      </w:r>
    </w:p>
    <w:p w14:paraId="1001AB3E" w14:textId="77777777" w:rsidR="009569C7" w:rsidRPr="00755ABF" w:rsidRDefault="00A834F1" w:rsidP="009569C7">
      <w:pPr>
        <w:pStyle w:val="Baseparagraphnumbered"/>
      </w:pPr>
      <w:r>
        <w:t xml:space="preserve">Postavka „upravljano za kreditno tveganje“ vključuje knjigovodsko vrednost instrumentov, ki so določeni za merjenje po pošteni vrednosti prek poslovnega izida v trenutku njihovega varovanja pred kreditnim tveganjem s kreditnimi izvedenimi finančnimi instrumenti, merjenimi po pošteni vrednosti prek poslovnega izida v skladu z oddelkom 6.7 MSRP 9.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539800"/>
      <w:r>
        <w:t>Opredmetena in neopredmetena sredstva: knjigovodska vrednost glede na metodo merjenja (42)</w:t>
      </w:r>
      <w:bookmarkEnd w:id="270"/>
      <w:bookmarkEnd w:id="271"/>
      <w:bookmarkEnd w:id="272"/>
    </w:p>
    <w:p w14:paraId="17521A6A" w14:textId="77777777" w:rsidR="009569C7" w:rsidRPr="00755ABF" w:rsidRDefault="00A834F1" w:rsidP="009569C7">
      <w:pPr>
        <w:pStyle w:val="Baseparagraphnumbered"/>
      </w:pPr>
      <w:r>
        <w:t xml:space="preserve"> „Opredmetena osnovna sredstva“, „naložbene nepremičnine“ ter „druga neopredmetena sredstva“ se poročajo glede na merila, uporabljena pri njihovem merjenju.</w:t>
      </w:r>
    </w:p>
    <w:p w14:paraId="43CC25A8" w14:textId="0432338A" w:rsidR="009569C7" w:rsidRPr="00755ABF" w:rsidRDefault="00A834F1" w:rsidP="00D25655">
      <w:pPr>
        <w:pStyle w:val="Baseparagraphnumbered"/>
      </w:pPr>
      <w:r>
        <w:t xml:space="preserve">„Druga neopredmetena sredstva“ vključujejo vsa neopredmetena sredstva razen dobrega imena. Sredstva v obliki programske opreme se </w:t>
      </w:r>
      <w:r>
        <w:lastRenderedPageBreak/>
        <w:t>poročajo pod postavko „druga neopredmetena sredstva“ ali „opredmetena osnovna sredstva“ v skladu z veljavnim računovodskim okvirom.</w:t>
      </w:r>
    </w:p>
    <w:p w14:paraId="09CD6D02" w14:textId="77777777" w:rsidR="00AA61E7" w:rsidRPr="00755ABF" w:rsidRDefault="00AA61E7" w:rsidP="00AA61E7">
      <w:pPr>
        <w:pStyle w:val="Baseparagraphnumbered"/>
        <w:numPr>
          <w:ilvl w:val="0"/>
          <w:numId w:val="0"/>
        </w:numPr>
        <w:ind w:left="786" w:hanging="360"/>
      </w:pPr>
      <w:r>
        <w:t>303i.</w:t>
      </w:r>
      <w:r>
        <w:tab/>
        <w:t>Če institucija nastopa v vlogi najemnika, ločeno navede informacije o sredstvih v najemu (sredstva, ki predstavljajo pravico do uporabe).</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539801"/>
      <w:r>
        <w:t>Rezervacije (43)</w:t>
      </w:r>
      <w:bookmarkEnd w:id="273"/>
      <w:bookmarkEnd w:id="274"/>
      <w:bookmarkEnd w:id="275"/>
    </w:p>
    <w:p w14:paraId="0E2653D2" w14:textId="77777777" w:rsidR="009569C7" w:rsidRPr="00755ABF" w:rsidRDefault="00A834F1" w:rsidP="009569C7">
      <w:pPr>
        <w:pStyle w:val="Baseparagraphnumbered"/>
      </w:pPr>
      <w:r>
        <w:t>Ta predloga vključuje uskladitev knjigovodske vrednosti postavke „rezervacije“ na začetku in koncu zadevnega obdobja glede na naravo sprememb z izjemo rezervacij, merjenih po MSRP 9, ki se namesto tega poročajo v predlogi 12.</w:t>
      </w:r>
    </w:p>
    <w:p w14:paraId="6F6A5D8D" w14:textId="77777777" w:rsidR="009569C7" w:rsidRPr="00755ABF" w:rsidRDefault="00A834F1" w:rsidP="009569C7">
      <w:pPr>
        <w:pStyle w:val="Baseparagraphnumbered"/>
      </w:pPr>
      <w:r>
        <w:t xml:space="preserve">„Druge prevzete obveznosti in dana poroštva, merjena v skladu z MRS 37, in dana poroštva, merjena v skladu z MSRP 4“ vključujejo rezervacije, merjene po MRS 37, in kreditne izgube iz finančnih poroštev, ki se obravnavajo kot zavarovalne pogodbe v skladu z MSRP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539802"/>
      <w:r>
        <w:t>Programi z določenimi zaslužki in zaslužki zaposlencev (44)</w:t>
      </w:r>
      <w:bookmarkEnd w:id="276"/>
      <w:bookmarkEnd w:id="277"/>
      <w:bookmarkEnd w:id="278"/>
    </w:p>
    <w:p w14:paraId="6B41CD2B" w14:textId="77777777" w:rsidR="009569C7" w:rsidRPr="00755ABF" w:rsidRDefault="00A834F1" w:rsidP="009569C7">
      <w:pPr>
        <w:pStyle w:val="Baseparagraphnumbered"/>
      </w:pPr>
      <w:r>
        <w:t>Te predloge vključujejo zbrane informacije o vseh programih z določenimi zaslužki, ki jih izvaja institucija. Če se izvaja več kot en program z določenimi zaslužki, se poroča zbirni znesek vseh programov.</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539803"/>
      <w:r>
        <w:t>Sestavine neto sredstev in obveznosti za programe z določenimi zaslužki (44.1)</w:t>
      </w:r>
      <w:bookmarkEnd w:id="279"/>
      <w:bookmarkEnd w:id="280"/>
      <w:bookmarkEnd w:id="281"/>
    </w:p>
    <w:p w14:paraId="0EF4B5C9" w14:textId="77777777" w:rsidR="009569C7" w:rsidRPr="00755ABF" w:rsidRDefault="001A1272" w:rsidP="009569C7">
      <w:pPr>
        <w:pStyle w:val="Baseparagraphnumbered"/>
      </w:pPr>
      <w:r>
        <w:t>Predloga o sestavinah neto sredstev in obveznosti za programe z določenimi zaslužki prikazuje uskladitev akumulirane sedanje vrednosti vseh neto obveznosti (sredstev) za določene zaslužke ter pravice do povračila (MRS 19, 140.(a) in (b) člen).</w:t>
      </w:r>
    </w:p>
    <w:p w14:paraId="5CEE8721" w14:textId="77777777" w:rsidR="009569C7" w:rsidRPr="00755ABF" w:rsidRDefault="00A834F1" w:rsidP="009569C7">
      <w:pPr>
        <w:pStyle w:val="Baseparagraphnumbered"/>
      </w:pPr>
      <w:r>
        <w:t xml:space="preserve">Postavka „neto sredstva za določene zaslužke“ vključuje v primeru presežka zneske presežka, ki se pripoznajo v bilanci stanja, ker nanje ne vplivajo omejitve iz 63. člena MRS 19. Znesek te postavke in znesek, pripoznan v pojasnjevalni postavki „poštena vrednost katere koli pravice do poplačila, pripoznane kot sredstvo“, sta vključena v postavko „druga sredstva“ bilance stanja.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539804"/>
      <w:r>
        <w:t>Gibanja obveznosti za določene zaslužke (44.2)</w:t>
      </w:r>
      <w:bookmarkEnd w:id="282"/>
      <w:bookmarkEnd w:id="283"/>
      <w:bookmarkEnd w:id="284"/>
    </w:p>
    <w:p w14:paraId="6369DEA1" w14:textId="77777777" w:rsidR="009569C7" w:rsidRPr="00755ABF" w:rsidRDefault="001A1272" w:rsidP="009569C7">
      <w:pPr>
        <w:pStyle w:val="Baseparagraphnumbered"/>
      </w:pPr>
      <w:r>
        <w:t>Predloga o gibanjih obveznosti za določene zaslužke prikazuje uskladitev začetnih in končnih stanj akumulirane sedanje vrednosti vseh obveznosti za določene zaslužke, ki jih ima institucija. Učinki različnih elementov iz 141. člena MRS 19 v zadevnem obdobju se prikažejo ločeno.</w:t>
      </w:r>
    </w:p>
    <w:p w14:paraId="6F8EA39F" w14:textId="77777777" w:rsidR="009569C7" w:rsidRPr="00755ABF" w:rsidRDefault="00A834F1" w:rsidP="009569C7">
      <w:pPr>
        <w:pStyle w:val="Baseparagraphnumbered"/>
      </w:pPr>
      <w:r>
        <w:t>Znesek „končnega stanja (sedanja vrednost)“ v predlogi za gibanja pri obveznostih za določene zaslužke je enak „sedanji vrednosti obveznosti za določene zaslužke“.</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539805"/>
      <w:r>
        <w:t>Odhodki za zaposlene glede na vrsto zaslužkov (44.3)</w:t>
      </w:r>
      <w:bookmarkEnd w:id="285"/>
      <w:bookmarkEnd w:id="286"/>
      <w:bookmarkEnd w:id="287"/>
    </w:p>
    <w:p w14:paraId="6FF4A62A" w14:textId="77777777" w:rsidR="009569C7" w:rsidRPr="00755ABF" w:rsidRDefault="00A834F1" w:rsidP="009569C7">
      <w:pPr>
        <w:pStyle w:val="Baseparagraphnumbered"/>
      </w:pPr>
      <w:r>
        <w:lastRenderedPageBreak/>
        <w:t xml:space="preserve">Za poročanje odhodkov za zaposlene glede na vrsto zaslužkov se uporabljajo naslednje opredelitve: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„pokojnine in podobni odhodki“ vključujejo znesek, pripoznan v zadevnem obdobju kot odhodek za zaposlene za katere koli pozaposlitvene obveznosti (programe z določenimi prispevki in programe z določenimi zaslužki), vključno s prispevki v sklade socialne varnosti v zvezi z obdobjem po zaposlitvi (pokojninske sklade), ki jih vodijo država ali subjekti socialne varnosti;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„plačila na podlagi delnic“ vključujejo znesek, pripoznan v referenčnem obdobju kot odhodki za zaposlene za plačila na podlagi delnic;</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„plače“ vključujejo prejemke uslužbencev institucije za njihovo delo ali storitve, ne vključujejo pa plačil odpravnine in prejemkov v obliki plačil na podlagi delnic, ki se poročajo pod ločenimi postavkami;</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„prispevki za socialno varnost“ vključujejo prispevke v sklade socialne varnosti in zneske, plačane vladi ali subjektom socialne varnosti za prejemanje prihodnjih socialnih prejemkov, ne vključujejo pa prispevkov v sklade socialne varnosti v zvezi z obdobjem po zaposlitvi v smislu pokojnin (prispevkov v pokojninske sklade);</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„plačila odpravnine“ pomenijo plačila v zvezi s predčasno prekinitvijo pogodbe o zaposlitvi in vključujejo odpravnine, kot so opredeljene v 8. členu MRS 19;</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„druge vrste odhodkov za zaposlene“ vključujejo odhodke za zaposlene, ki se ne morejo razporediti v nobeno od zgornjih kategorij.</w:t>
      </w:r>
    </w:p>
    <w:p w14:paraId="7D438244" w14:textId="77777777" w:rsidR="00A0154C" w:rsidRPr="00755ABF" w:rsidRDefault="00A0154C" w:rsidP="00A0154C">
      <w:pPr>
        <w:pStyle w:val="sub-subtitlenumbered"/>
        <w:jc w:val="both"/>
      </w:pPr>
      <w:bookmarkStart w:id="288" w:name="_Toc188539806"/>
      <w:r>
        <w:t>Odhodki za zaposlene glede na kategorijo prejemkov in kategorijo zaposlenih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Za poročanje odhodkov za zaposlene glede na kategorijo prejemkov in kategorijo zaposlenih se uporabljajo naslednje opredelitve: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„fiksni prejemki“, „variabilni prejemki“, „zaposleni, katerih poklicne dejavnosti pomembno vplivajo na profil tveganosti institucij“ in „upravljalni organ v njegovi funkciji vodenja“ imajo isti pomen kot v smernicah EBA o „preudarnih politikah prejemkov v skladu s členoma 74(3) in 75(2) Direktive 2013/36/EU ter razkritjih v okviru člena 450 Uredbe (EU) št.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„upravljalni organ“, „upravljalni organ v nadzorni funkciji“ in „višje vodstvo“ zajemajo zaposlene, ki so opredeljeni v točkah, (7), (8) in (9) člena 3(1) direktive o kapitalskih zahtevah.</w:t>
      </w:r>
    </w:p>
    <w:p w14:paraId="2730827A" w14:textId="77777777" w:rsidR="00A0154C" w:rsidRPr="00755ABF" w:rsidRDefault="00A0154C" w:rsidP="00A0154C">
      <w:pPr>
        <w:pStyle w:val="Baseparagraphnumbered"/>
        <w:numPr>
          <w:ilvl w:val="0"/>
          <w:numId w:val="0"/>
        </w:numPr>
        <w:ind w:left="786" w:hanging="360"/>
      </w:pPr>
      <w:r>
        <w:t xml:space="preserve">311ii. </w:t>
      </w:r>
      <w:r>
        <w:tab/>
        <w:t>„Število zaposlenih“ vključuje, na referenčni datum poročanja, število zaposlenih, izraženo v ekvivalentih polnega delovnega časa, ter število članov upravljalnega organa, izraženo kot število oseb, za bonitetni (CRR) obseg konsolidacije. Od tega se ločeno poročajo število zaposlenih, katerih poklicne dejavnosti pomembno vplivajo na profil tveganosti institucij, število članov v upravljalnem organu v njegovi funkciji vodenja in v višjem vodstvu ter število članov v upravljalnem organu v nadzorni funkciji.</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539807"/>
      <w:r>
        <w:lastRenderedPageBreak/>
        <w:t>Razčlenitev izbranih postavk izkaza poslovnega izida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188539808"/>
      <w:r>
        <w:t>Dobički ali izgube iz finančnih sredstev in obveznosti, določenih za merjenje po pošteni vrednosti prek poslovnega izida, po računovodskem portfelju (45.1)</w:t>
      </w:r>
      <w:bookmarkEnd w:id="294"/>
    </w:p>
    <w:p w14:paraId="4132A859" w14:textId="77777777" w:rsidR="009569C7" w:rsidRPr="00755ABF" w:rsidRDefault="00A834F1" w:rsidP="009569C7">
      <w:pPr>
        <w:pStyle w:val="Baseparagraphnumbered"/>
      </w:pPr>
      <w:r>
        <w:t>„Finančne obveznosti, določene za merjenje po pošteni vrednosti prek poslovnega izida“ vključujejo samo dobičke in izgube zaradi spremembe lastnega kreditnega tveganja izdajateljev obveznosti, določenih za merjenje po pošteni vrednosti prek poslovnega izida, če se je institucija poročevalka odločila, da jih bo pripoznala v poslovnem izidu, ker bi pripoznanje v drugem vseobsegajočem donosu povzročilo ali povečalo računovodsko neskladnost.</w:t>
      </w:r>
    </w:p>
    <w:p w14:paraId="4F712E48" w14:textId="77777777" w:rsidR="009569C7" w:rsidRPr="00755ABF" w:rsidRDefault="00A834F1" w:rsidP="009569C7">
      <w:pPr>
        <w:pStyle w:val="sub-subtitlenumbered"/>
        <w:jc w:val="both"/>
      </w:pPr>
      <w:bookmarkStart w:id="295" w:name="_Toc188539809"/>
      <w:r>
        <w:t>Dobički ali izgube iz odprave pripoznanja nefinančnih sredstev (45.2)</w:t>
      </w:r>
      <w:bookmarkEnd w:id="292"/>
      <w:bookmarkEnd w:id="293"/>
      <w:bookmarkEnd w:id="295"/>
    </w:p>
    <w:p w14:paraId="440952BA" w14:textId="77777777" w:rsidR="009569C7" w:rsidRPr="00755ABF" w:rsidRDefault="00A834F1" w:rsidP="009569C7">
      <w:pPr>
        <w:pStyle w:val="Baseparagraphnumbered"/>
      </w:pPr>
      <w:r>
        <w:t>„Dobički ali izgube iz odprave pripoznanja nefinančnih sredstev“ se razčlenijo glede na vrsto sredstva. Vsaka vrstična postavka vključuje dobiček ali izgubo v zvezi s sredstvom, za katerega je bilo odpravljeno pripoznanje. „Druga sredstva“ vključujejo druga opredmetena sredstva, neopredmetena sredstva in naložbe, o katerih se ni poročalo drugje.</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539810"/>
      <w:r>
        <w:t>Drugi poslovni prihodki in odhodki (45.3)</w:t>
      </w:r>
      <w:bookmarkEnd w:id="296"/>
      <w:bookmarkEnd w:id="297"/>
      <w:bookmarkEnd w:id="298"/>
    </w:p>
    <w:p w14:paraId="003059B3" w14:textId="77777777" w:rsidR="009569C7" w:rsidRPr="00755ABF" w:rsidRDefault="00A834F1" w:rsidP="009569C7">
      <w:pPr>
        <w:pStyle w:val="Baseparagraphnumbered"/>
      </w:pPr>
      <w:r>
        <w:t xml:space="preserve">Drugi poslovni prihodki in odhodki se razčlenijo po naslednjih postavkah: prilagoditve poštene vrednosti za opredmetena sredstva, merjene z uporabo modela poštene vrednosti; prihodek od najemnin in neposredni poslovni odhodki iz naložbenih nepremičnin; prihodki in odhodki iz poslovnih najemov, ki niso naložbene nepremičnine, ter preostali poslovni prihodki in odhodki. </w:t>
      </w:r>
    </w:p>
    <w:p w14:paraId="59EDD1E9" w14:textId="77777777" w:rsidR="009569C7" w:rsidRPr="00755ABF" w:rsidRDefault="00A834F1" w:rsidP="009569C7">
      <w:pPr>
        <w:pStyle w:val="Baseparagraphnumbered"/>
      </w:pPr>
      <w:r>
        <w:t>Postavka „poslovni najemi, ki niso naložbene nepremičnine“ vključuje v stolpcu „prihodki“ prejete donose, v stolpcu „odhodki“ pa stroške, ki jih je imela institucija kot najemodajalec v okviru svojih dejavnosti poslovnega najema, razen dejavnosti, ki vključujejo sredstva, razvrščena kot naložbene nepremičnine. Stroški institucije kot najemnika se vključijo pod postavko „drugi administrativni stroški“.</w:t>
      </w:r>
    </w:p>
    <w:p w14:paraId="139AC618" w14:textId="77777777" w:rsidR="009569C7" w:rsidRPr="00755ABF" w:rsidRDefault="00A834F1" w:rsidP="009569C7">
      <w:pPr>
        <w:pStyle w:val="Baseparagraphnumbered"/>
      </w:pPr>
      <w:r>
        <w:t>Dobički ali izgube iz odprave pripoznanja in ponovnega merjenja zlata, drugih plemenitih kovin in drugih vrst blaga, merjenih po pošteni vrednosti in z odštetimi stroški prodaje, se poročajo v postavkah, vključenih v postavko „drugi poslovni prihodki – drugo“ ali „drugi poslovni odhodki – drugo“</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539811"/>
      <w:r>
        <w:t>Izkaz sprememb lastniškega kapitala</w:t>
      </w:r>
      <w:bookmarkEnd w:id="299"/>
      <w:r>
        <w:t xml:space="preserve"> (46)</w:t>
      </w:r>
      <w:bookmarkEnd w:id="300"/>
      <w:bookmarkEnd w:id="301"/>
      <w:bookmarkEnd w:id="302"/>
    </w:p>
    <w:p w14:paraId="3EA21A56" w14:textId="77777777" w:rsidR="009569C7" w:rsidRPr="00755ABF" w:rsidRDefault="00A834F1" w:rsidP="009569C7">
      <w:pPr>
        <w:pStyle w:val="Baseparagraphnumbered"/>
      </w:pPr>
      <w:r>
        <w:t>Izkaz sprememb lastniškega kapitala razkriva uskladitev med knjigovodsko vrednostjo na začetku obdobja (začetno stanje) in na koncu obdobja (končno stanje) za vsako sestavino lastniškega kapitala.</w:t>
      </w:r>
    </w:p>
    <w:p w14:paraId="6BD925CA" w14:textId="77777777" w:rsidR="009569C7" w:rsidRPr="00755ABF" w:rsidRDefault="00A834F1" w:rsidP="009569C7">
      <w:pPr>
        <w:pStyle w:val="Baseparagraphnumbered"/>
        <w:rPr>
          <w:caps/>
        </w:rPr>
      </w:pPr>
      <w:r>
        <w:t xml:space="preserve">„Prenosi med sestavinami lastniškega kapitala“ vključujejo vse zneske, prenesene znotraj lastniškega kapitala, vključno z dobički in izgubami zaradi lastnega kreditnega tveganja obveznosti, določenih za merjenje po pošteni vrednosti prek poslovnega izida, ter akumuliranimi spremembami poštene vrednosti lastniških instrumentov, merjenih po pošteni vrednosti prek drugega </w:t>
      </w:r>
      <w:r>
        <w:lastRenderedPageBreak/>
        <w:t xml:space="preserve">vseobsegajočega donosa, ki se ob odpravi pripoznanja prenesejo v druge sestavine lastniškega kapitala. </w:t>
      </w:r>
    </w:p>
    <w:p w14:paraId="048B9A57" w14:textId="77777777" w:rsidR="004C5086" w:rsidRPr="00755ABF" w:rsidRDefault="004C5086" w:rsidP="004C5086">
      <w:pPr>
        <w:pStyle w:val="subtitlenumbered"/>
        <w:jc w:val="both"/>
      </w:pPr>
      <w:bookmarkStart w:id="303" w:name="_Toc188539812"/>
      <w:r>
        <w:t>KREDITI IN DRUGA FINANČNA SREDSTVA: DODATNE INFORMACIJE (23)</w:t>
      </w:r>
      <w:bookmarkEnd w:id="303"/>
    </w:p>
    <w:p w14:paraId="7AACBB11" w14:textId="22BD3203" w:rsidR="004C5086" w:rsidRPr="00755ABF" w:rsidRDefault="004C5086" w:rsidP="004C5086">
      <w:pPr>
        <w:pStyle w:val="Baseparagraphnumbered"/>
      </w:pPr>
      <w:r>
        <w:t xml:space="preserve">V predlogi 23 se predstavijo dodatne informacije o kreditih in drugih finančnih sredstvih razen kreditov in drugih finančnih sredstev, razvrščenih kot stanja na računih pri centralnih bankah in vloge na vpogled pri bankah, v posesti za trgovanje, trgovalna finančna sredstva in dolžniški instrumenti v posesti za prodajo. </w:t>
      </w:r>
    </w:p>
    <w:p w14:paraId="4F91759C" w14:textId="77777777" w:rsidR="004C5086" w:rsidRPr="00755ABF" w:rsidRDefault="004C5086" w:rsidP="004C5086">
      <w:pPr>
        <w:pStyle w:val="Baseparagraphnumbered"/>
      </w:pPr>
      <w:r>
        <w:t>Za namene določanja „števila instrumentov“ instrument pomeni bančni produkt z neporavnanim stanjem in, kjer je relevantno, kreditnim limitom, ki je običajno povezan z računom. Izpostavljenost do določene nasprotne stranke lahko sestavlja več instrumentov. Število instrumentov se določi na podlagi načina, na katerega institucija obvladuje izpostavljenost. Število instrumentov se navede ločeno za izpostavljenosti, ki so pred pravdnim postopkom, in izpostavljenosti, ki so v pravdnem postopku, kot je opredeljeno v odstavkih 321 in 322 tega dela.</w:t>
      </w:r>
    </w:p>
    <w:p w14:paraId="1A59B405" w14:textId="77777777" w:rsidR="004C5086" w:rsidRPr="00755ABF" w:rsidRDefault="004C5086" w:rsidP="004C5086">
      <w:pPr>
        <w:pStyle w:val="Baseparagraphnumbered"/>
      </w:pPr>
      <w:r>
        <w:t>Izpostavljenost ima status „pred pravdnim postopkom“, če je bil dolžnik uradno obveščen, da bo institucija v določenem času proti njemu pravno ukrepala, če ne bo izpolnil določenih pogodbenih ali drugih plačilnih obveznosti. To vključuje tudi primere, v katerih je institucija poročevalka prekinila pogodbo, ker dolžnik uradno krši pogodbene pogoje in je bil o tem uradno obveščen, vendar institucija proti njemu še ni pravno ukrepala. Izpostavljenosti, razvrščene kot v statusu „pred pravdnim postopkom“, lahko prenehajo biti razvrščene kot take, če so neporavnani zneski plačani ali če dobijo status pravdnega postopka, kot je opredeljeno v naslednjem odstavku.</w:t>
      </w:r>
    </w:p>
    <w:p w14:paraId="7E5BEF31" w14:textId="77777777" w:rsidR="004C5086" w:rsidRPr="00755ABF" w:rsidRDefault="004C5086" w:rsidP="004C5086">
      <w:pPr>
        <w:pStyle w:val="Baseparagraphnumbered"/>
      </w:pPr>
      <w:r>
        <w:t xml:space="preserve">Izpostavljenost ima status „v pravdnem postopku“, ko se uradno pravno ukrepa proti dolžniku. To zajema primere, v katerih je sodišče potrdilo, da poteka uraden sodni postopek, ali je bil pravosodni sistem obveščen o nameri, da se začne pravni postopek. </w:t>
      </w:r>
    </w:p>
    <w:p w14:paraId="27F420AA" w14:textId="77777777" w:rsidR="004C5086" w:rsidRPr="00755ABF" w:rsidRDefault="004C5086" w:rsidP="004C5086">
      <w:pPr>
        <w:pStyle w:val="Baseparagraphnumbered"/>
      </w:pPr>
      <w:r>
        <w:t>„Nezavarovani krediti in druga finančna sredstva brez poroštev“ so izpostavljenosti, za katere ni bilo zastavljeno zavarovanje s premoženjem ali prejeto finančno poroštvo; nezavarovani del delno zavarovane ali delno zajamčene izpostavljenosti se ne vključi.</w:t>
      </w:r>
    </w:p>
    <w:p w14:paraId="5B95E8F5" w14:textId="77777777" w:rsidR="004C5086" w:rsidRPr="00755ABF" w:rsidRDefault="004C5086" w:rsidP="004C5086">
      <w:pPr>
        <w:pStyle w:val="Baseparagraphnumbered"/>
      </w:pPr>
      <w:r>
        <w:t>Krediti in druga finančna sredstva z akumuliranim količnikom kritja nad 90 % se poročajo ločeno. Za ta namen „akumulirani količnik kritja“ pomeni razmerje med akumuliranimi oslabitvami, tj. akumuliranimi negativnimi spremembami poštene vrednosti zaradi kreditnega tveganja v zvezi s kreditom oziroma drugim finančnim sredstvom (števec) in bruto knjigovodsko vrednostjo tega kredita oziroma drugega finančnega sredstva (imenovalec).</w:t>
      </w:r>
    </w:p>
    <w:p w14:paraId="2116D89F" w14:textId="77777777" w:rsidR="004C5086" w:rsidRPr="00755ABF" w:rsidRDefault="004C5086" w:rsidP="004C5086">
      <w:pPr>
        <w:pStyle w:val="Baseparagraphnumbered"/>
      </w:pPr>
      <w:r>
        <w:t xml:space="preserve">Krediti, zavarovani z nepremičninami, kot so opredeljeni v odstavkih 86(a) in 87 tega dela, in krediti za poslovne nepremičnine, kot so opredeljeni v odstavku 239ix tega dela, se poročajo razčlenjeno glede na razmerje med </w:t>
      </w:r>
      <w:r>
        <w:lastRenderedPageBreak/>
        <w:t>vrednostjo kredita in vrednostjo zavarovanja s premoženjem (tj. razmerje LTV), kot je opredeljeno v odstavku 239x tega dela.</w:t>
      </w:r>
    </w:p>
    <w:p w14:paraId="04810888" w14:textId="77777777" w:rsidR="004C5086" w:rsidRPr="00755ABF" w:rsidRDefault="004C5086" w:rsidP="004C5086">
      <w:pPr>
        <w:pStyle w:val="Baseparagraphnumbered"/>
      </w:pPr>
      <w:r>
        <w:t>Informacije o zavarovanju s premoženjem v posesti in prejetih poroštvih za kredite in druga finančna sredstva se poročajo v skladu z odstavkom 239 tega dela. Zato je zgornja meja vsote poročanih zneskov za zavarovanje s premoženjem in poroštva knjigovodska vrednost povezane izpostavljenosti. Nepremičnine, zastavljene kot zavarovanje s premoženjem, se poročajo dodatno, in sicer ločeno.</w:t>
      </w:r>
    </w:p>
    <w:p w14:paraId="653108CB" w14:textId="77777777" w:rsidR="004C5086" w:rsidRPr="00755ABF" w:rsidRDefault="004C5086" w:rsidP="004C5086">
      <w:pPr>
        <w:pStyle w:val="Baseparagraphnumbered"/>
      </w:pPr>
      <w:r>
        <w:t>Z odstopanjem od prejšnjega odstavka „zavarovanje s premoženjem, prejeto za kredite in druga finančna sredstva – zneski brez zgornje meje“ odražajo polno vrednost prejetega zavarovanja s premoženjem, ki ni omejena navzgor s knjigovodsko vrednostjo povezane izpostavljenosti.</w:t>
      </w:r>
    </w:p>
    <w:p w14:paraId="252B4736" w14:textId="77777777" w:rsidR="004C5086" w:rsidRPr="00755ABF" w:rsidRDefault="004C5086" w:rsidP="004C5086">
      <w:pPr>
        <w:pStyle w:val="subtitlenumbered"/>
        <w:jc w:val="both"/>
      </w:pPr>
      <w:bookmarkStart w:id="304" w:name="_Toc188539813"/>
      <w:r>
        <w:t>KREDITI IN DRUGA FINANČNA SREDSTVA: TOKOVI IZ NASLOVA NEDONOSNIH IZPOSTAVLJENOSTI, OSLABITEV IN ODPISOV OD KONCA ZADNJEGA POSLOVNEGA LETA (24)</w:t>
      </w:r>
      <w:bookmarkEnd w:id="304"/>
    </w:p>
    <w:p w14:paraId="0857B8F0" w14:textId="77777777" w:rsidR="004C5086" w:rsidRPr="00755ABF" w:rsidRDefault="004C5086" w:rsidP="004C5086">
      <w:pPr>
        <w:pStyle w:val="sub-subtitlenumbered"/>
        <w:jc w:val="both"/>
      </w:pPr>
      <w:bookmarkStart w:id="305" w:name="_Toc188539814"/>
      <w:r>
        <w:t>Krediti in druga finančna sredstva: prilivi in odlivi iz naslova nedonosnih izpostavljenosti (24.1)</w:t>
      </w:r>
      <w:bookmarkEnd w:id="305"/>
    </w:p>
    <w:p w14:paraId="285E8C41" w14:textId="7A2E4F54" w:rsidR="004C5086" w:rsidRPr="00755ABF" w:rsidRDefault="004C5086" w:rsidP="004C5086">
      <w:pPr>
        <w:pStyle w:val="Baseparagraphnumbered"/>
      </w:pPr>
      <w:r>
        <w:t>Predloga 24.1 vsebuje uskladitev začetnih in končnih stanj vseh kreditov in drugih finančnih sredstev razen kreditov in drugih finančnih sredstev, razvrščenih kot stanja na računih pri centralnih bankah in vloge na vpogled pri bankah, trgovalna finančna sredstva, v posesti za trgovanje ali v posesti za prodajo, ki so razvrščeni kot nedonosni v skladu z odstavki 213 do 239 ali 260 tega dela in poročani v predlogi 18. Prilivi in odlivi iz naslova nedonosnih kreditov in drugih finančnih sredstev se razčlenijo glede na vrsto priliva ali odliva.</w:t>
      </w:r>
    </w:p>
    <w:p w14:paraId="4E3774E0" w14:textId="77777777" w:rsidR="004C5086" w:rsidRPr="00755ABF" w:rsidRDefault="004C5086" w:rsidP="004C5086">
      <w:pPr>
        <w:pStyle w:val="Baseparagraphnumbered"/>
      </w:pPr>
      <w:r>
        <w:t>Prilivi v kategorijo nedonosnih izpostavljenosti se poročajo v skladu z odstavki 239ii do 239iii in 239vi tega dela razen prilivov v kategorijo „v posesti za prodajo“, ki niso zajeti v tej predlogi. Prilivi se razčlenijo glede na vrsto (vir) priliva. V tem okviru:</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„priliv zaradi obračunanih obresti“ predstavlja obresti, obračunane na nedonosne kredite in druga finančna sredstva, ki niso bile vključene v nobeno drugo kategorijo razčlenitve glede na vrsto (vir); v zvezi s tem ta priliv zajema obresti, obračunane na kredite in druga finančna sredstva, ki so bili razvrščeni kot nedonosni na koncu prejšnjega poslovnega leta in so bili neprekinjeno razvrščeni kot taki vse od takrat; obresti, obračunane na izpostavljenosti, ki so bile razvrščene kot nedonosne v skladu z odstavki 213 do 239 ali 260 tega dela šele v obdobju, se poročajo skupaj s samim prilivom pod ustrezno vrsto kategorije (vira);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„od tega: prerazvrstitev iz donosnih restrukturiranih izpostavljenosti s poskusno dobo, ki so bile prej prerazvrščene iz nedonosnih“ vključujejo „donosne restrukturirane izpostavljenosti s poskusno dobo, prerazvrščene iz kategorije nedonosnih“, kot so opredeljene v odstavku 261 tega dela, ki so bile v obdobju ponovno prerazvrščene med nedonosne v skladu z odstavki 213 do 239 ali 260 tega dela;</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lastRenderedPageBreak/>
        <w:t>„priliv zaradi drugih razlogov“ zajema prilive, ki se ne morejo povezati z nobenim od drugih navedenih virov prilivov, in med drugim vključuje povečanja bruto knjigovodske vrednosti nedonosnih izpostavljenosti zaradi dodatnih zneskov, razdeljenih v obdobju, kapitalizacije zneskov s prekoračenim rokom plačila, vključno s kapitaliziranimi provizijami in odhodki, ter sprememb menjalnih tečajev v zvezi z nedonosnimi krediti in drugimi finančnimi sredstvi, ki so bili razvrščeni kot nedonosni na koncu prejšnjega poslovnega leta in so bili neprekinjeno razvrščeni kot taki vse od takrat.</w:t>
      </w:r>
    </w:p>
    <w:p w14:paraId="517D3869" w14:textId="77777777" w:rsidR="004C5086" w:rsidRPr="00755ABF" w:rsidRDefault="004C5086" w:rsidP="004C5086">
      <w:pPr>
        <w:pStyle w:val="Baseparagraphnumbered"/>
      </w:pPr>
      <w:r>
        <w:t>Naslednje izpostavljenosti se poročajo v ločenih vrsticah:</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postavka „priliv več kot enkrat“ zajema kredite in druga finančna sredstva, ki so bili v obdobju večkrat prerazvrščeni iz nedonosnih v donosne ali obratno;</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„prilivi iz naslova izpostavljenosti, odobrenih v zadnjih 24 mesecih“ predstavljajo kredite in druga finančna sredstva, ki so bili odobreni v zadnjih 24 mesecih pred referenčnim datumom in so bili v obdobju prerazvrščeni med nedonosne v skladu z odstavki 213 do 239 ali 260 tega dela. Od teh izpostavljenosti se dodatno ločeno poročajo tiste, ki so bile odobrene v obdobju.</w:t>
      </w:r>
    </w:p>
    <w:p w14:paraId="41474776" w14:textId="77777777" w:rsidR="004C5086" w:rsidRPr="00755ABF" w:rsidRDefault="004C5086" w:rsidP="004C5086">
      <w:pPr>
        <w:pStyle w:val="Baseparagraphnumbered"/>
      </w:pPr>
      <w:r>
        <w:t>Odlivi iz kategorije nedonosnih izpostavljenosti se poročajo v skladu z odstavki 239iii do 239vi tega dela in razčlenijo glede na vrsto (razlog) odliva. V tem okviru postavka „odliv zaradi odpisov“ odraža znesek odpisov v obdobju, ki se ne morejo povezati z nobeno od drugih navedenih vrst odlivov, in vključuje tudi odpise, povezane s popolnim prenehanjem vseh pravic institucije poročevalke zaradi izteka roka zastaranja, odpisa ali drugih vzrokov v obdobju.</w:t>
      </w:r>
    </w:p>
    <w:p w14:paraId="668D4E9C" w14:textId="77777777" w:rsidR="004C5086" w:rsidRPr="00755ABF" w:rsidRDefault="004C5086" w:rsidP="00253B92">
      <w:pPr>
        <w:pStyle w:val="Baseparagraphnumbered"/>
      </w:pPr>
      <w:r>
        <w:t xml:space="preserve">V primerih, v katerih se za izpostavljenost delno odpravi pripoznanje in se preostali del prerazvrsti kot donosen, se odliv v zvezi s prerazvrstitvijo in odliv v zvezi z odpravo pripoznanja poročata kot ločena odliva. Za odlive zaradi unovčitve zavarovanja s premoženjem, prodaje izpostavljenosti, prenosov tveganj in </w:t>
      </w:r>
      <w:proofErr w:type="spellStart"/>
      <w:r>
        <w:t>priposestvovanj</w:t>
      </w:r>
      <w:proofErr w:type="spellEnd"/>
      <w:r>
        <w:t xml:space="preserve"> zavarovanja s premoženjem se poročajo pridobljene neto kumulativne povrnitve. Če se je v trenutku unovčitve zavarovanja s premoženjem, prodaje izpostavljenosti, prenosov tveganj in priposestvovanja zavarovanja s premoženjem opravil odpis, se ta znesek poroča kot del povezane vrste odliva.</w:t>
      </w:r>
    </w:p>
    <w:p w14:paraId="560DA138" w14:textId="77777777" w:rsidR="007F5B9C" w:rsidRPr="00755ABF" w:rsidRDefault="004C5086" w:rsidP="007F5B9C">
      <w:pPr>
        <w:pStyle w:val="Baseparagraphnumbered"/>
      </w:pPr>
      <w:r>
        <w:t>„Neto kumulativne povrnitve“ pomenijo (i) znesek pridobljenih denarnih sredstev in njihovih ustreznikov, brez povezanih stroškov, v okviru unovčitve zavarovanja s premoženjem, prodaje izpostavljenosti oziroma prenosov tveganj in (ii) vrednost ob začetnem pripoznanju, kot je opredeljena v odstavku 175i tega dela, zavarovanja s premoženjem, pridobljenega v okviru odlivov zaradi priposestvovanja zavarovanja s premoženjem.</w:t>
      </w:r>
    </w:p>
    <w:p w14:paraId="63EEC66C" w14:textId="77777777" w:rsidR="0090516D" w:rsidRPr="00755ABF" w:rsidRDefault="004C5086" w:rsidP="007F5B9C">
      <w:pPr>
        <w:pStyle w:val="Baseparagraphnumbered"/>
      </w:pPr>
      <w:r>
        <w:t>Odliv, ki se nanaša na kredite in druga finančna sredstva, ki so v obdobju postali nedonosni in pozneje niso več izpolnjevali meril za razvrstitev med nedonosne, se poročajo ločeno.</w:t>
      </w:r>
    </w:p>
    <w:p w14:paraId="5A3EF859" w14:textId="77777777" w:rsidR="004C5086" w:rsidRPr="00755ABF" w:rsidRDefault="004C5086" w:rsidP="0090516D">
      <w:pPr>
        <w:pStyle w:val="sub-subtitlenumbered"/>
        <w:jc w:val="both"/>
      </w:pPr>
      <w:bookmarkStart w:id="306" w:name="_Toc188539815"/>
      <w:r>
        <w:lastRenderedPageBreak/>
        <w:t>Krediti in druga finančna sredstva: tokovi iz naslova oslabitev in akumuliranih negativnih sprememb poštene vrednosti zaradi kreditnega tveganja pri nedonosnih izpostavljenostih (24.2)</w:t>
      </w:r>
      <w:bookmarkEnd w:id="306"/>
    </w:p>
    <w:p w14:paraId="3CCA4360" w14:textId="3E5FF005" w:rsidR="004C5086" w:rsidRPr="000928C4" w:rsidRDefault="004C5086" w:rsidP="00E32B97">
      <w:pPr>
        <w:pStyle w:val="Baseparagraphnumbered"/>
        <w:numPr>
          <w:ilvl w:val="0"/>
          <w:numId w:val="85"/>
        </w:numPr>
      </w:pPr>
      <w:r>
        <w:t>Predloga 24.2 vsebuje uskladitev začetnih in končnih stanj kontov popravkov vrednosti in stanje vseh akumuliranih negativnih sprememb poštene vrednosti zaradi kreditnega tveganja v zvezi s krediti in drugimi finančnimi sredstvi, ki so ali so bili razvrščeni kot nedonosni v skladu z odstavki 213 do 239 ali 260 tega dela, razen kreditov in drugih finančnih sredstev, razvrščenih kot stanja na računih pri centralnih bankah in vloge na vpogled pri bankah ali kot v posesti za prodajo.</w:t>
      </w:r>
    </w:p>
    <w:p w14:paraId="368799EF" w14:textId="77777777" w:rsidR="004C5086" w:rsidRPr="00755ABF" w:rsidRDefault="004C5086" w:rsidP="004C5086">
      <w:pPr>
        <w:pStyle w:val="Baseparagraphnumbered"/>
      </w:pPr>
      <w:r>
        <w:t>„Povečanja v obdobju“ zajemajo:</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stanje, na referenčni datum, akumuliranih oslabitev in akumuliranih negativnih sprememb poštene vrednosti zaradi kreditnega tveganja v zvezi s krediti in drugimi finančnimi sredstvi, ki so postali nedonosni v obdobju in so na referenčni datum poročanja še vedno razvrščeni kot nedonosni;</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stanje, na datum odprave pripoznanja, akumuliranih oslabitev in akumuliranih negativnih sprememb poštene vrednosti zaradi kreditnega tveganja v zvezi s krediti in drugimi finančnimi sredstvi, ki so postali nedonosni v obdobju in za katere se je v obdobju odpravilo pripoznanje; in</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povečanje akumuliranih oslabitev in akumuliranih negativnih sprememb poštene vrednosti zaradi kreditnega tveganja v zvezi s krediti in drugimi finančnimi sredstvi, ki so bili na koncu prejšnjega poslovnega leta razvrščeni kot nedonosni in so na referenčni datum poročanja še vedno razvrščeni kot taki ali se je za njih v obdobju odpravilo pripoznanje.</w:t>
      </w:r>
    </w:p>
    <w:p w14:paraId="51F85BBA" w14:textId="77777777" w:rsidR="004C5086" w:rsidRPr="00755ABF" w:rsidRDefault="004C5086" w:rsidP="004C5086">
      <w:pPr>
        <w:pStyle w:val="Baseparagraphnumbered"/>
      </w:pPr>
      <w:r>
        <w:t>Del povečanja, ki se lahko pripiše oslabitvam in negativnim spremembam poštene vrednosti, knjiženim pri obračunanih obrestih, se poroča dodatno, in sicer ločeno.</w:t>
      </w:r>
    </w:p>
    <w:p w14:paraId="3FE3CAA8" w14:textId="77777777" w:rsidR="004C5086" w:rsidRPr="00755ABF" w:rsidRDefault="004C5086" w:rsidP="004C5086">
      <w:pPr>
        <w:pStyle w:val="Baseparagraphnumbered"/>
      </w:pPr>
      <w:r>
        <w:t>„Zmanjšanja v obdobju“ zajemajo:</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stanje, na datum odprave pripoznanja, akumuliranih oslabitev in akumuliranih negativnih sprememb poštene vrednosti zaradi kreditnega tveganja v zvezi s krediti in drugimi finančnimi sredstvi, ki so v obdobju prenehali biti nedonosni in ki so bili v obdobju izločeni iz portfelja institucije;</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stanje, na referenčni datum, akumuliranih oslabitev in akumuliranih negativnih sprememb poštene vrednosti zaradi kreditnega tveganja v zvezi s krediti in drugimi finančnimi sredstvi, ki so v obdobju prenehali biti nedonosni in na referenčni datum poročanja še vedno niso razvrščeni kot nedonosni;</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stanje, na referenčni datum, akumuliranih oslabitev in akumuliranih negativnih sprememb poštene vrednosti zaradi kreditnega tveganja v zvezi s krediti in drugimi finančnimi sredstvi, ki so bili v obdobju prerazvrščeni med „v posesti za prodajo“; in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lastRenderedPageBreak/>
        <w:t>zmanjšanje akumuliranih oslabitev in akumuliranih negativnih sprememb poštene vrednosti zaradi kreditnega tveganja v zvezi s krediti in drugimi finančnimi sredstvi, ki so bili na koncu prejšnjega poslovnega leta razvrščeni kot nedonosni in so na referenčni datum poročanja še vedno razvrščeni kot taki.</w:t>
      </w:r>
    </w:p>
    <w:p w14:paraId="26C37168" w14:textId="77777777" w:rsidR="004C5086" w:rsidRPr="00755ABF" w:rsidRDefault="004C5086" w:rsidP="004C5086">
      <w:pPr>
        <w:pStyle w:val="Baseparagraphnumbered"/>
      </w:pPr>
      <w:r>
        <w:t>Naslednje postavke se poročajo ločeno:</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zmanjšanje, ki se lahko pripiše odpravi popravkov vrednosti in odpravi negativnih sprememb poštene vrednosti zaradi kreditnega tveganja;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zmanjšanje, ki se lahko pripiše „izpeljavi“ diskontov v okviru uporabe računovodske metode efektivne obrestne mere.</w:t>
      </w:r>
    </w:p>
    <w:p w14:paraId="0BC85466" w14:textId="77777777" w:rsidR="004C5086" w:rsidRPr="00755ABF" w:rsidRDefault="004C5086" w:rsidP="004C5086">
      <w:pPr>
        <w:pStyle w:val="sub-subtitlenumbered"/>
        <w:jc w:val="both"/>
      </w:pPr>
      <w:bookmarkStart w:id="307" w:name="_Toc188539816"/>
      <w:r>
        <w:t>Krediti in druga finančna sredstva: odpisi nedonosnih izpostavljenosti v obdobju (24.3)</w:t>
      </w:r>
      <w:bookmarkEnd w:id="307"/>
    </w:p>
    <w:p w14:paraId="1F5A7E36" w14:textId="77777777" w:rsidR="004C5086" w:rsidRPr="00755ABF" w:rsidRDefault="004C5086" w:rsidP="004C5086">
      <w:pPr>
        <w:pStyle w:val="Baseparagraphnumbered"/>
      </w:pPr>
      <w:r>
        <w:t>Predloga 24.3 se uporablja za poročanje odpisov, kot so opredeljeni v odstavku 74 tega dela, v obsegu, v katerem (i) so se izvedli v obdobju (prilivi) in (ii) se nanašajo na kredite in druga finančna sredstva, ki so bili v obdobju razvrščeni kot nedonosni v skladu z odstavki 213 do 239 ali 260 tega dela, razen kreditov in drugih finančnih sredstev, razvrščenih kot v posesti za trgovanje, trgovalna finančna sredstva ali v posesti za prodajo. Poročajo se tako delni kot popolni odpisi. Od teh odpisov se ločeno poročajo tisti, ki se lahko pripišejo odpovedi pravici do zakonite izterjave izpostavljenosti ali njenega dela.</w:t>
      </w:r>
    </w:p>
    <w:p w14:paraId="6DA89716" w14:textId="77777777" w:rsidR="004C5086" w:rsidRPr="00755ABF" w:rsidRDefault="004C5086" w:rsidP="004C5086">
      <w:pPr>
        <w:pStyle w:val="subtitlenumbered"/>
        <w:jc w:val="both"/>
      </w:pPr>
      <w:bookmarkStart w:id="308" w:name="_Toc188539817"/>
      <w:r>
        <w:t>ZAVAROVANJE, PRIDOBLJENO S PRIPOSESTVOVANJEM IN POSTOPKI IZVRŠBE (25)</w:t>
      </w:r>
      <w:bookmarkEnd w:id="308"/>
    </w:p>
    <w:p w14:paraId="77B90D0B" w14:textId="77777777" w:rsidR="004C5086" w:rsidRPr="00755ABF" w:rsidRDefault="004C5086" w:rsidP="004C5086">
      <w:pPr>
        <w:pStyle w:val="Baseparagraphnumbered"/>
      </w:pPr>
      <w:r>
        <w:t>„Zavarovanje s premoženjem, pridobljeno s priposestvovanjem“ vključuje sredstva, ki jih je dolžnik zastavil kot zavarovanje, in sredstva, ki jih dolžnik ni zastavil kot zavarovanje, ampak so se pridobila v zamenjavo za odpis dolga, in sicer prostovoljno ali v okviru pravnega postopka.</w:t>
      </w:r>
    </w:p>
    <w:p w14:paraId="11364820" w14:textId="77777777" w:rsidR="004C5086" w:rsidRPr="00755ABF" w:rsidRDefault="004C5086" w:rsidP="004C5086">
      <w:pPr>
        <w:pStyle w:val="sub-subtitlenumbered"/>
        <w:jc w:val="both"/>
      </w:pPr>
      <w:bookmarkStart w:id="309" w:name="_Toc188539818"/>
      <w:r>
        <w:t>Zavarovanje s premoženjem, pridobljeno s priposestvovanjem, razen zavarovanja, razvrščenega kot opredmetena osnovna sredstva: prilivi in odlivi (25.1)</w:t>
      </w:r>
      <w:bookmarkEnd w:id="309"/>
    </w:p>
    <w:p w14:paraId="6A79A11B" w14:textId="77777777" w:rsidR="004C5086" w:rsidRPr="00755ABF" w:rsidRDefault="004C5086" w:rsidP="004C5086">
      <w:pPr>
        <w:pStyle w:val="Baseparagraphnumbered"/>
      </w:pPr>
      <w:r>
        <w:t>Predloga 25.1 se uporablja za predstavitev uskladitve začetnega stanja, na začetku poslovnega leta, in končnega stanja vsega zavarovanja s premoženjem, pridobljenega s priposestvovanjem, razen zavarovanja s premoženjem, razvrščenega kot opredmetena osnovna sredstva. Poleg tega se v predlogi navedejo informacije o povezanem „zmanjšanju stanja dolga“ in vrednosti, ob začetnem pripoznanju, zavarovanja s premoženjem, pridobljenega s priposestvovanjem.</w:t>
      </w:r>
    </w:p>
    <w:p w14:paraId="57266C76" w14:textId="77777777" w:rsidR="004C5086" w:rsidRPr="00755ABF" w:rsidRDefault="004C5086" w:rsidP="004C5086">
      <w:pPr>
        <w:pStyle w:val="Baseparagraphnumbered"/>
      </w:pPr>
      <w:r>
        <w:t xml:space="preserve">„Zmanjšanje stanja dolga“ pomeni bruto knjigovodsko vrednost izpostavljenosti, za katero se je odpravilo pripoznanje v bilanci stanja v zameno za zavarovanje s premoženjem, pridobljeno s priposestvovanjem, v točnem trenutku zamenjave, in povezane oslabitve ter negativne spremembe poštene vrednosti zaradi kreditnega tveganja, akumulirane do tistega trenutka. Če se je v trenutku zamenjave izvedel odpis, se tudi ta znesek obravnava kot del </w:t>
      </w:r>
      <w:r>
        <w:lastRenderedPageBreak/>
        <w:t>zmanjšanja stanja dolga. Odprave pripoznanja iz bilance stanja zaradi drugih razlogov, kot so izterjave denarnih sredstev, se ne poročajo.</w:t>
      </w:r>
    </w:p>
    <w:p w14:paraId="781BDB08" w14:textId="77777777" w:rsidR="004C5086" w:rsidRPr="00755ABF" w:rsidRDefault="004C5086" w:rsidP="004C5086">
      <w:pPr>
        <w:pStyle w:val="Baseparagraphnumbered"/>
      </w:pPr>
      <w:r>
        <w:t>„Vrednost ob začetnem pripoznanju“ ima isti pomen kot v odstavku 175i tega dela.</w:t>
      </w:r>
    </w:p>
    <w:p w14:paraId="5FAEBEE3" w14:textId="77777777" w:rsidR="00CC4CFA" w:rsidRPr="00755ABF" w:rsidRDefault="004C5086" w:rsidP="004C5086">
      <w:pPr>
        <w:pStyle w:val="Baseparagraphnumbered"/>
      </w:pPr>
      <w:r>
        <w:t>V zvezi s „prilivi v obdobju“:</w:t>
      </w:r>
    </w:p>
    <w:p w14:paraId="4DDDE367" w14:textId="77777777" w:rsidR="00CC4CFA" w:rsidRPr="00755ABF" w:rsidRDefault="00BD4FCE" w:rsidP="00BA4E5D">
      <w:pPr>
        <w:pStyle w:val="Baseparagraphnumbered"/>
        <w:numPr>
          <w:ilvl w:val="0"/>
          <w:numId w:val="0"/>
        </w:numPr>
        <w:ind w:left="1418" w:hanging="632"/>
      </w:pPr>
      <w:r>
        <w:t>(a)</w:t>
      </w:r>
      <w:r>
        <w:tab/>
        <w:t>zavarovanje s premoženjem, pridobljeno s priposestvovanjem, vključuje: (i) novo zavarovanje s premoženjem, pridobljeno s priposestvovanjem, v obdobju (od začetka poslovnega leta) ne glede na to, ali je zavarovanje s premoženjem na referenčni datum še vedno pripoznano v bilanci stanja institucije (v posesti) ali ne, in (ii) pozitivne spremembe v vrednotenju zavarovanja s premoženjem v obdobju zaradi različnih razlogov (kot so pozitivne spremembe poštene vrednosti, povečanje vrednosti, razveljavitev oslabitve, spremembe računovodskih usmeritev). Te vrste prilivov se poročajo dodatno in ločeno;</w:t>
      </w:r>
    </w:p>
    <w:p w14:paraId="5469D78F" w14:textId="77777777" w:rsidR="004C5086" w:rsidRPr="00755ABF" w:rsidRDefault="00CC4CFA" w:rsidP="00BA4E5D">
      <w:pPr>
        <w:pStyle w:val="Baseparagraphnumbered"/>
        <w:numPr>
          <w:ilvl w:val="0"/>
          <w:numId w:val="0"/>
        </w:numPr>
        <w:ind w:left="1418" w:hanging="632"/>
      </w:pPr>
      <w:r>
        <w:t>(b)</w:t>
      </w:r>
      <w:r>
        <w:tab/>
        <w:t xml:space="preserve">„zmanjšanje stanja dolga“ odraža zmanjšanje stanja dolga izpostavljenosti, za katero se je odpravilo pripoznanje, v zvezi z zavarovanjem s premoženjem, pridobljenim v obdobju. </w:t>
      </w:r>
    </w:p>
    <w:p w14:paraId="7B7F6D6D" w14:textId="77777777" w:rsidR="00CC4CFA" w:rsidRPr="00755ABF" w:rsidRDefault="00CC4CFA" w:rsidP="004C5086">
      <w:pPr>
        <w:pStyle w:val="Baseparagraphnumbered"/>
      </w:pPr>
      <w:r>
        <w:t>V zvezi z „odlivi v obdobju“:</w:t>
      </w:r>
    </w:p>
    <w:p w14:paraId="6295DEB0" w14:textId="77777777" w:rsidR="00E71640" w:rsidRPr="00755ABF" w:rsidRDefault="00E71640" w:rsidP="00BA4E5D">
      <w:pPr>
        <w:pStyle w:val="Baseparagraphnumbered"/>
        <w:numPr>
          <w:ilvl w:val="0"/>
          <w:numId w:val="0"/>
        </w:numPr>
        <w:ind w:left="1418" w:hanging="632"/>
      </w:pPr>
      <w:r>
        <w:t>(a)</w:t>
      </w:r>
      <w:r>
        <w:tab/>
        <w:t xml:space="preserve">zavarovanje s premoženjem, pridobljeno s priposestvovanjem, vključuje: (i) zavarovanje s premoženjem, prodano za denarna sredstva v obdobju; (ii) zavarovanje s premoženjem, prodano z zamenjavo s finančnimi instrumenti v obdobju; in (iii) negativne spremembe v vrednotenju zavarovanja s premoženjem v obdobju zaradi različnih razlogov (kot so negativne spremembe poštene vrednosti, zmanjšanje vrednosti, oslabitev, odpis, spremembe računovodskih usmeritev). Te vrste odlivov se poročajo ločeno. Če se za zavarovanje s premoženjem odpravi pripoznanje v zameno za denar in finančne instrumente, se zadevna zneska ločita in razporedita na obe vrsti odlivov. „Zavarovanje s premoženjem, prodano z zamenjavo s finančnimi instrumenti“ se uporablja za primere, v katerih se zavarovanje s premoženjem proda nasprotni stranki, nakup te nasprotne stranke pa financira institucija poročevalka; </w:t>
      </w:r>
    </w:p>
    <w:p w14:paraId="2A8CFBF4" w14:textId="77777777" w:rsidR="004C5086" w:rsidRPr="00755ABF" w:rsidRDefault="00E71640" w:rsidP="00BA4E5D">
      <w:pPr>
        <w:pStyle w:val="Baseparagraphnumbered"/>
        <w:numPr>
          <w:ilvl w:val="0"/>
          <w:numId w:val="0"/>
        </w:numPr>
        <w:ind w:left="1418" w:hanging="632"/>
      </w:pPr>
      <w:r>
        <w:t>(b)</w:t>
      </w:r>
      <w:r>
        <w:tab/>
        <w:t xml:space="preserve">„zmanjšanje stanja dolga“ odraža zmanjšanje stanja dolga izpostavljenosti v zvezi s primeri, v katerih se je v obdobju zavarovanje s premoženjem prodalo za denarna sredstva ali zamenjalo s finančnimi instrumenti.  </w:t>
      </w:r>
    </w:p>
    <w:p w14:paraId="7DAA7656" w14:textId="7BF063F7" w:rsidR="004C5086" w:rsidRPr="00755ABF" w:rsidRDefault="004C5086" w:rsidP="004C5086">
      <w:pPr>
        <w:pStyle w:val="Baseparagraphnumbered"/>
      </w:pPr>
      <w:r>
        <w:t xml:space="preserve">V primeru prodaje zavarovanja s premoženjem za denarna sredstva je „odliv, za katerega so bila pridobljena denarna sredstva“ enak vsoti postavk „pridobljena denarna sredstva, brez stroškov“ in „dobički/(–) izgube iz prodaje zavarovanja s premoženjem, pridobljenega s priposestvovanjem“. „Pridobljena denarna sredstva, brez stroškov“ pomenijo znesek prejetih denarnih sredstev, brez stroškov posla, kot so provizije in opravnine, plačane zastopnikom, davki </w:t>
      </w:r>
      <w:r>
        <w:lastRenderedPageBreak/>
        <w:t>in druge dajatve na prenos. „Dobički/(–) izgube iz prodaje zavarovanja s premoženjem, pridobljenega s priposestvovanjem“ pomenijo razliko med knjigovodsko vrednostjo zavarovanja s premoženjem, izmerjeno na datum odprave pripoznanja, in zneskom prejetih denarnih sredstev, od katerih se odštejejo stroški posla. V primeru zamenjave zavarovanja s premoženjem s finančnimi instrumenti, kot je opisano v odstavku 346 tega dela, se poroča knjigovodska vrednost odobrenega financiranja.</w:t>
      </w:r>
    </w:p>
    <w:p w14:paraId="0F8AB203" w14:textId="57202BA6" w:rsidR="004C5086" w:rsidRPr="00755ABF" w:rsidRDefault="004C5086" w:rsidP="004C5086">
      <w:pPr>
        <w:pStyle w:val="Baseparagraphnumbered"/>
      </w:pPr>
      <w:r>
        <w:t>Zavarovanje s premoženjem, pridobljeno s priposestvovanjem, se poroča razčlenjeno glede na čas, ki je pretekel od pripoznanja zavarovanja s premoženjem v bilanci stanja institucije.</w:t>
      </w:r>
    </w:p>
    <w:p w14:paraId="56DBDECD" w14:textId="4D809C54" w:rsidR="004C5086" w:rsidRPr="001D2FE6" w:rsidRDefault="004C5086" w:rsidP="004C5086">
      <w:pPr>
        <w:pStyle w:val="Baseparagraphnumbered"/>
      </w:pPr>
      <w:r>
        <w:t xml:space="preserve">V okviru predstavitve pridobljenega zavarovanja s premoženjem glede na čas, ki je pretekel od pripoznanja v bilanci stanja, se „staranje“ zavarovanja v bilanci stanja, tj. prehod med vnaprej določenimi časovnimi intervali, ne poroča niti kot priliv niti kot odliv. </w:t>
      </w:r>
    </w:p>
    <w:p w14:paraId="4BFF43C6" w14:textId="77777777" w:rsidR="004C5086" w:rsidRPr="00755ABF" w:rsidRDefault="004C5086" w:rsidP="004C5086">
      <w:pPr>
        <w:pStyle w:val="sub-subtitlenumbered"/>
        <w:jc w:val="both"/>
      </w:pPr>
      <w:bookmarkStart w:id="310" w:name="_Toc188539819"/>
      <w:r>
        <w:t>Zavarovanje s premoženjem, pridobljeno s priposestvovanjem, razen zavarovanja, razvrščenega kot opredmetena osnovna sredstva – vrsta pridobljenega zavarovanja (25.2)</w:t>
      </w:r>
      <w:bookmarkEnd w:id="310"/>
    </w:p>
    <w:p w14:paraId="1AD7F2F3" w14:textId="1F678853" w:rsidR="004C5086" w:rsidRPr="001D2FE6" w:rsidRDefault="004C5086" w:rsidP="001119D4">
      <w:pPr>
        <w:pStyle w:val="Baseparagraphnumbered"/>
      </w:pPr>
      <w:r>
        <w:t>Predloga 25.2 vključuje razčlenitev zavarovanja s premoženjem, pridobljenega s priposestvovanjem, kot je opredeljeno v odstavku 341 tega dela, glede na vrsto pridobljenega zavarovanja. V tej predlogi se poroča zavarovanje s premoženjem, pripoznano v bilanci stanja na referenčni datum, ne glede na trenutek pridobitve. Poleg tega se v predlogi navedejo informacije o povezanem „zmanjšanju stanja dolga“ in „vrednosti ob začetnem pripoznanju“, opredeljenih v odstavkih 343 in 344 tega dela, in o številu postavk zavarovanja s premoženjem, pridobljenega s priposestvovanjem in pripoznanega v bilanci stanja na referenčni datum. Število postavk zavarovanja s premoženjem, pridobljenega s priposestvovanjem, se izračuna ne glede na knjigovodsko vrednost zavarovanja s premoženjem in je lahko ena ali več kot ena za vsako izpostavljenost, za katero se je odpravilo pripoznanje v bilanci stanja v zameno za zavarovanje s premoženjem, pridobljeno s priposestvovanjem.</w:t>
      </w:r>
    </w:p>
    <w:p w14:paraId="69901CF5" w14:textId="77777777" w:rsidR="004C5086" w:rsidRPr="00755ABF" w:rsidRDefault="004C5086" w:rsidP="004C5086">
      <w:pPr>
        <w:pStyle w:val="Baseparagraphnumbered"/>
      </w:pPr>
      <w:r>
        <w:t>Vrste zavarovanja s premoženjem so tiste iz odstavka 173 tega dela, z izjemo tistih iz točke (b)(i) navedenega odstavka.</w:t>
      </w:r>
    </w:p>
    <w:p w14:paraId="58B3C42F" w14:textId="77777777" w:rsidR="004C5086" w:rsidRPr="00755ABF" w:rsidRDefault="004C5086" w:rsidP="004C5086">
      <w:pPr>
        <w:pStyle w:val="Baseparagraphnumbered"/>
      </w:pPr>
      <w:r>
        <w:t>Kar zadeva zavarovanje s premoženjem v obliki nepremičnin, se naslednje informacije poročajo v ločenih vrsticah:</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nepremičnine, ki so v postopku gradnje ali razvoja;</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kar zadeva poslovne nepremičnine, zavarovanje s premoženjem v obliki zemljišč, povezano z družbami za projektiranje in gradnjo poslovnih nepremičnin, brez kmetijskih zemljišč. Poleg tega se ločeno poročajo informacije o zemljiščih z ali brez gradbenega dovoljenja.</w:t>
      </w:r>
    </w:p>
    <w:p w14:paraId="06775FB2" w14:textId="77777777" w:rsidR="004C5086" w:rsidRPr="00755ABF" w:rsidRDefault="004C5086" w:rsidP="004C5086">
      <w:pPr>
        <w:pStyle w:val="sub-subtitlenumbered"/>
        <w:jc w:val="both"/>
      </w:pPr>
      <w:bookmarkStart w:id="311" w:name="_Toc188539820"/>
      <w:r>
        <w:t>Zavarovanje s premoženjem, pridobljeno s priposestvovanjem, razvrščeno kot opredmetena osnovna sredstva (25.3)</w:t>
      </w:r>
      <w:bookmarkEnd w:id="311"/>
    </w:p>
    <w:p w14:paraId="2C9ED535" w14:textId="77777777" w:rsidR="004C5086" w:rsidRPr="00755ABF" w:rsidRDefault="004C5086" w:rsidP="004C5086">
      <w:pPr>
        <w:pStyle w:val="Baseparagraphnumbered"/>
      </w:pPr>
      <w:r>
        <w:lastRenderedPageBreak/>
        <w:t xml:space="preserve">V predlogi 25.3 se poročajo informacije o zavarovanju s premoženjem, pridobljenim s priposestvovanjem, razvrščenim kot opredmetena osnovna sredstva. Poleg tega se v predlogi navedejo informacije o povezanem „zmanjšanju stanja dolga“ in „vrednosti ob začetnem pripoznanju“, opredeljenih v odstavkih 343 in 344 tega dela. </w:t>
      </w:r>
    </w:p>
    <w:p w14:paraId="6466114D" w14:textId="77777777" w:rsidR="004C5086" w:rsidRPr="00755ABF" w:rsidRDefault="004C5086" w:rsidP="004E5878">
      <w:pPr>
        <w:pStyle w:val="Baseparagraphnumbered"/>
      </w:pPr>
      <w:r>
        <w:t>Navedejo se informacije o vsem zavarovanju s premoženjem na referenčni datum ne glede na trenutek, v katerem je bilo pridobljeno, in o prilivih zaradi novega zavarovanja s premoženjem, pridobljenega s priposestvovanjem v obdobju med začetkom in koncem referenčnega obdobja in še naprej pripoznanega v bilanci stanja na referenčni datum. Kar zadeva „zmanjšanje stanja dolga“, vrstica „skupaj“ odraža zmanjšanje stanja dolga v zvezi z zavarovanjem s premoženjem na referenčni datum, „prilivi zaradi novega zavarovanja s premoženjem, pridobljenega s priposestvovanjem“ pa odražajo zmanjšanje stanja dolga v zvezi z zavarovanjem s premoženjem, pridobljenim v obdobju.</w:t>
      </w:r>
    </w:p>
    <w:p w14:paraId="3AB2969F" w14:textId="77777777" w:rsidR="004C5086" w:rsidRPr="00755ABF" w:rsidRDefault="004C5086" w:rsidP="004C5086">
      <w:pPr>
        <w:pStyle w:val="subtitlenumbered"/>
        <w:jc w:val="both"/>
      </w:pPr>
      <w:bookmarkStart w:id="312" w:name="_Toc188539821"/>
      <w:r>
        <w:t>UPRAVLJANJE RESTRUKTURIRANJA IN KAKOVOST RESTRUKTURIRANJA (26)</w:t>
      </w:r>
      <w:bookmarkEnd w:id="312"/>
    </w:p>
    <w:p w14:paraId="7049133F" w14:textId="0CF5C791" w:rsidR="004C5086" w:rsidRPr="00755ABF" w:rsidRDefault="004C5086" w:rsidP="004C5086">
      <w:pPr>
        <w:pStyle w:val="Baseparagraphnumbered"/>
      </w:pPr>
      <w:r>
        <w:t>Predloga 26 vključuje podrobne informacije o kreditih in drugih finančnih sredstvih, ki so razvrščeni kot restrukturirani v skladu z odstavki 240 do 268 tega dela, razen instrumentov, razvrščenih kot stanja na računih pri centralnih bankah in vloge na vpogled pri bankah ali kot v posesti za prodajo. Restrukturirane izpostavljenosti, ki se nanašajo na spremembo prejšnjih pogojev ali popolno ali delno refinanciranje problematične dolžniške pogodbe, kot je opredeljeno v odstavku 241 tega dela, se razčlenijo na bolj specifične vrste ukrepov restrukturiranja.</w:t>
      </w:r>
    </w:p>
    <w:p w14:paraId="3E744EA6" w14:textId="77777777" w:rsidR="004C5086" w:rsidRPr="00755ABF" w:rsidRDefault="004C5086" w:rsidP="004C5086">
      <w:pPr>
        <w:pStyle w:val="Baseparagraphnumbered"/>
      </w:pPr>
      <w:r>
        <w:t>„Število instrumentov“ se določi, kot je opredeljeno v odstavku 320 tega dela.</w:t>
      </w:r>
    </w:p>
    <w:p w14:paraId="0EFA0C67" w14:textId="77777777" w:rsidR="004C5086" w:rsidRPr="00755ABF" w:rsidRDefault="004C5086" w:rsidP="004C5086">
      <w:pPr>
        <w:pStyle w:val="Baseparagraphnumbered"/>
      </w:pPr>
      <w:r>
        <w:t>Bruto knjigovodska vrednost izpostavljenosti z ukrepi restrukturiranja se razporedi v kategorijo, ki odraža vrsto ukrepa restrukturiranja. Kadar se je za izpostavljenost uporabilo več ukrepov restrukturiranja, se bruto knjigovodska vrednost izpostavljenosti z ukrepi restrukturiranja razporedi v najbolj relevantno vrsto ukrepa restrukturiranja. Slednje se določi na podlagi vrste ukrepa restrukturiranja z največjim učinkom na neto sedanjo vrednost restrukturirane izpostavljenosti ali z uporabo katere koli druge metode, ki se šteje za relevantno.</w:t>
      </w:r>
    </w:p>
    <w:p w14:paraId="29BA7395" w14:textId="77777777" w:rsidR="004C5086" w:rsidRPr="00755ABF" w:rsidRDefault="00E506E6" w:rsidP="004C5086">
      <w:pPr>
        <w:pStyle w:val="Baseparagraphnumbered"/>
      </w:pPr>
      <w:r>
        <w:t>Vrste ukrepov restrukturiranja so naslednje:</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obdobje odloga plačila/moratorij na odplačevanje: začasna prekinitev obveznosti odplačila v zvezi z glavnico ali obrestmi, pri čemer se odplačila ponovno začnejo izvajati pozneje;</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znižanje obrestne mere: trajno ali začasno znižanje obrestne mere (fiksne ali variabilne) na pošteno in vzdržno mero;</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lastRenderedPageBreak/>
        <w:t>podaljšanje zapadlosti/trajanja: podaljšanje zapadlosti izpostavljenosti, ki pomeni znižanje zneska obrokov zaradi razporeditve odplačil na daljše obdobje;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reprogramiranje plačil: prilagoditev pogodbenega načrta odplačil s spremembami zneska obrokov ali brez njih, razen obdobij odloga odplačila/moratorija na odplačevanje, podaljšanja zapadlosti/trajanja in oprostitve dolga. Ta kategorija med drugim vključuje kapitalizacijo zaostalih plačil in/ali zaostalih plačil obračunanih obresti na neporavnani znesek glavnice za odplačilo po vzdržnem reprogramiranem načrtu in znižanje zneska obrokov za odplačevanje glavnice za določeno obdobje ne glede na to, ali je treba obresti še naprej plačevati v celoti ali pa se kapitalizirajo ali se jim odpove;</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oprostitev dolga: delen odpis izpostavljenosti s strani institucije poročevalke z odpovedjo pravici do njene zakonite izterjave;</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zamenjave dolga za sredstva: delna nadomestitev izpostavljenosti v obliki dolžniških instrumentov s sredstvi ali lastniškim kapitalom;</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drugi ukrepi restrukturiranja, med drugim popolno ali delno refinanciranje problematične dolžniške pogodbe.</w:t>
      </w:r>
    </w:p>
    <w:p w14:paraId="1203D04A" w14:textId="77777777" w:rsidR="004C5086" w:rsidRPr="00755ABF" w:rsidRDefault="004C5086" w:rsidP="004C5086">
      <w:pPr>
        <w:pStyle w:val="Baseparagraphnumbered"/>
      </w:pPr>
      <w:r>
        <w:t xml:space="preserve">Kadar ukrep restrukturiranja vpliva na bruto knjigovodsko vrednost izpostavljenosti, se poroča bruto knjigovodska vrednost na referenčni datum, tj. po uporabi ukrepa restrukturiranja. V primeru refinanciranja se poročata bruto knjigovodska vrednost odobrene nove pogodbe („refinancirani dolg“), ki izpolnjuje pogoje za opredelitev kot ukrep restrukturiranja, ter bruto knjigovodska vrednost prejšnje odplačane pogodbe, ki je še vedno neporavnana. </w:t>
      </w:r>
    </w:p>
    <w:p w14:paraId="375A6320" w14:textId="77777777" w:rsidR="004C5086" w:rsidRPr="00755ABF" w:rsidRDefault="004C5086" w:rsidP="004C5086">
      <w:pPr>
        <w:pStyle w:val="Baseparagraphnumbered"/>
      </w:pPr>
      <w:r>
        <w:t>Naslednje postavke se poročajo v ločenih vrsticah:</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instrumenti, za katere so se večkrat uporabili ukrepi restrukturiranja, pri čemer:</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krediti in druga finančna sredstva, ki so bili restrukturirani „dvakrat“ ali „več kot dvakrat“, pomenijo izpostavljenosti, razvrščene kot restrukturirane v skladu z odstavki 240 do 268 tega dela na referenčni datum poročanja, za katere so se ukrepi restrukturiranja uporabili dvakrat oziroma več kot dvakrat. To med drugim vključuje prvotno restrukturirane izpostavljenosti, ki niso več imele statusa restrukturirane (okrevane restrukturirane izpostavljenosti), vendar so se po tem zanje odobrili novi ukrepi restrukturiranja;</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tab/>
      </w:r>
      <w:r>
        <w:rPr>
          <w:rFonts w:ascii="Times New Roman" w:hAnsi="Times New Roman"/>
          <w:sz w:val="24"/>
        </w:rPr>
        <w:t>„krediti in druga finančna sredstva, za katere so bili odobreni ukrepi restrukturiranja dodatno k že obstoječim ukrepom restrukturiranja“ pomenijo restrukturirane izpostavljenosti s poskusno dobo, za katere so se uporabili ukrepi restrukturiranja dodatno k ukrepom restrukturiranja, odobrenim pred tem, ne da bi izpostavljenost med tem okrevala;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 xml:space="preserve">nedonosne restrukturirane izpostavljenosti, ki niso izpolnile meril za prenehanje razvrstitve kot nedonosne. To vključuje nedonosne restrukturirane izpostavljenosti, ki niso izpolnile pogojev za prenehanje </w:t>
      </w:r>
      <w:r>
        <w:rPr>
          <w:rFonts w:ascii="Times New Roman" w:hAnsi="Times New Roman"/>
          <w:sz w:val="24"/>
        </w:rPr>
        <w:lastRenderedPageBreak/>
        <w:t>razvrstitve kot nedonosne, kot je opisano v odstavku 232 tega dela, na koncu poskusne dobe enega leta, kot je določeno v odstavku 231(b) tega dela.</w:t>
      </w:r>
    </w:p>
    <w:p w14:paraId="53A1C03B" w14:textId="77777777" w:rsidR="004C5086" w:rsidRPr="00755ABF" w:rsidRDefault="004C5086" w:rsidP="004C5086">
      <w:pPr>
        <w:pStyle w:val="Baseparagraphnumbered"/>
      </w:pPr>
      <w:r>
        <w:t>Izpostavljenosti, za katere so bili ukrepi restrukturiranja odobreni od konca zadnjega poslovnega leta, se poročajo v ločenih stolpcih.</w:t>
      </w:r>
    </w:p>
    <w:p w14:paraId="7F586D4C" w14:textId="77777777" w:rsidR="004C5086" w:rsidRPr="00755ABF" w:rsidRDefault="004C5086" w:rsidP="004C5086">
      <w:pPr>
        <w:pStyle w:val="subtitlenumbered"/>
        <w:jc w:val="both"/>
      </w:pPr>
      <w:bookmarkStart w:id="313" w:name="_Toc188539822"/>
      <w:r>
        <w:t>KREDITI IN DRUGA FINANČNA SREDSTVA: POVPREČNO TRAJANJE IN ČAS IZTERJAVE (47)</w:t>
      </w:r>
      <w:bookmarkEnd w:id="313"/>
    </w:p>
    <w:p w14:paraId="7E6602F4" w14:textId="744AC972" w:rsidR="004C5086" w:rsidRPr="00755ABF" w:rsidRDefault="004C5086" w:rsidP="004C5086">
      <w:pPr>
        <w:pStyle w:val="Baseparagraphnumbered"/>
      </w:pPr>
      <w:r>
        <w:t>Informacije, ki se poročajo v predlogi 47, se nanašajo na kredite in druga finančna sredstva, razen kreditov in drugih finančnih sredstev, razvrščenih kot stanja na računih pri centralnih bankah in vloge na vpogled pri bankah, v posesti za trgovanje, trgovalna finančna sredstva ali v posesti za prodajo.</w:t>
      </w:r>
    </w:p>
    <w:p w14:paraId="2A8C3EB5" w14:textId="77777777" w:rsidR="004C5086" w:rsidRPr="00755ABF" w:rsidRDefault="004C5086" w:rsidP="004C5086">
      <w:pPr>
        <w:pStyle w:val="Baseparagraphnumbered"/>
      </w:pPr>
      <w:r>
        <w:t>„Tehtan povprečen čas od prekoračitve datuma zapadlosti (v letih)“ se izračuna kot tehtano povprečje števila dni, preteklih od datuma zapadlosti izpostavljenosti, razvrščenih kot nedonosnih v skladu z odstavki 213 do 239 ali 260 tega dela, na referenčni datum. Za nedonosne izpostavljenosti, pri katerih datum zapadlosti ni prekoračen, se pri tem izračunu šteje, da je število dni, preteklih od datuma zapadlosti, nič. Izpostavljenosti se tehtajo glede na bruto knjigovodsko vrednost, izmerjeno na referenčni datum. Tehtan povprečen čas od prekoračitve datuma zapadlosti se izrazi v letih (z decimalnimi števili).</w:t>
      </w:r>
    </w:p>
    <w:p w14:paraId="614E672A" w14:textId="77777777" w:rsidR="004C5086" w:rsidRPr="00755ABF" w:rsidRDefault="004C5086" w:rsidP="004C5086">
      <w:pPr>
        <w:pStyle w:val="Baseparagraphnumbered"/>
      </w:pPr>
      <w:r>
        <w:t>Poročajo se naslednje informacije o izidu pravdnih postopkov v zvezi z nedonosnimi krediti in drugimi finančnimi sredstvi, ki so bili zaključeni v obdobju:</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neto kumulativne povrnitve: ta postavka vključuje povrnitve na podlagi sodnih postopkov. Povrnitve, ki izhajajo iz prostovoljnih dogovorov, se ne vključijo;</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zmanjšanje bruto knjigovodske vrednosti: ta postavka vključuje bruto knjigovodsko vrednost nedonosnih kreditov in drugih finančnih sredstev, za katere se je odpravilo pripoznanje na podlagi zaključka pravdnega postopka. To vključuje povezane odpise;</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povprečno trajanje pravdnih postopkov, zaključenih v obdobju: izračuna se kot povprečje časa, pretečenega med datumom razvrstitve instrumenta v status „v pravdnem postopku“ v skladu z odstavkom 322 tega dela in datumom zaključka pravdnega postopka; izraženo je v letih (z decimalnimi števili).</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DEL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539823"/>
      <w:r>
        <w:t>Vzporejanje kategorij izpostavljenosti in sektorjev nasprotnih strank</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lastRenderedPageBreak/>
        <w:t>Razpredelnici 2 in 3 vzporejata kategorije izpostavljenosti, ki se uporabljajo za izračun kapitalskih zahtev v skladu s CRR, in sektorje nasprotnih strank, uporabljene v razpredelnicah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Razpredelnica 2: Standardizirani pristop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Kategorije izpostavljenosti na podlagi standardiziranega pristopa (člen 112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Sektorji nasprotnih strank na podlagi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Opombe</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enote centralne ravni držav ali centralne banke</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centralne banke</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država</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enote regionalne ali lokalne ravni držav</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država</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subjekti javnega sektorja</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država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nefinančne družbe</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multilateralne razvojne banke</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mednarodne organizacije</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država</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institucije</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(tj. kreditne institucije in investicijska podjetja)</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podjetja</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država</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nefinančne družbe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gospodinjstva</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izpostavljenosti na drobno</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nefinančne družbe</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gospodinjstva</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zavarovano s hipotekami na nepremičnine</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država</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nefinančne družbe</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gospodinjstva</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(j) neplačane izpostavljenosti</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centralne banke</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država</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nefinančne družbe</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gospodinjstva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(ja) postavke, povezane z zelo visokim tveganjem</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centralne banke</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država</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nefinančne družbe</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gospodinjstva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krite obveznice</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nefinančne družbe</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pozicije v listinjenju</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država</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nefinančne družbe</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gospodinjstva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tveganje sredstva, ki je podlaga za listinjenje. Kadar listinjene pozicije ostanejo pripoznane v bilanci stanja, so v FINREP sektorji nasprotnih strank sektorji neposrednih nasprotnih strank teh pozicij.</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institucije in podjetja s kratkoročno bonitetno oceno</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druge finančne družbe</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nefinančne družbe</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kolektivni naložbeni podjemi</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lastniški instrumenti</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Naložbe v kolektivne naložbene podjeme (KNP) se v FINREP razvrstijo kot lastniški instrumenti, ne glede na to, ali CRR dovoljuje vpogled.</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lastniški kapital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lastniški instrumenti</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 FINREP so vrste lastniškega kapitala ločene kot instrumenti v različnih kategorijah finančnih sredstev.</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druge postavke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različne postavke bilance stanja</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 FINREP se lahko druge postavke vključijo v različne kategorije sredstev.</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Razpredelnica 3: Pristop na osnovi notranjih bonitetnih ocen (pristop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Kategorije izpostavljenosti na podlagi pristopa IRB</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(člen 147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Sektorji nasprotnih strank na podlagi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Opombe</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enote centralne ravni držav in centralne banke</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centralne banke</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država</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Te izpostavljenosti se dodelijo sektorjem nasprotnih strank na podlagi FINREP glede na naravo neposredne nasprotne stranke.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institucije</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(tj. kreditne institucije in investicijska podjetja</w:t>
            </w:r>
            <w:r>
              <w:rPr>
                <w:rFonts w:ascii="Times New Roman" w:hAnsi="Times New Roman"/>
                <w:i/>
                <w:sz w:val="20"/>
              </w:rPr>
              <w:t xml:space="preserve"> </w:t>
            </w:r>
            <w:r>
              <w:rPr>
                <w:rFonts w:ascii="Times New Roman" w:hAnsi="Times New Roman"/>
                <w:sz w:val="18"/>
              </w:rPr>
              <w:t>ter nekateri sektorji države in multilateralne banke)</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sektor država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podjetja</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država</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nefinančne družbe</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gospodinjstva</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izpostavljenosti na drobno</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nefinančne družbe</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gospodinjstva</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lastniški kapital</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lastniški instrumenti</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V FINREP so vrste lastniškega kapitala ločene kot instrumenti v različnih kategorijah finančnih sredstev.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pozicije v listinjenju</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država</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nefinančne družbe</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gospodinjstva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tveganje osnove pozicij v listinjenju. Kadar listinjene pozicije ostanejo pripoznane v bilanci stanja, so v FINREP sektorji nasprotnih strank sektorji neposrednih nasprotnih strank teh pozicij.</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(g) druge </w:t>
            </w:r>
            <w:proofErr w:type="spellStart"/>
            <w:r>
              <w:rPr>
                <w:rFonts w:ascii="Times New Roman" w:hAnsi="Times New Roman"/>
                <w:sz w:val="18"/>
              </w:rPr>
              <w:t>nekreditne</w:t>
            </w:r>
            <w:proofErr w:type="spellEnd"/>
            <w:r>
              <w:rPr>
                <w:rFonts w:ascii="Times New Roman" w:hAnsi="Times New Roman"/>
                <w:sz w:val="18"/>
              </w:rPr>
              <w:t xml:space="preserve"> obveznosti</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različne postavke bilance stanja</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 FINREP se lahko druge postavke vključijo v različne kategorije sredstev.</w:t>
            </w:r>
          </w:p>
        </w:tc>
      </w:tr>
    </w:tbl>
    <w:p w14:paraId="4611D789" w14:textId="41DEB8E8"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Uredba (ES) št. 1606/2002 Evropskega parlamenta in Sveta z dne 19. julija 2002 o uporabi mednarodnih računovodskih standardov (UL L 243, 11.9.2002, str.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Uredba (EU) št. 1071/2013 Evropske centralne banke z dne 24. septembra 2013 o bilanci stanja sektorja denarnih finančnih institucij (ECB/2013/33) (UL L 297, 7.11.2013, str.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Uredba (ES) št. 1893/2006 Evropskega parlamenta in Sveta z dne 20. decembra 2006 o uvedbi statistične klasifikacije gospodarskih dejavnosti NACE Revizija 2 in o spremembi Uredbe Sveta (EGS) št. 3037/90, kakor tudi nekaterih uredb ES o posebnih statističnih področjih (UL L 393, 30.12.2006, str.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Direktiva Sveta 86/635/EGS z dne 8. decembra 1986 o letnih računovodskih izkazih in konsolidiranih računovodskih izkazih bank in drugih finančnih institucij (UL L 372, 31.12.1986, str.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Priporočilo Komisije z dne 6. maja 2003 o opredelitvi mikro, malih in srednje velikih podjetij (C(2003) 1422 ) (UL L 124, 20.5.2003, str. 36). </w:t>
      </w:r>
    </w:p>
  </w:footnote>
  <w:footnote w:id="8">
    <w:p w14:paraId="5FE0F721" w14:textId="77777777" w:rsidR="00E972E1" w:rsidRDefault="00E972E1" w:rsidP="00973325">
      <w:pPr>
        <w:pStyle w:val="FootnoteText"/>
        <w:spacing w:after="0"/>
        <w:ind w:left="567" w:hanging="567"/>
      </w:pPr>
      <w:r>
        <w:rPr>
          <w:rStyle w:val="FootnoteReference"/>
        </w:rPr>
        <w:footnoteRef/>
      </w:r>
      <w:r>
        <w:tab/>
        <w:t>Priporočilo Evropskega odbora za sistemska tveganja z dne 31. oktobra 2016 o odpravljanju vrzeli v podatkih o nepremičninah (ESRB/2016/14) (UL C 31, 31.1.2017, str.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r>
      <w:r>
        <w:rPr>
          <w:rFonts w:ascii="Segoe UI" w:hAnsi="Segoe UI"/>
          <w:color w:val="444444"/>
          <w:sz w:val="21"/>
        </w:rPr>
        <w:t>Priporočilo Evropskega odbora za sistemska tveganja z dne 31. oktobra 2016 o odpravljanju vrzeli v podatkih o nepremičninah (ESRB/2016/14) (</w:t>
      </w:r>
      <w:r>
        <w:rPr>
          <w:rStyle w:val="Emphasis"/>
          <w:rFonts w:ascii="Segoe UI" w:hAnsi="Segoe UI"/>
          <w:i w:val="0"/>
          <w:color w:val="444444"/>
          <w:sz w:val="21"/>
        </w:rPr>
        <w:t>UL C 31, 31.1.2017, str.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Direktiva (EU) 2015/2366 Evropskega parlamenta in Sveta z dne 25. novembra 2015 o plačilnih storitvah na notranjem trgu, spremembah direktiv 2002/65/ES, 2009/110/ES ter 2013/36/EU in Uredbe (EU) št. 1093/2010 ter razveljavitvi Direktive 2007/64/ES (UL L 337, 23.12.2015, str.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93460868">
    <w:abstractNumId w:val="40"/>
  </w:num>
  <w:num w:numId="2" w16cid:durableId="332875334">
    <w:abstractNumId w:val="60"/>
  </w:num>
  <w:num w:numId="3" w16cid:durableId="280302684">
    <w:abstractNumId w:val="7"/>
  </w:num>
  <w:num w:numId="4" w16cid:durableId="2070953473">
    <w:abstractNumId w:val="19"/>
  </w:num>
  <w:num w:numId="5" w16cid:durableId="1345325366">
    <w:abstractNumId w:val="41"/>
  </w:num>
  <w:num w:numId="6" w16cid:durableId="1200510862">
    <w:abstractNumId w:val="0"/>
  </w:num>
  <w:num w:numId="7" w16cid:durableId="508061263">
    <w:abstractNumId w:val="56"/>
  </w:num>
  <w:num w:numId="8" w16cid:durableId="831409841">
    <w:abstractNumId w:val="1"/>
  </w:num>
  <w:num w:numId="9" w16cid:durableId="186529223">
    <w:abstractNumId w:val="15"/>
  </w:num>
  <w:num w:numId="10" w16cid:durableId="869536619">
    <w:abstractNumId w:val="77"/>
  </w:num>
  <w:num w:numId="11" w16cid:durableId="1771657034">
    <w:abstractNumId w:val="42"/>
  </w:num>
  <w:num w:numId="12" w16cid:durableId="1059671604">
    <w:abstractNumId w:val="78"/>
  </w:num>
  <w:num w:numId="13" w16cid:durableId="396131585">
    <w:abstractNumId w:val="69"/>
  </w:num>
  <w:num w:numId="14" w16cid:durableId="723212811">
    <w:abstractNumId w:val="27"/>
  </w:num>
  <w:num w:numId="15" w16cid:durableId="952975147">
    <w:abstractNumId w:val="53"/>
  </w:num>
  <w:num w:numId="16" w16cid:durableId="794373319">
    <w:abstractNumId w:val="68"/>
  </w:num>
  <w:num w:numId="17" w16cid:durableId="4215629">
    <w:abstractNumId w:val="4"/>
  </w:num>
  <w:num w:numId="18" w16cid:durableId="990863127">
    <w:abstractNumId w:val="58"/>
  </w:num>
  <w:num w:numId="19" w16cid:durableId="1202548150">
    <w:abstractNumId w:val="8"/>
  </w:num>
  <w:num w:numId="20" w16cid:durableId="1429080868">
    <w:abstractNumId w:val="51"/>
  </w:num>
  <w:num w:numId="21" w16cid:durableId="1665624173">
    <w:abstractNumId w:val="16"/>
  </w:num>
  <w:num w:numId="22" w16cid:durableId="1906600404">
    <w:abstractNumId w:val="75"/>
  </w:num>
  <w:num w:numId="23" w16cid:durableId="1306397998">
    <w:abstractNumId w:val="45"/>
  </w:num>
  <w:num w:numId="24" w16cid:durableId="1430856013">
    <w:abstractNumId w:val="18"/>
  </w:num>
  <w:num w:numId="25" w16cid:durableId="581456004">
    <w:abstractNumId w:val="4"/>
  </w:num>
  <w:num w:numId="26" w16cid:durableId="1567572597">
    <w:abstractNumId w:val="6"/>
  </w:num>
  <w:num w:numId="27" w16cid:durableId="1843156374">
    <w:abstractNumId w:val="63"/>
  </w:num>
  <w:num w:numId="28" w16cid:durableId="1294795630">
    <w:abstractNumId w:val="21"/>
  </w:num>
  <w:num w:numId="29" w16cid:durableId="1286765793">
    <w:abstractNumId w:val="57"/>
  </w:num>
  <w:num w:numId="30" w16cid:durableId="1199121528">
    <w:abstractNumId w:val="26"/>
  </w:num>
  <w:num w:numId="31" w16cid:durableId="47415055">
    <w:abstractNumId w:val="52"/>
  </w:num>
  <w:num w:numId="32" w16cid:durableId="2058822335">
    <w:abstractNumId w:val="23"/>
  </w:num>
  <w:num w:numId="33" w16cid:durableId="1624266481">
    <w:abstractNumId w:val="30"/>
  </w:num>
  <w:num w:numId="34" w16cid:durableId="1330911682">
    <w:abstractNumId w:val="6"/>
    <w:lvlOverride w:ilvl="0">
      <w:startOverride w:val="1"/>
    </w:lvlOverride>
  </w:num>
  <w:num w:numId="35" w16cid:durableId="1802991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81448855">
    <w:abstractNumId w:val="6"/>
    <w:lvlOverride w:ilvl="0">
      <w:startOverride w:val="1"/>
    </w:lvlOverride>
  </w:num>
  <w:num w:numId="37" w16cid:durableId="614750755">
    <w:abstractNumId w:val="61"/>
  </w:num>
  <w:num w:numId="38" w16cid:durableId="93330665">
    <w:abstractNumId w:val="10"/>
  </w:num>
  <w:num w:numId="39" w16cid:durableId="18362543">
    <w:abstractNumId w:val="74"/>
  </w:num>
  <w:num w:numId="40" w16cid:durableId="57359928">
    <w:abstractNumId w:val="37"/>
  </w:num>
  <w:num w:numId="41" w16cid:durableId="883059832">
    <w:abstractNumId w:val="24"/>
  </w:num>
  <w:num w:numId="42" w16cid:durableId="1094328883">
    <w:abstractNumId w:val="72"/>
  </w:num>
  <w:num w:numId="43" w16cid:durableId="887884273">
    <w:abstractNumId w:val="47"/>
  </w:num>
  <w:num w:numId="44" w16cid:durableId="941844189">
    <w:abstractNumId w:val="50"/>
  </w:num>
  <w:num w:numId="45" w16cid:durableId="298389330">
    <w:abstractNumId w:val="76"/>
  </w:num>
  <w:num w:numId="46" w16cid:durableId="676083508">
    <w:abstractNumId w:val="44"/>
  </w:num>
  <w:num w:numId="47" w16cid:durableId="141704492">
    <w:abstractNumId w:val="39"/>
  </w:num>
  <w:num w:numId="48" w16cid:durableId="596596707">
    <w:abstractNumId w:val="22"/>
  </w:num>
  <w:num w:numId="49" w16cid:durableId="510143960">
    <w:abstractNumId w:val="5"/>
  </w:num>
  <w:num w:numId="50" w16cid:durableId="2143962718">
    <w:abstractNumId w:val="25"/>
  </w:num>
  <w:num w:numId="51" w16cid:durableId="1855265412">
    <w:abstractNumId w:val="70"/>
  </w:num>
  <w:num w:numId="52" w16cid:durableId="1910728468">
    <w:abstractNumId w:val="32"/>
  </w:num>
  <w:num w:numId="53" w16cid:durableId="1343976607">
    <w:abstractNumId w:val="73"/>
  </w:num>
  <w:num w:numId="54" w16cid:durableId="1754425485">
    <w:abstractNumId w:val="9"/>
  </w:num>
  <w:num w:numId="55" w16cid:durableId="1591616132">
    <w:abstractNumId w:val="46"/>
  </w:num>
  <w:num w:numId="56" w16cid:durableId="86734410">
    <w:abstractNumId w:val="3"/>
  </w:num>
  <w:num w:numId="57" w16cid:durableId="285474939">
    <w:abstractNumId w:val="79"/>
  </w:num>
  <w:num w:numId="58" w16cid:durableId="106701328">
    <w:abstractNumId w:val="67"/>
  </w:num>
  <w:num w:numId="59" w16cid:durableId="278030772">
    <w:abstractNumId w:val="55"/>
  </w:num>
  <w:num w:numId="60" w16cid:durableId="1663242352">
    <w:abstractNumId w:val="64"/>
  </w:num>
  <w:num w:numId="61" w16cid:durableId="515852104">
    <w:abstractNumId w:val="35"/>
  </w:num>
  <w:num w:numId="62" w16cid:durableId="504713551">
    <w:abstractNumId w:val="38"/>
  </w:num>
  <w:num w:numId="63" w16cid:durableId="100035383">
    <w:abstractNumId w:val="43"/>
  </w:num>
  <w:num w:numId="64" w16cid:durableId="1179540169">
    <w:abstractNumId w:val="62"/>
  </w:num>
  <w:num w:numId="65" w16cid:durableId="93132194">
    <w:abstractNumId w:val="71"/>
  </w:num>
  <w:num w:numId="66" w16cid:durableId="650597579">
    <w:abstractNumId w:val="13"/>
  </w:num>
  <w:num w:numId="67" w16cid:durableId="471102384">
    <w:abstractNumId w:val="2"/>
  </w:num>
  <w:num w:numId="68" w16cid:durableId="412245680">
    <w:abstractNumId w:val="36"/>
  </w:num>
  <w:num w:numId="69" w16cid:durableId="786392728">
    <w:abstractNumId w:val="48"/>
  </w:num>
  <w:num w:numId="70" w16cid:durableId="220214339">
    <w:abstractNumId w:val="20"/>
  </w:num>
  <w:num w:numId="71" w16cid:durableId="1629630065">
    <w:abstractNumId w:val="29"/>
  </w:num>
  <w:num w:numId="72" w16cid:durableId="1280067616">
    <w:abstractNumId w:val="34"/>
  </w:num>
  <w:num w:numId="73" w16cid:durableId="2069376166">
    <w:abstractNumId w:val="17"/>
  </w:num>
  <w:num w:numId="74" w16cid:durableId="1904675353">
    <w:abstractNumId w:val="33"/>
  </w:num>
  <w:num w:numId="75" w16cid:durableId="580718202">
    <w:abstractNumId w:val="31"/>
  </w:num>
  <w:num w:numId="76" w16cid:durableId="1069038451">
    <w:abstractNumId w:val="14"/>
  </w:num>
  <w:num w:numId="77" w16cid:durableId="1572350663">
    <w:abstractNumId w:val="59"/>
  </w:num>
  <w:num w:numId="78" w16cid:durableId="1481313899">
    <w:abstractNumId w:val="28"/>
  </w:num>
  <w:num w:numId="79" w16cid:durableId="274487354">
    <w:abstractNumId w:val="80"/>
  </w:num>
  <w:num w:numId="80" w16cid:durableId="209923596">
    <w:abstractNumId w:val="66"/>
  </w:num>
  <w:num w:numId="81" w16cid:durableId="1144931336">
    <w:abstractNumId w:val="65"/>
  </w:num>
  <w:num w:numId="82" w16cid:durableId="1653869903">
    <w:abstractNumId w:val="11"/>
  </w:num>
  <w:num w:numId="83" w16cid:durableId="841436814">
    <w:abstractNumId w:val="54"/>
  </w:num>
  <w:num w:numId="84" w16cid:durableId="516626237">
    <w:abstractNumId w:val="49"/>
  </w:num>
  <w:num w:numId="85" w16cid:durableId="2100635541">
    <w:abstractNumId w:val="6"/>
    <w:lvlOverride w:ilvl="0">
      <w:startOverride w:val="335"/>
    </w:lvlOverride>
  </w:num>
  <w:num w:numId="86" w16cid:durableId="1098284358">
    <w:abstractNumId w:val="6"/>
    <w:lvlOverride w:ilvl="0">
      <w:startOverride w:val="78"/>
    </w:lvlOverride>
  </w:num>
  <w:num w:numId="87" w16cid:durableId="1544559455">
    <w:abstractNumId w:val="6"/>
    <w:lvlOverride w:ilvl="0">
      <w:startOverride w:val="172"/>
    </w:lvlOverride>
  </w:num>
  <w:num w:numId="88" w16cid:durableId="1426608479">
    <w:abstractNumId w:val="6"/>
    <w:lvlOverride w:ilvl="0">
      <w:startOverride w:val="215"/>
    </w:lvlOverride>
  </w:num>
  <w:num w:numId="89" w16cid:durableId="1691687314">
    <w:abstractNumId w:val="6"/>
    <w:lvlOverride w:ilvl="0">
      <w:startOverride w:val="226"/>
    </w:lvlOverride>
  </w:num>
  <w:num w:numId="90" w16cid:durableId="57441807">
    <w:abstractNumId w:val="6"/>
    <w:lvlOverride w:ilvl="0">
      <w:startOverride w:val="230"/>
    </w:lvlOverride>
  </w:num>
  <w:num w:numId="91" w16cid:durableId="1253932258">
    <w:abstractNumId w:val="6"/>
    <w:lvlOverride w:ilvl="0">
      <w:startOverride w:val="243"/>
    </w:lvlOverride>
  </w:num>
  <w:num w:numId="92" w16cid:durableId="250815675">
    <w:abstractNumId w:val="6"/>
    <w:lvlOverride w:ilvl="0">
      <w:startOverride w:val="254"/>
    </w:lvlOverride>
  </w:num>
  <w:num w:numId="93" w16cid:durableId="469055515">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5084"/>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96431"/>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l-S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l-S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l-S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l-S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sl-SI"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l-SI" w:eastAsia="en-US"/>
    </w:rPr>
  </w:style>
  <w:style w:type="character" w:customStyle="1" w:styleId="Heading2Char">
    <w:name w:val="Heading 2 Char"/>
    <w:link w:val="Heading2"/>
    <w:rsid w:val="005100D0"/>
    <w:rPr>
      <w:rFonts w:ascii="Cambria" w:hAnsi="Cambria"/>
      <w:b/>
      <w:bCs/>
      <w:color w:val="4F81BD"/>
      <w:sz w:val="26"/>
      <w:szCs w:val="26"/>
      <w:lang w:val="sl-SI" w:eastAsia="en-US"/>
    </w:rPr>
  </w:style>
  <w:style w:type="character" w:customStyle="1" w:styleId="Heading3Char">
    <w:name w:val="Heading 3 Char"/>
    <w:link w:val="Heading3"/>
    <w:rsid w:val="005100D0"/>
    <w:rPr>
      <w:rFonts w:ascii="Cambria" w:hAnsi="Cambria"/>
      <w:b/>
      <w:bCs/>
      <w:color w:val="4F81BD"/>
      <w:sz w:val="22"/>
      <w:szCs w:val="22"/>
      <w:lang w:val="sl-SI" w:eastAsia="en-US"/>
    </w:rPr>
  </w:style>
  <w:style w:type="character" w:customStyle="1" w:styleId="Heading4Char">
    <w:name w:val="Heading 4 Char"/>
    <w:link w:val="Heading4"/>
    <w:rsid w:val="005100D0"/>
    <w:rPr>
      <w:rFonts w:ascii="Cambria" w:hAnsi="Cambria"/>
      <w:b/>
      <w:bCs/>
      <w:i/>
      <w:iCs/>
      <w:color w:val="4F81BD"/>
      <w:sz w:val="22"/>
      <w:szCs w:val="22"/>
      <w:lang w:val="sl-SI" w:eastAsia="en-US"/>
    </w:rPr>
  </w:style>
  <w:style w:type="character" w:customStyle="1" w:styleId="Heading5Char">
    <w:name w:val="Heading 5 Char"/>
    <w:link w:val="Heading5"/>
    <w:rsid w:val="005100D0"/>
    <w:rPr>
      <w:rFonts w:ascii="Cambria" w:hAnsi="Cambria"/>
      <w:color w:val="243F60"/>
      <w:sz w:val="22"/>
      <w:szCs w:val="22"/>
      <w:lang w:val="sl-SI" w:eastAsia="en-US"/>
    </w:rPr>
  </w:style>
  <w:style w:type="character" w:customStyle="1" w:styleId="Heading6Char">
    <w:name w:val="Heading 6 Char"/>
    <w:link w:val="Heading6"/>
    <w:rsid w:val="005100D0"/>
    <w:rPr>
      <w:rFonts w:ascii="Cambria" w:hAnsi="Cambria"/>
      <w:i/>
      <w:iCs/>
      <w:color w:val="243F60"/>
      <w:sz w:val="22"/>
      <w:szCs w:val="22"/>
      <w:lang w:val="sl-SI" w:eastAsia="en-US"/>
    </w:rPr>
  </w:style>
  <w:style w:type="character" w:customStyle="1" w:styleId="Heading7Char">
    <w:name w:val="Heading 7 Char"/>
    <w:link w:val="Heading7"/>
    <w:rsid w:val="005100D0"/>
    <w:rPr>
      <w:rFonts w:ascii="Cambria" w:hAnsi="Cambria"/>
      <w:i/>
      <w:iCs/>
      <w:color w:val="404040"/>
      <w:sz w:val="22"/>
      <w:szCs w:val="22"/>
      <w:lang w:val="sl-SI"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l-SI"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l-SI"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l-SI"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sl-SI"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l-SI"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l-SI"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6FC665FD-0241-4ACE-808F-070B28C91FB9}"/>
</file>

<file path=customXml/itemProps3.xml><?xml version="1.0" encoding="utf-8"?>
<ds:datastoreItem xmlns:ds="http://schemas.openxmlformats.org/officeDocument/2006/customXml" ds:itemID="{1E908F3B-91C9-4254-A2DE-B009DDDD72C3}"/>
</file>

<file path=customXml/itemProps4.xml><?xml version="1.0" encoding="utf-8"?>
<ds:datastoreItem xmlns:ds="http://schemas.openxmlformats.org/officeDocument/2006/customXml" ds:itemID="{EB34EA03-9A5B-4E79-8C75-77B4446C4458}"/>
</file>

<file path=docProps/app.xml><?xml version="1.0" encoding="utf-8"?>
<Properties xmlns="http://schemas.openxmlformats.org/officeDocument/2006/extended-properties" xmlns:vt="http://schemas.openxmlformats.org/officeDocument/2006/docPropsVTypes">
  <Template>Normal</Template>
  <TotalTime>0</TotalTime>
  <Pages>94</Pages>
  <Words>35161</Words>
  <Characters>217024</Characters>
  <Application>Microsoft Office Word</Application>
  <DocSecurity>0</DocSecurity>
  <Lines>5711</Lines>
  <Paragraphs>4849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2025-01-23T14:48:50Z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5ce9dfac-cd57-4d95-a05d-c62b4298f467</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