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SL</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PRILOGA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„PRILOGA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NAVODILA ZA POROČANJE O KAPITALU IN KAPITALSKIH ZAHTEVAH</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DEL II: NAVODILA V ZVEZI S PREDLOGAMI</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Pragovi za trgovalno knjigo in tržno tveganje, meja med trgovalno in netrgovalno knjigo ter prerazvrstitve</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tab/>
      </w:r>
      <w:bookmarkEnd w:id="6"/>
      <w:r>
        <w:rPr>
          <w:rFonts w:ascii="Times New Roman" w:hAnsi="Times New Roman"/>
          <w:sz w:val="24"/>
        </w:rPr>
        <w:t xml:space="preserve">C 90.00 – Pragovi za trgovalno knjigo in tržno tveganje </w:t>
      </w:r>
      <w:bookmarkEnd w:id="7"/>
      <w:bookmarkEnd w:id="8"/>
      <w:r>
        <w:rPr>
          <w:rFonts w:ascii="Times New Roman" w:hAnsi="Times New Roman"/>
          <w:sz w:val="24"/>
        </w:rPr>
        <w:t>(TBT)</w:t>
      </w:r>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sidRPr="00C93958">
        <w:rPr>
          <w:u w:val="none"/>
        </w:rPr>
        <w:tab/>
      </w:r>
      <w:r>
        <w:rPr>
          <w:rFonts w:ascii="Times New Roman" w:hAnsi="Times New Roman"/>
          <w:sz w:val="24"/>
          <w:u w:val="none"/>
        </w:rPr>
        <w:t>Splošne opombe</w:t>
      </w:r>
    </w:p>
    <w:p w14:paraId="2EE35BE9" w14:textId="77777777" w:rsidR="00F65FA6" w:rsidRPr="00037E7B" w:rsidRDefault="00F65FA6" w:rsidP="00F65FA6">
      <w:pPr>
        <w:pStyle w:val="InstructionsText2"/>
        <w:numPr>
          <w:ilvl w:val="0"/>
          <w:numId w:val="61"/>
        </w:numPr>
        <w:spacing w:line="259" w:lineRule="auto"/>
      </w:pPr>
      <w:r>
        <w:t>Informacije, zagotovljene v tej predlogi, odražajo rezultat izračuna iz člena 94 Uredbe (EU) št. 575/2013 (odstopanje za majhne postavke trgovalne knjige) in obseg bilančnih in zunajbilančnih poslov institucije, ki so predmet tržnega tveganja, izračunan v skladu s členom 325a Uredbe (EU) št.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sidRPr="00C93958">
        <w:rPr>
          <w:u w:val="none"/>
        </w:rPr>
        <w:tab/>
      </w:r>
      <w:r>
        <w:rPr>
          <w:rFonts w:ascii="Times New Roman" w:hAnsi="Times New Roman"/>
          <w:sz w:val="24"/>
          <w:u w:val="none"/>
        </w:rPr>
        <w:t>Navodila za posamezne pozicije</w:t>
      </w:r>
      <w:bookmarkEnd w:id="10"/>
    </w:p>
    <w:p w14:paraId="230964CC" w14:textId="77777777" w:rsidR="00F65FA6" w:rsidRPr="00037E7B" w:rsidRDefault="00F65FA6" w:rsidP="00F65FA6">
      <w:pPr>
        <w:pStyle w:val="InstructionsText2"/>
        <w:numPr>
          <w:ilvl w:val="0"/>
          <w:numId w:val="61"/>
        </w:numPr>
        <w:spacing w:line="259" w:lineRule="auto"/>
      </w:pPr>
      <w:r>
        <w:t>Rezultat izračuna iz člena 94 Uredbe (EU) št. 575/2013 in informacije o obsegu bilančnih in zunajbilančnih poslov institucije, ki so predmet tržnega tveganja, izračunanem v skladu s členom 325a Uredbe (EU) št. 575/2013, se poročajo ločeno za vsak konec meseca v četrtletju, na katerega se nanaša poročilo, v vrsticah 0010 do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Vrstica</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Pravna podlaga in navodila</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Mesec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Podatki na zadnji dan tretjega meseca četrtletja, na katerega se nanaša poročilo.</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Mesec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Podatki na zadnji dan drugega meseca četrtletja, na katerega se nanaša poročilo.</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Mesec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Podatki na zadnji dan prvega meseca četrtletja, na katerega se nanaša poročilo.</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Stolpec</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Pravna podlaga in navodila</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Bilančni in zunajbilančni posli, ki so predmet tržnega tveganja</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Člen 325a(2) Uredbe (EU) št.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Institucije poročajo absolutni znesek, ki odraža bilančne in zunajbilančne posle institucije, ki so predmet tržnega tveganja, izračunane v skladu s členom 325a(2) Uredbe (EU) št.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Razčlenitev po regulativni knjigi</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Bilančni in zunajbilančni posli, ki so predmet tržnega tveganja, se razčlenijo na trgovalno knjigo in netrgovalno knjigo.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Trgovalna knjiga</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Pozicije, dodeljene v trgovalno knjigo, ki so vključene v izračun iz člena 325a(2) Uredbe (EU) št.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0030–0040</w:t>
            </w:r>
          </w:p>
        </w:tc>
        <w:tc>
          <w:tcPr>
            <w:tcW w:w="7973" w:type="dxa"/>
          </w:tcPr>
          <w:p w14:paraId="24A21C27" w14:textId="7A16D881" w:rsidR="00F65FA6" w:rsidRPr="00037E7B" w:rsidRDefault="00C93958" w:rsidP="00E02007">
            <w:pPr>
              <w:pStyle w:val="Tabelleninhalt"/>
              <w:spacing w:after="120"/>
              <w:rPr>
                <w:rFonts w:ascii="Times New Roman" w:hAnsi="Times New Roman" w:cs="Times New Roman"/>
                <w:b/>
                <w:u w:val="single"/>
              </w:rPr>
            </w:pPr>
            <w:r>
              <w:rPr>
                <w:rFonts w:ascii="Times New Roman" w:hAnsi="Times New Roman"/>
                <w:b/>
                <w:u w:val="single"/>
              </w:rPr>
              <w:t xml:space="preserve">Od </w:t>
            </w:r>
            <w:r w:rsidR="00F65FA6">
              <w:rPr>
                <w:rFonts w:ascii="Times New Roman" w:hAnsi="Times New Roman"/>
                <w:b/>
                <w:u w:val="single"/>
              </w:rPr>
              <w:t>tega: posli iz trgovalne knjige za namene člena 94 Uredbe (EU) št.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Člen 94(3) Uredbe (EU) št.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Kot se zahteva v členu 94(3), točka (b), Uredbe (EU) št. 575/2013, institucije poročajo tržne vrednosti na zadnji dan v mesecu, kadar tržne vrednosti niso na voljo, poštene vrednosti na isti datum ali, kadar tržne in poštene vrednosti na ta dan niso na voljo, zadnje tržne ali poštene vrednosti.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Skupaj</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Člen 94(3) Uredbe (EU) št.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Absolutni znesek dolgih in kratkih pozicij se sešteje v skladu s členom 94(3), točka (c), Uredbe (EU) št.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16D77FAC" w:rsidR="00F65FA6" w:rsidRPr="00037E7B" w:rsidRDefault="00C93958" w:rsidP="00E02007">
            <w:pPr>
              <w:pStyle w:val="Tabelleninhalt"/>
              <w:spacing w:after="120"/>
              <w:rPr>
                <w:rFonts w:ascii="Times New Roman" w:hAnsi="Times New Roman" w:cs="Times New Roman"/>
                <w:b/>
                <w:u w:val="single"/>
              </w:rPr>
            </w:pPr>
            <w:r>
              <w:rPr>
                <w:rFonts w:ascii="Times New Roman" w:hAnsi="Times New Roman"/>
                <w:b/>
                <w:u w:val="single"/>
              </w:rPr>
              <w:t>V</w:t>
            </w:r>
            <w:r w:rsidR="00F65FA6">
              <w:rPr>
                <w:rFonts w:ascii="Times New Roman" w:hAnsi="Times New Roman"/>
                <w:b/>
                <w:u w:val="single"/>
              </w:rPr>
              <w:t> % skupnih sredstev</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Člen 94(1), točka (a), Uredbe (EU) št.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Obseg postavk trgovalne knjige za namene člena 94 Uredbe (EU) št. 575/2013 se izrazi kot odstotek vseh sredstev.</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Netrgovalna knjiga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Pozicije, dodeljene v netrgovalno knjigo, ki so vključene v izračun iz člena 325a(2) Uredbe (EU) št.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Institucije poročajo pozicije iz netrgovalne knjige, ki so predmet tržnega tveganja, razčlenjene na pozicije, ki so predmet valutnega tveganja, in pozicije, ki so predmet blagovnega tveganja.</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Ustrezni zneski se določijo v skladu s členom 325a(2), točki (d) in (e), Uredbe (EU) št.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0070</w:t>
            </w:r>
          </w:p>
        </w:tc>
        <w:tc>
          <w:tcPr>
            <w:tcW w:w="7973" w:type="dxa"/>
          </w:tcPr>
          <w:p w14:paraId="6D9E3BF8" w14:textId="2597228C" w:rsidR="00F65FA6" w:rsidRPr="00037E7B" w:rsidRDefault="00C93958" w:rsidP="00E02007">
            <w:pPr>
              <w:pStyle w:val="Tabelleninhalt"/>
              <w:spacing w:after="120"/>
              <w:rPr>
                <w:rFonts w:ascii="Times New Roman" w:hAnsi="Times New Roman" w:cs="Times New Roman"/>
                <w:b/>
                <w:u w:val="single"/>
              </w:rPr>
            </w:pPr>
            <w:r>
              <w:rPr>
                <w:rFonts w:ascii="Times New Roman" w:hAnsi="Times New Roman"/>
                <w:b/>
                <w:u w:val="single"/>
              </w:rPr>
              <w:t>V</w:t>
            </w:r>
            <w:r w:rsidR="00F65FA6">
              <w:rPr>
                <w:rFonts w:ascii="Times New Roman" w:hAnsi="Times New Roman"/>
                <w:b/>
                <w:u w:val="single"/>
              </w:rPr>
              <w:t> % skupnih sredstev</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Člen 325a(1), točka (a), Uredbe (EU) št.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Bilančni in zunajbilančni posli, ki so predmet tržnega tveganja, se izrazijo kot odstotek vseh sredstev.</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Sredstva skupaj</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Člen 94(1), točka (a), in člen 325a(1), točka (a), Uredbe (EU) št.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Meja med trgovalno in netrgovalno knjigo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tab/>
      </w:r>
      <w:r>
        <w:rPr>
          <w:rFonts w:ascii="Times New Roman" w:hAnsi="Times New Roman"/>
          <w:sz w:val="24"/>
        </w:rPr>
        <w:t>Splošne opombe</w:t>
      </w:r>
      <w:bookmarkEnd w:id="11"/>
    </w:p>
    <w:p w14:paraId="5D51F5A4" w14:textId="105C86A5" w:rsidR="009B2CA6" w:rsidRPr="00037E7B" w:rsidRDefault="000B3833" w:rsidP="00660845">
      <w:pPr>
        <w:pStyle w:val="InstructionsText2"/>
        <w:numPr>
          <w:ilvl w:val="0"/>
          <w:numId w:val="0"/>
        </w:numPr>
      </w:pPr>
      <w:r>
        <w:t xml:space="preserve">209a. Ta predloga se uporablja za zagotavljanje informacij o sestavi trgovalne knjige (BOU1) glede na predpostavke za vključitev instrumentov v trgovalno knjigo, določene v členu 104 Uredbe (EU) št.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tab/>
      </w:r>
      <w:r>
        <w:rPr>
          <w:rFonts w:ascii="Times New Roman" w:hAnsi="Times New Roman"/>
          <w:sz w:val="24"/>
        </w:rPr>
        <w:t>C 90.05 – Meja: trgovalna knjiga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Splošne opombe</w:t>
      </w:r>
      <w:bookmarkEnd w:id="13"/>
    </w:p>
    <w:p w14:paraId="4E94C71F" w14:textId="73207B56" w:rsidR="00D87969" w:rsidRPr="00037E7B" w:rsidRDefault="000B3833" w:rsidP="00D53CED">
      <w:pPr>
        <w:pStyle w:val="InstructionsText2"/>
        <w:numPr>
          <w:ilvl w:val="0"/>
          <w:numId w:val="0"/>
        </w:numPr>
        <w:rPr>
          <w:noProof/>
        </w:rPr>
      </w:pPr>
      <w:r>
        <w:t>209b. Institucije v tej predlogi poročajo vse pozicije, dodeljene v trgovalno knjigo, iz člena 4(1), točka 85, Uredbe (EU) št. 575/2013 z izjemo instrumentov in pozicij, izključenih iz izračuna praga iz člena 325a Uredbe (EU) št. 575/2013. 209c. Z odstopanjem od člena 21(1), točka (a), Uredbe (EU) 2021/451 institucije poročajo vrednost nič v vrsticah 0010 in 0020, stolpcu 0020 („Obvezno v trgovalni knjigi“), 0130 („Instrumenti, vključeni v trgovalno knjigo s soglasjem pristojnega organa: instrumenti v </w:t>
      </w:r>
      <w:proofErr w:type="spellStart"/>
      <w:r>
        <w:t>hedge</w:t>
      </w:r>
      <w:proofErr w:type="spellEnd"/>
      <w:r>
        <w:t xml:space="preserve"> skladih“) oziroma 0140 („Drugi instrumenti“), če njihova trgovalna knjiga ne vsebuje nobenega instrumenta, ki ustreza opisu v zadevni celici.</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t>9.2.2.2 Navodila za posamezne pozicije</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Stolpec</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Pravna podlaga in navodila</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Trgovalna knjiga: združene pozicije: vrednost glede na člen 325a Uredbe (EU) št. 575/2013 (čista (+) pozitivna / (–) negativna tržna vrednost)</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Člen 4(1), točka 86, člen 104 in člen 325a(2), točka (a), Uredbe (EU) št. 575/2013.</w:t>
            </w:r>
          </w:p>
          <w:p w14:paraId="467A1E21" w14:textId="008DABF1" w:rsidR="0061609C" w:rsidRPr="00037E7B" w:rsidRDefault="0061609C" w:rsidP="00056154">
            <w:pPr>
              <w:pStyle w:val="BodyText"/>
              <w:spacing w:before="120" w:after="120"/>
              <w:rPr>
                <w:rFonts w:ascii="Times New Roman" w:hAnsi="Times New Roman" w:cs="Times New Roman"/>
              </w:rPr>
            </w:pPr>
            <w:r>
              <w:t>Institucije ločeno poročajo informacije za združene dolge pozicije in za združene kratke pozicije. Vrednost združene dolge (kratke) pozicije določijo v skladu s členom 325a(2) Uredbe (EU) št. 575/2013 z naslednjim odstopanjem: kadar vrednost združene dolge (kratke) pozicije ustreza neto pozitivni tržni vrednosti, se v tej predlogi poroča pozitivna vrednost; kadar vrednost združene dolge (kratke) pozicije ustreza neto negativni tržni vrednosti, se poroča negativna vrednost.</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Združene pozicije – od tega: v tuji valuti</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lastRenderedPageBreak/>
              <w:t xml:space="preserve">Instrumenti se poročajo v tem stolpcu, če so denominirani v valuti, ki ni valuta poročanja, če imajo osnovo, </w:t>
            </w:r>
            <w:proofErr w:type="spellStart"/>
            <w:r>
              <w:rPr>
                <w:rFonts w:ascii="Times New Roman" w:hAnsi="Times New Roman"/>
              </w:rPr>
              <w:t>denominirano</w:t>
            </w:r>
            <w:proofErr w:type="spellEnd"/>
            <w:r>
              <w:rPr>
                <w:rFonts w:ascii="Times New Roman" w:hAnsi="Times New Roman"/>
              </w:rPr>
              <w:t xml:space="preserve"> v taki valuti, ali če imajo za osnovo pozicijo v tuji valuti.</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0020–0120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Združene pozicije – obvezno v trgovalni knjigi</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Če instrument izpolnjuje več kot en pogoj za vključitev v trgovalno knjigo, ga institucije poročajo v tistem izmed stolpcev od 0030 do 0120, ki ga štejejo za najprimernejšega. Instrumenti, razvrščeni kot sredstva za trgovanje v skladu z računovodskim okvirom, se poročajo v stolpcu 0120 samo, če se ne morejo dodeliti v nobenega izmed stolpcev od 0030 do 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Obvezno v trgovalni knjigi</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Instrumenti v alternativnem trgovalnem portfelju s korelacijo</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(a), Uredbe (EU)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Instrumenti, ki bi povzročili neto kratko kreditno pozicijo ali pozicijo v lastniških finančnih instrumentih v netrgovalni knjigi</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(b), Uredbe (EU)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Instrumenti, ki so rezultat prevzetih obveznosti iz izvedbe prve prodaje vrednostnih papirjev z obveznostjo odkupa</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(c), Uredbe (EU)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Instrumenti, ki izhajajo iz dejavnosti vzdrževanja trga</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(e), Uredbe (EU)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KNP</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(f), Uredbe (EU)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Lastniški instrumenti, ki kotirajo na borzi</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Člen 104(2), prvi pododstavek, točka (g), Uredbe (EU)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Posli financiranja z vrednostnimi papirji, povezani s trgovanjem</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(h), Uredbe (EU)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Opcije ali drugi izvedeni finančni instrumenti, vgrajeni v lastne obveznosti institucije (razdeljeni)</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104(2), prvi pododstavek, točka (i), in tretji pododstavek, Uredbe (EU)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Lastne obveznosti institucije z vgrajenimi opcijami ali drugimi izvedenimi finančnimi instrumenti (nerazdeljeni)</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lastRenderedPageBreak/>
              <w:t>Člen 104(2), prvi pododstavek, točka (i), in četrti pododstavek, Uredbe (EU)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Instrumenti, razvrščeni kot sredstva za trgovanje v skladu z računovodskim okvirom (ki niso vključeni v prejšnje stolpce)</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Člen 104(2), prvi pododstavek, točka (d), Uredbe (EU)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Instrumenti, razvrščeni kot sredstva za trgovanje v skladu z računovodskim okvirom, se poročajo v tem stolpcu samo, če se še niso poročali v stolpcih od 0030 do 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Združene pozicije – instrumenti, vključeni v trgovalno knjigo s soglasjem pristojnega organa: instrumenti v </w:t>
            </w:r>
            <w:proofErr w:type="spellStart"/>
            <w:r>
              <w:rPr>
                <w:rFonts w:ascii="Times New Roman" w:hAnsi="Times New Roman"/>
                <w:b/>
                <w:u w:val="single"/>
              </w:rPr>
              <w:t>hedge</w:t>
            </w:r>
            <w:proofErr w:type="spellEnd"/>
            <w:r>
              <w:rPr>
                <w:rFonts w:ascii="Times New Roman" w:hAnsi="Times New Roman"/>
                <w:b/>
                <w:u w:val="single"/>
              </w:rPr>
              <w:t xml:space="preserve"> skladih</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104(4a) Uredbe (EU) št.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0140–0150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Združene pozicije – drugi instrumenti</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Instrumenti se poročajo v tem stolpcu, če so dodeljeni v trgovalno knjigo v skladu s členom 4(1), točka 85, Uredbe (EU) št. 575/2013 in se niso poročali v nobenem izmed stolpcev od 0020 do 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Drugi instrumenti</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Drugi instrumenti – od tega: instrumenti v trgovalni knjigi, ki so tam zaradi pomanjkanja dokazov za razvrstitev v netrgovalno knjigo</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Člen 104(6), drugi stavek, Uredbe (EU) št. 575/2013.</w:t>
            </w:r>
          </w:p>
        </w:tc>
      </w:tr>
    </w:tbl>
    <w:p w14:paraId="10FD81A7" w14:textId="77777777" w:rsidR="009B2CA6" w:rsidRPr="00C93958" w:rsidRDefault="009B2CA6" w:rsidP="009B2CA6">
      <w:pPr>
        <w:pStyle w:val="body"/>
        <w:spacing w:before="0" w:after="0"/>
        <w:rPr>
          <w:rFonts w:ascii="Times New Roman" w:hAnsi="Times New Roman" w:cs="Times New Roman"/>
          <w:lang w:val="de-DE"/>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Vrstica</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Pravna podlaga in navodila</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Vsi instrumenti v trgovalni knjigi, upoštevani v pragu iz člena 325a Uredbe (EU) št.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Instrumenti, pri katerih je glavni povzročitelj tveganja splošno obrestno tveganje ali tveganje kreditnega razmika</w:t>
            </w:r>
          </w:p>
          <w:p w14:paraId="1768966A" w14:textId="77777777" w:rsidR="009B2CA6" w:rsidRPr="00C93958" w:rsidRDefault="009B2CA6" w:rsidP="00627775">
            <w:pPr>
              <w:pStyle w:val="BodyText"/>
              <w:spacing w:before="120" w:after="120"/>
              <w:rPr>
                <w:rFonts w:ascii="Times New Roman" w:hAnsi="Times New Roman" w:cs="Times New Roman"/>
                <w:b/>
                <w:u w:val="singl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Instrumenti, pri katerih je glavni povzročitelj tveganja tveganje lastniških finančnih instrumentov</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Instrumenti, pri katerih je glavni povzročitelj tveganja valutno tveganje</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Instrumenti, pri katerih je glavni povzročitelj tveganja blagovno tveganje</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lastRenderedPageBreak/>
              <w:t>0110–0120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Drugi instrumenti v trgovalni knjigi, vključno z instrumenti, pri katerih je glavni povzročitelj tveganja preostalo tveganje</w:t>
            </w:r>
          </w:p>
          <w:p w14:paraId="49050F01" w14:textId="0520CC26" w:rsidR="009B2CA6" w:rsidRPr="00723BA8" w:rsidRDefault="00D35757">
            <w:pPr>
              <w:pStyle w:val="BodyText"/>
              <w:spacing w:before="120" w:after="120"/>
              <w:rPr>
                <w:rFonts w:hint="eastAsia"/>
              </w:rPr>
            </w:pPr>
            <w:r>
              <w:t xml:space="preserve">Institucije v teh vrsticah poročajo vse instrumente, dodeljene v trgovalno knjigo, pri katerih glavni povzročitelj tveganja ni eden od povzročiteljev tveganja iz vrstic 0030 do 0100. Te vrstice vključujejo vsaj instrumente, pri katerih so glavni povzročitelj tveganja preostala tveganja.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Pojasnjevalna postavka: Instrumenti, razvrščeni kot sredstva za trgovanje v skladu z računovodskim okvirom</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Člen 104(2), prvi pododstavek, točka (d), Uredbe (EU)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t>9.3 C 24.01 – Meja trgovalna knjiga – prerazvrstitve med knjigama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sidRPr="00C93958">
        <w:rPr>
          <w:u w:val="none"/>
        </w:rPr>
        <w:tab/>
      </w:r>
      <w:r>
        <w:rPr>
          <w:rFonts w:ascii="Times New Roman" w:hAnsi="Times New Roman"/>
          <w:sz w:val="24"/>
          <w:u w:val="none"/>
        </w:rPr>
        <w:t>Splošne opombe</w:t>
      </w:r>
    </w:p>
    <w:p w14:paraId="01D302B5" w14:textId="77777777" w:rsidR="00F65FA6" w:rsidRPr="00037E7B" w:rsidRDefault="00F65FA6" w:rsidP="00F65FA6">
      <w:pPr>
        <w:pStyle w:val="InstructionsText2"/>
        <w:numPr>
          <w:ilvl w:val="0"/>
          <w:numId w:val="61"/>
        </w:numPr>
        <w:spacing w:line="259" w:lineRule="auto"/>
      </w:pPr>
      <w:r>
        <w:t xml:space="preserve">Ta predloga se uporablja za predložitev informacij o prerazvrstitvah pozicij v skladu s členom 104a Uredbe (EU) št. 575/2013. </w:t>
      </w:r>
    </w:p>
    <w:p w14:paraId="171B977F" w14:textId="77777777" w:rsidR="00F65FA6" w:rsidRPr="00037E7B" w:rsidRDefault="00F65FA6" w:rsidP="00F65FA6">
      <w:pPr>
        <w:pStyle w:val="InstructionsText2"/>
        <w:numPr>
          <w:ilvl w:val="0"/>
          <w:numId w:val="61"/>
        </w:numPr>
        <w:spacing w:line="259" w:lineRule="auto"/>
      </w:pPr>
      <w:r>
        <w:t>Prerazvrstitve se poročajo v tej predlogi samo v naslednjih dveh primerih:</w:t>
      </w:r>
    </w:p>
    <w:p w14:paraId="188FB065" w14:textId="1E43754D" w:rsidR="00F65FA6" w:rsidRPr="00037E7B" w:rsidRDefault="00F65FA6" w:rsidP="00F65FA6">
      <w:pPr>
        <w:pStyle w:val="InstructionsText2"/>
        <w:numPr>
          <w:ilvl w:val="1"/>
          <w:numId w:val="61"/>
        </w:numPr>
        <w:spacing w:line="259" w:lineRule="auto"/>
      </w:pPr>
      <w:r>
        <w:t>kadar je pristojni organ dal dovoljenje za prerazvrstitev pozicije iz trgovalne knjige v netrgovalno knjigo ali obratno;</w:t>
      </w:r>
    </w:p>
    <w:p w14:paraId="5B6EC138" w14:textId="25B6D89E" w:rsidR="00F65FA6" w:rsidRPr="00037E7B" w:rsidRDefault="00F65FA6" w:rsidP="00F65FA6">
      <w:pPr>
        <w:pStyle w:val="InstructionsText2"/>
        <w:numPr>
          <w:ilvl w:val="1"/>
          <w:numId w:val="61"/>
        </w:numPr>
        <w:spacing w:line="259" w:lineRule="auto"/>
      </w:pPr>
      <w:r>
        <w:t>kadar prerazvrstitev izpolnjuje pogoje iz člena 104a(6) Uredbe (EU) št. 575/2013 in se lahko izvede brez izrecnega dovoljenja pristojnega organa.</w:t>
      </w:r>
    </w:p>
    <w:p w14:paraId="42F779D4" w14:textId="77777777" w:rsidR="00F65FA6" w:rsidRPr="00037E7B" w:rsidRDefault="00F65FA6" w:rsidP="00F65FA6">
      <w:pPr>
        <w:pStyle w:val="InstructionsText2"/>
        <w:numPr>
          <w:ilvl w:val="0"/>
          <w:numId w:val="61"/>
        </w:numPr>
        <w:spacing w:line="259" w:lineRule="auto"/>
      </w:pPr>
      <w:r>
        <w:t>V predlogi se poročajo naslednji prerazvrščeni instrumenti:</w:t>
      </w:r>
    </w:p>
    <w:p w14:paraId="2B0996DA" w14:textId="3EB81158" w:rsidR="00F65FA6" w:rsidRPr="00037E7B" w:rsidRDefault="00F65FA6" w:rsidP="00F65FA6">
      <w:pPr>
        <w:pStyle w:val="InstructionsText2"/>
        <w:numPr>
          <w:ilvl w:val="1"/>
          <w:numId w:val="61"/>
        </w:numPr>
        <w:spacing w:line="259" w:lineRule="auto"/>
      </w:pPr>
      <w:r>
        <w:t>instrumenti, prerazvrščeni v četrtletju, na katerega se nanaša poročilo. V predlogi se poročajo vsi instrumenti, prerazvrščeni v četrtletju, ne glede na to, ali prerazvrstitev povzroči zmanjšanje kapitalskih zahtev ali ne. Instrument, prerazvrščen v četrtletju, se poroča, tudi če je bilo zanj odpravljeno pripoznanje ali je zapadel med datumom prerazvrstitve in referenčnim datumom poročila;</w:t>
      </w:r>
    </w:p>
    <w:p w14:paraId="29ED050F" w14:textId="56E21CB0" w:rsidR="00F65FA6" w:rsidRPr="00037E7B" w:rsidRDefault="00F65FA6" w:rsidP="00F65FA6">
      <w:pPr>
        <w:pStyle w:val="InstructionsText2"/>
        <w:numPr>
          <w:ilvl w:val="1"/>
          <w:numId w:val="61"/>
        </w:numPr>
        <w:spacing w:line="259" w:lineRule="auto"/>
      </w:pPr>
      <w:r>
        <w:t xml:space="preserve">instrumenti, prerazvrščeni v predhodnih obdobjih poročanja, zaradi katerih na referenčni datum poročila še vedno velja kapitalska zahteva v skladu s členom 104a(3), točka (b), Uredbe (EU) št. 575/2013; </w:t>
      </w:r>
    </w:p>
    <w:p w14:paraId="04E7DE74" w14:textId="0EA265BF" w:rsidR="00F65FA6" w:rsidRPr="00037E7B" w:rsidRDefault="00F65FA6" w:rsidP="00F65FA6">
      <w:pPr>
        <w:pStyle w:val="InstructionsText2"/>
        <w:numPr>
          <w:ilvl w:val="1"/>
          <w:numId w:val="61"/>
        </w:numPr>
        <w:spacing w:line="259" w:lineRule="auto"/>
      </w:pPr>
      <w:r>
        <w:t>instrumenti, prerazvrščeni v predhodnih obdobjih poročanja, zaradi katerih na predhodni referenčni datum velja kapitalska zahteva v skladu s členom 104a(3), točka (b), Uredbe (EU) št. 575/2013, kadar odločitev pristojnega organa, da dovoli pripoznanje zmanjšanja kapitalskih zahtev, začne veljati v četrtletju, na katerega se nanaša poročilo.</w:t>
      </w:r>
    </w:p>
    <w:p w14:paraId="4E4DBEFD" w14:textId="77777777" w:rsidR="00F65FA6" w:rsidRPr="00037E7B" w:rsidRDefault="00F65FA6" w:rsidP="00F65FA6">
      <w:pPr>
        <w:pStyle w:val="InstructionsText2"/>
        <w:numPr>
          <w:ilvl w:val="0"/>
          <w:numId w:val="61"/>
        </w:numPr>
        <w:spacing w:line="259" w:lineRule="auto"/>
      </w:pPr>
      <w:r>
        <w:lastRenderedPageBreak/>
        <w:t>Institucije poročajo informacije o prerazvrstitvi ločeno za vsak instrument, ki je bil prerazvrščen.</w:t>
      </w:r>
    </w:p>
    <w:p w14:paraId="17A4C841" w14:textId="77777777" w:rsidR="00F65FA6" w:rsidRPr="00037E7B" w:rsidDel="00BC604C" w:rsidRDefault="00F65FA6" w:rsidP="00F65FA6">
      <w:pPr>
        <w:pStyle w:val="InstructionsText2"/>
        <w:numPr>
          <w:ilvl w:val="0"/>
          <w:numId w:val="61"/>
        </w:numPr>
        <w:spacing w:line="259" w:lineRule="auto"/>
      </w:pPr>
      <w:r>
        <w:t xml:space="preserve">Polje „skupina z izravnalnimi pozicijami“ se uporablja za navedbo skupine z izravnalnimi pozicijami, ki vključuje subjekt, ki je imel pozicijo na referenčni datum ali na datum zapadlosti ali odprave pripoznanja, kakor je ustrezno.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rsidRPr="00C93958">
        <w:rPr>
          <w:u w:val="none"/>
        </w:rPr>
        <w:tab/>
      </w:r>
      <w:r>
        <w:rPr>
          <w:rFonts w:ascii="Times New Roman" w:hAnsi="Times New Roman"/>
          <w:sz w:val="24"/>
          <w:u w:val="none"/>
        </w:rPr>
        <w:t>Navodila za posamezne pozicije</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Stolpec</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Pravna podlaga in navodila</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ID prerazvrstitve</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Interna (alfanumerična) koda, ki jo subjekt, ki poroča, uporabi za identifikacijo prerazvrščenega instrumenta ali prerazvrstitve, kakor je ustrezno.</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Vsaka prerazvrstitev mora imeti drugačno ID prerazvrstitve. ID prerazvrstitve, dodeljena eni in isti prerazvrstitvi, je enoznačna in se uporablja dosledno skozi čas in med poročili.</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Koda je identifikator vrstice in je enoznačna za vsako vrstico predloge.</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Vrsta instrumenta</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Kratek opis prerazvrščenega instrumenta, ki omogoča razumevanje narave in glavnih značilnosti prerazvrščenega instrumenta.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Če ima prerazvrščeni instrument mednarodno identifikacijsko številko vrednostnega papirja (ISIN), se poleg glavnih značilnosti instrumenta v opis vključi ISIN.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Knjiga za regulativne namene, iz katere je bil instrument prerazvrščen</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Navede se ena od naslednjih dveh možnosti:</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Trgovalna knjiga</w:t>
            </w:r>
            <w:r>
              <w:t xml:space="preserve"> </w:t>
            </w:r>
            <w:r>
              <w:br/>
            </w:r>
            <w:r>
              <w:rPr>
                <w:rFonts w:ascii="Times New Roman" w:hAnsi="Times New Roman"/>
              </w:rPr>
              <w:t>Člen 4(1), točka 86, Uredbe (EU) št.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Netrgovalna knjiga </w:t>
            </w:r>
            <w:r>
              <w:t xml:space="preserve"> </w:t>
            </w:r>
            <w:r>
              <w:br/>
            </w:r>
            <w:r>
              <w:rPr>
                <w:rFonts w:ascii="Times New Roman" w:hAnsi="Times New Roman"/>
              </w:rPr>
              <w:t>Sestavljajo jo vse pozicije, ki niso vključene v trgovalno knjigo.</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Knjiga za regulativne namene, v katero je bil instrument prerazvrščen</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Navede se ena od naslednjih dveh možnosti:</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Trgovalna knjiga</w:t>
            </w:r>
            <w:r>
              <w:t xml:space="preserve"> </w:t>
            </w:r>
            <w:r>
              <w:br/>
            </w:r>
            <w:r>
              <w:rPr>
                <w:rFonts w:ascii="Times New Roman" w:hAnsi="Times New Roman"/>
              </w:rPr>
              <w:t>Člen 4(1), točka 86, Uredbe (EU) št.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Netrgovalna knjiga</w:t>
            </w:r>
            <w:r>
              <w:t xml:space="preserve"> </w:t>
            </w:r>
            <w:r>
              <w:br/>
            </w:r>
            <w:r>
              <w:rPr>
                <w:rFonts w:ascii="Times New Roman" w:hAnsi="Times New Roman"/>
              </w:rPr>
              <w:t>Sestavljajo jo vse pozicije, ki niso vključene v trgovalno knjigo.</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Razlog za prerazvrstitev</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lastRenderedPageBreak/>
              <w:t>Pojasnijo se izjemne okoliščine, zaradi katerih se je pozicija prerazvrstila med regulativnima knjigama. Pojasnilo v tej celici je dovolj podrobno, da se utemelji, zakaj se prerazvrstitev šteje za izjemno okoliščino.</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Predhodno dovoljenje (status)</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Člen 104a(2) in (6) Uredbe (EU) št.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Če se ne zahteva predhodno dovoljenje pristojnega organa v skladu s členom 104a(6) Uredbe (EU) št. 575/2013, institucije v tem stolpcu navedejo „predhodno dovoljenje ni potrebno“. Če je potrebno predhodno dovoljenje in je bilo pridobljeno, se navede „predhodno dovoljenje pridobljeno“.</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prerazvrstitve</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Člen 104a(2) in (6), prvi stavek, Uredbe (EU) št.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Čisto (+) povečanje ali (–) zmanjšanje kapitalskih zahtev zaradi prerazvrstitve</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Neto sprememba zneska kapitalskih zahtev, ki izhaja iz prerazvrstitve pozicije, izračunana v skladu s členom 104a(4) Uredbe (EU) št.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Povečanje kapitalskih zahtev zaradi prerazvrstitve se poroča s pozitivnim predznakom (+), zmanjšanje kapitalskih zahtev pa z negativnim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Pribitek h kapitalskim zahtevam zaradi prerazvrstitve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Če neto sprememba zneska kapitalskih zahtev, ki izhaja iz prerazvrstitve, kot je izračunana v skladu s členom 104a(4) Uredbe (EU) št. 575/2013, pomeni zmanjšanje kapitalskih zahtev institucije in pristojni organ ni dovolil pripoznanja tega zmanjšanja v skladu s členom 104a(3), točka (b), Uredbe (EU) št. 575/2013, se znesek zmanjšanja poroča s pozitivnim predznakom. Znesek predstavlja dodatek h kapitalskim zahtevam za zadevno prerazvrstitev.</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Če je pristojni organ dovolil pripoznanje zmanjšanja kapitalskih zahtev v skladu s členom 104a(3), točka (b), Uredbe (EU) št. 575/2013, se stolpec pusti prazen.</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zapadlosti ali predvidene odprave pripoznanja instrumenta</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Če odprava pripoznanja ni predvidena, se poroča zapadlost instrumenta.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Če je za instrument predvidena odprava pripoznanja pred njegovo zapadlostjo, se poroča datum predvidene odprave pripoznanja.</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Če sta znana samo mesec in leto zapadlosti ali odprave pripoznanja, se kot datum zapadlosti ali predvidene odprave pripoznanja instrumenta poroča zadnji dan meseca. Če je znano samo leto odprave pripoznanja, se kot datum zapadlosti ali predvidene odprave pripoznanja instrumenta poroča 31. december tistega leta.</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 xml:space="preserve">Če se datuma zapadlosti ali predvidene odprave pripoznanja instrumenta ne more določiti ali ni znan, se v tem stolpcu navede 31. december 9999.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od katerega pristojni organ dovoljuje pripoznanje zmanjšanja kapitalskih zahtev</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Člen 104 a(3), točka (b), Uredbe (EU) št.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Če je prerazvrstitev povzročila neto povečanje kapitalskih zahtev in če pristojni organ ni dovolil pripoznanja zmanjšanja kapitalskih zahtev, se ne navede noben datum.“</w:t>
            </w:r>
          </w:p>
        </w:tc>
      </w:tr>
    </w:tbl>
    <w:p w14:paraId="0C23ABF8" w14:textId="77777777" w:rsidR="00F65FA6" w:rsidRPr="00C93958" w:rsidRDefault="00F65FA6" w:rsidP="00F65FA6">
      <w:pPr>
        <w:pStyle w:val="body"/>
        <w:rPr>
          <w:rFonts w:ascii="Times New Roman" w:hAnsi="Times New Roman" w:cs="Times New Roman"/>
        </w:rPr>
      </w:pPr>
    </w:p>
    <w:p w14:paraId="18DC5971" w14:textId="68B2F414" w:rsidR="00522E00" w:rsidRPr="00C93958" w:rsidRDefault="00C93958" w:rsidP="00F65FA6">
      <w:pPr>
        <w:pStyle w:val="body"/>
        <w:rPr>
          <w:rStyle w:val="InstructionsTabelleText"/>
          <w:rFonts w:ascii="Times New Roman" w:hAnsi="Times New Roman"/>
          <w:sz w:val="24"/>
        </w:rPr>
      </w:pPr>
      <w:r>
        <w:rPr>
          <w:rStyle w:val="InstructionsTabelleText"/>
          <w:rFonts w:ascii="Times New Roman" w:hAnsi="Times New Roman"/>
          <w:sz w:val="24"/>
        </w:rPr>
        <w:t>“</w:t>
      </w:r>
    </w:p>
    <w:sectPr w:rsidR="00522E00" w:rsidRPr="00C93958"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A7F03932"/>
    <w:lvl w:ilvl="0" w:tplc="B7048BD6">
      <w:start w:val="1"/>
      <w:numFmt w:val="bullet"/>
      <w:lvlText w:val="̶"/>
      <w:lvlJc w:val="left"/>
      <w:pPr>
        <w:ind w:left="720" w:hanging="360"/>
      </w:pPr>
      <w:rPr>
        <w:rFonts w:ascii="Times New Roman" w:hAnsi="Times New Roman"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958"/>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sl-SI"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4.xml><?xml version="1.0" encoding="utf-8"?>
<ds:datastoreItem xmlns:ds="http://schemas.openxmlformats.org/officeDocument/2006/customXml" ds:itemID="{CDA2FEFC-E3BA-4BA8-AF47-4DCB5A74225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2227</Words>
  <Characters>13254</Characters>
  <Application>Microsoft Office Word</Application>
  <DocSecurity>0</DocSecurity>
  <Lines>339</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VOLAVSEK Andrej (DGT)</cp:lastModifiedBy>
  <cp:revision>5</cp:revision>
  <dcterms:created xsi:type="dcterms:W3CDTF">2024-06-19T18:09:00Z</dcterms:created>
  <dcterms:modified xsi:type="dcterms:W3CDTF">2025-01-23T14:47:00Z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2025-01-23T14:47:08Z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1286ca78-e9d9-4410-8093-52217f96d43b</vt:lpwstr>
  </property>
  <property fmtid="{D5CDD505-2E9C-101B-9397-08002B2CF9AE}" pid="9" name="MSIP_Label_6bd9ddd1-4d20-43f6-abfa-fc3c07406f94_ContentBits">
    <vt:lpwstr>0</vt:lpwstr>
  </property>
</Properties>
</file>