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SL</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PRILOGA II</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„PRILOGA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NAVODILA ZA POROČANJE O KAPITALU IN KAPITALSKIH ZAHTEVAH</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tab/>
      </w:r>
      <w:r>
        <w:rPr>
          <w:rFonts w:ascii="Times New Roman" w:hAnsi="Times New Roman"/>
          <w:sz w:val="24"/>
        </w:rPr>
        <w:t>C 25.01 – TVEGANJE PRILAGODITVE KREDITNEGA VREDNOTENJA</w:t>
      </w:r>
      <w:bookmarkEnd w:id="0"/>
      <w:r>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rsidRPr="00B84F12">
        <w:rPr>
          <w:u w:val="none"/>
        </w:rPr>
        <w:tab/>
      </w:r>
      <w:r>
        <w:rPr>
          <w:rFonts w:ascii="Times New Roman" w:hAnsi="Times New Roman"/>
          <w:sz w:val="24"/>
        </w:rPr>
        <w:t>Navodila za posamezne pozicije</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Stolpci</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Vrednost izpostavljenosti CCR</w:t>
            </w:r>
          </w:p>
          <w:p w14:paraId="06BD2F33" w14:textId="77777777" w:rsidR="00680687" w:rsidRPr="002A677E" w:rsidRDefault="00680687" w:rsidP="006A3ADC">
            <w:pPr>
              <w:rPr>
                <w:rFonts w:ascii="Times New Roman" w:hAnsi="Times New Roman"/>
                <w:sz w:val="24"/>
              </w:rPr>
            </w:pPr>
            <w:r>
              <w:rPr>
                <w:rFonts w:ascii="Times New Roman" w:hAnsi="Times New Roman"/>
                <w:sz w:val="24"/>
              </w:rPr>
              <w:t>Vrednost izpostavljenosti za kreditno tveganje nasprotne stranke (CCR), izračunana v skladu z metodami iz dela 3, naslov II, poglavji 4 in 6, Uredbe (EU) št. 575/2013.</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Kapitalske zahteve za CCR</w:t>
            </w:r>
          </w:p>
          <w:p w14:paraId="0F0016B3" w14:textId="77777777" w:rsidR="00680687" w:rsidRPr="002A677E" w:rsidRDefault="00680687" w:rsidP="006A3ADC">
            <w:pPr>
              <w:rPr>
                <w:rFonts w:ascii="Times New Roman" w:hAnsi="Times New Roman"/>
                <w:sz w:val="24"/>
              </w:rPr>
            </w:pPr>
            <w:r>
              <w:rPr>
                <w:rFonts w:ascii="Times New Roman" w:hAnsi="Times New Roman"/>
                <w:sz w:val="24"/>
              </w:rPr>
              <w:t>Kapitalske zahteve za CCR (člen 92(4), točki (a) in (g), in del 3, naslov VI, Uredbe (EU) št. 575/2013).</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Hipotetični znesek</w:t>
            </w:r>
          </w:p>
          <w:p w14:paraId="3D1812D7" w14:textId="77777777" w:rsidR="00680687" w:rsidRPr="002A677E" w:rsidRDefault="00680687" w:rsidP="006A3ADC">
            <w:pPr>
              <w:rPr>
                <w:rFonts w:ascii="Times New Roman" w:hAnsi="Times New Roman"/>
                <w:sz w:val="24"/>
              </w:rPr>
            </w:pPr>
            <w:r>
              <w:rPr>
                <w:rFonts w:ascii="Times New Roman" w:hAnsi="Times New Roman"/>
                <w:sz w:val="24"/>
              </w:rPr>
              <w:t>Vsota hipotetičnih zneskov za izvedene finančne instrumente pred pobotom in brez prilagoditev v skladu s členom 279b Uredbe (EU) št. 575/2013.</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Nastala prilagoditev kreditnega vrednotenja (CVA)</w:t>
            </w:r>
          </w:p>
          <w:p w14:paraId="736FE6AE" w14:textId="77777777" w:rsidR="00680687" w:rsidRPr="002A677E" w:rsidRDefault="00680687" w:rsidP="006A3ADC">
            <w:pPr>
              <w:rPr>
                <w:rFonts w:ascii="Times New Roman" w:hAnsi="Times New Roman"/>
                <w:sz w:val="24"/>
              </w:rPr>
            </w:pPr>
            <w:r>
              <w:rPr>
                <w:rFonts w:ascii="Times New Roman" w:hAnsi="Times New Roman"/>
                <w:sz w:val="24"/>
              </w:rPr>
              <w:t>Računovodske rezervacije zaradi manjše kreditne sposobnosti nasprotnih strank pri izvedenih finančnih instrumentih.</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Poenostavljena obravnava za pozicije v izvedenih finančnih instrumentih KNP</w:t>
            </w:r>
          </w:p>
          <w:p w14:paraId="5D30B96B" w14:textId="77777777" w:rsidR="00680687" w:rsidRPr="002A677E" w:rsidRDefault="00680687" w:rsidP="006A3ADC">
            <w:pPr>
              <w:rPr>
                <w:rFonts w:ascii="Times New Roman" w:hAnsi="Times New Roman"/>
                <w:sz w:val="24"/>
              </w:rPr>
            </w:pPr>
            <w:r>
              <w:rPr>
                <w:rFonts w:ascii="Times New Roman" w:hAnsi="Times New Roman"/>
                <w:sz w:val="24"/>
              </w:rPr>
              <w:t>Kapitalske zahteve za prilagoditev kreditnega vrednotenja (člen 92(4), točka (d), in del 3, naslov VI, Uredbe (EU) št. 575/2013), izračunane v skladu s poenostavljeno obravnavo za pozicije v izvedenih finančnih instrumentih KNP, določeno v členih 132a(3), 152(3) in 325j(1) Uredbe (EU) št. 575/2013.</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Poenostavljeni pristop</w:t>
            </w:r>
          </w:p>
          <w:p w14:paraId="004D4F8F" w14:textId="77777777" w:rsidR="00680687" w:rsidRPr="002A677E" w:rsidRDefault="00680687" w:rsidP="006A3ADC">
            <w:pPr>
              <w:rPr>
                <w:rFonts w:ascii="Times New Roman" w:hAnsi="Times New Roman"/>
                <w:sz w:val="24"/>
              </w:rPr>
            </w:pPr>
            <w:r>
              <w:rPr>
                <w:rFonts w:ascii="Times New Roman" w:hAnsi="Times New Roman"/>
                <w:sz w:val="24"/>
              </w:rPr>
              <w:t>Kapitalske zahteve za posle, za katere se uporablja poenostavljeni pristop iz člena 385 Uredbe (EU) št. 575/2013.</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Omejeni osnovni pristop za CVA</w:t>
            </w:r>
          </w:p>
          <w:p w14:paraId="10567290" w14:textId="77777777" w:rsidR="00680687" w:rsidRPr="002A677E" w:rsidRDefault="00680687" w:rsidP="006A3ADC">
            <w:pPr>
              <w:rPr>
                <w:rFonts w:ascii="Times New Roman" w:hAnsi="Times New Roman"/>
                <w:sz w:val="24"/>
              </w:rPr>
            </w:pPr>
            <w:r>
              <w:rPr>
                <w:rFonts w:ascii="Times New Roman" w:hAnsi="Times New Roman"/>
                <w:sz w:val="24"/>
              </w:rPr>
              <w:lastRenderedPageBreak/>
              <w:t>Kapitalske zahteve za prilagoditev kreditnega vrednotenja (člen 92(4), točka (d), in del 3, naslov VI, Uredbe (EU) št. 575/2013), izračunane v skladu s členom 384(3), za institucijo, ki izpolnjuje pogoj iz člena 384(1)(b) Uredbe (EU) št. 575/2013.</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lastRenderedPageBreak/>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Polni osnovni pristop za CVA</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Kapitalske zahteve za prilagoditev kreditnega vrednotenja (člen 92(4), točka (d), in del 2, naslov VI, Uredbe (EU) št. 575/2013), izračunane v skladu s členom 384(3), za institucijo, ki izpolnjuje pogoj iz člena 384(1)(a) Uredbe (EU) št. 575/2013.</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Hipotetični znesek varovanj pred tveganjem CVA</w:t>
            </w:r>
          </w:p>
          <w:p w14:paraId="3C607DB7" w14:textId="77777777" w:rsidR="00680687" w:rsidRPr="002A677E" w:rsidRDefault="00680687" w:rsidP="006A3ADC">
            <w:pPr>
              <w:rPr>
                <w:rFonts w:ascii="Times New Roman" w:hAnsi="Times New Roman"/>
                <w:sz w:val="24"/>
              </w:rPr>
            </w:pPr>
            <w:r>
              <w:rPr>
                <w:rFonts w:ascii="Times New Roman" w:hAnsi="Times New Roman"/>
                <w:sz w:val="24"/>
              </w:rPr>
              <w:t>Hipotetični znesek varovanj pred tveganjem, primernih za CVA (bruto zneski), priznan v skladu s členom 386 Uredbe (EU) št. 575/2013.</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proofErr w:type="spellStart"/>
            <w:r>
              <w:rPr>
                <w:rFonts w:ascii="Times New Roman" w:hAnsi="Times New Roman"/>
                <w:b/>
                <w:sz w:val="24"/>
                <w:u w:val="single"/>
              </w:rPr>
              <w:t>BACVA</w:t>
            </w:r>
            <w:r>
              <w:rPr>
                <w:rFonts w:ascii="Times New Roman" w:hAnsi="Times New Roman"/>
                <w:b/>
                <w:sz w:val="24"/>
                <w:vertAlign w:val="superscript"/>
              </w:rPr>
              <w:t>csr-unhedged</w:t>
            </w:r>
            <w:proofErr w:type="spellEnd"/>
          </w:p>
          <w:p w14:paraId="4A0E67ED" w14:textId="77777777" w:rsidR="00680687" w:rsidRPr="002A677E" w:rsidRDefault="00680687" w:rsidP="006A3ADC">
            <w:pPr>
              <w:rPr>
                <w:rFonts w:ascii="Times New Roman" w:hAnsi="Times New Roman"/>
                <w:sz w:val="24"/>
              </w:rPr>
            </w:pPr>
            <w:proofErr w:type="spellStart"/>
            <w:r>
              <w:rPr>
                <w:rFonts w:ascii="Times New Roman" w:hAnsi="Times New Roman"/>
                <w:sz w:val="24"/>
              </w:rPr>
              <w:t>BACVA</w:t>
            </w:r>
            <w:r>
              <w:rPr>
                <w:rFonts w:ascii="Times New Roman" w:hAnsi="Times New Roman"/>
                <w:sz w:val="24"/>
                <w:vertAlign w:val="superscript"/>
              </w:rPr>
              <w:t>csr-unhedged</w:t>
            </w:r>
            <w:proofErr w:type="spellEnd"/>
            <w:r>
              <w:rPr>
                <w:rFonts w:ascii="Times New Roman" w:hAnsi="Times New Roman"/>
                <w:sz w:val="24"/>
              </w:rPr>
              <w:t xml:space="preserve"> za posle, za katere se uporablja osnovni pristop, izračunane v skladu s členom 384(3), za institucijo, ki izpolnjuje pogoj iz člena 384(1)(a) Uredbe (EU) št. 575/2013.</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proofErr w:type="spellStart"/>
            <w:r>
              <w:rPr>
                <w:rFonts w:ascii="Times New Roman" w:hAnsi="Times New Roman"/>
                <w:b/>
                <w:sz w:val="24"/>
                <w:u w:val="single"/>
              </w:rPr>
              <w:t>BACVA</w:t>
            </w:r>
            <w:r>
              <w:rPr>
                <w:rFonts w:ascii="Times New Roman" w:hAnsi="Times New Roman"/>
                <w:b/>
                <w:sz w:val="24"/>
                <w:vertAlign w:val="superscript"/>
              </w:rPr>
              <w:t>csr-hedged</w:t>
            </w:r>
            <w:proofErr w:type="spellEnd"/>
          </w:p>
          <w:p w14:paraId="34FB0CB6" w14:textId="77777777" w:rsidR="00680687" w:rsidRPr="002A677E" w:rsidDel="00024DEA" w:rsidRDefault="00680687" w:rsidP="006A3ADC">
            <w:pPr>
              <w:rPr>
                <w:rFonts w:ascii="Times New Roman" w:hAnsi="Times New Roman"/>
                <w:b/>
                <w:sz w:val="24"/>
                <w:u w:val="single"/>
              </w:rPr>
            </w:pPr>
            <w:proofErr w:type="spellStart"/>
            <w:r>
              <w:rPr>
                <w:rFonts w:ascii="Times New Roman" w:hAnsi="Times New Roman"/>
                <w:sz w:val="24"/>
              </w:rPr>
              <w:t>BACVA</w:t>
            </w:r>
            <w:r>
              <w:rPr>
                <w:rFonts w:ascii="Times New Roman" w:hAnsi="Times New Roman"/>
                <w:sz w:val="24"/>
                <w:vertAlign w:val="superscript"/>
              </w:rPr>
              <w:t>csr-hedged</w:t>
            </w:r>
            <w:proofErr w:type="spellEnd"/>
            <w:r>
              <w:rPr>
                <w:rFonts w:ascii="Times New Roman" w:hAnsi="Times New Roman"/>
                <w:sz w:val="24"/>
              </w:rPr>
              <w:t xml:space="preserve"> za posle, za katere se uporablja osnovni pristop, izračunane v skladu s členom 384(2), za institucijo, ki izpolnjuje pogoj iz člena 384(1)(b) Uredbe (EU) št. 575/2013.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Kapitalske zahteve</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Skupne kapitalske zahteve za posle, za katere se uporablja polni osnovni pristop, izračunane v skladu s členom 384(2), za institucijo, ki izpolnjuje pogoj iz člena 384(1), točka (a), Uredbe (EU) št. 575/2013.</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Standardizirani pristop za CVA</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Kapitalske zahteve za prilagoditev kreditnega vrednotenja (člen 92(4), točka (e), in del 3, naslov VI, Uredbe (EU) št. 575/2013), izračunane v skladu s členom 383, za institucijo, ki izpolnjuje pogoj iz člena 382a(1)(a) Uredbe (EU) št. 575/2013.</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Hipotetični znesek varovanj pred tveganjem CVA</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Hipotetični znesek varovanj pred tveganjem, primernih za CVA, priznan v skladu s členom 386 Uredbe (EU) št.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Število nasprotnih strank</w:t>
            </w:r>
          </w:p>
          <w:p w14:paraId="10FC4FF6" w14:textId="77777777" w:rsidR="00680687" w:rsidRPr="002A677E" w:rsidRDefault="00680687" w:rsidP="006A3ADC">
            <w:pPr>
              <w:rPr>
                <w:rFonts w:ascii="Times New Roman" w:hAnsi="Times New Roman"/>
                <w:sz w:val="24"/>
              </w:rPr>
            </w:pPr>
            <w:r>
              <w:rPr>
                <w:rFonts w:ascii="Times New Roman" w:hAnsi="Times New Roman"/>
                <w:sz w:val="24"/>
              </w:rPr>
              <w:t>Člen 445a(1)(c) Uredbe (EU) št. 575/2013.</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t>Število nasprotnih strank, kot so opredeljene v členu 383(1) Uredbe (EU) št. 575/2013, vključenih v izračun kapitalskih zahtev za tveganje SA-CVA. Skupno število se poroča v vrstici 0010, razčlenitev po vrstah nasprotne stranke pa v vrsticah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0140–0250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Kapitalske zahteve za nize pobotov po standardiziranem pristopu za CVA</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Kapitalske zahteve za tveganje CVA po standardiziranem pristopu v skladu s členom 383 Uredbe (EU) št. 575/2013, vključno z razčlenitvijo po razredih tveganja, kot so opredeljeni v členu 383(2)(1) in, za vsak razred tveganja, kapitalskimi zahtevami za delta in vega tveganja, kot se zahtevajo v členu 383(3) in v skladu s členom 383b Uredbe (EU) št. 575/2013.</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Kapitalske zahteve za obrestno tveganje</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Členi 383c, 383i, 383j, 383k, 383l in 383m Uredbe (EU) št. 575/2013.</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Kapitalske zahteve za valutno tveganje</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Členi 383d, 383i, 383j, 383n in 383o Uredbe (EU) št. 575/2013.</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Kapitalske zahteve za tveganje kreditnega razmika nasprotne stranke</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Členi 383e, 383i, 383j, 383p, 383q in 383r Uredbe (EU) št. 575/2013.</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Kapitalske zahteve za tveganje referenčnega kreditnega razmika</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Členi 383f, 383i, 383j, 383s in 383u Uredbe (EU) št. 575/2013.</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Kapitalske zahteve za tveganje lastniških finančnih instrumentov</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Členi 383g, 383i, 383j, 383v in 383w Uredbe (EU) št.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Kapitalske zahteve za blagovno tveganje</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Členi 383h, 383i, 383j, 383x in 383z Uredbe (EU) št.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proofErr w:type="spellStart"/>
            <w:r>
              <w:rPr>
                <w:rFonts w:ascii="Times New Roman" w:hAnsi="Times New Roman"/>
                <w:b/>
                <w:i/>
                <w:sz w:val="24"/>
                <w:u w:val="single"/>
                <w:vertAlign w:val="superscript"/>
              </w:rPr>
              <w:t>m</w:t>
            </w:r>
            <w:r>
              <w:rPr>
                <w:rFonts w:ascii="Times New Roman" w:hAnsi="Times New Roman"/>
                <w:b/>
                <w:sz w:val="24"/>
                <w:u w:val="single"/>
              </w:rPr>
              <w:t>CVA</w:t>
            </w:r>
            <w:proofErr w:type="spellEnd"/>
          </w:p>
          <w:p w14:paraId="25594EA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Vrednost multiplikatorja </w:t>
            </w:r>
            <w:r>
              <w:rPr>
                <w:rFonts w:ascii="Cambria Math" w:hAnsi="Cambria Math"/>
                <w:sz w:val="24"/>
              </w:rPr>
              <w:t>𝑚𝐶𝑉𝐴</w:t>
            </w:r>
            <w:r>
              <w:rPr>
                <w:rFonts w:ascii="Times New Roman" w:hAnsi="Times New Roman"/>
                <w:sz w:val="24"/>
              </w:rPr>
              <w:t xml:space="preserve"> v skladu s členom 383b(8) Uredbe (EU) št. 575/2013. Poroča se vrednost, uporabljena pri izračunu kapitalskih zahtev (vrednost 1 ali vrednost, ki so jo povečali pristojni organi).</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Kapitalske zahteve</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Kapitalske zahteve za posle, za katere se uporablja standardizirani pristop za CVA, izračunane v skladu s členom 383 Uredbe (EU) št.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SKUPNE KAPITALSKE ZAHTEVE</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Člen 92(4), točka (e), Uredbe (EU) št. 575/2013. </w:t>
            </w:r>
          </w:p>
          <w:p w14:paraId="424C9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Skupne kapitalske zahteve za tveganje CVA, izračunane z uporabo enega od ustreznih pristopov iz člena 382a Uredbe (EU) št. 575/2013.  Če se uporabi več kot en pristop, se poroča preprosta vsota vseh kapitalskih zahtev za vsak pristop.</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ZNESKI SKUPNE IZPOSTAVLJENOSTI TVEGANJU</w:t>
            </w:r>
          </w:p>
          <w:p w14:paraId="6B715A20" w14:textId="77777777" w:rsidR="00680687" w:rsidRPr="002A677E" w:rsidRDefault="00680687" w:rsidP="006A3ADC">
            <w:pPr>
              <w:rPr>
                <w:rFonts w:ascii="Times New Roman" w:hAnsi="Times New Roman"/>
                <w:sz w:val="24"/>
              </w:rPr>
            </w:pPr>
            <w:r>
              <w:rPr>
                <w:rFonts w:ascii="Times New Roman" w:hAnsi="Times New Roman"/>
                <w:sz w:val="24"/>
              </w:rPr>
              <w:t>Člen 92(6) Uredbe (EU) št. 575/2013.</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Kapitalske zahteve, pomnožene z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Vrstice</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Posli, ki jih zajema kapitalska zahteva za tveganje CVA</w:t>
            </w:r>
          </w:p>
          <w:p w14:paraId="0243C539" w14:textId="77777777" w:rsidR="00680687" w:rsidRPr="00DB28D1" w:rsidRDefault="00680687" w:rsidP="006A3ADC">
            <w:pPr>
              <w:rPr>
                <w:rFonts w:ascii="Times New Roman" w:hAnsi="Times New Roman"/>
                <w:sz w:val="24"/>
              </w:rPr>
            </w:pPr>
            <w:r>
              <w:rPr>
                <w:rFonts w:ascii="Times New Roman" w:hAnsi="Times New Roman"/>
                <w:sz w:val="24"/>
              </w:rPr>
              <w:t>Člen 382 Uredbe (EU) št. 575/2013.</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46049BE4" w:rsidR="00680687" w:rsidRPr="005C217A" w:rsidRDefault="00B84F12" w:rsidP="006A3ADC">
            <w:pPr>
              <w:rPr>
                <w:rFonts w:ascii="Times New Roman" w:hAnsi="Times New Roman"/>
                <w:b/>
                <w:bCs/>
                <w:sz w:val="24"/>
                <w:u w:val="single"/>
              </w:rPr>
            </w:pPr>
            <w:r>
              <w:rPr>
                <w:rFonts w:ascii="Times New Roman" w:hAnsi="Times New Roman"/>
                <w:b/>
                <w:sz w:val="24"/>
                <w:u w:val="single"/>
              </w:rPr>
              <w:t xml:space="preserve">Od tega: </w:t>
            </w:r>
            <w:r w:rsidR="00680687">
              <w:rPr>
                <w:rFonts w:ascii="Times New Roman" w:hAnsi="Times New Roman"/>
                <w:b/>
                <w:sz w:val="24"/>
                <w:u w:val="single"/>
              </w:rPr>
              <w:t>samo izvedeni finančni instrumenti</w:t>
            </w:r>
          </w:p>
          <w:p w14:paraId="243F2835" w14:textId="77777777" w:rsidR="00680687" w:rsidRPr="002A677E" w:rsidRDefault="00680687" w:rsidP="006A3ADC">
            <w:pPr>
              <w:rPr>
                <w:rFonts w:ascii="Times New Roman" w:hAnsi="Times New Roman"/>
                <w:sz w:val="24"/>
              </w:rPr>
            </w:pPr>
            <w:r>
              <w:rPr>
                <w:rFonts w:ascii="Times New Roman" w:hAnsi="Times New Roman"/>
                <w:sz w:val="24"/>
              </w:rPr>
              <w:t>Izvedeni finančni instrumenti iz področja uporabe člena 382 Uredbe (EU) št. 575/2013 (tj. vsi posli, poročani v vrstici 0010, razen poslov financiranja z vrednostnimi papirji).</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78CBD0B7" w:rsidR="00680687" w:rsidRPr="005C217A" w:rsidRDefault="00B84F12" w:rsidP="006A3ADC">
            <w:pPr>
              <w:rPr>
                <w:rFonts w:ascii="Times New Roman" w:hAnsi="Times New Roman"/>
                <w:b/>
                <w:bCs/>
                <w:sz w:val="24"/>
                <w:u w:val="single"/>
              </w:rPr>
            </w:pPr>
            <w:r>
              <w:rPr>
                <w:rFonts w:ascii="Times New Roman" w:hAnsi="Times New Roman"/>
                <w:b/>
                <w:sz w:val="24"/>
                <w:u w:val="single"/>
              </w:rPr>
              <w:t xml:space="preserve">Od tega: </w:t>
            </w:r>
            <w:r w:rsidR="00680687">
              <w:rPr>
                <w:rFonts w:ascii="Times New Roman" w:hAnsi="Times New Roman"/>
                <w:b/>
                <w:sz w:val="24"/>
                <w:u w:val="single"/>
              </w:rPr>
              <w:t xml:space="preserve"> sicer izvzeti posli, ki so se jih institucije odločile ponovno vključiti v izračun kapitalskih zahtev</w:t>
            </w:r>
          </w:p>
          <w:p w14:paraId="44419E50" w14:textId="77777777" w:rsidR="00680687" w:rsidRPr="002A677E" w:rsidRDefault="00680687" w:rsidP="006A3ADC">
            <w:pPr>
              <w:rPr>
                <w:rFonts w:ascii="Times New Roman" w:hAnsi="Times New Roman"/>
                <w:sz w:val="24"/>
              </w:rPr>
            </w:pPr>
            <w:r>
              <w:rPr>
                <w:rFonts w:ascii="Times New Roman" w:hAnsi="Times New Roman"/>
                <w:sz w:val="24"/>
              </w:rPr>
              <w:t>Člen 382(4a) Uredbe (EU) št. 575/2013.</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POJASNJEVALNE POSTAVKE</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Izvzetja iz CVA: mejni učinek ponovne vključitve</w:t>
            </w:r>
          </w:p>
          <w:p w14:paraId="7A74B86F" w14:textId="77777777" w:rsidR="00680687" w:rsidRPr="005C217A" w:rsidRDefault="00680687" w:rsidP="006A3ADC">
            <w:pPr>
              <w:rPr>
                <w:rFonts w:ascii="Times New Roman" w:hAnsi="Times New Roman"/>
                <w:sz w:val="24"/>
              </w:rPr>
            </w:pPr>
            <w:r>
              <w:rPr>
                <w:rFonts w:ascii="Times New Roman" w:hAnsi="Times New Roman"/>
                <w:sz w:val="24"/>
              </w:rPr>
              <w:t xml:space="preserve">Mejni učinek ponovne vključitve izvzetij iz kapitalske zahteve za tveganje CVA, kot so opredeljena v členu 382(3) in (4) Uredbe (EU) št. 575/2013, ločeno za vsako izvzetje. Mejni učinek je razlika, izražena v absolutnem znesku, med ustrezno mero obsega poslov iz vrstice 0010 po ponovni vključitvi izvzetja in ustrezno mero obsega poslov iz vrstice 0010. </w:t>
            </w:r>
            <w: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Vsi izvzeti posli</w:t>
            </w:r>
          </w:p>
          <w:p w14:paraId="76D1F41B" w14:textId="77777777" w:rsidR="00680687" w:rsidRDefault="00680687" w:rsidP="006A3ADC">
            <w:pPr>
              <w:pStyle w:val="Default"/>
              <w:jc w:val="both"/>
              <w:rPr>
                <w:sz w:val="20"/>
                <w:szCs w:val="20"/>
              </w:rPr>
            </w:pPr>
            <w:r>
              <w:rPr>
                <w:rFonts w:ascii="Times New Roman" w:hAnsi="Times New Roman"/>
              </w:rPr>
              <w:t xml:space="preserve">Mejni učinek ponovne vključitve vseh izvzetij iz kapitalske zahteve za tveganje CVA, kot so opredeljena v členu 382(3) in (4) Uredbe (EU) št. 575/2013. </w:t>
            </w:r>
          </w:p>
          <w:p w14:paraId="6F8EA837" w14:textId="77777777" w:rsidR="00680687" w:rsidRPr="008A700D" w:rsidRDefault="00680687" w:rsidP="006A3ADC">
            <w:pPr>
              <w:pStyle w:val="Default"/>
              <w:rPr>
                <w:rFonts w:ascii="Times New Roman" w:hAnsi="Times New Roman"/>
              </w:rPr>
            </w:pPr>
            <w:r>
              <w:rPr>
                <w:rFonts w:ascii="Times New Roman" w:hAnsi="Times New Roman"/>
                <w:color w:val="auto"/>
              </w:rPr>
              <w:t xml:space="preserve">Obseg poslov mora zajemati vse posle, poročane v vrstici 0010, brez upoštevanja izvzetij iz člena 382(3) in člena 382(4) Uredbe (EU) št. 575/2013. Natančneje, zgoraj navedene posle, ki so trenutno izključeni iz kapitalskih zahtev za tveganje CVA na podlagi navedenih členov, je treba ponovno vključiti za namene te vrstice. Skupni posli, ponovno vključeni za namene te vrstice, so posli, ki se ponovno vključijo za namene vrstic 0050 do 0110.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Posli stranke</w:t>
            </w:r>
          </w:p>
          <w:p w14:paraId="26BE71DE" w14:textId="77777777" w:rsidR="00680687" w:rsidRDefault="00680687" w:rsidP="006A3ADC">
            <w:pPr>
              <w:pStyle w:val="Default"/>
              <w:jc w:val="both"/>
              <w:rPr>
                <w:rFonts w:ascii="Times New Roman" w:hAnsi="Times New Roman"/>
              </w:rPr>
            </w:pPr>
            <w:r>
              <w:rPr>
                <w:rFonts w:ascii="Times New Roman" w:hAnsi="Times New Roman"/>
              </w:rPr>
              <w:t>Mejni učinek ponovne vključitve poslov strank, kot so opredeljeni v členu 382(3) Uredbe (EU) št. 575/2013.</w:t>
            </w:r>
          </w:p>
          <w:p w14:paraId="73231515" w14:textId="77777777" w:rsidR="00680687" w:rsidRPr="005C217A" w:rsidRDefault="00680687" w:rsidP="006A3ADC">
            <w:pPr>
              <w:pStyle w:val="Default"/>
              <w:rPr>
                <w:sz w:val="20"/>
                <w:szCs w:val="20"/>
              </w:rPr>
            </w:pPr>
            <w:r>
              <w:rPr>
                <w:rFonts w:ascii="Times New Roman" w:hAnsi="Times New Roman"/>
              </w:rPr>
              <w:t xml:space="preserve">Mejni učinek ponovne vključitve poslov med stranko in klirinškim članom, kadar klirinški član nastopa v vlogi posrednika med stranko in kvalificirano centralno nasprotno stranko, ki so na podlagi člena 382(3) Uredbe (EU) št. 575/2013 izvzeti iz okvira vrstice 0010. Stranke ne smejo ponovno vključiti teh poslov, kadar posli izpolnjujejo zahteve iz člena 305(2), (3) in (4) navedene uredbe.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Posli z nefinančnimi nasprotnimi strankami</w:t>
            </w:r>
          </w:p>
          <w:p w14:paraId="5D14F94F" w14:textId="77777777" w:rsidR="00680687" w:rsidRPr="002A677E" w:rsidRDefault="00680687" w:rsidP="006A3ADC">
            <w:pPr>
              <w:rPr>
                <w:rFonts w:ascii="Times New Roman" w:hAnsi="Times New Roman"/>
                <w:sz w:val="24"/>
              </w:rPr>
            </w:pPr>
            <w:r>
              <w:rPr>
                <w:rFonts w:ascii="Times New Roman" w:hAnsi="Times New Roman"/>
                <w:sz w:val="24"/>
              </w:rPr>
              <w:lastRenderedPageBreak/>
              <w:t>Mejni učinek ponovne vključitve poslov z nefinančnimi nasprotnimi strankami, kot so opredeljeni v členu 382(4)(a) Uredbe (EU) št. 575/2013.</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lastRenderedPageBreak/>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Posli samo z nefinančnimi nasprotnimi strankami iz EU</w:t>
            </w:r>
          </w:p>
          <w:p w14:paraId="4BE3F0CA" w14:textId="77777777" w:rsidR="00680687" w:rsidRPr="002A677E" w:rsidRDefault="00680687" w:rsidP="006A3ADC">
            <w:pPr>
              <w:rPr>
                <w:rFonts w:ascii="Times New Roman" w:hAnsi="Times New Roman"/>
                <w:sz w:val="24"/>
              </w:rPr>
            </w:pPr>
            <w:r>
              <w:rPr>
                <w:rFonts w:ascii="Times New Roman" w:hAnsi="Times New Roman"/>
                <w:sz w:val="24"/>
              </w:rPr>
              <w:t>Mejni učinek ponovne vključitve poslov s samo nefinančnimi nasprotnimi strankami iz EU. Obseg poslov mora zajemati vse posle, poročane v vrstici 0060, razen obsega poslov, poročanih v vrstici 0080.</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Posli samo z nefinančnimi nasprotnimi strankami iz tretjih držav</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Mejni učinek ponovne vključitve poslov s samo nefinančnimi nasprotnimi strankami iz tretjih držav. Obseg poslov mora zajemati vse posle, poročane v vrstici 0060, razen obsega poslov, poročanih v vrstici 0070.</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Pr>
                <w:rFonts w:ascii="Times New Roman" w:hAnsi="Times New Roman"/>
                <w:b/>
                <w:sz w:val="24"/>
                <w:u w:val="single"/>
              </w:rPr>
              <w:t>Posli znotraj skupine</w:t>
            </w:r>
          </w:p>
          <w:p w14:paraId="59B1E4E8" w14:textId="77777777" w:rsidR="00680687" w:rsidRPr="002A677E" w:rsidRDefault="00680687" w:rsidP="006A3ADC">
            <w:pPr>
              <w:rPr>
                <w:rFonts w:ascii="Times New Roman" w:hAnsi="Times New Roman"/>
                <w:sz w:val="24"/>
              </w:rPr>
            </w:pPr>
            <w:r>
              <w:rPr>
                <w:rFonts w:ascii="Times New Roman" w:hAnsi="Times New Roman"/>
              </w:rPr>
              <w:t>Mejni učinek ponovne vključitve poslov znotraj skupine, kot so opredeljeni v členu 382(4)(b) Uredbe (EU) št. 575/2013.</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Posli z nasprotnimi strankami, ki so pokojninski skladi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Majhen učinek ponovne vključitve poslov z nasprotnimi strankami, ki so pokojninski skladi, sklenjenih v prehodnem obdobju iz člena 89(1) Uredbe (EU) št. 648/2012 in izvzetih iz kapitalskih zahtev za tveganje CVA v skladu s členom 382(4), drugi pododstavek, Uredbe (EU) št. 575/2013. Posli, omenjeni v členu 382(4)(c), ki niso sklenjeni v prehodnem obdobju iz člena 89(1) Uredbe (EU) št. 648/2012, se ne štejejo za izvzete posle, ker se je prehodno obdobje za uporabo navedene izjeme izteklo.</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Posli z nasprotnimi strankami, ki so države</w:t>
            </w:r>
          </w:p>
          <w:p w14:paraId="63BD107D" w14:textId="77777777" w:rsidR="00680687" w:rsidRPr="002A677E" w:rsidRDefault="00680687" w:rsidP="006A3ADC">
            <w:pPr>
              <w:rPr>
                <w:rFonts w:ascii="Times New Roman" w:hAnsi="Times New Roman"/>
                <w:sz w:val="24"/>
              </w:rPr>
            </w:pPr>
            <w:r>
              <w:rPr>
                <w:rFonts w:ascii="Times New Roman" w:hAnsi="Times New Roman"/>
                <w:sz w:val="24"/>
              </w:rPr>
              <w:t>Mejni učinek ponovne vključitve poslov z nasprotnimi strankami, ki so države, kot so opredeljeni v členu 382(4)(d) Uredbe (EU) št. 575/2013.</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Varovanja pred tveganjem CVA izvzetih poslov, ki niso vključeni v CVA </w:t>
            </w:r>
          </w:p>
          <w:p w14:paraId="7B05FC5B" w14:textId="77777777" w:rsidR="00680687" w:rsidRPr="002A677E" w:rsidRDefault="00680687" w:rsidP="006A3ADC">
            <w:pPr>
              <w:rPr>
                <w:rFonts w:ascii="Times New Roman" w:hAnsi="Times New Roman"/>
                <w:sz w:val="24"/>
              </w:rPr>
            </w:pPr>
            <w:r>
              <w:rPr>
                <w:rFonts w:ascii="Times New Roman" w:hAnsi="Times New Roman"/>
                <w:sz w:val="24"/>
              </w:rPr>
              <w:t xml:space="preserve">Varovanja pred tveganjem CVA za izvzete posle, ki niso vključeni v obseg kapitalskih zahtev za tveganje CVA in za katere veljajo kapitalske zahteve za tržno tveganje.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Skupaj posli financiranja z vrednostnimi papirji brez centralnega kliringa, ki se vodijo po pošteni vrednosti za računovodske namene, brez izvzetih poslov </w:t>
            </w:r>
          </w:p>
          <w:p w14:paraId="6A560A0D" w14:textId="042E0D75" w:rsidR="00680687" w:rsidRPr="002A677E" w:rsidRDefault="00680687" w:rsidP="006A3ADC">
            <w:pPr>
              <w:rPr>
                <w:rFonts w:ascii="Times New Roman" w:hAnsi="Times New Roman"/>
                <w:sz w:val="24"/>
              </w:rPr>
            </w:pPr>
            <w:r>
              <w:rPr>
                <w:rFonts w:ascii="Times New Roman" w:hAnsi="Times New Roman"/>
                <w:sz w:val="24"/>
              </w:rPr>
              <w:t>Posli financiranja z vrednostnimi papirji, ki se vodijo po pošteni vrednosti za računovodske namene, ki bi spadali v obseg kapitalskih zahtev za tveganje CVA v skladu s členom 382(2) Uredbe (EU) št. 575/2013 ne glede na to, ali so izpostavljenosti tveganju CVA, ki izhajajo iz njih, pomembne. Posli financiranja z vrednostnimi papirji, ki so izvzeti iz kapitalskih zahtev za tveganje CVA v skladu s členom 382(3) in 382(4) Uredbe (EU) št. 575/2013, bi morali biti izključeni iz izračunov, razen če bi institucija te posle vključila v obseg kapitalskih zahtev za tveganje CVA v skladu s členom 382(4a) Uredbe (EU) št. 575/2013.</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lastRenderedPageBreak/>
              <w:t>0140–0160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Varovanja pred tveganjem CVA</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Člen 386 Uredbe (EU) št. 575/2013.</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Kreditne zamenjave za eno samo izpostavljenost</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Indeks kreditnih zamenjav</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Drugi izvedeni finančni instrumenti, razvrščeni kot varovanja pred tveganjem CVA</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Vrste nasprotnih strank pri poslih, za katere se uporablja standardizirani pristop za CVA</w:t>
            </w:r>
          </w:p>
          <w:p w14:paraId="3B7F80A8" w14:textId="77777777" w:rsidR="00680687" w:rsidRDefault="00680687" w:rsidP="006A3ADC">
            <w:pPr>
              <w:rPr>
                <w:rFonts w:ascii="Times New Roman" w:hAnsi="Times New Roman"/>
                <w:sz w:val="24"/>
              </w:rPr>
            </w:pPr>
            <w:r>
              <w:rPr>
                <w:rFonts w:ascii="Times New Roman" w:hAnsi="Times New Roman"/>
                <w:sz w:val="24"/>
              </w:rPr>
              <w:t>Člen 445a(1)(c) Uredbe (EU) št. 575/2013.</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Za vsako nasprotno stranko se izbere en sektor ob upoštevanju naslednjih razredov gospodarskega sektorja na podlagi FINREP (glej del 3 Priloge V k tej izvedbeni uredbi).</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Število nasprotnih strank po sektorjih se poroča v stolpcu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Centralne banke</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Sektor država</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Kreditne institucije</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Investicijska podjetja</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Druge finančne družbe (brez investicijskih podjetij)</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Nefinančne družbe</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Združek sistematičnih sestavin tveganja CVA</w:t>
            </w:r>
          </w:p>
          <w:p w14:paraId="62BC44EB" w14:textId="77777777" w:rsidR="00680687" w:rsidRPr="009766CF" w:rsidRDefault="00680687" w:rsidP="006A3ADC">
            <w:pPr>
              <w:rPr>
                <w:rFonts w:ascii="Times New Roman" w:hAnsi="Times New Roman"/>
                <w:sz w:val="24"/>
              </w:rPr>
            </w:pPr>
            <w:r>
              <w:rPr>
                <w:rFonts w:ascii="Times New Roman" w:hAnsi="Times New Roman"/>
                <w:sz w:val="24"/>
              </w:rPr>
              <w:t>Člen 384(3) Uredbe (EU) št. 575/2013. Kapitalske zahteve ob predpostavki popolne korelacije (</w:t>
            </w:r>
            <w:r>
              <w:rPr>
                <w:rFonts w:ascii="Times New Roman" w:hAnsi="Times New Roman"/>
                <w:sz w:val="24"/>
              </w:rPr>
              <w:sym w:font="Symbol" w:char="F053"/>
            </w:r>
            <w:proofErr w:type="spellStart"/>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proofErr w:type="spellEnd"/>
            <w:r>
              <w:rPr>
                <w:rFonts w:ascii="Times New Roman" w:hAnsi="Times New Roman"/>
                <w:sz w:val="24"/>
                <w:vertAlign w:val="subscript"/>
              </w:rPr>
              <w:t xml:space="preserve">).  </w:t>
            </w:r>
            <w:r>
              <w:rPr>
                <w:rFonts w:ascii="Times New Roman" w:hAnsi="Times New Roman"/>
                <w:sz w:val="24"/>
              </w:rPr>
              <w:t>Diskontni faktor v višini 0,65 se ne uporabi.</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Združek </w:t>
            </w:r>
            <w:proofErr w:type="spellStart"/>
            <w:r>
              <w:rPr>
                <w:rFonts w:ascii="Times New Roman" w:hAnsi="Times New Roman"/>
                <w:b/>
                <w:sz w:val="24"/>
                <w:u w:val="single"/>
              </w:rPr>
              <w:t>idiosinkratičnih</w:t>
            </w:r>
            <w:proofErr w:type="spellEnd"/>
            <w:r>
              <w:rPr>
                <w:rFonts w:ascii="Times New Roman" w:hAnsi="Times New Roman"/>
                <w:b/>
                <w:sz w:val="24"/>
                <w:u w:val="single"/>
              </w:rPr>
              <w:t xml:space="preserve"> sestavin tveganja CVA</w:t>
            </w:r>
          </w:p>
          <w:p w14:paraId="7B1EBC08" w14:textId="77777777" w:rsidR="00680687" w:rsidRPr="009766CF" w:rsidRDefault="00680687" w:rsidP="006A3ADC">
            <w:pPr>
              <w:rPr>
                <w:rFonts w:ascii="Times New Roman" w:hAnsi="Times New Roman"/>
                <w:sz w:val="24"/>
              </w:rPr>
            </w:pPr>
            <w:r>
              <w:rPr>
                <w:rFonts w:ascii="Times New Roman" w:hAnsi="Times New Roman"/>
                <w:sz w:val="24"/>
              </w:rPr>
              <w:t>Člen 384(3) Uredbe (EU) št. 575/2013. Kapitalske zahteve ob predpostavki ničelne korelacije (</w:t>
            </w:r>
            <w:proofErr w:type="spellStart"/>
            <w:r>
              <w:rPr>
                <w:rFonts w:ascii="Times New Roman" w:hAnsi="Times New Roman"/>
                <w:sz w:val="24"/>
              </w:rPr>
              <w:t>sqrt</w:t>
            </w:r>
            <w:proofErr w:type="spellEnd"/>
            <w:r>
              <w:rPr>
                <w:rFonts w:ascii="Times New Roman" w:hAnsi="Times New Roman"/>
                <w:sz w:val="24"/>
              </w:rPr>
              <w: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vertAlign w:val="superscript"/>
              </w:rPr>
              <w:t>2</w:t>
            </w:r>
            <w:r>
              <w:rPr>
                <w:rFonts w:ascii="Times New Roman" w:hAnsi="Times New Roman"/>
                <w:sz w:val="24"/>
              </w:rPr>
              <w:t>)). Diskontni faktor v višini 0,65 se ne uporabi.</w:t>
            </w:r>
          </w:p>
        </w:tc>
      </w:tr>
    </w:tbl>
    <w:p w14:paraId="28018638" w14:textId="77777777" w:rsidR="00680687" w:rsidRDefault="00680687" w:rsidP="00680687"/>
    <w:p w14:paraId="5D86CC30" w14:textId="3E12F75D" w:rsidR="00680687" w:rsidRPr="00B84F12" w:rsidRDefault="00B84F12" w:rsidP="00680687">
      <w:pPr>
        <w:rPr>
          <w:rFonts w:ascii="Times New Roman" w:hAnsi="Times New Roman"/>
          <w:sz w:val="24"/>
          <w:szCs w:val="32"/>
        </w:rPr>
      </w:pPr>
      <w:r w:rsidRPr="00B84F12">
        <w:rPr>
          <w:rFonts w:ascii="Times New Roman" w:hAnsi="Times New Roman"/>
          <w:sz w:val="24"/>
          <w:szCs w:val="32"/>
        </w:rPr>
        <w:t>“</w:t>
      </w:r>
    </w:p>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1A2901B"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98AF594"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C0A740"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84F12"/>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3.xml><?xml version="1.0" encoding="utf-8"?>
<ds:datastoreItem xmlns:ds="http://schemas.openxmlformats.org/officeDocument/2006/customXml" ds:itemID="{70729D77-858C-4AEF-BBA6-1F13E9094774}"/>
</file>

<file path=customXml/itemProps4.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1737</Words>
  <Characters>9907</Characters>
  <Application>Microsoft Office Word</Application>
  <DocSecurity>0</DocSecurity>
  <Lines>283</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2025-01-23T14:31:04Z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b9fc8a93-c1e5-4c7e-a229-554a3457318d</vt:lpwstr>
  </property>
  <property fmtid="{D5CDD505-2E9C-101B-9397-08002B2CF9AE}" pid="9" name="MSIP_Label_6bd9ddd1-4d20-43f6-abfa-fc3c07406f94_ContentBits">
    <vt:lpwstr>0</vt:lpwstr>
  </property>
</Properties>
</file>