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XXV. MELLÉKLET</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ÚTMUTATÓ A XXIV. MELLÉKLET LIKVIDITÁSRA VONATKOZÓ TÁBLÁINAK KITÖLTÉSÉHEZ</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1. RÉSZ: LIKVID ESZKÖZÖK</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Pr>
          <w:rFonts w:ascii="Times New Roman" w:hAnsi="Times New Roman"/>
          <w:sz w:val="24"/>
          <w:u w:val="none"/>
        </w:rPr>
        <w:tab/>
        <w:t>Likvid eszközök</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Pr>
          <w:rFonts w:ascii="Times New Roman" w:hAnsi="Times New Roman"/>
          <w:sz w:val="24"/>
          <w:u w:val="none"/>
        </w:rPr>
        <w:tab/>
        <w:t>Általános megjegyzések</w:t>
      </w:r>
      <w:bookmarkEnd w:id="1"/>
      <w:bookmarkEnd w:id="2"/>
    </w:p>
    <w:p w14:paraId="35B71612" w14:textId="7CB84DE3" w:rsidR="006E48EA" w:rsidRPr="000B6B22" w:rsidRDefault="006E48EA">
      <w:pPr>
        <w:pStyle w:val="InstructionsText2"/>
        <w:spacing w:after="120"/>
        <w:rPr>
          <w:rFonts w:cs="Times New Roman"/>
          <w:sz w:val="24"/>
          <w:szCs w:val="24"/>
        </w:rPr>
      </w:pPr>
      <w:r>
        <w:rPr>
          <w:sz w:val="24"/>
        </w:rPr>
        <w:t>Ez egy olyan összefoglaló tábla, amely az (EU) 2015/61 felhatalmazáson alapuló bizottsági rendeletben</w:t>
      </w:r>
      <w:r w:rsidR="0070035D" w:rsidRPr="000B6B22">
        <w:rPr>
          <w:rStyle w:val="FootnoteReference"/>
          <w:rFonts w:ascii="Times New Roman" w:hAnsi="Times New Roman" w:cs="Times New Roman"/>
          <w:sz w:val="24"/>
          <w:szCs w:val="24"/>
        </w:rPr>
        <w:footnoteReference w:id="2"/>
      </w:r>
      <w:r>
        <w:rPr>
          <w:sz w:val="24"/>
        </w:rPr>
        <w:t xml:space="preserve"> meghatározott likviditásfedezeti követelményekkel kapcsolatos adatszolgáltatás céljából az eszközökre vonatkozó információkat tartalmazza. Szürke szín jelzi azokat a tételeket, amelyeket a hitelintézeteknek nem kell kitölteniük.</w:t>
      </w:r>
    </w:p>
    <w:p w14:paraId="4BD684D5" w14:textId="66206934" w:rsidR="006E48EA" w:rsidRPr="000B6B22" w:rsidRDefault="006E48EA">
      <w:pPr>
        <w:pStyle w:val="InstructionsText2"/>
        <w:spacing w:after="120"/>
        <w:rPr>
          <w:rFonts w:cs="Times New Roman"/>
          <w:sz w:val="24"/>
          <w:szCs w:val="24"/>
        </w:rPr>
      </w:pPr>
      <w:r>
        <w:rPr>
          <w:sz w:val="24"/>
        </w:rPr>
        <w:t>Az adatszolgáltatás tárgyát képező eszközöknek teljesíteniük kell az (EU) 2015/61 felhatalmazáson alapuló rendelet II. címében meghatározott követelményeket.</w:t>
      </w:r>
    </w:p>
    <w:p w14:paraId="7FB2C67A" w14:textId="2438D97E" w:rsidR="006E48EA" w:rsidRPr="000B6B22" w:rsidRDefault="006E48EA">
      <w:pPr>
        <w:pStyle w:val="InstructionsText2"/>
        <w:spacing w:after="120"/>
        <w:rPr>
          <w:rFonts w:cs="Times New Roman"/>
          <w:sz w:val="24"/>
          <w:szCs w:val="24"/>
        </w:rPr>
      </w:pPr>
      <w:r>
        <w:rPr>
          <w:sz w:val="24"/>
        </w:rPr>
        <w:t>A 2. ponttól eltérve a hitelintézetek nem alkalmazzák az (EU) 2015/61 felhatalmazáson alapuló rendelet 8. cikkének (6) bekezdése, 10. cikke (1) bekezdésének d) pontja és 12. cikke (1) bekezdésének c) pontja szerinti, pénznemre vonatkozó korlátozásokat, amikor az 575/2013/EU rendelet 415. cikke (2) bekezdésének megfelelően külön pénznemben töltik ki a táblát. A hitelintézeteknek ettől függetlenül alkalmazniuk kell a joghatóságra vonatkozó korlátozásokat.</w:t>
      </w:r>
    </w:p>
    <w:p w14:paraId="08753421" w14:textId="33FC7351" w:rsidR="006E48EA" w:rsidRPr="000B6B22" w:rsidRDefault="006E48EA">
      <w:pPr>
        <w:pStyle w:val="InstructionsText2"/>
        <w:spacing w:after="120"/>
        <w:rPr>
          <w:rFonts w:cs="Times New Roman"/>
          <w:sz w:val="24"/>
          <w:szCs w:val="24"/>
        </w:rPr>
      </w:pPr>
      <w:r>
        <w:rPr>
          <w:sz w:val="24"/>
        </w:rPr>
        <w:t>A hitelintézetek az 575/2013/EU rendelet 415. cikkének (2) bekezdésével összhangban a megfelelő devizanemben szolgáltatnak adatot a táblában.</w:t>
      </w:r>
    </w:p>
    <w:p w14:paraId="135D8891" w14:textId="35DC3B30" w:rsidR="006E48EA" w:rsidRPr="000B6B22" w:rsidRDefault="00A35BA4">
      <w:pPr>
        <w:pStyle w:val="InstructionsText2"/>
        <w:spacing w:after="120"/>
        <w:rPr>
          <w:rFonts w:cs="Times New Roman"/>
          <w:sz w:val="24"/>
          <w:szCs w:val="24"/>
        </w:rPr>
      </w:pPr>
      <w:r>
        <w:rPr>
          <w:sz w:val="24"/>
        </w:rPr>
        <w:t>Az (EU) 2015/61 felhatalmazáson alapuló rendelet 9. cikkére való hivatkozáskor a hitelintézet a likvid eszközök összegét/piaci értékét adott esetben a 8. cikk (5) bekezdésének b) pontjában említett, fedezett pozíciók idő előtti lezárásából adódó nettó likviditáskiáramlások és -beáramlások figyelembevételével és az említett felhatalmazáson alapuló rendelet 2. fejezetében meghatározott megfelelő haircutoknak megfelelően adja meg.</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rPr>
        <w:t xml:space="preserve">Az (EU) 2015/61 felhatalmazáson alapuló rendelet csak rátákat és haircutokat említ. Ebben az útmutatóban a „súlyozott” szót általános kifejezésként használjuk a vonatkozó haircutok, ráták és bármely egyéb releváns (például fedezett kölcsönügyletekre és finanszírozásra vonatkozó) kiegészítő előírás alkalmazása után kapott összeg megjelölésére. </w:t>
      </w:r>
      <w:r>
        <w:rPr>
          <w:sz w:val="24"/>
        </w:rPr>
        <w:t>Ezen útmutató összefüggésében a „súly” azt a 0 és 1 közötti szorzót jelöli, amellyel az összeget megszorozva a súlyozott összeget vagy az (EU) 2015/61 felhatalmazáson alapuló rendelet 9. cikkében említett értéket kapjuk.</w:t>
      </w:r>
    </w:p>
    <w:p w14:paraId="503E5F9E" w14:textId="3D6E9DFE" w:rsidR="006E48EA" w:rsidRPr="000B6B22" w:rsidRDefault="006E48EA">
      <w:pPr>
        <w:pStyle w:val="InstructionsText2"/>
        <w:spacing w:after="120"/>
        <w:rPr>
          <w:rFonts w:cs="Times New Roman"/>
          <w:sz w:val="24"/>
          <w:szCs w:val="24"/>
        </w:rPr>
      </w:pPr>
      <w:r>
        <w:rPr>
          <w:sz w:val="24"/>
        </w:rPr>
        <w:t xml:space="preserve">A hitelintézetek nem tüntethetik fel többszörösen az adatokat a tábla 1.1.1., 1.1.2., 1.2.1., és 1.2.2. szakaszán belül és e szakaszok között.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lastRenderedPageBreak/>
        <w:t>1.2.</w:t>
      </w:r>
      <w:r>
        <w:rPr>
          <w:rFonts w:ascii="Times New Roman" w:hAnsi="Times New Roman"/>
          <w:sz w:val="24"/>
          <w:u w:val="none"/>
        </w:rPr>
        <w:tab/>
        <w:t>Külön megjegyzések</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Pr>
          <w:rFonts w:ascii="Times New Roman" w:hAnsi="Times New Roman"/>
          <w:sz w:val="24"/>
          <w:u w:val="none"/>
        </w:rPr>
        <w:tab/>
        <w:t>A kollektív befektetési formákra (KBF) vonatkozó külön követelmények</w:t>
      </w:r>
    </w:p>
    <w:p w14:paraId="09802304" w14:textId="4229D4DA" w:rsidR="006E48EA" w:rsidRPr="000B6B22" w:rsidRDefault="006E48EA">
      <w:pPr>
        <w:pStyle w:val="InstructionsText2"/>
        <w:spacing w:after="120"/>
        <w:rPr>
          <w:rFonts w:cs="Times New Roman"/>
          <w:sz w:val="24"/>
          <w:szCs w:val="24"/>
        </w:rPr>
      </w:pPr>
      <w:r>
        <w:rPr>
          <w:sz w:val="24"/>
        </w:rPr>
        <w:t>A tábla 1.1.1.10., 1.1.1.11., 1.2.1.6., 1.1.2.2., 1.2.2.10., 1.2.2.11., 1.2.2.12. és 1.2.2.13. tétele esetében a hitelintézetnek a KBF-ek piaci értékének azon arányos részét kell megadnia, amely megfelel a vállalkozás mögöttes likvid eszközeinek, az (EU) 2015/61 felhatalmazáson alapuló rendelet 15. cikke (4) bekezdésének megfelelően.</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rPr>
          <w:rFonts w:ascii="Times New Roman" w:hAnsi="Times New Roman"/>
          <w:sz w:val="24"/>
          <w:u w:val="none"/>
        </w:rPr>
        <w:tab/>
        <w:t>A szerzett jogokra és az átmeneti rendelkezésekre vonatkozó külön követelmények</w:t>
      </w:r>
    </w:p>
    <w:p w14:paraId="16DEDAB1" w14:textId="4E0E163B" w:rsidR="006E48EA" w:rsidRPr="000B6B22" w:rsidRDefault="006E48EA">
      <w:pPr>
        <w:pStyle w:val="InstructionsText2"/>
        <w:spacing w:after="120"/>
        <w:rPr>
          <w:rFonts w:cs="Times New Roman"/>
          <w:sz w:val="24"/>
          <w:szCs w:val="24"/>
        </w:rPr>
      </w:pPr>
      <w:r>
        <w:rPr>
          <w:sz w:val="24"/>
        </w:rPr>
        <w:t>A hitelintézetek az (EU) 2015/61 felhatalmazáson alapuló rendelet 35–37. cikkében említett adatokat a megfelelő eszközsorokban tüntetik fel. Az e cikkek alapján megadott eszközök teljes összegét tájékoztatás céljából a „Tájékoztató adatok” részben is fel kell tüntetni.</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Pr>
          <w:rFonts w:ascii="Times New Roman" w:hAnsi="Times New Roman"/>
          <w:sz w:val="24"/>
          <w:u w:val="none"/>
        </w:rPr>
        <w:tab/>
        <w:t>A központi intézmények általi adatszolgáltatásra vonatkozó külön követelmények</w:t>
      </w:r>
    </w:p>
    <w:p w14:paraId="70BC7592" w14:textId="5A862313" w:rsidR="006E48EA" w:rsidRPr="000B6B22" w:rsidRDefault="006E48EA">
      <w:pPr>
        <w:pStyle w:val="InstructionsText2"/>
        <w:spacing w:after="120"/>
        <w:rPr>
          <w:rFonts w:cs="Times New Roman"/>
          <w:sz w:val="24"/>
          <w:szCs w:val="24"/>
        </w:rPr>
      </w:pPr>
      <w:r>
        <w:rPr>
          <w:sz w:val="24"/>
        </w:rPr>
        <w:t>A központi intézmények a betétet elhelyező hitelintézet likvid eszközeinek tekintett, központi hitelintézetnél elhelyezett hitelintézeti betéteknek megfelelő likvid eszközök feltüntetésekor biztosítják, hogy e likvid eszközök haircut utáni, feltüntetett összege az (EU) 2015/61 felhatalmazáson alapuló rendelet 27. cikke (3) bekezdésének megfelelően ne haladja meg a megfelelő betétekből eredő kiáramlást.</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Pr>
          <w:rFonts w:ascii="Times New Roman" w:hAnsi="Times New Roman"/>
          <w:sz w:val="24"/>
          <w:u w:val="none"/>
        </w:rPr>
        <w:tab/>
        <w:t>Az elszámolási és jövőben induló határidős ügyletekre vonatkozó külön követelmények</w:t>
      </w:r>
    </w:p>
    <w:p w14:paraId="1164A59B" w14:textId="4F671D1D" w:rsidR="006E48EA" w:rsidRPr="000B6B22" w:rsidRDefault="006E48EA">
      <w:pPr>
        <w:pStyle w:val="InstructionsText2"/>
        <w:spacing w:after="120"/>
        <w:rPr>
          <w:rFonts w:cs="Times New Roman"/>
          <w:sz w:val="24"/>
          <w:szCs w:val="24"/>
        </w:rPr>
      </w:pPr>
      <w:r>
        <w:rPr>
          <w:sz w:val="24"/>
        </w:rPr>
        <w:t>Az (EU) 2015/61 felhatalmazáson alapuló rendelet 7., 8. és 9. cikkének megfelelő minden eszközt, amely a vonatkozási időpontban a hitelintézet állományában van, fel kell tüntetni a C72 tábla megfelelő sorában, akkor is, ha azokat értékesítik vagy fedezett határidős ügyletben használják. Ezzel összefüggésben a táblában nem szabad feltüntetni a jövőben induló – értsd: szerződéssel vállalt, de még nem teljesített – határidős ügyletekből származó és a határidős vételi ügyletek keretében megvásárolni tervezett likvid eszközöket.</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Pr>
          <w:rFonts w:ascii="Times New Roman" w:hAnsi="Times New Roman"/>
          <w:sz w:val="24"/>
          <w:u w:val="none"/>
        </w:rPr>
        <w:tab/>
        <w:t>Likvid eszközökre vonatkozó altábla</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Pr>
          <w:rFonts w:ascii="Times New Roman" w:hAnsi="Times New Roman"/>
          <w:sz w:val="24"/>
          <w:u w:val="none"/>
        </w:rPr>
        <w:t>1.2.5.1</w:t>
      </w:r>
      <w:r>
        <w:rPr>
          <w:rFonts w:ascii="Times New Roman" w:hAnsi="Times New Roman"/>
          <w:sz w:val="24"/>
          <w:u w:val="none"/>
        </w:rPr>
        <w:tab/>
      </w:r>
      <w:bookmarkEnd w:id="3"/>
      <w:r>
        <w:rPr>
          <w:rFonts w:ascii="Times New Roman" w:hAnsi="Times New Roman"/>
          <w:sz w:val="24"/>
          <w:u w:val="none"/>
        </w:rPr>
        <w:t>A tábla egyes oszlopaira vonatkozó útmutató</w:t>
      </w:r>
      <w:bookmarkEnd w:id="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
        <w:gridCol w:w="6970"/>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Oszlop</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Jogszabályi hivatkozások és útmutató</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Összeg/Piaci érték</w:t>
            </w:r>
          </w:p>
          <w:p w14:paraId="7A86ACBE" w14:textId="78756635" w:rsidR="006E48EA" w:rsidRPr="000B6B22" w:rsidRDefault="006E48EA">
            <w:pPr>
              <w:pStyle w:val="InstructionsText"/>
              <w:spacing w:after="120"/>
              <w:rPr>
                <w:rFonts w:eastAsia="Calibri" w:cs="Times New Roman"/>
                <w:sz w:val="24"/>
                <w:szCs w:val="24"/>
              </w:rPr>
            </w:pPr>
            <w:r>
              <w:rPr>
                <w:sz w:val="24"/>
              </w:rPr>
              <w:t>A hitelintézeteknek a 0010 oszlopban kell feltüntetniük az (EU) 2015/61 felhatalmazáson alapuló rendelet II. címének megfelelő likvid eszközök piaci értékét vagy, adott esetben, összegét.</w:t>
            </w:r>
          </w:p>
          <w:p w14:paraId="16EF3725" w14:textId="4ADEF39E" w:rsidR="006E48EA" w:rsidRPr="000B6B22" w:rsidRDefault="006E48EA">
            <w:pPr>
              <w:pStyle w:val="InstructionsText"/>
              <w:spacing w:after="120"/>
              <w:rPr>
                <w:rFonts w:eastAsia="Calibri" w:cs="Times New Roman"/>
                <w:sz w:val="24"/>
                <w:szCs w:val="24"/>
              </w:rPr>
            </w:pPr>
            <w:r>
              <w:rPr>
                <w:sz w:val="24"/>
              </w:rPr>
              <w:t>A 0010 oszlopban megadott összeg/piaci érték:</w:t>
            </w:r>
          </w:p>
          <w:p w14:paraId="72235291" w14:textId="77777777" w:rsidR="006E48EA" w:rsidRPr="000B6B22" w:rsidRDefault="006E48EA">
            <w:pPr>
              <w:pStyle w:val="InstructionsText"/>
              <w:spacing w:after="120"/>
              <w:rPr>
                <w:rFonts w:eastAsia="Calibri" w:cs="Times New Roman"/>
                <w:sz w:val="24"/>
                <w:szCs w:val="24"/>
              </w:rPr>
            </w:pPr>
            <w:r>
              <w:rPr>
                <w:sz w:val="24"/>
              </w:rPr>
              <w:t>—</w:t>
            </w:r>
            <w:r>
              <w:rPr>
                <w:sz w:val="24"/>
              </w:rPr>
              <w:tab/>
              <w:t>figyelembe veszi az említett rendelet 8. cikkének (5) bekezdésében meghatározott, a fedezett pozíciók idő előtti lezárása miatti nettó kiáramlást és nettó beáramlást;</w:t>
            </w:r>
          </w:p>
          <w:p w14:paraId="5023737E" w14:textId="77777777" w:rsidR="006E48EA" w:rsidRPr="000B6B22" w:rsidRDefault="006E48EA">
            <w:pPr>
              <w:pStyle w:val="InstructionsText"/>
              <w:spacing w:after="120"/>
              <w:rPr>
                <w:rFonts w:eastAsia="Calibri" w:cs="Times New Roman"/>
                <w:sz w:val="24"/>
                <w:szCs w:val="24"/>
              </w:rPr>
            </w:pPr>
            <w:r>
              <w:rPr>
                <w:sz w:val="24"/>
              </w:rPr>
              <w:t>—</w:t>
            </w:r>
            <w:r>
              <w:rPr>
                <w:sz w:val="24"/>
              </w:rPr>
              <w:tab/>
              <w:t>nem veszi figyelembe az említett rendelet II. címében meghatározott haircutokat;</w:t>
            </w:r>
          </w:p>
          <w:p w14:paraId="7B129B7C" w14:textId="4D4ED89C" w:rsidR="006E48EA" w:rsidRPr="000B6B22" w:rsidRDefault="006E48EA">
            <w:pPr>
              <w:pStyle w:val="InstructionsText"/>
              <w:spacing w:after="120"/>
              <w:rPr>
                <w:rFonts w:eastAsia="Calibri" w:cs="Times New Roman"/>
                <w:sz w:val="24"/>
                <w:szCs w:val="24"/>
              </w:rPr>
            </w:pPr>
            <w:r>
              <w:rPr>
                <w:sz w:val="24"/>
              </w:rPr>
              <w:lastRenderedPageBreak/>
              <w:t>—</w:t>
            </w:r>
            <w:r>
              <w:rPr>
                <w:sz w:val="24"/>
              </w:rPr>
              <w:tab/>
              <w:t>a megfelelő eszközsorokban magában foglalja az említett rendelet 16. cikke (1) bekezdésének a) pontjában említett, különböző eszközökből álló betétek arányos részét;</w:t>
            </w:r>
          </w:p>
          <w:p w14:paraId="13E3E7C6" w14:textId="77777777" w:rsidR="006E48EA" w:rsidRPr="000B6B22" w:rsidRDefault="006E48EA">
            <w:pPr>
              <w:pStyle w:val="InstructionsText"/>
              <w:spacing w:after="120"/>
              <w:rPr>
                <w:rFonts w:eastAsia="Calibri" w:cs="Times New Roman"/>
                <w:sz w:val="24"/>
                <w:szCs w:val="24"/>
              </w:rPr>
            </w:pPr>
            <w:r>
              <w:rPr>
                <w:sz w:val="24"/>
              </w:rPr>
              <w:t>—</w:t>
            </w:r>
            <w:r>
              <w:rPr>
                <w:sz w:val="24"/>
              </w:rPr>
              <w:tab/>
              <w:t>adott esetben csökkentendő a 16. cikkben meghatározott betétek összegével, amelyeket a központi hitelintézetnél helyeztek el az említett rendelet 27. cikkének (3) bekezdésében említettek szerint.</w:t>
            </w:r>
          </w:p>
          <w:p w14:paraId="7DF933B9" w14:textId="509AEEF6" w:rsidR="006E48EA" w:rsidRPr="000B6B22" w:rsidRDefault="006E48EA">
            <w:pPr>
              <w:pStyle w:val="InstructionsText"/>
              <w:spacing w:after="120"/>
              <w:rPr>
                <w:rFonts w:eastAsia="Calibri" w:cs="Times New Roman"/>
                <w:sz w:val="24"/>
                <w:szCs w:val="24"/>
              </w:rPr>
            </w:pPr>
            <w:r>
              <w:rPr>
                <w:sz w:val="24"/>
              </w:rPr>
              <w:t>Az (EU) 2015/61 felhatalmazáson alapuló rendelet 8. cikkének (5) bekezdésére való hivatkozáskor a hitelintézetek azt a nettó cash flowt – kiáramlást vagy beáramlást – veszik figyelembe, amely akkor keletkezne, ha a fedezett pozíciót az adatszolgáltatási vonatkozási időpontban lezárnák. A hitelintézetek nem veszik figyelembe az eszköz potenciális jövőbeli értékváltozásait.</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Standard súly</w:t>
            </w:r>
          </w:p>
          <w:p w14:paraId="6901B289" w14:textId="7F78CCA9" w:rsidR="006E48EA" w:rsidRPr="000B6B22" w:rsidRDefault="00575F76">
            <w:pPr>
              <w:pStyle w:val="InstructionsText"/>
              <w:spacing w:after="120"/>
              <w:rPr>
                <w:rFonts w:eastAsia="Calibri" w:cs="Times New Roman"/>
                <w:sz w:val="24"/>
                <w:szCs w:val="24"/>
              </w:rPr>
            </w:pPr>
            <w:r>
              <w:rPr>
                <w:sz w:val="24"/>
              </w:rPr>
              <w:t>A 0020 oszlop az (EU) 2015/61 felhatalmazáson alapuló rendelet II. címében meghatározott vonatkozó haircutok alkalmazása után kapott összegeket tükröző súlyokat tartalmazza. A súlyok célja, hogy tükrözzék a likvid eszközök értékének a megfelelő haircutok alkalmazása utáni csökkenését.</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Alkalmazandó súly</w:t>
            </w:r>
          </w:p>
          <w:p w14:paraId="033F8F70" w14:textId="1EC9DC65" w:rsidR="006E48EA" w:rsidRPr="000B6B22" w:rsidRDefault="006E48EA">
            <w:pPr>
              <w:pStyle w:val="InstructionsText"/>
              <w:spacing w:after="120"/>
              <w:rPr>
                <w:rFonts w:eastAsia="Calibri" w:cs="Times New Roman"/>
                <w:sz w:val="24"/>
                <w:szCs w:val="24"/>
              </w:rPr>
            </w:pPr>
            <w:r>
              <w:rPr>
                <w:sz w:val="24"/>
              </w:rPr>
              <w:t>A hitelintézeteknek a 0030 oszlopban kell feltüntetniük az (EU) 2015/61 felhatalmazáson alapuló rendelet II. címében meghatározott likvid eszközökre alkalmazott alkalmazandó súlyt. Az alkalmazandó súlyok súlyozott átlagértékeket eredményezhetnek, és feltüntetésük tizedes rendszerben történik (azaz 1,00 a 100 százalékos alkalmazandó súly esetében, vagy 0,50 az 50 százalékos alkalmazandó súly esetében). Az alkalmazandó súlyok tükrözhetnek többek között vállalatspecifikus vagy nemzeti megfontolásokat is. A 0030 oszlopban megadott érték nem haladhatja meg a 0020 oszlopban megadott számadatot.</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9. cikk szerinti érték</w:t>
            </w:r>
          </w:p>
          <w:p w14:paraId="3DD790D0" w14:textId="1F71ECA0" w:rsidR="006E48EA" w:rsidRPr="000B6B22" w:rsidRDefault="006E48EA">
            <w:pPr>
              <w:pStyle w:val="InstructionsText"/>
              <w:spacing w:after="120"/>
              <w:rPr>
                <w:rFonts w:eastAsia="Calibri" w:cs="Times New Roman"/>
                <w:sz w:val="24"/>
                <w:szCs w:val="24"/>
              </w:rPr>
            </w:pPr>
            <w:r>
              <w:rPr>
                <w:sz w:val="24"/>
              </w:rPr>
              <w:t>A hitelintézetek a 0040 oszlopban tüntetik fel a likvid eszköznek az (EU) 2015/61 felhatalmazáson alapuló rendelet 9. cikke szerinti értékét, amely a fedezett pozíciók idő előtti lezárása miatti nettó likviditáskiáramlást és -beáramlást figyelembe vevő összeg/piaci érték és az alkalmazandó súly szorzata.</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Pr>
          <w:rFonts w:ascii="Times New Roman" w:hAnsi="Times New Roman"/>
          <w:sz w:val="24"/>
          <w:u w:val="none"/>
        </w:rPr>
        <w:tab/>
        <w:t>A tábla egyes soraira vonatkozó útmutató</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rPr>
              <w:t>Sor</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rPr>
              <w:t>Jogszabályi hivatkozások és útmutató</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rPr>
              <w:t>1. ÖSSZES KI NEM IGAZÍTOTT LIKVID ESZKÖZ</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Az (EU) 2015/61 felhatalmazáson alapuló rendelet II. címe</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A hitelintézetek likvid eszközeik teljes összegét/piaci értékét a 0010 oszlopban adják meg.</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rPr>
              <w:t>A hitelintézetek likvid eszközeik 9. cikk szerint számított teljes értékét a 0040 oszlopban adják meg.</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rPr>
              <w:t>1.1. Összes ki nem igazított 1. szintű eszköz</w:t>
            </w:r>
          </w:p>
          <w:p w14:paraId="7BC9F4FA" w14:textId="6C857949" w:rsidR="006E48EA" w:rsidRPr="000B6B22" w:rsidRDefault="006E48EA">
            <w:pPr>
              <w:pStyle w:val="InstructionsText"/>
              <w:spacing w:after="120"/>
              <w:rPr>
                <w:rFonts w:cs="Times New Roman"/>
                <w:sz w:val="24"/>
                <w:szCs w:val="24"/>
              </w:rPr>
            </w:pPr>
            <w:r>
              <w:rPr>
                <w:sz w:val="24"/>
              </w:rPr>
              <w:t>Az (EU) 2015/61 felhatalmazáson alapuló rendelet 10., 15., 16. és 19. cikke</w:t>
            </w:r>
          </w:p>
          <w:p w14:paraId="5202088B" w14:textId="0A6262CF" w:rsidR="006E48EA" w:rsidRPr="000B6B22" w:rsidRDefault="006E48EA">
            <w:pPr>
              <w:pStyle w:val="InstructionsText"/>
              <w:spacing w:after="120"/>
              <w:rPr>
                <w:rFonts w:cs="Times New Roman"/>
                <w:sz w:val="24"/>
                <w:szCs w:val="24"/>
              </w:rPr>
            </w:pPr>
            <w:r>
              <w:rPr>
                <w:sz w:val="24"/>
              </w:rPr>
              <w:t>Az ebben a szakaszban megadott eszközöket kifejezetten az (EU) 2015/61 felhatalmazáson alapuló rendelet szerinti 1. szintű eszközként azonosították, vagy akként kezelik.</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A hitelintézetek a 0010 oszlopban az 1. szintű likvid eszközeik teljes összegét/piaci értékét adják meg.</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rPr>
              <w:t>A hitelintézetek 1. szintű likvid eszközeik 9. cikk szerint számított teljes értékét a 0040 oszlopban adják meg.</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rPr>
              <w:t>1.1.1. Ki nem igazított 1. SZINTŰ eszközök összesen a rendkívül magas minőségű fedezett kötvények kivételével</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rPr>
              <w:t>Az (EU) 2015/61 felhatalmazáson alapuló rendelet 10., 15., 16. és 19. cikke</w:t>
            </w:r>
          </w:p>
          <w:p w14:paraId="06079932" w14:textId="6B051E0E" w:rsidR="006E48EA" w:rsidRPr="000B6B22" w:rsidRDefault="006E48EA">
            <w:pPr>
              <w:pStyle w:val="InstructionsText"/>
              <w:spacing w:after="120"/>
              <w:rPr>
                <w:rFonts w:cs="Times New Roman"/>
                <w:sz w:val="24"/>
                <w:szCs w:val="24"/>
              </w:rPr>
            </w:pPr>
            <w:r>
              <w:rPr>
                <w:sz w:val="24"/>
              </w:rPr>
              <w:t>Az ebben az alszakaszban megadott eszközöket kifejezetten az (EU) 2015/61 felhatalmazáson alapuló rendelet szerinti 1. szintű eszközként azonosították, vagy akként kezelik. Ebben az alszakaszban nem szabad feltüntetni az (EU) 2015/61 felhatalmazáson alapuló rendelet 10. cikke (1) bekezdésének f) pontjában említett rendkívül magas minőségű fedezett kötvénynek minősülő eszközöket és mögöttes eszközöket.</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 hitelintézetek a 0010 oszlopban az 1. szintű eszközök rendkívül magas minőségű fedezett kötvények nélküli teljes összegét/piaci értékét adják meg, az (EU) 2015/61 felhatalmazáson alapuló rendelet 17. cikke szerinti követelmények figyelembevétele nélkül.</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u w:val="none"/>
              </w:rPr>
              <w:t>A hitelintézetek a 0040 oszlopban az 1. szintű eszközök rendkívül magas minőségű fedezett kötvények nélküli teljes súlyozott összegét adják meg, az (EU) 2015/61 felhatalmazáson alapuló rendelet 17. cikke szerinti követelmények figyelembevétele nélkül.</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 Pénzérmék és bankjegyek</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sz w:val="24"/>
              </w:rPr>
              <w:t>Az (EU) 2015/61 felhatalmazáson alapuló rendelet 10. cikke (1) bekezdésének a) pontja</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A pénzérmék és bankjegyek alkotta készpénz teljes összege.</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1.1.1.2. Lehívható központi banki tartalékok</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sz w:val="24"/>
              </w:rPr>
              <w:t>Az (EU) 2015/61 felhatalmazáson alapuló rendelet 10. cikke (1) bekezdése b) pontjának iii. alpontja</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Stresszidőszak során bármikor lehívható, az EKB-nál, valamely tagállam központi bankjánál vagy valamely harmadik ország központi bankjánál elhelyezett tartalékok teljes összege, amennyiben a harmadik ország központi bankjával vagy központi kormányzatával szembeni kitettségeknek egy kijelölt külső hitelminősítő intézet olyan minősítést adott, amelyhez legalább az 575/2013/EU rendelet 114. cikke (2) bekezdése szerinti 1. hitelminőségi besorolás rendelhető.</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sz w:val="24"/>
              </w:rPr>
              <w:t xml:space="preserve">A figyelembe vehető lehívható összeget a hitelintézet illetékes hatósága és a tartalékokat tartó központi bank közötti megállapodás vagy a </w:t>
            </w:r>
            <w:r>
              <w:rPr>
                <w:sz w:val="24"/>
              </w:rPr>
              <w:lastRenderedPageBreak/>
              <w:t>harmadik országban alkalmazandó szabályozás rögzíti, az (EU) 2015/61 felhatalmazáson alapuló rendelet 10. cikke (1) bekezdése b) pontjának iii. alpontjában említettek szerint.</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lastRenderedPageBreak/>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1.1.1.3. Központi banki eszközök</w:t>
            </w:r>
          </w:p>
          <w:p w14:paraId="2169F27D" w14:textId="514BF0C2" w:rsidR="006E48EA" w:rsidRPr="000B6B22" w:rsidRDefault="00485545">
            <w:pPr>
              <w:pStyle w:val="InstructionsText"/>
              <w:spacing w:after="120"/>
              <w:rPr>
                <w:rFonts w:cs="Times New Roman"/>
                <w:sz w:val="24"/>
                <w:szCs w:val="24"/>
              </w:rPr>
            </w:pPr>
            <w:r>
              <w:rPr>
                <w:sz w:val="24"/>
              </w:rPr>
              <w:t>Az (EU) 2015/61 felhatalmazáson alapuló rendelet 10. cikke (1) bekezdése b) pontjának i. és ii. alpontja</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Az EKB-val, valamely tagállam központi bankjával vagy harmadik ország központi bankjával szembeni követelést megtestesítő vagy ilyen bank által garantált eszközök, amennyiben a harmadik ország központi bankjával vagy központi kormányzatával szembeni kitettségeknek egy kijelölt külső hitelminősítő intézet olyan minősítést adott, amelyhez legalább az 575/2013/EU rendelet 114. cikke (2) bekezdése szerinti 1. hitelminőségi besorolás rendelhető.</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1.1.1.4. Központi kormányzati eszközök</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sz w:val="24"/>
              </w:rPr>
              <w:t>Az (EU) 2015/61 felhatalmazáson alapuló rendelet 10. cikke (1) bekezdése c) pontjának i. és ii. alpontja</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Tagállam központi kormányzatával vagy harmadik ország központi kormányzatával szembeni követelést megtestesítő vagy általuk garantált eszközök, feltéve, hogy az említett eszközöknek egy kijelölt külső hitelminősítő intézet olyan minősítést adott, amelyhez legalább az 575/2013/EU rendelet 114. cikke (2) bekezdése szerinti 1. hitelminőségi besorolás rendelhető.</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E sorban kell adatot szolgáltatni azon eszközökről, amelyeket olyan hitelintézetek bocsátottak ki, amelyek – az (EU) 2015/61 felhatalmazáson alapuló rendelet 35. cikkének megfelelően – valamely tagállam központi kormányzatának garanciáját élvezik.</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E sorban kell továbbá adatot szolgáltatni azon eszközökről, amelyeket az (EU) 2015/61 felhatalmazáson alapuló rendelet 36. cikkében említett, tagállami támogatásban részesülő, értékvesztett eszközöket kezelő intézmények bocsátottak ki.</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1.1.1.5. Regionális kormányzati/helyi hatósági eszközök</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rPr>
              <w:t>Az (EU) 2015/61 felhatalmazáson alapuló rendelet 10. cikke (1) bekezdése c) pontjának iii. és iv. alpontja</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sz w:val="24"/>
              </w:rPr>
              <w:t>Tagállam regionális kormányzataival vagy helyi hatóságaival szembeni követelést megtestesítő vagy általuk garantált eszközök, feltéve, hogy azokat a tagállam központi kormányzatával szembeni kitettségekként kezelik az 575/2013/EU rendelet 115. cikke (2) bekezdésének megfelelően.</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sz w:val="24"/>
              </w:rPr>
              <w:t xml:space="preserve">Harmadik ország regionális kormányzataival vagy helyi hatóságaival szembeni követelést megtestesítő vagy általuk garantált eszközök, amelyeknek egy kijelölt külső hitelminősítő intézet olyan minősítést adott, amelyhez legalább az 575/2013/EU rendelet 114. cikke (2) bekezdése szerinti 1. hitelminőségi besorolás rendelhető, és amennyiben azokat a harmadik ország központi kormányzatával szembeni </w:t>
            </w:r>
            <w:r>
              <w:rPr>
                <w:sz w:val="24"/>
              </w:rPr>
              <w:lastRenderedPageBreak/>
              <w:t>kitettségekként kezelik az 575/2013/EU rendelet 115. cikke (4) bekezdésének megfelelően.</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E sorban kell adatot szolgáltatni azon eszközökről, amelyeket olyan hitelintézetek bocsátottak ki, amelyek – az (EU) 2015/61 felhatalmazáson alapuló rendelet 35. cikkének megfelelően – valamely tagállam regionális kormányzatának vagy helyi hatóságának garanciáját élvezik.</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lastRenderedPageBreak/>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1.1.1.6. Közszektorbeli intézményi eszközök</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rPr>
              <w:t>Az (EU) 2015/61 felhatalmazáson alapuló rendelet 10. cikke (1) bekezdése c) pontjának v. és vi. alpontja</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sz w:val="24"/>
              </w:rPr>
              <w:t>Valamely tagállamban vagy harmadik országban közszektorbeli intézménnyel szembeni követelést megtestesítő vagy általa garantált eszközök, feltéve, hogy az említett eszközöket az adott tagállam vagy harmadik ország központi kormányzatával, regionális kormányzatával vagy helyi hatóságával szembeni kitettségként kezelik az 575/2013/EU rendelet 116. cikke (4) bekezdésének megfelelően.</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Az előző bekezdésben említett, harmadik országbeli központi kormányzatokkal szembeni kitettségeknek egy kijelölt külső hitelminősítő intézet által adott olyan minősítéssel kell rendelkezniük, amelyhez legalább az 575/2013/EU rendelet 114. cikke (2) bekezdése szerinti 1. hitelminőségi besorolás rendelhető.</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Az ezen alszakaszban említett, harmadik országbeli regionális kormányzattal vagy helyi hatósággal szembeni kitettségeket a harmadik ország központi kormányzatával szembeni kitettségekként kell kezelni az 575/2013/EU rendelet 115. cikke (4) bekezdésének megfelelően.</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u w:val="none"/>
              </w:rPr>
              <w:t>1.1.1.7. Elismerhető, hazai vagy külföldi devizában fennálló központi kormányzati és központi banki eszközök</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sz w:val="24"/>
              </w:rPr>
              <w:t>Az (EU) 2015/61 felhatalmazáson alapuló rendelet 10. cikke (1) bekezdésének d) pontja</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Egy kijelölt külső hitelminősítő intézet 1. hitelminőségi besorolásnak megfelelő minősítésével nem rendelkező harmadik ország központi kormányzatával vagy központi bankjával szembeni követelést megtestesítő vagy általuk garantált eszközök és az (EU) 2015/61 felhatalmazáson alapuló rendelet 10. cikke (1) bekezdése d) pontjának ii. alpontjában szereplő feltételek szerint központi banknál tartott tartalékok, feltéve, hogy a hitelintézet az ilyen eszközöket összességükben csak az ugyanabban a devizanemben felmerülő stresszidőszaki nettó likviditáskiáramlásai összegéig ismeri el 1. szintűnek.</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 xml:space="preserve">Egy kijelölt külső hitelminősítő intézet 1. hitelminőségi besorolásnak megfelelő minősítésével nem rendelkező harmadik ország központi kormányzatával vagy központi bankjával szembeni követelést megtestesítő vagy általuk garantált, nem a harmadik ország hazai devizanemében denominált eszközök és az (EU) 2015/61 felhatalmazáson alapuló rendelet 10. cikke (1) bekezdése d) pontjának ii. alpontjában szereplő feltételek szerint központi banknál tartott, nem </w:t>
            </w:r>
            <w:r>
              <w:rPr>
                <w:rStyle w:val="InstructionsTabelleberschrift"/>
                <w:rFonts w:ascii="Times New Roman" w:hAnsi="Times New Roman"/>
                <w:b w:val="0"/>
                <w:sz w:val="24"/>
                <w:u w:val="none"/>
              </w:rPr>
              <w:lastRenderedPageBreak/>
              <w:t>a harmadik ország hazai devizanemében denominált tartalékok, feltéve, hogy a hitelintézet csak addig az összegig ismeri el az eszközöket 1. szintűnek, amekkora összeg fedezi az adott devizában azon joghatóság területén folytatott tevékenységeinek megfelelő stresszidőszaki nettó likviditáskiáramlást, ahol a likviditási kockázatot vállalja.</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lastRenderedPageBreak/>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u w:val="none"/>
              </w:rPr>
              <w:t>1.1.1.8. Hitelintézet (tagállam kormányzata által védett, kedvezményes hitelezésben részt vevő) által kibocsátott eszközök</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rPr>
              <w:t>Az (EU) 2015/61 felhatalmazáson alapuló rendelet 10. cikke (1) bekezdése e) pontjának i. és ii. alpontja</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Valamely tagállam olyan központi kormányzata vagy regionális kormányzata vagy helyi hatósága által bejegyzett vagy alapított hitelintézet által kibocsátott eszközök, amelynek jogszabályi kötelezettsége, hogy megvédje a hitelintézet gazdasági alapját és fenntartsa pénzügyi működőképességét.</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Az (EU) 2015/61 felhatalmazáson alapuló rendelet 10. cikke (1) bekezdése e) pontjának ii. alpontja szerinti kedvezményes hitelt nyújtó által kibocsátott eszközök.</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Bármely fent említett regionális kormányzattal vagy helyi hatósággal szembeni kitettséget a tagállam központi kormányzatával szembeni kitettségekként kell kezelni az 575/2013/EU rendelet 115. cikke (2) bekezdésének megfelelően.</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1.1.1.9. Multilaterális fejlesztési bankok és nemzetközi szervezetek eszközei</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rPr>
              <w:t>Az (EU) 2015/61 felhatalmazáson alapuló rendelet 10. cikke (1) bekezdésének g) pontja</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Az 575/2013/EU rendelet 117. cikkének (2) bekezdésében, illetve 118. cikkében említett multilaterális fejlesztési bankokkal és nemzetközi szervezetekkel szembeni követelést megtestesítő vagy általuk garantált eszközök.</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u w:val="none"/>
              </w:rPr>
              <w:t>1.1.1.10. Beszámítható KBF-részvények/befektetési jegyek: a mögöttes eszközök pénzérmék/bankjegyek és/vagy központi banki kitettségek</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sz w:val="24"/>
              </w:rPr>
              <w:t>Az (EU) 2015/61 felhatalmazáson alapuló rendelet 15. cikke (2) bekezdésének a) pontja</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 xml:space="preserve">Olyan KBF-ek részvényei vagy befektetési jegyei, amelyeknek mögöttes eszközei pénzérmék, bankjegyek, valamint az EKB-val, valamely tagállam vagy harmadik ország központi bankjával szembeni követelések, amennyiben a harmadik ország központi bankjával vagy központi kormányzatával szembeni kitettségeknek egy kijelölt külső hitelminősítő intézet olyan minősítést adott, amelyhez az 575/2013/EU rendelet 114. cikke (2) bekezdése </w:t>
            </w:r>
            <w:r>
              <w:rPr>
                <w:rStyle w:val="InstructionsTabelleberschrift"/>
                <w:rFonts w:ascii="Times New Roman" w:hAnsi="Times New Roman"/>
                <w:b w:val="0"/>
                <w:sz w:val="24"/>
              </w:rPr>
              <w:t>szerinti</w:t>
            </w:r>
            <w:r>
              <w:rPr>
                <w:rStyle w:val="InstructionsTabelleberschrift"/>
                <w:rFonts w:ascii="Times New Roman" w:hAnsi="Times New Roman"/>
                <w:b w:val="0"/>
                <w:sz w:val="24"/>
                <w:u w:val="none"/>
              </w:rPr>
              <w:t xml:space="preserve"> 1. hitelminőségi besorolás rendelhető megfelelően.</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1.1.1.11. Beszámítható KBF-részvények/befektetési jegyek: a mögöttes eszközök 1. szintű eszközök a rendkívül magas minőségű fedezett kötvények kivételével</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rPr>
              <w:lastRenderedPageBreak/>
              <w:t>Az (EU) 2015/61 felhatalmazáson alapuló rendelet 15. cikke (2) bekezdésének b) pontja</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Olyan KBF-ek részvényei vagy befektetési jegyei, amelyek mögöttes eszközei 1. szintű eszköznek minősülő eszközöknek felelnek meg, a pénzérmék, bankjegyek, és az EKB-val, továbbá valamely tagállam vagy harmadik ország központi bankjával szembeni kitettségek, valamint az (EU) 2015/61 felhatalmazáson alapuló rendelet 10. cikke (1) bekezdésének f) pontjában meghatározott rendkívül magas minőségű fedezett kötvények kivételével.</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lastRenderedPageBreak/>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u w:val="none"/>
              </w:rPr>
              <w:t>1.1.1.12. Alternatív likviditási megközelítések: Központi banki hitelkeret</w:t>
            </w:r>
          </w:p>
          <w:p w14:paraId="519DCA76" w14:textId="1E3024E9" w:rsidR="006E48EA" w:rsidRPr="000B6B22" w:rsidRDefault="00762F31">
            <w:pPr>
              <w:pStyle w:val="InstructionsText"/>
              <w:spacing w:after="120"/>
              <w:rPr>
                <w:rFonts w:cs="Times New Roman"/>
                <w:sz w:val="24"/>
                <w:szCs w:val="24"/>
              </w:rPr>
            </w:pPr>
            <w:r>
              <w:rPr>
                <w:sz w:val="24"/>
              </w:rPr>
              <w:t>Az (EU) 2015/61 felhatalmazáson alapuló rendelet 19. cikke (1) bekezdésének b) pontja</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rPr>
              <w:t>Az EKB, valamely tagállam vagy harmadik ország központi bankja által nyújtott hitelkeret le nem hívott összege, feltéve, hogy a keret megfelel az (EU) 2015/61 felhatalmazáson alapuló rendelet 19. cikke (1) bekezdése b) pontjának i–iii. alpontjában megállapított követelményeknek.</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Központi hitelintézetek: azon 1. szintű eszközök – a rendkívül magas minőségű fedezett kötvények kivételével –, amelyek a betétet elhelyező hitelintézet likvid eszközeinek minősülnek</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Az (EU) 2015/61 felhatalmazáson alapuló rendelet 27. cikkének (3) bekezdése</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Az (EU) 2015/61 felhatalmazáson alapuló rendelet 27. cikkének (3) bekezdése szerint azonosítani kell a betétet elhelyező hitelintézet likvid eszközeinek tekintett, központi intézménynél elhelyezett hitelintézeti betéteknek megfelelő likvid eszközöket. E likvid eszközök nem vehetők számításba a megfelelő betétekből eredő kiáramlástól eltérő kiáramlások fedezésére, és figyelmen kívül kell hagyni őket a 17. cikk szerinti fennmaradó likviditási puffer összetételének a központi intézményre vonatkozóan egyedi szinten történő számítása céljából.</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sz w:val="24"/>
              </w:rPr>
              <w:t>A központi intézmények ezen eszközök feltüntetésekor biztosítják, hogy e likvid eszközök haircut utáni, feltüntetett összege ne haladja meg a megfelelő betétekből eredő kiáramlást.</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Az ebben a sorban említett eszközök 1. szintű eszközök a rendkívül magas minőségű fedezett kötvények kivételével.</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1.1.1.14. Alternatív likviditási megközelítések: 1. szintűként elismert 2A. szintű eszközök</w:t>
            </w:r>
          </w:p>
          <w:p w14:paraId="22491EAB" w14:textId="030DF634" w:rsidR="006E48EA" w:rsidRPr="000B6B22" w:rsidRDefault="00762F31">
            <w:pPr>
              <w:pStyle w:val="InstructionsText"/>
              <w:spacing w:after="120"/>
              <w:rPr>
                <w:rFonts w:cs="Times New Roman"/>
                <w:sz w:val="24"/>
                <w:szCs w:val="24"/>
              </w:rPr>
            </w:pPr>
            <w:r>
              <w:rPr>
                <w:sz w:val="24"/>
              </w:rPr>
              <w:t>Az (EU) 2015/61 felhatalmazáson alapuló rendelet 19. cikke (1) bekezdésének c) pontja</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 xml:space="preserve">Ha nincs elegendő 1. szintű eszköz, a hitelintézetek megadják azon 2A. szintű eszközök összegét, amelyeket az (EU) 2015/61 felhatalmazáson alapuló rendelet 19. cikke (1) bekezdésének c) pontjával összhangban 1. szintűként ismernek el, és nem 2A. szintűként tüntetnek fel. Ezeket az </w:t>
            </w:r>
            <w:r>
              <w:rPr>
                <w:rFonts w:ascii="Times New Roman" w:hAnsi="Times New Roman"/>
                <w:sz w:val="24"/>
              </w:rPr>
              <w:lastRenderedPageBreak/>
              <w:t>eszközöket a 2A. szintű eszközökre vonatkozó szakaszban nem szabad feltüntetni.</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lastRenderedPageBreak/>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 Ki nem igazított 1. szintű rendkívül magas minőségű fedezett kötvények összesen</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sz w:val="24"/>
              </w:rPr>
              <w:t>Az (EU) 2015/61 felhatalmazáson alapuló rendelet 10., 15. és 16. cikke</w:t>
            </w:r>
          </w:p>
          <w:p w14:paraId="30667FE9" w14:textId="7F862AE7" w:rsidR="006E48EA" w:rsidRPr="000B6B22" w:rsidRDefault="006E48EA">
            <w:pPr>
              <w:pStyle w:val="InstructionsText"/>
              <w:spacing w:after="120"/>
              <w:rPr>
                <w:rFonts w:cs="Times New Roman"/>
                <w:sz w:val="24"/>
                <w:szCs w:val="24"/>
              </w:rPr>
            </w:pPr>
            <w:r>
              <w:rPr>
                <w:sz w:val="24"/>
              </w:rPr>
              <w:t>Az ebben az alszakaszban megadott eszközöket kifejezetten az (EU) 2015/61 felhatalmazáson alapuló rendelet szerinti 1. szintű eszközként azonosították, vagy akként kezelik, és azok vagy mögöttes eszközeik az (EU) 2015/61 felhatalmazáson alapuló rendelet 10. cikke (1) bekezdésének f) pontjában említett rendkívül magas minőségű fedezett kötvényeknek minősülnek.</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 hitelintézetek a 0010 oszlopban az 1. szintű rendkívül magas minőségű fedezett kötvények teljes összegét/piaci értékét adják meg, az (EU) 2015/61 felhatalmazáson alapuló rendelet 17. szerinti követelmények figyelembevétele nélkül.</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A hitelintézetek a 0040 oszlopban az 1. szintű rendkívül magas minőségű fedezett kötvények teljes súlyozott összegét adják meg, az (EU) 2015/61 felhatalmazáson alapuló rendelet 17. cikke szerinti követelmények figyelembevétele nélkül.</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1.1.2.1. Rendkívül magas minőségű fedezett kötvények</w:t>
            </w:r>
          </w:p>
          <w:p w14:paraId="5EC24061" w14:textId="6BE8A6B3" w:rsidR="006E48EA" w:rsidRPr="000B6B22" w:rsidRDefault="00DD4C72">
            <w:pPr>
              <w:pStyle w:val="InstructionsText"/>
              <w:spacing w:after="120"/>
              <w:rPr>
                <w:rFonts w:cs="Times New Roman"/>
                <w:sz w:val="24"/>
                <w:szCs w:val="24"/>
              </w:rPr>
            </w:pPr>
            <w:r>
              <w:rPr>
                <w:sz w:val="24"/>
              </w:rPr>
              <w:t>Az (EU) 2015/61 felhatalmazáson alapuló rendelet 10. cikke (1) bekezdésének f) pontja</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sz w:val="24"/>
              </w:rPr>
              <w:t>Az (EU) 2015/61 felhatalmazáson alapuló rendelet 10. cikke (1) bekezdésének f) pontjának megfelelő, rendkívül magas minőségű fedezett kötvények formáját öltő kitettségeket megtestesítő eszközök.</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1.1.2.2. Beszámítható KBF-részvények/befektetési jegyek: a mögöttes eszközök rendkívül magas minőségű fedezett kötvények</w:t>
            </w:r>
          </w:p>
          <w:p w14:paraId="3B0BFAA9" w14:textId="19E8AFCC" w:rsidR="006E48EA" w:rsidRPr="000B6B22" w:rsidRDefault="00DD4C72">
            <w:pPr>
              <w:pStyle w:val="InstructionsText"/>
              <w:spacing w:after="120"/>
              <w:rPr>
                <w:rFonts w:cs="Times New Roman"/>
                <w:sz w:val="24"/>
                <w:szCs w:val="24"/>
              </w:rPr>
            </w:pPr>
            <w:r>
              <w:rPr>
                <w:sz w:val="24"/>
              </w:rPr>
              <w:t>Az (EU) 2015/61 felhatalmazáson alapuló rendelet 15. cikke (2) bekezdésének c) pontja</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Olyan KBF-ek részvényei vagy befektetési jegyei, amelyek mögöttes eszközei az (EU) 2015/61 felhatalmazáson alapuló rendelet 10. cikke (1) bekezdésének f) pontjában meghatározott rendkívül magas minőségű fedezett kötvénynek minősülő eszközöknek felelnek meg.</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Központi hitelintézetek: 1. szintű rendkívül magas minőségű fedezett kötvények, amelyek a betétet elhelyező hitelintézet likvid eszközeinek minősülnek</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Az (EU) 2015/61 felhatalmazáson alapuló rendelet 27. cikkének (3) bekezdése</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 xml:space="preserve">Az (EU) 2015/61 felhatalmazáson alapuló rendelet 27. cikkének (3) bekezdése szerint azonosítani kell a betétet elhelyező hitelintézet likvid eszközeinek tekintett, központi intézménynél elhelyezett hitelintézeti betéteknek megfelelő likvid eszközöket. E likvid eszközök nem vehetők számításba a megfelelő betétekből eredő kiáramlástól eltérő kiáramlások fedezésére, és figyelmen kívül kell hagyni őket az (EU) 2015/61 </w:t>
            </w:r>
            <w:r>
              <w:rPr>
                <w:rFonts w:ascii="Times New Roman" w:hAnsi="Times New Roman"/>
                <w:sz w:val="24"/>
              </w:rPr>
              <w:lastRenderedPageBreak/>
              <w:t>felhatalmazáson alapuló rendelet 17. cikke szerinti fennmaradó likviditási puffer összetételének a központi intézményre vonatkozó, egyedi szinten történő számítása során.</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sz w:val="24"/>
              </w:rPr>
              <w:t>A központi intézmények ezen eszközök feltüntetésekor biztosítják, hogy e likvid eszközök haircut utáni, feltüntetett összege ne haladja meg a megfelelő betétekből eredő kiáramlást.</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Az ebben a sorban említett eszközök 1. szintű rendkívül magas minőségű fedezett kötvények.</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Összes ki nem igazított 2. szintű eszköz</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Az (EU) 2015/61 felhatalmazáson alapuló rendelet 11–16. és 19. cikke</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Az ebben a szakaszban megadott eszközöket kifejezetten az (EU) 2015/61 felhatalmazáson alapuló rendelet szerinti 2A. vagy 2B. szintű eszközként azonosították, vagy hasonlóan kezelik.</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A hitelintézetek a 0010 oszlopban az 2. szintű likvid eszközeik teljes összegét/piaci értékét adják meg.</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rPr>
              <w:t>A hitelintézetek 2. szintű likvid eszközeik 9. cikk szerint számított teljes értékét a 0040 oszlopban adják meg.</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Ki nem igazított 2A. SZINTŰ eszközök összesen</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Az (EU) 2015/61 felhatalmazáson alapuló rendelet 11., 15. és 19. cikke</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Az ebben az alszakaszban megadott eszközöket kifejezetten az (EU) 2015/61 felhatalmazáson alapuló rendelet szerinti 2A. szintű eszközként azonosították, vagy akként kezelik.</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 hitelintézetek a 0010 oszlopban a 2A. szintű eszközök teljes összegét/piaci értékét adják meg, az (EU) 2015/61 felhatalmazáson alapuló rendelet 17. cikke szerinti követelmények figyelembevétele nélkül.</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u w:val="none"/>
              </w:rPr>
              <w:t>A hitelintézetek a 0040 oszlopban a 2A. szintű eszközök teljes súlyozott összegét adják meg, az (EU) 2015/61 felhatalmazáson alapuló rendelet 17. cikke szerinti követelmények figyelembevétele nélkül.</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Regionális kormányzati / helyi hatósági vagy közszektorbeli intézményi eszközök (tagállam, 20 %-os kockázati súly)</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Az (EU) 2015/61 felhatalmazáson alapuló rendelet 11. cikke (1) bekezdésének a) pontja</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Valamely tagállam regionális kormányzataival, helyi hatóságaival vagy közszektorbeli intézményeivel szembeni követelést megtestesítő vagy általuk garantált eszközök, ha a kitettségek 20 %-os kockázati súlyt kapnak.</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Központi banki vagy központi/regionális kormányzati vagy helyi hatósági vagy közszektorbeli intézményi eszközök (harmadik ország, 20 %-os kockázati súly)</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Az (EU) 2015/61 felhatalmazáson alapuló rendelet 11. cikke (1) bekezdésének b) pontja</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lastRenderedPageBreak/>
              <w:t>Harmadik ország központi kormányzatával vagy központi bankjával vagy regionális kormányzatával, helyi hatóságával vagy közszektorbeli intézményével szembeni követelést megtestesítő vagy általuk garantált eszközök, ha 20 %-os kockázati súlyt kapnak.</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lastRenderedPageBreak/>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Magas minőségű fedezett kötvények (2. hitelminőségi besorolás)</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Az (EU) 2015/61 felhatalmazáson alapuló rendelet 11. cikke (1) bekezdésének c) pontja</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Az (EU) 2015/61 felhatalmazáson alapuló rendelet 11. cikke (1) bekezdése c) pontjának megfelelő magas minőségű fedezett kötvények formájában fennálló kitettségeket megtestesítő eszközök, amennyiben az említett eszközöknek valamely kijelölt külső hitelminősítő intézet olyan minősítést adott, amelyhez legalább az 575/2013/EU rendelet 129. cikke (4) bekezdése szerinti 2. hitelminőségi besorolás rendelhető.</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Magas minőségű fedezett kötvények (harmadik ország, 1. hitelminőségi besorolás)</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Az (EU) 2015/61 felhatalmazáson alapuló rendelet 11. cikke (1) bekezdésének d) pontja</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Az (EU) 2015/61 felhatalmazáson alapuló rendelet 11. cikke (1) bekezdése d) pontjának megfelelő, harmadik országbeli hitelintézet által kibocsátott fedezett kötvények formájában fennálló kitettségeket megtestesítő eszközök, amennyiben az említett eszközöknek valamely kijelölt külső hitelminősítő intézet olyan minősítést adott, amelyhez legalább az 575/2013/EU rendelet 129. cikke (4) bekezdése szerinti 1. hitelminőségi besorolás rendelhető.</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Vállalati adósságpapírok (1. hitelminőségi besorolás)</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Az (EU) 2015/61 felhatalmazáson alapuló rendelet 11. cikke (1) bekezdésének e) pontja</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Az (EU) 2015/61 felhatalmazáson alapuló rendelet 11. cikke (1) bekezdése e) pontjának megfelelő vállalati adósságpapírok.</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Beszámítható KBF-részvények/befektetési jegyek: a mögöttes eszközök 2A. szintű eszközök</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Az (EU) 2015/61 felhatalmazáson alapuló rendelet 15. cikke (2) bekezdésének d) pontja</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Olyan KBF-ek részvényei vagy befektetési jegyei, amelyek mögöttes eszközei az (EU) 2015/61 felhatalmazáson alapuló rendelet 11. cikkében meghatározott 2A. szintű eszköznek minősülő eszközöknek felelnek meg.</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Központi hitelintézetek: 2A. szintű eszközök, amelyek a betétet elhelyező hitelintézet likvid eszközeinek minősülnek</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Az (EU) 2015/61 felhatalmazáson alapuló rendelet 27. cikkének (3) bekezdése</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 xml:space="preserve">Az (EU) 2015/61 felhatalmazáson alapuló rendelet 27. cikkének (3) bekezdése szerint azonosítani kell a betétet elhelyező hitelintézet likvid </w:t>
            </w:r>
            <w:r>
              <w:rPr>
                <w:rFonts w:ascii="Times New Roman" w:hAnsi="Times New Roman"/>
                <w:sz w:val="24"/>
              </w:rPr>
              <w:lastRenderedPageBreak/>
              <w:t>eszközeinek tekintett, központi intézménynél elhelyezett hitelintézeti betéteknek megfelelő likvid eszközöket. E likvid eszközök nem vehetők számításba a megfelelő betétekből eredő kiáramlástól eltérő kiáramlások fedezésére, és figyelmen kívül kell hagyni őket az (EU) 2015/61 felhatalmazáson alapuló rendelet 17. cikke szerinti fennmaradó likviditási puffer összetételének a központi intézményre vonatkozó, egyedi szinten történő számítása céljából.</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sz w:val="24"/>
              </w:rPr>
              <w:t>A központi intézmények ezen eszközök feltüntetésekor biztosítják, hogy e likvid eszközök haircut utáni, feltüntetett összege ne haladja meg a megfelelő betétekből eredő kiáramlást.</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Az ebben a sorban említett eszközök 2A. szintű eszközök.</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lastRenderedPageBreak/>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Ki nem igazított 2B. SZINTŰ eszközök összesen</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Az (EU) 2015/61 felhatalmazáson alapuló rendelet 12–16. és 19. cikke</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Az ebben az alszakaszban megadott eszközöket kifejezetten az (EU) 2015/61 felhatalmazáson alapuló rendelet szerinti 2A. szintű eszközként azonosították.</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 hitelintézetek a 0010 oszlopban a 2B. szintű eszközök teljes összegét/piaci értékét adják meg, az (EU) 2015/61 felhatalmazáson alapuló rendelet 17. cikke szerinti követelmények figyelembevétele nélkül.</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A hitelintézetek a 0040 oszlopban a 2B. szintű eszközök teljes súlyozott összegét adják meg, az (EU) 2015/61 felhatalmazáson alapuló rendelet 17. cikke szerinti követelmények figyelembevétele nélkül.</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Eszközfedezetű értékpapírok (lakóingatlan, 1. hitelminőségi besorolás)</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Az (EU) 2015/61 felhatalmazáson alapuló rendelet 12. cikke (1) bekezdésének a) pontja és 13. cikke (2) bekezdése g) pontjának i. és ii. alpontja</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Az (EU) 2015/61 felhatalmazáson alapuló rendelet 13. cikke szerinti követelményeknek megfelelő eszközfedezetű értékpapírok formájában fennálló kitettségek, feltéve, hogy első helyi jelzáloggal biztosított lakóingatlannal fedezett hitelekkel vagy teljes mértékben garantált lakóingatlannal fedezett hitelekkel fedezettek, az (EU) 2015/61 felhatalmazáson alapuló rendelet 13. cikke (2) bekezdése g) pontja i. és ii. alpontjának megfelelően.</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E sorban kell adatot szolgáltatni az (EU) 2015/61 felhatalmazáson alapuló rendelet 37. cikkében meghatározott átmeneti rendelkezés hatálya alá tartozó eszközökről.</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Eszközfedezetű értékpapírok (gépjármű, 1. hitelminőségi besorolás)</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Az (EU) 2015/61 felhatalmazáson alapuló rendelet 12. cikke (1) bekezdésének a) pontja és 13. cikke (2) bekezdése g) pontjának iv. alpontja</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lastRenderedPageBreak/>
              <w:t>Az (EU) 2015/61 felhatalmazáson alapuló rendelet 13. cikkének megfelelő eszközfedezetű értékpapírok formájában fennálló kitettségek, feltéve, hogy gépjárműhitellel és -lízinggel fedezettek, az (EU) 2015/61 felhatalmazáson alapuló rendelet 13. cikke (2) bekezdése g) pontja iv. alpontjának megfelelően.</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lastRenderedPageBreak/>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Magas minőségű fedezett kötvények (35 %-os kockázati súly)</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Az (EU) 2015/61 felhatalmazáson alapuló rendelet 12. cikke (1) bekezdésének e) pontja</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Az (EU) 2015/61 felhatalmazáson alapuló rendelet 12. cikke (1) bekezdése e) pontjának megfelelő, hitelintézet által kibocsátott fedezett kötvények formájában fennálló kitettségeket megtestesítő eszközök, feltéve, hogy a mögöttes eszközök halmaza kizárólag olyan kitettségeket tartalmaz, amelyekhez a hitelkockázat tekintetében az 575/2013/EU rendelet 125. cikke értelmében legfeljebb 35 %-os kockázati súly rendelhető.</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Eszközfedezetű értékpapírok (vállalati vagy háztartási hitel, tagállam, 1. hitelminőségi besorolás)</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Az (EU) 2015/61 felhatalmazáson alapuló rendelet 12. cikke (1) bekezdésének a) pontja és 13. cikke (2) bekezdése g) pontjának iii. és v. alpontja</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Az (EU) 2015/61 felhatalmazáson alapuló rendelet 13. cikke szerinti követelményeknek megfelelő eszközfedezetű értékpapírok formájában fennálló kitettségek, feltéve, hogy az (EU) 2015/61 felhatalmazáson alapuló rendelet 13. cikke (2) bekezdése g) pontja iii. és v. alpontjában említett eszközökkel fedezettek. Ügyelni kell arra, hogy a 13. cikk (2) bekezdése g) pontja iii. alpontjának alkalmazásában a fedezeti halmazban lévő hitelfelvevők legalább 80 %-ának kkv-nak kell lennie az értékpapírosítás kibocsátási időpontjában.</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Vállalati adósságpapírok (2/3. hitelminőségi besorolás)</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Az (EU) 2015/61 felhatalmazáson alapuló rendelet 12. cikke (1) bekezdésének b) pontja</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Az (EU) 2015/61 felhatalmazáson alapuló rendelet 12. cikke (1) bekezdése b) pontjának megfelelő vállalati adósságpapírok.</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Vállalati adósságpapírok – nem kamatozó eszközök (hitelintézetek által vallási okokból tartott) (1/2/3. hitelminőségi besorolás)</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Az (EU) 2015/61 felhatalmazáson alapuló rendelet 12. cikkének (3) bekezdése</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 xml:space="preserve">Az illetékes hatóság engedélyezheti az (EU) 2015/61 felhatalmazáson alapuló rendelet 12. cikke (1) bekezdése b) pontjának ii. és iii. alpontjától való eltérést azon hitelintézetek számára, amelyek alapító okiratukkal összhangban vallási szokásból eredő okokból nem tarthatnak kamatozó eszközt, feltéve, hogy bizonyítható az említett alpontok követelményeit teljesítő nem kamatozó eszközök elégtelen </w:t>
            </w:r>
            <w:r>
              <w:rPr>
                <w:rFonts w:ascii="Times New Roman" w:hAnsi="Times New Roman"/>
                <w:sz w:val="24"/>
              </w:rPr>
              <w:lastRenderedPageBreak/>
              <w:t>rendelkezésre állása, és az érintett nem kamatozó eszközök megfelelően likvidek a magánpiacokon.</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Az említett hitelintézeteknek mindaddig adatot kell szolgáltatniuk a nem kamatozó eszközöket tartalmazó vállalati adósságpapírokról, amíg azok megfelelnek az (EU) 2015/61 felhatalmazáson alapuló rendelet 12. cikke (1) bekezdése b) pontjának i. alpontjában foglalt követelményeknek, és az illetékes hatóság megfelelően engedélyezte az eltérést.</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lastRenderedPageBreak/>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Részvények (jelentős tőzsdeindex)</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Az (EU) 2015/61 felhatalmazáson alapuló rendelet 12. cikke (1) bekezdésének c) pontja</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Az (EU) 2015/61 felhatalmazáson alapuló rendelet 12. cikke (1) bekezdése c) pontjának megfelelő részvények, amelyek a hitelintézet székhely szerinti tagállamának devizanemében denomináltak.</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sz w:val="24"/>
              </w:rPr>
              <w:t>A hitelintézetek feltüntetik a 12. cikk (1) bekezdése c) pontjának megfelelő, más devizanemben denominált részvényeket is, feltéve, hogy kizárólag addig az összegig számítanak 2B. szintűnek, amekkora összeg fedezi az abban a devizában vagy az annak a joghatóságnak a területén felmerült likviditáskiáramlást, amelyikben, illetve ahol a likviditási kockázatot vállalják.</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Nem kamatozó eszközök (hitelintézetek által vallási okokból tartott) (3–5. hitelminőségi besorolás)</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Az (EU) 2015/61 felhatalmazáson alapuló rendelet 12. cikke (1) bekezdésének f) pontja</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Azon hitelintézetek esetében, amelyek alapító okiratukkal összhangban vallási szokásból eredő okokból nem tarthatnak kamatozó eszközt, a központi bankokkal, harmadik ország központi kormányzatával vagy központi bankjával vagy harmadik országbeli regionális kormányzattal, helyi hatósággal vagy közszektorbeli intézménnyel szembeni követeléseket megtestesítő vagy általuk garantált nem kamatozó eszközök, feltéve, hogy az említett eszközöket valamely kijelölt külső hitelminősítő intézet az 575/2013/EU rendelet 114. cikkével összhangban legalább 5. hitelminőségi besorolásba tartozónak vagy rövid távú hitelminősítés esetében ennek megfelelő hitelminőségi besorolásúnak minősítette.</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Folyósítási kötelezettséget tartalmazó, korlátozott felhasználású központi banki likviditási keretek</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Az (EU) 2015/61 felhatalmazáson alapuló rendelet 12. cikke (1) bekezdésének d) pontja és 14. cikke</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Az (EU) 2015/61 felhatalmazáson alapuló rendelet 14. cikkének megfelelő, központi bankok által nyújtott, folyósítási kötelezettséget tartalmazó, korlátozott felhasználású likviditási keretek lehívatlan összege.</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lastRenderedPageBreak/>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Beszámítható KBF-részvények/befektetési jegyek: a mögöttes eszközök eszközfedezetű értékpapírok (lakóingatlan vagy gépjármű, 1. hitelminőségi besorolás)</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Az (EU) 2015/61 felhatalmazáson alapuló rendelet 15. cikke (2) bekezdésének e) pontja</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Olyan KBF-ek részvényei vagy befektetési jegyei, amelyek mögöttes eszközei az (EU) 2015/61 felhatalmazáson alapuló rendelet 13. cikke (2) bekezdése g) pontjának i., ii. és iv. alpontjában meghatározott 2B. szintű eszköznek minősülő eszközöknek felelnek meg.</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Beszámítható KBF-részvények/befektetési jegyek: a mögöttes eszközök magas minőségű fedezett kötvények (35 %-os kockázati súly)</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Az (EU) 2015/61 felhatalmazáson alapuló rendelet 15. cikke (2) bekezdésének f) pontja</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Olyan KBF-ek részvényei vagy befektetési jegyei, amelyek mögöttes eszközei az (EU) 2015/61 felhatalmazáson alapuló rendelet 12. cikke (1) bekezdése e) pontjában meghatározott 2B. szintű eszköznek minősülő eszközöknek felelnek meg.</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Beszámítható KBF-részvények/befektetési jegyek: a mögöttes eszközök eszközfedezetű értékpapírok (vállalati vagy háztartási hitel, tagállam, 1. hitelminőségi besorolás)</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Az (EU) 2015/61 felhatalmazáson alapuló rendelet 15. cikke (2) bekezdésének g) pontja</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Olyan KBF-ek részvényei vagy befektetési jegyei, amelyek mögöttes eszközei az (EU) 2015/61 felhatalmazáson alapuló rendelet 13. cikke (2) bekezdése g) pontjának iii. és v. alpontjában meghatározott 2B. szintű eszköznek minősülő eszközöknek felelnek meg. Ügyelni kell arra, hogy a 13. cikk (2) bekezdése g) pontja iii. alpontjának alkalmazásában a fedezeti halmazban lévő hitelfelvevők legalább 80 %-ának kkv-nak kell lennie az értékpapírosítás kibocsátási időpontjában.</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Beszámítható KBF-részvények/befektetési jegyek: a mögöttes eszközök vállalati adósságpapírok (2/3. hitelminőségi besorolás), részvények (jelentős tőzsdeindex) vagy nem kamatozó eszközök (hitelintézetek által vallási okokból tartott) (3–5. hitelminőségi besorolás)</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Az (EU) 2015/61 felhatalmazáson alapuló rendelet 15. cikke (2) bekezdésének h) pontja</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Olyan KBF-ek részvényei vagy befektetési jegyei, amelyek mögöttes eszközei az (EU) 2015/61 felhatalmazáson alapuló rendelet 12. cikke (1) bekezdése b) pontjának megfelelő vállalati adósságpapíroknak, az említett rendelet 12. cikke (1) bekezdése c) pontjának megfelelő részvényeknek vagy az említett rendelet 12. cikke (1) bekezdése f) pontjának megfelelő nem kamatozó eszközöknek felelnek meg.</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A hálózat tagja által központi intézménynél elhelyezett betét (kötelező befektetés nélkül)</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lastRenderedPageBreak/>
              <w:t>Az (EU) 2015/61 felhatalmazáson alapuló rendelet 16. cikke (1) bekezdésének b) pontja</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A központi intézménynél a hitelintézet által elhelyezett minimumbetét, feltéve, hogy jogszabályban vagy szerződésben szabályozott, az 575/2013/EU rendelet 113. cikke (7) bekezdésében említett intézményvédelmi rendszerhez, az említett rendelet 10. cikkében meghatározott mentességre jogosult hálózathoz vagy valamely tagállam szövetkezeti hálózatához tartozik.</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A hitelintézetek biztosítják, hogy a központi intézménynek ne legyen jogi vagy szerződéses kötelezettsége a betétek meghatározott szintű vagy kategóriájú likvid eszközökben tartására vagy azokba való befektetésére.</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lastRenderedPageBreak/>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A hálózat tagja számára a központi intézménynél rendelkezésre álló likviditásfinanszírozás (meghatározott fedezet nélkül)</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Az (EU) 2015/61 felhatalmazáson alapuló rendelet 16. cikkének (2) bekezdése</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Az (EU) 2015/61 felhatalmazáson alapuló rendelet 16. cikke (2) bekezdésének megfelelő korlátozott likviditásfinanszírozás lehívatlan összege.</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Központi hitelintézetek: 2B. szintű eszközök, amelyek a betétet elhelyező hitelintézet likvid eszközeinek minősülnek</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Az (EU) 2015/61 felhatalmazáson alapuló rendelet 27. cikkének (3) bekezdése</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Az (EU) 2015/61 felhatalmazáson alapuló rendelet 27. cikke (3) bekezdésének megfelelően azonosítani kell a betétet elhelyező hitelintézet likvid eszközeinek tekintett, központi intézménynél elhelyezett hitelintézeti betéteknek megfelelő likvid eszközöket. E likvid eszközök nem vehetők számításba a megfelelő betétekből eredő kiáramlástól eltérő kiáramlások fedezésére, és figyelmen kívül kell hagyni őket a 17. cikk szerinti fennmaradó likviditási puffer összetételének a központi intézményre vonatkozóan egyedi szinten történő számítása céljából.</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sz w:val="24"/>
              </w:rPr>
              <w:t>A központi intézmények ezen eszközök feltüntetésekor biztosítják, hogy e likvid eszközök haircut utáni, feltüntetett összege ne haladja meg a megfelelő betétekből eredő kiáramlást.</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Az ebben a sorban említett eszközök 2B. szintű eszközök.</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TÁJÉKOZTATÓ ADATOK</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sz w:val="24"/>
              </w:rPr>
              <w:t>2. A hálózat tagja által központi intézménynél elhelyezett betét (kötelező befektetéssel)</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Az (EU) 2015/61 felhatalmazáson alapuló rendelet 16. cikke (1) bekezdésének a) pontja</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lastRenderedPageBreak/>
              <w:t>A hitelintézeteknek itt az (EU) 2015/61 felhatalmazáson alapuló rendelet 16. cikke (1) bekezdésének a) pontja szerinti, a fenti szakaszokban megadott eszközök teljes összegét kell feltüntetniük.</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lastRenderedPageBreak/>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Devizális okokból kizárt 1/2A/2B. szintű eszközök</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Az (EU) 2015/61 felhatalmazáson alapuló rendelet 8. cikkének (6) bekezdése, 10. cikke (1) bekezdésének d) pontja és 12. cikke (1) bekezdésének c) pontja</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Az intézménynek itt a 10–16. cikkben említett 1., 2A. és 2B. szintű eszközök azon részét kell megadnia, amelyeket nem ismerhet el a 8. cikk (6) bekezdésével, a 10. cikk (1) bekezdésének d) pontjával és a 12. cikk (1) bekezdésének c) pontjával összhangban.</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Devizális okoktól eltérő operatív okokból kizárt 1/2A/2B. szintű eszközök</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Az (EU) 2015/61 felhatalmazáson alapuló rendelet 8. cikke</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A hitelintézeteknek itt az (EU) 2015/61 felhatalmazáson alapuló rendelet 7. cikkének megfelelő azon eszközöket kell megadniuk, amelyek nem teljesítik az (EU) 2015/61 felhatalmazáson alapuló rendelet 8. cikkében meghatározott követelményeket, feltéve, hogy az eszközöket nem tüntették fel devizális okokból a 0580. sorban.</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2. RÉSZ KIÁRAMLÁSOK</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t>Kiáramlások</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Pr>
          <w:rFonts w:ascii="Times New Roman" w:hAnsi="Times New Roman"/>
          <w:sz w:val="24"/>
          <w:u w:val="none"/>
        </w:rPr>
        <w:tab/>
        <w:t>Általános megjegyzések</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rPr>
          <w:rFonts w:ascii="Times New Roman" w:hAnsi="Times New Roman"/>
          <w:sz w:val="24"/>
        </w:rPr>
        <w:tab/>
        <w:t>Ez egy olyan összefoglaló tábla, amely az (EU) 2015/61 felhatalmazáson alapuló rendeletben meghatározott likviditásfedezeti követelményekkel kapcsolatos adatszolgáltatás céljából a következő 30 napon belüli likviditáskiáramlásra vonatkozó információkat tartalmazza. Szürke szín jelzi azokat a tételeket, amelyeket a hitelintézeteknek nem kell kitölteniük.</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rPr>
          <w:rFonts w:ascii="Times New Roman" w:hAnsi="Times New Roman"/>
          <w:sz w:val="24"/>
        </w:rPr>
        <w:tab/>
        <w:t>A hitelintézetek az 575/2013/EU rendelet 415. cikkének (2) bekezdésével összhangban a megfelelő devizanemben szolgáltatnak adatot a táblában.</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rPr>
          <w:rFonts w:ascii="Times New Roman" w:hAnsi="Times New Roman"/>
          <w:sz w:val="24"/>
        </w:rPr>
        <w:tab/>
        <w:t>Az ehhez az útmutatóhoz tartozó táblában szerepel néhány tájékoztató adat. Noha ezekre a ráta kiszámításához szigorúan véve nincs szükség, megadásuk mégis kötelező. Ezek az adatok az illetékes hatóságok számára ahhoz szükséges információt szolgáltatnak, hogy megfelelően értékelhessék a hitelintézetek likviditási követelményeknek való megfelelését. Néhány esetben a táblák fő szakaszaiban megadott elemek részletesebb bontását jelentik, más esetekben azon kiegészítő likviditási forrásokat tükrözik, amelyekhez a hitelintézetek hozzáférhetnek.</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rPr>
          <w:rFonts w:ascii="Times New Roman" w:hAnsi="Times New Roman"/>
          <w:sz w:val="24"/>
        </w:rPr>
        <w:tab/>
        <w:t>Az (EU) 2015/61 felhatalmazáson alapuló rendelet 22. cikkének (1) bekezdésével összhangban a likviditáskiáramlások:</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rPr>
          <w:rFonts w:ascii="Times New Roman" w:hAnsi="Times New Roman"/>
          <w:sz w:val="24"/>
        </w:rPr>
        <w:tab/>
        <w:t>magukban foglalják az (EU) 2015/61 felhatalmazáson alapuló rendelet 22. cikkének (2) bekezdésében említett kategóriákat</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rPr>
          <w:rFonts w:ascii="Times New Roman" w:hAnsi="Times New Roman"/>
          <w:sz w:val="24"/>
        </w:rPr>
        <w:tab/>
        <w:t>kiszámításuk különböző kategóriájú kötelezettségek és mérlegen kívüli kötelezettségvállalások fennálló egyenlegének és kiáramlásuk vagy lehívásuk várható rátájának szorzataként történik az (EU) 2015/61 felhatalmazáson alapuló rendeletben jelzett módon.</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rPr>
          <w:rFonts w:ascii="Times New Roman" w:hAnsi="Times New Roman"/>
          <w:sz w:val="24"/>
        </w:rPr>
        <w:tab/>
        <w:t>Az (EU) 2015/61 felhatalmazáson alapuló rendelet csak rátákra és haircutokra hivatkozik, a „súly” szó ezekre utal. Ebben az útmutatóban a „súlyozott” szót általános kifejezésként használjuk a vonatkozó haircutok, ráták és bármely egyéb releváns (például fedezett kölcsönügyletekre és finanszírozásra vonatkozó) kiegészítő előírás alkalmazása után kapott összeg megjelölésére.</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rPr>
          <w:rFonts w:ascii="Times New Roman" w:hAnsi="Times New Roman"/>
          <w:sz w:val="24"/>
        </w:rPr>
        <w:tab/>
        <w:t>Egy csoporton vagy intézményvédelmi rendszeren belüli kiáramlásokat (kivéve azokat a kiáramlásokat, amelyek egy csoport vagy intézményvédelmi rendszer tagjai által nyújtott, le nem hívott hitel- vagy likviditási keretből származnak, ha az illetékes hatóság engedélyezte kedvezményes kiáramlási arány alkalmazását, és azokat a kiáramlásokat, amelyek egy intézményvédelmi rendszer vagy szövetkezeti hálózat keretében elhelyezett operatív betétekből származnak) a vonatkozó kategóriákban kell megadni. Ezeket a kiáramlásokat külön, tájékoztató adatként is fel kell tüntetni.</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lastRenderedPageBreak/>
        <w:t>7.</w:t>
      </w:r>
      <w:r>
        <w:rPr>
          <w:rFonts w:ascii="Times New Roman" w:hAnsi="Times New Roman"/>
          <w:sz w:val="24"/>
        </w:rPr>
        <w:tab/>
        <w:t xml:space="preserve">A likviditáskiáramlásokat csak egyszer kell megadni a táblában, kivéve, ha az (EU) 2015/61 felhatalmazáson alapuló rendelet 30. cikke értelmében további kiáramlás alkalmazandó, vagy ha az adat „ebből” adatként vagy tájékoztató adatként is szerepel.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rPr>
          <w:rFonts w:ascii="Times New Roman" w:hAnsi="Times New Roman"/>
          <w:sz w:val="24"/>
        </w:rPr>
        <w:tab/>
        <w:t>Az 575/2013/EU rendelet 415. cikkének (2) bekezdésében említett külön jelentés esetében a következők mindig alkalmazandók:</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rPr>
          <w:rFonts w:ascii="Times New Roman" w:hAnsi="Times New Roman"/>
          <w:sz w:val="24"/>
        </w:rPr>
        <w:tab/>
      </w:r>
      <w:r>
        <w:rPr>
          <w:rFonts w:ascii="Times New Roman" w:hAnsi="Times New Roman"/>
          <w:sz w:val="24"/>
          <w:u w:color="000000"/>
        </w:rPr>
        <w:t>csak az adott devizában denominált adatokat és áramlásokat kell megadni;</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rPr>
          <w:rFonts w:ascii="Times New Roman" w:hAnsi="Times New Roman"/>
          <w:sz w:val="24"/>
        </w:rPr>
        <w:tab/>
        <w:t>egy ügylet oldalai közti devizanem-eltérés esetén csak az adott devizanemben lévő oldalt kell megadni;</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rPr>
          <w:rFonts w:ascii="Times New Roman" w:hAnsi="Times New Roman"/>
          <w:sz w:val="24"/>
        </w:rPr>
        <w:tab/>
        <w:t>ha az (EU) 2015/61 felhatalmazáson alapuló rendelet megengedi a nettósítást, azt csak az adott devizanemben lévő áramlásokra lehet alkalmazni;</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rPr>
          <w:rFonts w:ascii="Times New Roman" w:hAnsi="Times New Roman"/>
          <w:sz w:val="24"/>
        </w:rPr>
        <w:tab/>
        <w:t>ha az áramlás többdevizás opcionalitással rendelkezik, a hitelintézetnek értékelnie kell a devizanemet, amelyben az áramlásra várhatóan sor kerül, és a tételt csak ebben a külön devizanemben kell megadnia.</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rPr>
          <w:rFonts w:ascii="Times New Roman" w:hAnsi="Times New Roman"/>
          <w:sz w:val="24"/>
        </w:rPr>
        <w:tab/>
        <w:t>A XXIV. melléklet C 73.00 táblájának 0040 oszlopában szereplő standard súlyok az (EU) 2015/61 felhatalmazáson alapuló rendeletben alapértelmezés szerint meghatározottak, és tájékoztatásul szerepelnek itt.</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rPr>
          <w:rFonts w:ascii="Times New Roman" w:hAnsi="Times New Roman"/>
          <w:sz w:val="24"/>
        </w:rPr>
        <w:tab/>
        <w:t>A tábla információkat tartalmaz az (EU) 2015/61 felhatalmazáson alapuló rendeletben „fedezett kölcsönügyletként és tőkepiac-vezérelt ügyletként” említett fedezett likviditásáramlásokról, az említett rendeletben meghatározott likviditásfedezeti ráta kiszámításának céljára. Amennyiben ezeket az ügyleteket biztosítéki portfólióval szemben hajtják végre, az ebben a táblában történő adatszolgáltatás céljából a zálogjoggal terhelt konkrét eszközök azonosítására az (EU) 2015/61 felhatalmazáson alapuló rendelet II. címének 2. fejezetében meghatározott likvideszköz-kategóriák szerint kerül sor, a legkevésbé likvid eszközöktől kezdve. Ezzel egyidejűleg, a biztosítéki portfólióval szemben kötött, eltérő hátralévő futamidővel rendelkező ügyletek esetében először a leghosszabb hátralévő futamidővel rendelkező ügyletekhez rendelik hozzá a legkevésbé likvid eszközöket.</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rPr>
          <w:rFonts w:ascii="Times New Roman" w:hAnsi="Times New Roman"/>
          <w:sz w:val="24"/>
        </w:rPr>
        <w:tab/>
        <w:t>Külön táblában szerepelnek a biztosítéki csereügyletek, a XXIV. melléklet C 75.01 táblájában. A biztosítéki csereügyleteket, amelyek biztosíték biztosíték ellenében típusú ügyletek, nem szabad megadni a XXIV. melléklet C 73.00 kiáramlási táblájában, mivel az csak a készpénz biztosíték ellenében típusú ügyletekre terjed ki.</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Pr>
          <w:rFonts w:ascii="Times New Roman" w:hAnsi="Times New Roman"/>
          <w:sz w:val="24"/>
          <w:u w:val="none"/>
        </w:rPr>
        <w:tab/>
        <w:t>Az elszámolási és jövőben induló határidős ügyletekre vonatkozó külön megjegyzések</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rPr>
          <w:rFonts w:ascii="Times New Roman" w:hAnsi="Times New Roman"/>
          <w:sz w:val="24"/>
        </w:rPr>
        <w:tab/>
        <w:t xml:space="preserve">A hitelintézeteknek a 30 napos időtávon belül induló és a 30 napos időtávon túl lejáró olyan jövőben induló határidős repoügyletekből, fordított repoügyletekből és biztosítéki csereügyletekből származó kiáramlásokat kell feltüntetniük, ahol az induló oldal kiáramlást keletkeztet. Fordított repoügylet esetében a partnernek kölcsönzendő </w:t>
      </w:r>
      <w:r>
        <w:rPr>
          <w:rFonts w:ascii="Times New Roman" w:hAnsi="Times New Roman"/>
          <w:sz w:val="24"/>
        </w:rPr>
        <w:lastRenderedPageBreak/>
        <w:t>összeget kiáramlásnak kell tekinteni és az 1.1.8.6. tételnél kell megadni a biztosítékként járó eszköz piaci értéke nélkül és a kapcsolódó LCR-haircut alkalmazása után, ha az eszköz likvid eszköznek minősül. Ha a kölcsönzendő összeg alacsonyabb mint a biztosítékként járó eszköz piaci értéke (LCR-haircut után), a különbözetet beáramlásként kell feltüntetni. Ha a járó biztosíték nem minősül likvid eszköznek, a teljes kiáramlást kell feltüntetni. Repoügylet esetében, ha a biztosítékként kölcsönzendő eszköz piaci értéke a kapcsolódó LCR-haircut után (ha az eszköz likvid eszköznek minősül) nagyobb, mint a járó készpénzösszeg, a különbözetet a fent említett sorban kiáramlásként kell feltüntetni. Ha a járó összeg nagyobb mint a kölcsönzendő eszköz piaci értéke (LCR-haircut után), a különbözetet beáramlásként kell feltüntetni. Biztosítéki csereügyletek esetében, amennyiben a likvid eszközök kezdeti csereügyletének nettó hatása (figyelembe véve az LCR-haircutokat) kiáramlást eredményez, ezt a kiáramlást a fent említett sorban kell feltüntetni.</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A likviditásfedezeti ráta 30 napos időtávján belül induló és lejáró határidős repoügyletek, határidős fordított repoügyletek és határidős biztosítéki csereügyletek nincsenek hatással a bank likviditásfedezeti követelményére, és figyelmen kívül hagyhatók.</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rPr>
          <w:rFonts w:ascii="Times New Roman" w:hAnsi="Times New Roman"/>
          <w:sz w:val="24"/>
        </w:rPr>
        <w:tab/>
        <w:t>A XXIV. melléklet C 73.00 táblájának 1. szakaszára vonatkozó döntési fa; a döntési fa nincs kihatással a tájékoztató adatok szolgáltatására. A döntési fa az útmutató része, amely az egyes feltüntetett adatok hozzárendelésére vonatkozóan határozza meg a rangsorolás értékelési kritériumait, hogy biztosítsa a homogén és összehasonlító adatszolgáltatást. Önmagában nem elég végighaladni a döntési fán, a hitelintézeteknek az útmutató többi részének is mindenkor meg kell felelniük. Az egyszerűség kedvéért a döntési fa figyelmen kívül hagyja az összegeket és részösszegeket; ez azonban nem jelenti azt, hogy ezeket ne kellene megadni. A „felhatalmazáson alapuló rendelet” az (EU) 2015/61 felhatalmazáson alapuló rendeletre utal.</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rPr>
              <w:t>Tétel</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rPr>
              <w:t>Döntés</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rPr>
              <w:t>Adatszolgáltatás</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Jövőben induló határidős ügylet</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Az adatszolgáltatási időpontot követően kötött határidős ügylet;</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Nem kell feltüntetni</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Nem</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 30 napos időtávon belül induló és a 30 napos időtávon túl lejáró olyan jövőben induló határidős ügylet, ahol az induló oldal nettó kiáramlást keletkeztet.</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rPr>
              <w:t xml:space="preserve"> 1.1.8.6. azonosító</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rPr>
              <w:t>Nem kell feltüntetni</w:t>
            </w:r>
            <w:r>
              <w:rPr>
                <w:rFonts w:ascii="Times New Roman" w:hAnsi="Times New Roman"/>
                <w:sz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További kiáramlást igénylő tételek a felhatalmazáson alapuló rendelet 30. cikke szerint?</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rPr>
              <w:t># 5 majd azt követően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Az 575/2013/EU rendelet 411. cikkének (2) </w:t>
            </w:r>
            <w:r>
              <w:rPr>
                <w:rFonts w:ascii="Times New Roman" w:hAnsi="Times New Roman"/>
                <w:sz w:val="24"/>
              </w:rPr>
              <w:lastRenderedPageBreak/>
              <w:t>bekezdése szerinti lakossági betét?</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lastRenderedPageBreak/>
              <w:t>Igen</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Kevesebb, mint 30 naptári napos hátralévő futamidejű, felmondott betét, amelynek esetében megállapodás született egy másik hitelintézet részére való kifizetésről?</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1.1.1.2. azonosító</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 felhatalmazáson alapuló rendelet 25. cikkének (4) bekezdése szerinti betét?</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rPr>
              <w:t>1.1.1.1. azonosító</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 felhatalmazáson alapuló rendelet 25. cikkének (5) bekezdése szerinti betét?</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1.1.1.6. azonosító</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 felhatalmazáson alapuló rendelet 25. cikkének (2) bekezdése szerinti betét?</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rPr>
              <w:t>Az 1.1.1.3. azonosító egyik releváns tételéhez rendelendő.</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 felhatalmazáson alapuló rendelet 24. cikkének (4) bekezdése szerinti betét?</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rPr>
              <w:t>1.1.1.5. azonosító</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 felhatalmazáson alapuló rendelet 24. cikkének (1) bekezdése szerinti betét?</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1.1.1.4. azonosító</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1.1.1.7. azonosító</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rPr>
              <w:t>Olyan kötelezettségek, amelyek esedékessé válnak, amelyeknek a kibocsátó vagy a forrás nyújtója kérheti a teljesítését, vagy amelyek vonatkozásában a forrás nyújtója azzal a feltételezéssel élhet, miszerint a hitelintézet a következő 30 naptári napon belül visszafizeti a kötelezettséget?</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Az intézmény saját működési költségeiből származó kötelezettségek?</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1.1.8.1. azonosító</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Kizárólag a lakossági piacon értékesített és lakossági számlán tartott kötvény formájában fennálló kötelezettség a felhatalmazáson alapuló rendelet 28. cikkének (6) bekezdése szerint?</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rPr>
              <w:t>Kövesse a lakossági betétekre vonatkozó utasítást (azaz válaszoljon igennel az # 5 pontnál és járjon el annak megfelelően)</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Hitelviszonyt megtestesítő értékpapír formájában fennálló kötelezettség?</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1.1.8.2. azonosító</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Biztosítékként kapott betét?</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rPr>
              <w:t>Az 1.1.5. azonosító releváns tételeihez rendelendő.</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Levelező banki vagy elsődleges ügynöki (prime brokerage) szolgáltatásokból eredő betét?</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1.1.4.1. azonosító</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 felhatalmazáson alapuló rendelet 27. cikke szerinti operatív betét?</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Intézményvédelmi rendszer vagy szövetkezeti hálózat keretében elhelyezett betét?</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 betétet elhelyező intézmény likvid eszközeiként kezelt?</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1.1.2.2.2. azonosító</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Hálózaton belül készpénzklíring és központi hitelintézet által nyújtott szolgáltatások igénybevétele céljából elhelyezett betét?</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1.1.2.4. azonosító</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1.1.2.2.1. azonosító</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rPr>
              <w:t>Stabil operatív kapcsolat keretében klíring-, letéti, készpénzmenedzsment vagy egyéb hasonló szolgáltatás céljából elhelyezett betét?</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rPr>
              <w:t>Az 1.1.2.1. azonosító egyik releváns tételéhez rendelendő.</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rPr>
              <w:t>Nem pénzügyi ügyfeleknél (egyéb) stabil operatív kapcsolat keretében elhelyezett betét?</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1.1.2.3. azonosító</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rPr>
              <w:t>Többlet operatív betét?</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Igen</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Az 1.1.3. azonosító egyik releváns tételéhez rendelendő.</w:t>
            </w:r>
          </w:p>
        </w:tc>
      </w:tr>
      <w:tr w:rsidR="00B47B7D" w:rsidRPr="000B6B22" w14:paraId="2AB9D9FB" w14:textId="77777777" w:rsidTr="0059273D">
        <w:tc>
          <w:tcPr>
            <w:tcW w:w="529" w:type="dxa"/>
            <w:vMerge/>
            <w:shd w:val="clear" w:color="auto" w:fill="auto"/>
            <w:vAlign w:val="center"/>
          </w:tcPr>
          <w:p w14:paraId="59F97FC8" w14:textId="77777777" w:rsidR="008D2CDE" w:rsidRPr="000B6B22" w:rsidRDefault="008D2CDE" w:rsidP="009D4EFF">
            <w:pPr>
              <w:pStyle w:val="TableParagraph"/>
              <w:spacing w:after="120"/>
              <w:ind w:left="7"/>
              <w:jc w:val="both"/>
              <w:rPr>
                <w:rFonts w:ascii="Times New Roman" w:hAnsi="Times New Roman"/>
                <w:sz w:val="24"/>
                <w:szCs w:val="24"/>
                <w:lang w:val="en-GB"/>
              </w:rPr>
            </w:pPr>
          </w:p>
        </w:tc>
        <w:tc>
          <w:tcPr>
            <w:tcW w:w="5550" w:type="dxa"/>
            <w:vMerge/>
            <w:shd w:val="clear" w:color="auto" w:fill="auto"/>
            <w:vAlign w:val="center"/>
          </w:tcPr>
          <w:p w14:paraId="53A7F977" w14:textId="77777777" w:rsidR="008D2CDE" w:rsidRPr="000B6B22" w:rsidRDefault="008D2CDE" w:rsidP="009D4EFF">
            <w:pPr>
              <w:pStyle w:val="TableParagraph"/>
              <w:spacing w:after="120"/>
              <w:ind w:left="243"/>
              <w:jc w:val="both"/>
              <w:rPr>
                <w:rFonts w:ascii="Times New Roman" w:hAnsi="Times New Roman"/>
                <w:sz w:val="24"/>
                <w:szCs w:val="24"/>
                <w:lang w:val="en-GB"/>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Nem</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Egyéb betét?</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Pénzügyi ügyfelek által elhelyezett betét?</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1.1.4.2. azonosító</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xml:space="preserve">Az 1.1.4.3. azonosító egyik releváns tételéhez </w:t>
            </w:r>
            <w:r>
              <w:rPr>
                <w:rFonts w:ascii="Times New Roman" w:hAnsi="Times New Roman"/>
                <w:sz w:val="24"/>
              </w:rPr>
              <w:lastRenderedPageBreak/>
              <w:t>rendelendő.</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Fedezett kölcsönügyletekből és tőkepiac-vezérelt ügyletekből eredő kötelezettség, a származékos ügyletek és a biztosítéki csereügyletek kivételével?</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Az 1.2. azonosító egyik releváns tételéhez rendelendő.</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Biztosítéki csereügyletből származó kötelezettség?</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rPr>
              <w:t>A C75.01 tábla és az 1.3. azonosító egyik releváns tételéhez rendelendő, ahol alkalmazandó.</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Származtatott ügyletekből eredő kiáramlást eredményező kötelezettség a felhatalmazáson alapuló rendelet 30. cikkének (4) bekezdése szerint?</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1.1.5.5. azonosító</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 következő 30 napban esedékessé váló bármely egyéb kötelezettség?</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Igen</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1.1.8.3 azonosító</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Nem</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Nem pénzügyi ügyfeleknek történő finanszírozásnyújtásra vonatkozó, a következő 30 napban esedékes szerződéses kötelezettségvállalás, amely meghaladja az ezen ügyfelektől származó beáramlásokat?</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Igen</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A következő azonosítók egyike: 1.1.8.4.1 –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Nem</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 következő 30 napban esedékes, fent nem említett egyéb kiáramlás?</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Igen</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1.1.8.6 azonosító</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Nem</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Folyósítási kötelezettséget tartalmazó hitel- és likviditási keretekből lehívható, le nem hívott összeg a felhatalmazáson alapuló rendelet 31. cikke szerint?</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Folyósítási kötelezettséggel járó hitelkeret?</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Intézményvédelmi rendszeren vagy szövetkezeti hálózaton belül, a betétet elhelyező intézmény által likvid eszközként kezelt?</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1.1.6.1.6. azonosító</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Csoporton vagy intézményvédelmi rendszeren belül, kedvezményes kezelés alá tartozik?</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1.1.6.1.5. azonosító</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rPr>
              <w:t xml:space="preserve">Az 1.1.6.1. azonosító egyik releváns </w:t>
            </w:r>
            <w:r>
              <w:rPr>
                <w:rFonts w:ascii="Times New Roman" w:hAnsi="Times New Roman"/>
                <w:sz w:val="24"/>
              </w:rPr>
              <w:lastRenderedPageBreak/>
              <w:t>fennmaradó tételéhez rendelendő.</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Folyósítási kötelezettséggel járó likviditási keret?</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n.a.</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rPr>
              <w:t>n.a.</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Intézményvédelmi rendszeren vagy szövetkezeti hálózaton belül, a betétet elhelyező intézmény által likvid eszközként kezelt?</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1.1.6.2.7. azonosító</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Csoporton vagy intézményvédelmi rendszeren belül, kedvezményes kezelés alá tartozik?</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1.1.6.2.6. azonosító</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Különleges célú gazdasági egységeknek?</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Az 1.1.6.2.4. azonosító egyik releváns tételéhez rendelendő.</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rPr>
              <w:t>#41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Magánbefektetési társaságnak?</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1.1.6.2.3. azonosító</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Az 1.1.6.2. azonosító egyik releváns fennmaradó tételéhez rendelendő.</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Egyéb termék vagy szolgáltatás a felhatalmazáson alapuló rendelet 23. cikke szerint?</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rPr>
              <w:t>Nem kell feltüntetni</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Kereskedelemfinanszírozással kapcsolatos mérlegen kívüli termék?</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1.1.7.8. azonosító</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Bankközi partnereknek nyújtott le nem hívott hitelek és előlegek?</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1.1.7.2. azonosító</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Már megkötött, de még le nem hívott jelzáloghitelek</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1.1.7.3. azonosító</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Lakossági vagy bankközi hitelek megújításával vagy új hitelek nyújtásával kapcsolatos tervezett kiáramlás?</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1.1.7.6. azonosító</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rPr>
              <w:t>#</w:t>
            </w:r>
            <w:r>
              <w:rPr>
                <w:rFonts w:ascii="Times New Roman" w:hAnsi="Times New Roman"/>
                <w:sz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Hitelkártyák?</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1.1.7.4. azonosító</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Folyószámlahitelek?</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1.1.7.5. azonosító</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Származtatott ügyletekből eredő kötelezettség?</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1.1.7.7. azonosító</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Egyéb mérlegen kívüli és függő finanszírozási kötelezettség?</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1.1.7.1. azonosító</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1.1.7.9. azonosító</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 C 73.00 tábla 1.1.8.2. tételénél már megadott hitelviszonyt megtestesítő értékpapír?</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Nem kell feltüntetni</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 # 29 kérdésnél már figyelembe vett, származtatott ügyletekre vonatkozó likviditási követelmény a felhatalmazáson alapuló rendelet 30. cikkének (4) bekezdése szerint?</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Igen</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Nem kell feltüntetni</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rPr>
              <w:t>Az 1.1.5. azonosító releváns tételeihez rendelendő.</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Pr>
          <w:rFonts w:ascii="Times New Roman" w:hAnsi="Times New Roman"/>
          <w:sz w:val="24"/>
          <w:u w:val="none"/>
        </w:rPr>
        <w:tab/>
        <w:t>A tábla egyes oszlopaira vonatkozó útmutató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6932"/>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Oszlop</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Jogszabályi hivatkozások és útmutató</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Összeg</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rPr>
                <w:rFonts w:ascii="Times New Roman" w:hAnsi="Times New Roman"/>
                <w:sz w:val="24"/>
                <w:u w:color="000000"/>
              </w:rPr>
              <w:tab/>
              <w:t>Fedezetlen ügyletekre/betétekre vonatkozó külön útmutató:</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rPr>
              <w:t>A hitelintézeteknek itt az (EU) 2015/61 felhatalmazáson alapuló rendelet 22–31. cikkében meghatározottak szerinti különböző kategóriájú kötelezettségek és mérlegen kívüli kötelezettségvállalások fennálló egyenlegét kell megadniuk.</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rPr>
              <w:t>Az egyes kiáramlási kategóriákon belül az illetékes hatóság előzetes jóváhagyásától függően, a XXIV. melléklet C 73.00 táblájának 0010 oszlopában megadott minden egyes tétel összegét nettósítani kell a kölcsönös függőséget mutató beáramlás releváns összegének levonásával, a 26. cikknek megfelelően.</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rPr>
                <w:rFonts w:ascii="Times New Roman" w:hAnsi="Times New Roman"/>
                <w:sz w:val="24"/>
                <w:u w:color="000000"/>
              </w:rPr>
              <w:tab/>
              <w:t>Fedezett kölcsönügyletekre és tőkepiac-vezérelt ügyletekre vonatkozó külön útmutató:</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rPr>
              <w:t>A hitelintézeteknek itt kell megadniuk az (EU) 2015/61 felhatalmazáson alapuló bizottsági rendelet 22. cikkének (2) bekezdése szerinti azon kötelezettségek fennálló egyenlegét, amelyek a fedezett ügylet készpénzoldalát testesítik meg.</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Nyújtott biztosíték piaci értéke</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u w:color="000000"/>
              </w:rPr>
              <w:t>Fedezett kölcsönügyletekre és tőkepiac-vezérelt ügyletekre vonatkozó külön útmutató:</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rPr>
              <w:lastRenderedPageBreak/>
              <w:t>A hitelintézeteknek itt kell megadniuk a nyújtott biztosíték piaci értékét, amelyet a haircut levonása nélküli és a kifutó kapcsolódó fedezeti ügyletekből eredő áramlások levonásával vett aktuális piaci értékként kell kiszámítani, az (EU) 2015/61 felhatalmazáson alapuló rendelet 8. cikke (5) bekezdésének megfelelően, és a következő feltételekkel:</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rPr>
                <w:rFonts w:ascii="Times New Roman" w:hAnsi="Times New Roman"/>
                <w:sz w:val="24"/>
              </w:rPr>
              <w:tab/>
              <w:t>Ha a hitelintézet külföldi devizában lévő részvényeinek, vagy külföldi devizában lévő központi kormányzati vagy banki eszközeinek, vagy hazai devizában lévő központi kormányzati vagy központi banki eszközeinek csak egy részét ismerheti el magas minőségű likvid eszközei között, akkor csak az elismerhető részt kell feltüntetni az (EU) 2015/61 felhatalmazáson alapuló rendelet 12. cikke (1) bekezdése c) pontja ii. alpontjának és 10. cikke (1) bekezdése d) pontjának megfelelő 1., 2A. és 2B. szintű eszközökre vonatkozó sorokban. Ha az adott eszközt biztosítékként használják, de olyan összegben, amely a likvid eszközökön belül elismerhető részt meghaladja, a többletösszeget a nem likvid eszközökre vonatkozó szakaszban kell feltüntetni.</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rPr>
                <w:rFonts w:ascii="Times New Roman" w:hAnsi="Times New Roman"/>
                <w:sz w:val="24"/>
              </w:rPr>
              <w:tab/>
              <w:t>A 2A. szintű eszközöket a megfelelő 2A. szintű eszközökre vonatkozó sorban kell feltüntetni, akkor is, ha az alternatív likviditási megközelítést követik (vagyis ne helyezzék át a 2A. szintű eszközöket az 1. szintű eszközökhöz a fedezett ügyletekre vonatkozó adatszolgáltatás során).</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A nyújtott biztosíték 9. cikk szerinti értéke</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u w:color="000000"/>
              </w:rPr>
              <w:t>Fedezett kölcsönügyletekre és tőkepiac-vezérelt ügyletekre vonatkozó külön útmutató:</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rPr>
              <w:t>A hitelintézeteknek itt kell megadniuk a nyújtott biztosítéknak az (EU) 2015/61 felhatalmazáson alapuló rendelet 9. cikke szerinti értékét. Ezt a XXIV. melléklet C 73.00 táblája 0020 oszlopának és a XXIV. melléklet C 72.00 táblájából az eszköztípusnak megfelelő alkalmazandó súlynak/haircutnak a szorzataként kell kiszámítani. A XXIV. melléklet C 73.00 táblájának 0030 oszlopát a XXIV. melléklet C 76.00 táblájában lévő likvid eszközök kiigazított összegének kiszámításához kell felhasználni.</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Standard súly</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rPr>
              <w:t>Az (EU) 2015/61 felhatalmazáson alapuló rendelet 24–31a. cikke</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rPr>
              <w:t>A 0040. oszlopban szereplő standard súlyok az (EU) 2015/61 felhatalmazáson alapuló rendeletben alapértelmezés szerint meghatározottak, és itt csak tájékoztatásul szerepelnek.</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Alkalmazandó súly</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rPr>
              <w:t>Fedezetlen és fedezett egyaránt:</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rPr>
              <w:t xml:space="preserve">A hitelintézeteknek itt kell megadniuk az alkalmazandó súlyokat. Ezek a súlyok az (EU) 2015/61 felhatalmazáson alapuló rendelet 22–31a. cikkében meghatározott súlyok. Az alkalmazandó súlyok súlyozott átlagértékeket eredményezhetnek, és feltüntetésük tizedes </w:t>
            </w:r>
            <w:r>
              <w:rPr>
                <w:rFonts w:ascii="Times New Roman" w:hAnsi="Times New Roman"/>
                <w:sz w:val="24"/>
              </w:rPr>
              <w:lastRenderedPageBreak/>
              <w:t>rendszerben történik (azaz 1,00 a 100 százalékos alkalmazandó súly esetében, vagy 0,50 az 50 százalékos alkalmazandó súly esetében). Az alkalmazandó súlyok tükrözhetnek többek között vállalatspecifikus vagy nemzeti megfontolásokat is.</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rPr>
              <w:t>Kiáramlás</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Fedezetlen és fedezett egyaránt:</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rPr>
              <w:t>A hitelintézeteknek itt kell megadniuk a kiáramlásokat. Ezeket a kiáramlásokat a XXIV. melléklet C 73.00 táblája 0010 oszlopának és a XXIV. melléklet C 73.00 táblája 0050 oszlopának a szorzataként kell kiszámítani.</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Pr>
          <w:rFonts w:ascii="Times New Roman" w:hAnsi="Times New Roman"/>
          <w:sz w:val="24"/>
          <w:u w:val="none"/>
        </w:rPr>
        <w:tab/>
        <w:t>A tábla egyes soraira vonatkozó útmutató</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Sor</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Jogszabályi hivatkozások és útmutató</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 KIÁRAMLÁSOK</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III. címének 2. fejezete</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A hitelintézeteknek itt kell adatot szolgáltatniuk az (EU) 2015/61 felhatalmazáson alapuló rendelet III. címének 2. fejezete szerinti kiáramlásokról.</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 Fedezetlen ügyletek/betétek kiáramlásai</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20–31a. cikke</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 hitelintézeteknek itt kell adatot szolgáltatniuk az (EU) 2015/61 felhatalmazáson alapuló rendelet 21–31a. cikke szerinti kiáramlásokról, az említett felhatalmazáson alapuló rendelet 28. cikke (3) és (4) bekezdése szerinti kiáramlások kivételével.</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 Lakossági betétek</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24. és 25. cikke</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A hitelintézeteknek itt kell adatot szolgáltatniuk az 575/2013/EU rendelet 411. cikkének 2. pontjában meghatározott lakossági betétekről.</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rPr>
              <w:t>A hitelintézeteknek a lakossági betétek megfelelő kategóriáján belül adatot kell szolgáltatniuk továbbá a kizárólag a lakossági piacon értékesített és lakossági számlán tartott kibocsátott adósságlevélről, kötvényről és egyéb értékpapírról is, az (EU) 2015/61 felhatalmazáson alapuló rendelet 28. cikkének (6) bekezdésében említettek szerint. A hitelintézetek ezen kötelezettségkategória esetében figyelembe veszik az (EU) 2015/61 felhatalmazáson alapuló rendeletben előírt, a lakossági betétek különböző kategóriáira vonatkozóan alkalmazandó kiáramlási arányokat. Ennek megfelelően a hitelintézetek alkalmazandó súlyként a releváns alkalmazandó súlyok átlagát adják meg az összes ilyen betétre vonatkozóan.</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rPr>
              <w:t>1.1.1.1. a kiáramlások számításából kizárt betétek</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Az (EU) 2015/61 felhatalmazáson alapuló rendelet 25. cikkének (4) </w:t>
            </w:r>
            <w:r>
              <w:rPr>
                <w:rFonts w:ascii="Times New Roman" w:hAnsi="Times New Roman"/>
                <w:sz w:val="24"/>
              </w:rPr>
              <w:lastRenderedPageBreak/>
              <w:t>bekezdése</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 hitelintézeteknek itt a kiáramlások számításából kizárt lakosságibetét-kategóriákat kell megadniuk, ha a 25. cikk (4) bekezdésének a) vagy b) pontjában foglalt feltételek teljesülnek.</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1.1.1.2. betétek, amelyek esetében megállapodás történt a következő 30 napon belüli kifizetésről</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25. cikkének (4) bekezdése</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A hitelintézetek itt adják meg azokat a 30 napnál kevesebb hátralévő futamidejű betéteket, amelyek esetében megállapodás történt a kifizetésről.</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 magasabb kiáramlási arányú betétek</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25. cikkének (2) és (3) bekezdése</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itt kell megadniuk az (EU) 2015/61 felhatalmazáson alapuló rendelet 25. cikkének (2) és (3) bekezdése szerinti magasabb kiáramlási arány alá tartozó betétek teljes egyenlegét. Itt kell megadni továbbá azokat a lakossági betéteket, amelyek esetében nem végezték el vagy nem fejezték be az (EU) 2015/61 felhatalmazáson alapuló rendelet 25. cikkének (2) bekezdése szerinti kategorizálásra vonatkozó értékelést.</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1.1.1.3.1. 1. kategória</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25. cikkének (3) bekezdése</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A hitelintézetek itt azon lakossági betétek teljes fennálló egyenlegének összegét tüntetik fel, amelyek teljesítik az (EU) 2015/61 felhatalmazáson alapuló rendelet 25. cikke (2) bekezdésének a) pontjában foglalt kritériumokat vagy a b)–e) pontjában foglalt kritériumok közül kettőt, kivéve, ha ezeket a betéteket olyan harmadik országban gyűjtötték, ahol az (EU) 2015/61 felhatalmazáson alapuló rendelet 25. cikke (5) bekezdésének megfelelően magasabb kiáramlási arányt alkalmaznak, mely esetben ez utóbbi kategóriában kell feltüntetni az említett betéteket.</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A hitelintézetek alkalmazandó súlyként az arányok átlagát tüntetik fel, vagy az (EU) 2015/61 felhatalmazáson alapuló rendelet 25. cikke (3) bekezdésének a) pontjában alapértelmezettként előírt standard arányokét, vagy – amennyiben az illetékes hatóság azokat alkalmazza – azon magasabb arányokét, amelyeket az előző bekezdésben említett betétek teljes összegére ténylegesen alkalmaztak, és amelyeket az említett megfelelő összegekkel súlyoztak.</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1.1.1.3.2. 2. kategória</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25. cikkének (3) bekezdése</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A hitelintézetek itt azon lakossági betétek teljes fennálló </w:t>
            </w:r>
            <w:r>
              <w:rPr>
                <w:rFonts w:ascii="Times New Roman" w:hAnsi="Times New Roman"/>
                <w:sz w:val="24"/>
              </w:rPr>
              <w:lastRenderedPageBreak/>
              <w:t>egyenlegének összegét tüntetik fel, amelyek teljesítik az (EU) 2015/61 felhatalmazáson alapuló rendelet 25. cikke (2) bekezdésének a) pontjában foglalt kritériumokat és a 25. cikk (2) bekezdésében említett kritériumok közül legalább még egyet, vagy a 25. cikk (2) bekezdésében említett kritériumok közül legalább hármat, kivéve, ha ezeket a betéteket olyan harmadik országban gyűjtötték, ahol az (EU) 2015/61 felhatalmazáson alapuló rendelet 25. cikke (5) bekezdésének megfelelően magasabb kiáramlási arányt alkalmaznak, mely esetben ez utóbbi kategóriában kell feltüntetni az említett betéteket.</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Itt kell megadni továbbá azokat a lakossági betéteket, amelyek esetében nem végezték el vagy nem fejezték be a 25. cikk (2) bekezdése szerinti kategorizálásra vonatkozó értékelést.</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 hitelintézetek alkalmazandó súlyként az arányok átlagát tüntetik fel, vagy az (EU) 2015/61 felhatalmazáson alapuló rendelet 25. cikke (3) bekezdésének a) pontjában alapértelmezettként előírt standard arányokét, vagy – amennyiben az illetékes hatóság azokat alkalmazza – azon magasabb arányokét, amelyeket az előző bekezdésekben említett betétek teljes összegére alkalmaztak, és amelyeket az említett megfelelő összegekkel súlyoztak.</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1.1.1.4. stabil betétek</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24. cikke</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rPr>
              <w:t>A hitelintézeteknek a lakossági betétek összegének azon részét kell megadniuk, amely a 94/19/EK irányelvnek vagy a 2014/49/EU irányelvnek megfelelő betétbiztosítási rendszer vagy harmadik ország ezzel egyenértékű betétbiztosítási rendszere hatálya alá tartozik, és az (EU) 2015/61 felhatalmazáson alapuló rendelet 24. cikke (2), illetve (3) bekezdésének megfelelően vagy olyan stabil kapcsolat része, amely igen valószínűtlenné teszi a betét kivonását, vagy folyószámlán tartják, és ha</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rPr>
                <w:rFonts w:ascii="Times New Roman" w:hAnsi="Times New Roman"/>
                <w:sz w:val="24"/>
              </w:rPr>
              <w:tab/>
              <w:t>a szóban forgó betétek nem teljesítik az (EU) 2015/61 felhatalmazáson alapuló rendelet 25. cikke (2), (3) vagy (5) bekezdése szerinti magasabb kiáramlási arányra vonatkozó kritériumokat, akkor magasabb kiáramlási arány hatálya alá tartozó betétként kell feltüntetni őket; vagy</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rPr>
                <w:rFonts w:ascii="Times New Roman" w:hAnsi="Times New Roman"/>
                <w:sz w:val="24"/>
              </w:rPr>
              <w:tab/>
              <w:t>a szóban forgó betéteket nem az (EU) 2015/61 felhatalmazáson alapuló rendelet 25. cikkének (5) bekezdése szerinti magasabb kiáramlási arányt alkalmazó harmadik országban gyűjtötték, akkor ezen a kategórián belül kell feltüntetni őket;</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rPr>
                <w:rFonts w:ascii="Times New Roman" w:hAnsi="Times New Roman"/>
                <w:sz w:val="24"/>
              </w:rPr>
              <w:tab/>
              <w:t>az (EU) 2015/61 felhatalmazáson alapuló rendelet 24. cikkének (4) bekezdésében meghatározott eltérés nem alkalmazandó.</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1.1.1.5. Eltérően kezelt stabil betétek</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24. cikkének (4) és (6) bekezdése</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A hitelintézeteknek a lakossági betétek összegének azon részét kell megadniuk, amely a 2014/49/EU irányelvnek megfelelő </w:t>
            </w:r>
            <w:r>
              <w:rPr>
                <w:rFonts w:ascii="Times New Roman" w:hAnsi="Times New Roman"/>
                <w:sz w:val="24"/>
              </w:rPr>
              <w:lastRenderedPageBreak/>
              <w:t>betétbiztosítási rendszer hatálya alá tartozik legfeljebb 100 000 EUR-ig, és az (EU) 2015/61 felhatalmazáson alapuló rendelet 24. cikke (2), illetve (3) bekezdésének megfelelően vagy olyan stabil kapcsolat része, amely igen valószínűtlenné teszi a betét kivonását, vagy folyószámlán tartják, és ha</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szóban forgó betétek nem teljesítik az (EU) 2015/61 felhatalmazáson alapuló rendelet 25. cikke (2), (3) vagy (5) bekezdése szerinti magasabb kiáramlási arányra vonatkozó kritériumokat, akkor magasabb kiáramlási arány hatálya alá tartozó betétként kell feltüntetni őket; vagy</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rPr>
                <w:rFonts w:ascii="Times New Roman" w:hAnsi="Times New Roman"/>
                <w:sz w:val="24"/>
              </w:rPr>
              <w:tab/>
              <w:t>a szóban forgó betéteket nem az (EU) 2015/61 felhatalmazáson alapuló rendelet 25. cikkének (5) bekezdése szerinti magasabb kiáramlási arányt alkalmazó harmadik országban gyűjtötték, akkor ezen a kategórián belül kell feltüntetni őket;</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rPr>
                <w:rFonts w:ascii="Times New Roman" w:hAnsi="Times New Roman"/>
                <w:sz w:val="24"/>
              </w:rPr>
              <w:tab/>
              <w:t>az (EU) 2015/61 felhatalmazáson alapuló rendelet 24. cikkének (4) bekezdésében előirányzott eltérés alkalmazandó.</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1.1.1.6. magasabb kiáramlási arányt előíró harmadik országban gyűjtött betétek</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Az (EU) 2015/61 felhatalmazáson alapuló rendelet 25. cikkének (5) bekezdése</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az olyan harmadik országban gyűjtött lakossági betétek összegét kell megadniuk, amelyekben a likviditási követelményeiről rendelkező jogszabálynak megfelelően magasabb kiáramlási arányt alkalmaznak.</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1.1.1.7. egyéb lakossági betétek</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25. cikkének (1) bekezdése</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itt az előző tételeknél feltüntetettektől eltérő lakossági betétek összegét kell megadniuk.</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 Operatív betétek</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27. cikke</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A hitelintézeteknek itt az (EU) 2015/61 felhatalmazáson alapuló rendelet 27. cikkének megfelelően meghatározott operatív betétek azon részéről kell adatot szolgáltatniuk, amely az operatív szolgáltatások nyújtásához szükséges. A levelezőbanki kapcsolatból vagy elsődleges ügynöki (prime brokerage) szolgáltatások nyújtásából származó betétek az (EU) 2015/61 felhatalmazáson alapuló rendelet 27. cikkének (5) bekezdése értelmében nem minősülnek operatív betéteknek.</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Az operatív betéteknek az operatív szolgáltatások nyújtásához szükséges összeget meghaladó részéről nem itt, hanem az 1.1.3. azonosító alatt kell adatot szolgáltatni.</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u w:color="000000"/>
              </w:rPr>
              <w:t xml:space="preserve">1.1.2.1. stabil operatív kapcsolat keretében klíring-, letéti, készpénzmenedzsment vagy egyéb hasonló szolgáltatás céljából </w:t>
            </w:r>
            <w:r>
              <w:rPr>
                <w:rFonts w:ascii="Times New Roman" w:hAnsi="Times New Roman"/>
                <w:b/>
                <w:sz w:val="24"/>
                <w:u w:color="000000"/>
              </w:rPr>
              <w:lastRenderedPageBreak/>
              <w:t>elhelyezett betét</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Az (EU) 2015/61 felhatalmazáson alapuló rendelet 27. cikke (1) bekezdésének a) pontja, valamint 27. cikke (2) és (4) bekezdése</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olyan betétekről kell adatot szolgáltatniuk, amelyeket a betétes annak érdekében helyez el, hogy az (EU) 2015/61 felhatalmazáson alapuló rendelet 27. cikke (1) bekezdésének a) pontjában említetteknek megfelelően stabil operatív kapcsolat keretében olyan klíring-, letéti, készpénzmenedzsment vagy más hasonló szolgáltatásokat kapjon, amelyek az (EU) 2015/61 felhatalmazáson alapuló rendelet 27. cikkének (4) bekezdésében említetteknek megfelelően rendkívül fontosak a betétes számára; az operatív szolgáltatások nyújtásához szükséges mértéken felüli forrásokat az (EU) 2015/61 felhatalmazáson alapuló rendelet 27. cikke (4) bekezdése utolsó mondatának megfelelően nem-operatív betétekként kell kezelni.</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Kizárólag azokat a betéteket kell feltüntetni, amelyek esetében az (EU) 2015/61 felhatalmazáson alapuló rendelet 27. cikke (4) bekezdése második mondatában említetteknek megfelelően jelentős törvényi és operatív korlátai vannak a 30 naptári napon belüli jelentős betétkivonásnak.</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A hitelintézeteknek az útmutató következő tételeiben meghatározottak szerint külön kell feltüntetniük az (EU) 2015/61 felhatalmazáson alapuló rendelet 27. cikkének (2) bekezdésében említett betétbiztosítási rendszer vagy azzal egyenértékű harmadik országbeli betétbiztosítási rendszer hatálya alá tartozó és hatálya alá nem tartozó betétek összegét.</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1.1.2.1.1. betétbiztosítási rendszerrel fedezett</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Az (EU) 2015/61 felhatalmazáson alapuló rendelet 27. cikke (1) bekezdésének a) pontja, valamint 27. cikke (2) és (4) bekezdése</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A hitelintézeteknek a stabil operatív kapcsolat keretében fenntartott operatív betétek fennálló egyenlegének azon részét kell megadniuk, amely teljesíti az (EU) 2015/61 felhatalmazáson alapuló rendelet 27. cikke (1) bekezdésének a) pontjában és 27. cikkének (4) bekezdésében meghatározott kritériumokat, és amely a 94/19/EK vagy a 2014/49/EU irányelvnek megfelelő betétbiztosítási rendszer vagy harmadik ország ezzel egyenértékű betétbiztosítási rendszere hatálya alá tartozik.</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1.1.2.1.2. betétbiztosítási rendszerrel nem fedezett</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Az (EU) 2015/61 felhatalmazáson alapuló rendelet 27. cikke (1) bekezdésének a) pontja, valamint 27. cikke (2) és (4) bekezdése</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A hitelintézeteknek a stabil operatív kapcsolat keretében fenntartott operatív betétek fennálló egyenlegének azon részét kell megadniuk, amely teljesíti az (EU) 2015/61 felhatalmazáson alapuló rendelet 27. cikke (1) bekezdésének a) pontjában és 27. cikkének (4) bekezdésében meghatározott kritériumokat, és amely nem tartozik a 94/19/EK vagy a 2014/49/EU irányelvnek megfelelő betétbiztosítási </w:t>
            </w:r>
            <w:r>
              <w:rPr>
                <w:rFonts w:ascii="Times New Roman" w:hAnsi="Times New Roman"/>
                <w:sz w:val="24"/>
              </w:rPr>
              <w:lastRenderedPageBreak/>
              <w:t>rendszer vagy harmadik ország ezzel egyenértékű betétbiztosítási rendszere hatálya alá.</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rPr>
              <w:t>1.1.2.2. intézményvédelmi rendszer vagy szövetkezeti hálózat keretében elhelyezett betét</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Az (EU) 2015/61 felhatalmazáson alapuló rendelet 27. cikke (1) bekezdésének b) pontja és 27. cikkének (3) bekezdése</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itt az 575/2013/EU rendelet 113. cikke (7) bekezdésének követelményeit teljesítő intézményvédelmi rendszer keretén belüli vagy az említett rendelet 113. cikke (6) bekezdésének követelményeit teljesítő központi szervhez tartósan kapcsolt szövetkezeti hitelintézetek csoportján belüli közös feladatmegosztás keretében elhelyezett, vagy törvényben, szerződésben előírt minimumbetétként egy másik, ugyanannak az intézményvédelmi rendszernek vagy szövetkezeti rendszernek a tagját alkotó hitelintézet által elhelyezett betétekről kell adatot szolgáltatniuk, az (EU) 2015/61 felhatalmazáson alapuló rendelet 27. cikke (1) bekezdésének b) pontjában meghatározottak szerint.</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A hitelintézetek ezeket a betéteket külön sorokban tüntetik fel attól függően, hogy a betétet elhelyező hitelintézet likvid eszközként vagy nem likvid eszközként kezeli őket, az (EU) 2015/61 felhatalmazáson alapuló rendelet 27. cikke (3) bekezdésének megfelelően.</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1.1.2.2.1. nem minősülnek a betétet elhelyező intézmény likvid eszközeinek</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rPr>
              <w:t>Az (EU) 2015/61 felhatalmazáson alapuló rendelet 27. cikke (1) bekezdésének b) pontja</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 hitelintézeteknek az (EU) 2015/61 felhatalmazáson alapuló rendelet 27. cikke (1) bekezdésének b) pontjában meghatározott kritériumoknak megfelelően szövetkezeti rendszer vagy intézményvédelmi rendszer keretében elhelyezett betétek fennálló egyenlegének összegét kell megadniuk, feltéve, hogy a betétet elhelyező hitelintézet ezeket a betéteket nem ismeri el likvid eszközként.</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1.1.2.2.2. a betétet elhelyező intézmény likvid eszközeinek minősülnek</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Az (EU) 2015/61 felhatalmazáson alapuló rendelet 27. cikke (1) bekezdésének b) pontja és 27. cikkének (3) bekezdése</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A hitelintézeteknek az (EU) 2015/61 felhatalmazáson alapuló rendelet 16. cikke szerint a betétet elhelyező hitelintézet likvid eszközeinek tekintett, központi hitelintézetnél elhelyezett hitelintézeti betéteket kell feltüntetniük.</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A hitelintézeteknek e betétek összegét a megfelelő likvid eszközök haircut utáni összegéig kell megadniuk, az (EU) 2015/61 felhatalmazáson alapuló rendelet 27. cikkének (3) bekezdésében meghatározottak szerint.</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 xml:space="preserve">1.1.2.3. nem pénzügyi ügyfeleknél (egyéb) stabil operatív </w:t>
            </w:r>
            <w:r>
              <w:rPr>
                <w:rFonts w:ascii="Times New Roman" w:hAnsi="Times New Roman"/>
                <w:b/>
                <w:sz w:val="24"/>
              </w:rPr>
              <w:lastRenderedPageBreak/>
              <w:t>kapcsolat keretében elhelyezett betétek</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Az (EU) 2015/61 felhatalmazáson alapuló rendelet 27. cikke (1) bekezdésének c) pontja, valamint 27. cikke (4) és (6) bekezdése</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A hitelintézeteknek itt az (EU) 2015/61 felhatalmazáson alapuló rendelet 27. cikke (1) bekezdésének a) pontjában említettől eltérő, és az (EU) 2015/61 felhatalmazáson alapuló rendelet 27. cikkének (6) bekezdésében meghatározott követelmények hatálya alá tartozó stabil operatív kapcsolat keretében nem pénzügyi ügyfél által elhelyezett betétek fennálló egyenlegének összegét kell megadniuk.</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Kizárólag azokat a betéteket kell feltüntetni, amelyek esetében az (EU) 2015/61 felhatalmazáson alapuló rendelet 27. cikkének (4) bekezdésében említetteknek megfelelően jelentős törvényi és operatív korlátai vannak a 30 naptári napon belüli jelentős betétkivonásnak.</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1.1.2.4. hálózaton belül készpénzklíring és központi hitelintézet által nyújtott szolgáltatások igénybevétele céljából elhelyezett betétek</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Az (EU) 2015/61 felhatalmazáson alapuló rendelet 27. cikke (1) bekezdésének d) pontja és 27. cikkének (4) bekezdése</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A hitelintézeteknek a betétes által annak érdekében elhelyezett betétek fennálló egyenlegének összegét kell megadniuk, hogy készpénzklíring- és központi hitelintézet által nyújtott szolgáltatásokat vehessen igénybe, ha a hitelintézet az (EU) 2015/61 felhatalmazáson alapuló rendelet 16. cikkében említett hálózatok vagy rendszerek egyikéhez tartozik, az (EU) 2015/61 felhatalmazáson alapuló rendelet 27. cikke (1) bekezdésének d) pontjában meghatározottak szerint. Ilyen klíring-, letéti, készpénzmenedzsment vagy egyéb hasonló szolgáltatásnak csak azok minősülnek, amelyeket az (EU) 2015/61 felhatalmazáson alapuló bizottsági rendelet 27. cikke (4) bekezdése első mondata szerinti rendkívül fontos, stabil kapcsolat keretében nyújtanak a betétesnek; az operatív szolgáltatások nyújtásához szükséges mértéken felüli forrásokat az (EU) 2015/61 felhatalmazáson alapuló rendelet 27. cikke (4) bekezdése utolsó mondatának megfelelően nem-operatív betétekként kell kezelni.</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Kizárólag azokat a betéteket kell feltüntetni, amelyek esetében az (EU) 2015/61 felhatalmazáson alapuló rendelet 27. cikkének (4) bekezdésében említetteknek megfelelően jelentős törvényi és operatív korlátai vannak a 30 naptári napon belüli jelentős betétkivonásnak.</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 Többlet operatív betétek</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Az (EU) 2015/61 felhatalmazáson alapuló rendelet 27. cikkének (4) bekezdése</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 xml:space="preserve">A hitelintézeteknek itt az operatív betéteknek az operatív szolgáltatások nyújtásához szükséges mértéken felüli részét kell feltüntetniük.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1.1.3.1 pénzügyi ügyfelek által elhelyezett betétek</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 xml:space="preserve">Az (EU) 2015/61 felhatalmazáson alapuló rendelet 27. cikkének (4) és </w:t>
            </w:r>
            <w:r>
              <w:rPr>
                <w:rFonts w:ascii="Times New Roman" w:hAnsi="Times New Roman"/>
                <w:sz w:val="24"/>
              </w:rPr>
              <w:lastRenderedPageBreak/>
              <w:t>31a. cikkének (1) bekezdése</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rPr>
              <w:t>A hitelintézeteknek itt az (EU) 2015/61 felhatalmazáson alapuló bizottsági rendelet 27. cikke (4) bekezdésének megfelelő, pénzügyi ügyfelek által elhelyezett operatív betéteknek az operatív szolgáltatások nyújtásához szükséges mértéken felüli részét kell feltüntetniük.</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egyéb ügyfelek által elhelyezett betétek</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Az (EU) 2015/61 felhatalmazáson alapuló rendelet 27. cikkének (4) bekezdése és 28. cikkének (1) bekezdése</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A hitelintézeteknek itt az (EU) 2015/61 felhatalmazáson alapuló bizottsági rendelet 27. cikke (4) bekezdésének utolsó mondatában említett, pénzügyi ügyfelektől eltérő egyéb ügyfelek által elhelyezett – és nem lakossági betét – operatív betéteknek az operatív szolgáltatások nyújtásához szükséges mértéken felüli részét kell feltüntetniük.</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Ezeket a többlet operatív betéteket két külön sorban kell feltüntetni, attól függően, hogy azok teljes összege valamely betétbiztosítási rendszernek vagy harmadik ország egyenértékű betétbiztosítási rendszere hatálya alá tartozik, vagy sem.</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1.1.3.2.1 betétbiztosítási rendszerrel fedezett</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27. cikkének (4) bekezdése és 28. cikkének (1) bekezdése</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A hitelintézeteknek az (EU) 2015/61 felhatalmazáson alapuló rendelet 28. cikkének (1) bekezdésében említettek szerint az egyéb ügyfelek által fenntartott ilyen többlet operatív betétek fennálló egyenlegének teljes összegét kell feltüntetniük, ha ez a teljes összeg a 94/19/EK vagy a 2014/49/EU irányelvnek megfelelő betétbiztosítási rendszer vagy harmadik ország egyenértékű betétbiztosítási rendszere hatálya alá tartozik.</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1.1.3.2.2. betétbiztosítási rendszerrel nem fedezett</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27. cikkének (4) bekezdése és 28. cikkének (1) bekezdése</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A hitelintézeteknek az (EU) 2015/61 felhatalmazáson alapuló rendelet 28. cikkének (1) bekezdésében említettek szerint az egyéb ügyfelek által fenntartott ilyen többlet operatív betétek fennálló egyenlegének teljes összegét kell feltüntetniük, ha ez a teljes összeg nem tartozik a 94/19/EK vagy a 2014/49/EU irányelvnek megfelelő betétbiztosítási rendszer vagy harmadik ország egyenértékű betétbiztosítási rendszere hatálya alá.</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 Nem operatív betétek</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Az (EU) 2015/61 felhatalmazáson alapuló rendelet 27. cikkének (5) bekezdése, 28. cikkének (1) bekezdése és 31. cikkének (9) bekezdése</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A hitelintézeteknek itt az (EU) 2015/61 felhatalmazáson alapuló rendelet 28. cikkének (1) bekezdésében említett fedezetlen betétekről </w:t>
            </w:r>
            <w:r>
              <w:rPr>
                <w:rFonts w:ascii="Times New Roman" w:hAnsi="Times New Roman"/>
                <w:sz w:val="24"/>
              </w:rPr>
              <w:lastRenderedPageBreak/>
              <w:t>kell adatot szolgáltatniuk, valamint az (EU) 2015/61 felhatalmazáson alapuló rendelet 27. cikkének (5) bekezdésében említettek szerint levelező banki kapcsolatból vagy elsődleges ügynöki (prime brokerage) szolgáltatások nyújtásából származó betétekről.</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A hitelintézeteknek az útmutató következő tételeiben meghatározottak szerint külön kell feltüntetniük – az (EU) 2015/61 felhatalmazáson alapuló rendelet 27. cikke (5) bekezdésében említetteknek megfelelően levelező banki kapcsolatból vagy elsődleges ügynöki (prime brokerage) szolgáltatások nyújtásából származó kötelezettségek kivételével – a betétbiztosítási rendszer vagy harmadik ország egyenértékű betétbiztosítási rendszer hatálya alá tartozó és hatálya alá nem tartozó operatív betéteket.</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Az operatív betéteknek az operatív szolgáltatások nyújtásához szükséges mértéket meghaladó részéről nem itt, hanem az 1.1.3. azonosító alatt kell adatot szolgáltatni.</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1.1.4.1. levelező banki szolgáltatások és elsődleges ügynöki (prime brokerage) szolgáltatások nyújtásából származó betétek</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27. cikkének (5) bekezdése</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A hitelintézeteknek az (EU) 2015/61 felhatalmazáson alapuló rendelet 27. cikkének (5) bekezdésében említett, levelező banki kapcsolatból vagy elsődleges ügynöki (prime brokerage) szolgáltatásból származó betétek fennálló egyenlegének összegét kell megadniuk.</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1.1.4.2. pénzügyi ügyfelek által elhelyezett betétek</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31a. cikkének (1) bekezdése</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A hitelintézeteknek a pénzügyi ügyfelek által elhelyezett betétek fennálló egyenlegének összegét kell megadniuk, amennyiben a betétek nem minősülnek operatív betétnek az (EU) 2015/61 felhatalmazáson alapuló rendelet 27. cikkének megfelelően.</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 egyéb ügyfelek által elhelyezett betétek</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cikkének (1) bekezdése</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az (EU) 2015/61 felhatalmazáson alapuló rendelet 28. cikkének (1) bekezdése szerinti egyéb (a pénzügyi ügyfelektől és a lakossági betéteknél figyelembe vett ügyfelektől eltérő) ügyfelek által elhelyezett betétekről kell adatot szolgáltatniuk, amennyiben ezek a betétek nem minősülnek operatív betétnek az (EU) 2015/61 felhatalmazáson alapuló rendelet 27. cikkének megfelelően.</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Ezeket a betéteket két külön sorban kell feltüntetni, attól függően, hogy azok teljes összege betétbiztosítási rendszere vagy harmadik ország egyenértékű betétbiztosítási rendszere hatálya alá tartozik, vagy sem.</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1.1.4.3.1 betétbiztosítási rendszerrel fedezett</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cikkének (1) bekezdése</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az (EU) 2015/61 felhatalmazáson alapuló rendelet 28. cikkének (1) bekezdésében említettek szerint az egyéb ügyfelek által fenntartott ilyen betétek fennálló egyenlegének teljes összegét kell feltüntetniük, ha ez a teljes összeg a 94/19/EK vagy a 2014/49/EU irányelvnek megfelelő betétbiztosítási rendszer vagy harmadik ország egyenértékű betétbiztosítási rendszere hatálya alá tartozik.</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1.1.4.3.2. betétbiztosítási rendszerrel nem fedezett</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cikkének (1) bekezdése</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az (EU) 2015/61 felhatalmazáson alapuló rendelet 28. cikkének (1) bekezdésében említettek szerint az egyéb ügyfelek által fenntartott ilyen betétek fennálló egyenlegének teljes összegét kell feltüntetniük, ha ez a teljes összeg nem tartozik a 94/19/EK vagy a 2014/49/EU irányelvnek megfelelő betétbiztosítási rendszer vagy harmadik ország egyenértékű betétbiztosítási rendszere hatálya alá.</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 További kiáramlások</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30. cikke</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 xml:space="preserve">A hitelintézeteknek itt kell adatot szolgáltatniuk az (EU) 2015/61 felhatalmazáson alapuló rendelet 30. cikkében említett további kiáramlásokról.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Az (EU) 2015/61 felhatalmazáson alapuló rendelet 30. cikkének (7) bekezdésében említettek szerint a biztosítékként elhelyezett betétek az (EU) 2015/61 felhatalmazáson alapuló rendelet 24., 25., 27. vagy 31a. cikkének alkalmazásában nem tekintendők kötelezettségnek, ugyanakkor adott esetben az (EU) 2015/61 felhatalmazáson alapuló rendelet 30. cikke (</w:t>
            </w:r>
            <w:proofErr w:type="gramStart"/>
            <w:r>
              <w:rPr>
                <w:rFonts w:ascii="Times New Roman" w:hAnsi="Times New Roman"/>
                <w:sz w:val="24"/>
              </w:rPr>
              <w:t>1)–</w:t>
            </w:r>
            <w:proofErr w:type="gramEnd"/>
            <w:r>
              <w:rPr>
                <w:rFonts w:ascii="Times New Roman" w:hAnsi="Times New Roman"/>
                <w:sz w:val="24"/>
              </w:rPr>
              <w:t>(6) bekezdésének rendelkezéseit kell alkalmazni rájuk.</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 származtatott ügyletekhez nyújtott, 1. szintű eszközöktől eltérő biztosíték</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30. cikkének (1) bekezdése</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az 575/2013/EU rendelet II. mellékletében felsorolt ügyletek, valamint hitelderivatívák kapcsán nyújtott, 1. szintűtől eltérő biztosítékok piaci értékét kell megadniuk.</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1.1.5.2. származtatott ügyletekhez nyújtott, 1. szintű rendkívül magas minőségű fedezett kötvényekből álló biztosíték</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30. cikkének (1) bekezdése</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rPr>
              <w:t xml:space="preserve">A hitelintézeteknek az 575/2013/EU rendelet II. mellékletében </w:t>
            </w:r>
            <w:r>
              <w:rPr>
                <w:rFonts w:ascii="Times New Roman" w:hAnsi="Times New Roman"/>
                <w:sz w:val="24"/>
              </w:rPr>
              <w:lastRenderedPageBreak/>
              <w:t>felsorolt ügyletek, valamint hitelderivatívák kapcsán nyújtott, 1. szintű rendkívül magas minőségű fedezett kötvényekből álló biztosítékok piaci értékét kell megadniuk.</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1.1.5.3. saját hitelminőség romlása miatti jelentős kiáramlások</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30. cikkének (2) bekezdése</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A hitelintézeteknek az (EU) 2015/61 felhatalmazáson alapuló rendelet 30. cikke (2) bekezdésének megfelelően általuk kiszámított és az illetékes hatóság tudomására hozott további kiáramlások teljes összegét kell megadniuk.</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Ha a saját hitelminőség romlásából eredő kiáramláshoz kapcsolódó összeget máshol egy olyan sorban adtak meg, amelyben a súly kevesebb mint 100 %, akkor a 0300 sorban is meg kell adni egy összeget úgy, hogy a kiáramlások összege 100 %-os kiáramlást eredményezzen az ügyletre vonatkozóan.</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1.1.5.4. negatív piaci forgatókönyv származtatott ügyletekre gyakorolt hatása</w:t>
            </w:r>
            <w:r>
              <w:rPr>
                <w:rFonts w:ascii="Times New Roman" w:hAnsi="Times New Roman"/>
                <w:b/>
                <w:sz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30. cikkének (3) bekezdése</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itt kell megadniuk az (EU) 2017/208 felhatalmazáson alapuló bizottsági rendelet szerint számított kiáramlások értékét.</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1.1.5.5. származtatott ügyletek kiáramlásai</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30. cikkének (4) bekezdése</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A hitelintézeteknek az 575/2013/EU rendelet II. mellékletében felsorolt ügyletekből és hitelderivatívákból eredő, 30 naptári nap alatt várható kiáramlásoknak az (EU) 2015/61 felhatalmazáson alapuló rendelet 21. cikkének megfelelően kiszámított összegét kell feltüntetniük.</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rPr>
              <w:t>A kizárólag az 575/2013/EU rendelet 415. cikkének (2) bekezdése szerinti, külön pénznemben történő adatszolgáltatás esetében a hitelintézeteknek azokat a kiáramlásokat kell megadniuk, amelyek csak az adott jelentős pénznemben fordulnak elő. A partner általi nettósítást csak az adott devizanemben lévő áramlásokra lehet alkalmazni, például A partner: +10 EUR és A partner: – 20 EUR 10 EUR kiáramlásként tüntetendő fel. Nem kerülhet sor nettósításra partnerek között, például A partner: –10 EUR, B partner: +40 EUR 10 EUR kiáramlásként tüntetendő fel a C73.00 táblában (és 40 EUR beáramlásként a C74.00 táblában).</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 rövid pozíciók</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Az (EU) 2015/61 felhatalmazáson alapuló rendelet 30. cikkének (5) bekezdése</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Ha a hitelintézetnek olyan rövid pozíciója van, amelyet biztosíték </w:t>
            </w:r>
            <w:r>
              <w:rPr>
                <w:rFonts w:ascii="Times New Roman" w:hAnsi="Times New Roman"/>
                <w:sz w:val="24"/>
              </w:rPr>
              <w:lastRenderedPageBreak/>
              <w:t xml:space="preserve">nélkül kölcsönvett értékpapírok fedeznek, a hitelintézetnek a rövidre eladott értékpapírok vagy más eszközök piaci értéke 100 %-ának megfelelő további kiáramlást kell biztosítania, kivéve, ha azokat a hitelintézet olyan feltétellel vette kölcsön, amely alapján csak 30 naptári nap elteltével kell visszaszolgáltatnia őket. Ha a rövid pozíciót biztosítékkal fedezett értékpapír-finanszírozási ügylet fedezi, a hitelintézet feltételezi, hogy a rövid pozíció 30 naptári napon keresztül fennmarad, és arra 0 %-os kiáramlás alkalmazandó.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1.1.5.6.1. fedezett értékpapír-finanszírozási ügylettel fedezett</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30. cikkének (5) bekezdése</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A hitelintézeteknek a fedezett értékpapír-finanszírozási ügylettel fedezett, rövidre eladott és 30 napon belül teljesítendő értékpapírok vagy más eszközök piaci értékét kell megadniuk, kivéve ha a teljesítendő értékpapírokat a hitelintézet olyan feltételekkel vette kölcsön, melyek alapján csak a 30 naptári napos időtartam elteltével kell visszaszolgáltatnia őket.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1.1.5.6.2. egyéb</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Az (EU) 2015/61 felhatalmazáson alapuló rendelet 30. cikkének (5) bekezdése</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 hitelintézeteknek a fedezett értékpapír-finanszírozási ügylettel fedezettektől eltérő, rövidre eladott és 30 napon belül teljesítendő értékpapírok vagy más eszközök piaci értékét kell megadniuk, kivéve ha a teljesítendő értékpapírokat a hitelintézet olyan feltételekkel vette kölcsön, melyek alapján csak a 30 naptári napos időtartam elteltével kell visszaszolgáltatnia őket.</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1.1.5.7. visszahívható többletbiztosíték</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30. cikke (6) bekezdésének a) pontja</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A hitelintézeteknek az intézmény birtokában lévő, a partner által a szerződés értelmében bármikor visszahívható többletbiztosíték piaci értékét kell megadniuk.</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1.1.5.8. esedékes biztosíték</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30. cikke (6) bekezdésének b) pontja</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a partnernek 30 naptári napon belül nyújtandó biztosíték piaci értékét kell megadniuk.</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1.1.5.9. nem likvid eszközökkel helyettesíthető, likvid eszköznek megfelelő biztosíték</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30. cikke (6) bekezdésének c) pontja</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A hitelintézeteknek az olyan, a II. cím alkalmazásában likvid eszköznek minősülő biztosíték piaci értékét kell megadniuk, amely a hitelintézet engedélye nélkül helyettesíthető olyan biztosítékkal, </w:t>
            </w:r>
            <w:r>
              <w:rPr>
                <w:rFonts w:ascii="Times New Roman" w:hAnsi="Times New Roman"/>
                <w:sz w:val="24"/>
              </w:rPr>
              <w:lastRenderedPageBreak/>
              <w:t>amely olyan eszközöknek felel meg, amelyek a II. cím alkalmazásában nem minősülnek likvid eszköznek.</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 strukturált finanszírozási tevékenységeken keletkezett veszteség</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30. cikkének (</w:t>
            </w:r>
            <w:proofErr w:type="gramStart"/>
            <w:r>
              <w:rPr>
                <w:rFonts w:ascii="Times New Roman" w:hAnsi="Times New Roman"/>
                <w:sz w:val="24"/>
              </w:rPr>
              <w:t>8)–</w:t>
            </w:r>
            <w:proofErr w:type="gramEnd"/>
            <w:r>
              <w:rPr>
                <w:rFonts w:ascii="Times New Roman" w:hAnsi="Times New Roman"/>
                <w:sz w:val="24"/>
              </w:rPr>
              <w:t>(10) bekezdése</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A hitelintézetnek 100 %-os kiáramlást kell feltételeznie a 30 naptári napos időtartamon belül lejáró, a hitelintézet vagy szponzorált intézmény vagy különleges célú gazdasági egység által kibocsátott eszközfedezetű értékpapírok, fedezett kötvények és más strukturált finanszírozási eszközök finanszírozásán keletkezett veszteségekre.</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Az itt megadott finanszírozási programokhoz kapcsolódó likviditási keretet nyújtó hitelintézeteknek a konszolidált program tekintetében nem kell kétszer elszámolnia a lejáró finanszírozási eszközt és a likviditási keretet.</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1.1.5.10.1. strukturált finanszírozási eszközök</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30. cikkének (8) bekezdése</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a 30 naptári napon belül lejáró eszközfedezetű értékpapírokból, fedezett kötvényekből és más strukturált finanszírozási eszközökből eredő saját kötelezettségeik vagy a szponzorált intézmények vagy különleges célú gazdasági egységek kötelezettségei aktuálisan fennálló összegét kell megadniuk.</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1.1.5.10.2. finanszírozási eszközök</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30. cikkének (9) bekezdése</w:t>
            </w:r>
          </w:p>
          <w:p w14:paraId="430264FA" w14:textId="77777777" w:rsidR="006E48EA" w:rsidRPr="000B6B22" w:rsidRDefault="006E48EA">
            <w:pPr>
              <w:pStyle w:val="TableParagraph"/>
              <w:spacing w:after="120"/>
              <w:jc w:val="both"/>
              <w:rPr>
                <w:rFonts w:ascii="Times New Roman" w:eastAsia="Times New Roman" w:hAnsi="Times New Roman"/>
                <w:sz w:val="24"/>
                <w:szCs w:val="24"/>
                <w:lang w:val="en-GB"/>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az eszközfedezetű kereskedelmi értékpapírokból, értékpapírosítási programból, értékpapír-befektetési eszközökből és más hasonló finanszírozási eszközökből eredő kötelezettségek lejáró összegét kell megadniuk – amennyiben azok nem esnek az 1.1.5.10.1. tételben meghatározott eszközök fogalommeghatározásának hatókörébe –, vagy a potenciálisan visszaszolgáltatandó eszközök összegét, vagy az említett eszközök kapcsán szükséges likviditás összegét.</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Az összes, 30 napon belül lejáró vagy visszaszolgáltatandó eszközfedezetű kereskedelmi értékpapírból, értékpapírosítási programból, értékpapír-befektetési eszközből és más hasonló finanszírozási eszközből eredő finanszírozás. Az olyan strukturált finanszírozási eszközökkel rendelkező hitelintézeteknek, amelyek rövid lejáratú hitelviszonyt megtestesítő értékpapírok, például eszközfedezetű kereskedelmi értékpapírok kibocsátását foglalják magukban, meg kell adniuk az e struktúrákból származó potenciális likviditási kiáramlásokat. Ide tartozik többek között i. a lejáró tartozás újrafinanszírozására való képtelenség és ii. olyan derivatívák vagy </w:t>
            </w:r>
            <w:r>
              <w:rPr>
                <w:rFonts w:ascii="Times New Roman" w:hAnsi="Times New Roman"/>
                <w:sz w:val="24"/>
              </w:rPr>
              <w:lastRenderedPageBreak/>
              <w:t>derivatívákhoz hasonló komponensek létezése, amelyek szerződésesen rögzítettek a struktúrához kapcsolódó dokumentációban, és amelyek lehetővé tennék az eszközök visszaszolgáltatását egy finanszírozási megállapodásban, vagy amelyek az eszköz eredeti átadója számára likviditás nyújtását tennék szükségessé, ezzel a 30 napos időtartamon belül ténylegesen lezárva a finanszírozási megállapodást (likviditás eladási opció). Ha a strukturált finanszírozási tevékenységeket különleges célú gazdasági egységen (például céltársaságon, értékpapírosítási programon vagy strukturált befektetési társaságon) keresztül végzi, a hitelintézetnek a magas minőségű likvid eszközökre vonatkozó követelmények meghatározásakor át kell vizsgálnia a gazdasági egység által kibocsátott hitelviszonyt megtestesítő instrumentumok lejáratát, és a finanszírozási megállapodásokban foglalt minden opciót, amely potenciálisan kiválthatja az eszközök visszaszolgáltatását vagy a likviditás szükségességét, tekintet nélkül arra, hogy a különleges célú gazdasági egység konszolidált-e.</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1.1.5.11. belső nettósítású ügyfélpozíciók</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30. cikkének (12) bekezdése</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A hitelintézetnek itt kell megadnia azon nem likvid ügyféleszközök piaci értékét, amelyeket az elsődleges ügynöki (prime brokerage) szolgáltatási tevékenysége során egy másik ügyfél rövidre eladásainak fedezésére használt, belső kiegyenlítéssel.</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 Folyósítási kötelezettséget tartalmazó keretek</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cikke</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itt kell adatot szolgáltatniuk az (EU) 2015/61 felhatalmazáson alapuló rendelet 31. cikkében meghatározott kiáramlásokról.</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A hitelintézeteknek itt kell adatot szolgáltatniuk az (EU) 2015/61 felhatalmazáson alapuló rendelet 29. cikke szerinti, folyósítási kötelezettséget tartalmazó keretekről is.</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A lehívható maximális összeget a 2015/61/EU felhatalmazáson alapuló rendelet 31. cikke (2) bekezdésének megfelelően kell meghatározni.</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 hitelkeretek</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A hitelintézeteknek itt kell adatot szolgáltatniuk az (EU) 2015/61 felhatalmazáson alapuló rendelet 31. cikkének (1) bekezdésében meghatározott folyósítási kötelezettséget tartalmazó hitelkeretekről.</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1.1.6.1.1. lakossági ügyfeleknek</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cikkének (3) bekezdése</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A hitelintézeteknek az 575/2013/EU rendelet 411. cikkének 2. pontja szerint meghatározott lakossági ügyfeleknek nyújtott le nem hívott, folyósítási kötelezettséget tartalmazó hitelkeretekből lehívható </w:t>
            </w:r>
            <w:r>
              <w:rPr>
                <w:rFonts w:ascii="Times New Roman" w:hAnsi="Times New Roman"/>
                <w:sz w:val="24"/>
              </w:rPr>
              <w:lastRenderedPageBreak/>
              <w:t>maximális összeget kell megadniuk.</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1.1.6.1.2. lakossági ügyfelektől eltérő nem pénzügyi ügyfeleknek</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cikkének (4) bekezdése</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az olyan ügyfeleknek nyújtott le nem hívott, folyósítási kötelezettséget tartalmazó hitelkeretekből lehívható maximális összeget kell megadniuk, amelyek nem az 575/2013/EU rendelet 411. cikkének 1. pontja szerinti pénzügyi ügyfelek, és nem is az 575/2013/EU rendelet 411. cikkének 2. pontja szerinti lakossági ügyfelek, és a hitelkeretek nyújtásának célja nem az volt, hogy helyettesítse az ügyfél finanszírozását olyan esetekben, amikor az a finanszírozási szükségletét a pénzügyi piacokon nem tudja fedezni.</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 hitelintézeteknek</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itt kell adatot szolgáltatniuk a hitelintézeteknek nyújtott folyósítási kötelezettséget tartalmazó hitelkeretekről.</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1.1.6.1.3.1. lakossági ügyfelek kedvezményes hiteleinek finanszírozására</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cikkének (9) bekezdése</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azon le nem hívott, folyósítási kötelezettséget tartalmazó hitelkeretekből lehívható maximális összeget kell megadniuk, amelyet hitelintézeteknek biztosítanak az 575/2013/EU rendelet 411. cikkének 2. pontja szerinti ügyfelekkel szembeni kitettségnek minősülő, kedvezményes hitelek közvetett vagy közvetlen finanszírozásának kizárólagos céljával.</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Csak azok a hitelintézetek tüntethetik fel ezt az tételt, amelyeket legalább egy tagállam központi vagy regionális kormányzata hozott létre vagy támogat.</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1.1.6.1.3.2. nem pénzügyi ügyfelek kedvezményes hiteleinek finanszírozására</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cikkének (9) bekezdése</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azon le nem hívott, folyósítási kötelezettséget tartalmazó hitelkeretekből lehívható maximális összeget kell megadniuk, amelyet hitelintézeteknek olyan ügyfelekkel szembeni kitettségnek minősülő, kedvezményes hitelek közvetett vagy közvetlen finanszírozásának kizárólagos céljával biztosítanak, amelyek nem az 575/2013/EU rendelet 411. cikkének 1. pontja szerinti pénzügyi ügyfelek, és nem is az 575/2013/EU rendelet 411. cikkének 2. pontja szerinti lakossági ügyfelek.</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Csak azok a hitelintézetek tüntethetik fel ezt az tételt, amelyeket legalább egy tagállam központi vagy regionális kormányzata hozott létre vagy támogat.</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1.1.6.1.3.3. egyéb</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Az (EU) 2015/61 felhatalmazáson alapuló rendelet 31. cikke (8) bekezdésének a) pontja</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a fent megadottaktól eltérő, hitelintézeteknek nyújtott, le nem hívott, folyósítási kötelezettséget tartalmazó hitelkeretekből lehívható maximális összeget kell megadniuk.</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1.1.6.1.4. hitelintézettől eltérő szabályozott pénzügyi intézményeknek</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cikke (8) bekezdésének a) pontja</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a hitelintézettől eltérő szabályozott pénzügyi intézményeknek nyújtott, le nem hívott, folyósítási kötelezettséget tartalmazó hitelkeretekből lehívható maximális összeget kell megadniuk.</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1.1.6.1.5. csoporton vagy intézményvédelmi rendszeren belül, ha kedvezményes kezelés alá tartozik</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29. cikke</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azon le nem hívott, folyósítási kötelezettséget tartalmazó hitelkeretekből lehívható maximális összeget kell megadniuk, amelyek esetében az (EU) 2015/61 felhatalmazáson alapuló rendelet 29. cikkének megfelelően engedélyt kaptak alacsonyabb kiáramlási arány alkalmazására.</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rPr>
              <w:t>1.1.6.1.6. intézményvédelmi rendszeren vagy szövetkezeti hálózaton belül, ha a betételhelyező intézmény likvid eszközként kezeli</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cikkének (7) bekezdése</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A 16. cikkben említett rendszerhez vagy hálózathoz tartozó központi intézményeknek a tag hitelintézetnek nyújtott, le nem hívott, folyósítási kötelezettséget tartalmazó hitelkeretekből lehívható maximális összeget kell megadniuk, ha a tag hitelintézet a keretet az ugyanazon felhatalmazáson alapuló rendelet 16. cikke (2) bekezdésének megfelelően likvid eszközként kezeli.</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1.1.6.1.7. egyéb pénzügyi ügyfeleknek</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cikke (8) bekezdésének c) pontja</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A hitelintézeteknek a fent említettektől eltérő egyéb pénzügyi ügyfeleknek nyújtott, le nem hívott, folyósítási kötelezettséget tartalmazó hitelkeretekből lehívható maximális összeget kell megadniuk.</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 likviditási keretek</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cikkének (1) bekezdése</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A hitelintézeteknek itt kell adatot szolgáltatniuk az (EU) 2015/61 felhatalmazáson alapuló rendelet 31. cikkének (1) bekezdésében </w:t>
            </w:r>
            <w:r>
              <w:rPr>
                <w:rFonts w:ascii="Times New Roman" w:hAnsi="Times New Roman"/>
                <w:sz w:val="24"/>
              </w:rPr>
              <w:lastRenderedPageBreak/>
              <w:t>meghatározott folyósítási kötelezettséget tartalmazó likviditási keretekről.</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1.1.6.2.1. lakossági ügyfeleknek</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cikkének (3) bekezdése</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az 575/2013/EU rendelet 411. cikkének 2. pontja szerint meghatározott lakossági ügyfeleknek nyújtott le nem hívott, folyósítási kötelezettséget tartalmazó likviditási keretekből lehívható maximális összeget kell megadniuk.</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1.1.6.2.2. lakossági ügyfelektől eltérő nem pénzügyi ügyfeleknek</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cikkének (5) bekezdése</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A hitelintézeteknek az olyan ügyfeleknek nyújtott, le nem hívott, folyósítási kötelezettséget tartalmazó likviditási keretekből lehívható maximális összeget kell megadniuk, amelyek nem az 575/2013/EU rendelet 411. cikkének 1. pontja szerinti pénzügyi ügyfelek, és nem is az 575/2013/EU rendelet 411. cikkének 2. pontja szerinti lakossági ügyfelek.</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1.1.6.2.3. magánbefektetési társaságnak</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cikkének (5) bekezdése</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A hitelintézeteknek a magánbefektetési társaságoknak nyújtott, le nem hívott, folyósítási kötelezettséget tartalmazó likviditási keretekből lehívható maximális összeget kell megadniuk.</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1.1.6.2.4. különleges célú gazdasági egységeknek</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 hitelintézeteknek itt kell adatot szolgáltatniuk a különleges célú gazdasági egységeknek nyújtott folyósítási kötelezettséget tartalmazó likviditási keretekről.</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1.1.6.2.4.1. értékpapíroktól eltérő eszközök nem pénzügyi ügyfelektől való megvásárlásához</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cikkének (6) bekezdése</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A hitelintézeteknek azon folyósítási kötelezettséget tartalmazó likviditási keret le nem hívott összegét kell megadniuk, amelyet azzal a céllal bocsátottak valamely különleges célú gazdasági egység rendelkezésére, hogy az a pénzügyi ügyfélnek nem minősülő ügyfelektől értékpapíroktól eltérő eszközöket vásárolhasson, amennyiben meghaladja az adott különleges célú gazdasági egység ügyfelektől vásárolt aktuális eszközeinek összegét, és ha a lehívható maximális összeget a szerződés az aktuális vásárolt eszközök összegére korlátozza.</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1.1.6.2.4.2. egyéb</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Az (EU) 2015/61 felhatalmazáson alapuló rendelet 31. cikke (8) </w:t>
            </w:r>
            <w:r>
              <w:rPr>
                <w:rFonts w:ascii="Times New Roman" w:hAnsi="Times New Roman"/>
                <w:sz w:val="24"/>
              </w:rPr>
              <w:lastRenderedPageBreak/>
              <w:t>bekezdésének b) pontja</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A hitelintézeteknek a fent említett okoktól eltérő okokból különleges célú gazdasági egységeknek nyújtott, le nem hívott, folyósítási kötelezettséget tartalmazó likviditási keretekből lehívható maximális összeget kell megadniuk. Ide tartoznak az olyan megállapodások, amelyek értelmében az intézménynek valamely különleges célú gazdasági egységtől kell eszközt vásárolnia vagy cserélnie.</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 hitelintézeteknek</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A hitelintézeteknek itt kell adatot szolgáltatniuk a hitelintézeteknek nyújtott folyósítási kötelezettséget tartalmazó likviditási keretekről.</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1.1.5.2.5.1. lakossági ügyfelek kedvezményes hiteleinek finanszírozására</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cikkének (9) bekezdése</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azon le nem hívott, folyósítási kötelezettséget tartalmazó likviditási keretekből lehívható maximális összeget kell megadniuk, amelyet hitelintézeteknek biztosítanak az 575/2013/EU rendelet 411. cikkének 2. pontja szerinti ügyfelekkel szembeni kitettségnek minősülő, kedvezményes hitelek közvetett vagy közvetlen finanszírozásának kizárólagos céljával.</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Csak azok a hitelintézetek tüntethetik fel ezt az tételt, amelyeket legalább egy tagállam központi vagy regionális kormányzata hozott létre vagy támogat.</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1.1.6.2.5.2. nem pénzügyi ügyfelek kedvezményes hiteleinek finanszírozására</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cikkének (9) bekezdése</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azon le nem hívott, folyósítási kötelezettséget tartalmazó likviditási keretekből lehívható maximális összeget kell megadniuk, amelyet hitelintézeteknek olyan ügyfelekkel szembeni kitettségnek minősülő, kedvezményes hitelek közvetett vagy közvetlen finanszírozásának kizárólagos céljával biztosítanak, amelyek nem az 575/2013/EU rendelet 411. cikkének 1. pontja szerinti pénzügyi ügyfelek, és nem is az 575/2013/EU rendelet 411. cikkének 2. pontja szerinti lakossági ügyfelek.</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Csak azok a hitelintézetek tüntethetik fel ezt az tételt, amelyeket legalább egy tagállam központi vagy regionális kormányzata hozott létre vagy támogat.</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1.1.6.2.5.3. egyéb</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cikke (8) bekezdésének a) pontja</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A hitelintézeteknek a fent említettektől eltérő hitelintézeteknek nyújtott, le nem hívott, folyósítási kötelezettséget tartalmazó likviditási keretekből lehívható maximális összeget kell megadniuk.</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1.1.6.2.6. csoporton vagy intézményvédelmi rendszeren belül, ha kedvezményes kezelés alá tartozik</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29. cikke</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azon le nem hívott, folyósítási kötelezettséget tartalmazó likviditási keretekből lehívható maximális összeget kell megadniuk, amelyek esetében az (EU) 2015/61 felhatalmazáson alapuló rendelet 29. cikkének megfelelően engedélyt kaptak alacsonyabb kiáramlási arány alkalmazására.</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1.1.6.2.7. intézményvédelmi rendszeren vagy szövetkezeti hálózaton belül, ha a betételhelyező intézmény likvid eszközként kezeli</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cikkének (7) bekezdése</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16. cikkben említett rendszerhez vagy hálózathoz tartozó központi intézményeknek a tag hitelintézetnek nyújtott, le nem hívott, folyósítási kötelezettséget tartalmazó likviditási keretekből lehívható maximális összeget kell megadniuk, ha a tag hitelintézet a keretet az ugyanazon felhatalmazáson alapuló rendelet 16. cikke (2) bekezdésének megfelelően likvid eszközként kezeli.</w:t>
            </w:r>
          </w:p>
        </w:tc>
      </w:tr>
      <w:tr w:rsidR="00B47B7D" w:rsidRPr="000B6B22" w14:paraId="5596FB18" w14:textId="77777777" w:rsidTr="00454544">
        <w:tc>
          <w:tcPr>
            <w:tcW w:w="1457" w:type="dxa"/>
            <w:shd w:val="clear" w:color="auto" w:fill="auto"/>
            <w:vAlign w:val="center"/>
          </w:tcPr>
          <w:p w14:paraId="378AC22E" w14:textId="77777777" w:rsidR="006E48EA" w:rsidRPr="000B6B22" w:rsidRDefault="006E48EA" w:rsidP="009D4EFF">
            <w:pPr>
              <w:pStyle w:val="TableParagraph"/>
              <w:spacing w:after="120"/>
              <w:jc w:val="both"/>
              <w:rPr>
                <w:rFonts w:ascii="Times New Roman" w:eastAsia="Times New Roman" w:hAnsi="Times New Roman"/>
                <w:sz w:val="24"/>
                <w:szCs w:val="24"/>
                <w:lang w:val="en-GB"/>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1.1.6.2.8. egyéb pénzügyi ügyfeleknek</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31. cikke (8) bekezdésének c) pontja</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a fent említettektől eltérő egyéb pénzügyi ügyfeleknek nyújtott, le nem hívott, folyósítási kötelezettséget tartalmazó likviditási keretekből lehívható maximális összeget kell megadniuk.</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 Egyéb termékek és szolgáltatások</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23. cikkének (2) bekezdése</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A hitelintézeteknek itt kell adatot szolgáltatniuk az (EU) 2015/61 felhatalmazáson alapuló rendelet 23. cikkének (1) bekezdésében említett termékekről vagy szolgáltatásokról.</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A megadandó összeg az (EU) 2015/61 felhatalmazáson alapuló rendelet 23. cikkének (1) bekezdésében említett termékekből vagy szolgáltatásokból lehívható maximális összeg.</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 megadandó alkalmazandó súly az illetékes hatóságok által az (EU) 2015/61 felhatalmazáson alapuló rendelet 23. cikkének (2) bekezdésében meghatározott eljárással összhangban meghatározott súly.</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1.1.7.1. folyósítási kötelezettséget nem tartalmazó finanszírozási keretek</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23. cikkének (2) bekezdése</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 xml:space="preserve">A hitelintézeteknek az (EU) 2015/61 felhatalmazáson alapuló </w:t>
            </w:r>
            <w:r>
              <w:rPr>
                <w:rFonts w:ascii="Times New Roman" w:hAnsi="Times New Roman"/>
                <w:sz w:val="24"/>
              </w:rPr>
              <w:lastRenderedPageBreak/>
              <w:t>rendelet 23. cikkének (1) bekezdésében említett, folyósítási kötelezettséget nem tartalmazó finanszírozási keretek összegét kell feltüntetniük.</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A garanciákat nem szabad feltüntetni ebben a sorban.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1.1.7.2. bankközi partnereknek nyújtott le nem hívott hitelek és előlegek</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23. cikkének (2) bekezdése</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az (EU) 2015/61 felhatalmazáson alapuló rendelet 23. cikkének (1) bekezdésében említett bankközi partnereknek nyújtott le nem hívott hitelek és előlegek összegét kell feltüntetniük.</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1.1.7.3. már megkötött, de még le nem hívott jelzáloghitelek</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23. cikkének (2) bekezdése</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az (EU) 2015/61 felhatalmazáson alapuló rendelet 23. cikkének (1) bekezdésében említett már megkötött, de még le nem hívott jelzáloghitelek összegét kell feltüntetniük.</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1.1.7.4. hitelkártyák</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23. cikkének (2) bekezdése</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 hitelintézeteknek az (EU) 2015/61 felhatalmazáson alapuló bizottsági rendelet 23. cikkének (1) bekezdésében említett hitelkártyák összegét kell megadniuk.</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1.1.7.5. folyószámlahitelek</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23. cikkének (2) bekezdése</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 hitelintézeteknek az (EU) 2015/61 felhatalmazáson alapuló rendelet 23. cikkének (1) bekezdésében említett folyószámlahitelek összegét kell megadniuk.</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1.1.7.6. lakossági vagy bankközi hitelek megújításával vagy új hitelek nyújtásával kapcsolatos tervezett kiáramlások</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23. cikkének (2) bekezdése</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A hitelintézeteknek az (EU) 2015/61 felhatalmazáson alapuló rendelet 23. cikkének (1) bekezdésében említett lakossági vagy bankközi hitelek megújításával vagy új hitelek nyújtásával kapcsolatos tervezett kiáramlások összegét kell feltüntetniük.</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1.1.7.7. Származtatott ügyletekből eredő kötelezettségek</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23. cikke</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A hitelintézeteknek az (EU) 2015/61 felhatalmazáson alapuló rendelet 23. cikkének (1) bekezdésében említett – az 575/2013/EU </w:t>
            </w:r>
            <w:r>
              <w:rPr>
                <w:rFonts w:ascii="Times New Roman" w:hAnsi="Times New Roman"/>
                <w:sz w:val="24"/>
              </w:rPr>
              <w:lastRenderedPageBreak/>
              <w:t>rendelet II. mellékletében felsorolt ügyletektől és hitelderivatíváktól eltérő – származtatott ügyletekből eredő kötelezettségek összegét kell feltüntetniük.</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1.1.7.8. kereskedelemfinanszírozással kapcsolatos mérlegen kívüli termékek</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A hitelintézeteknek az (EU) 2015/61 felhatalmazáson alapuló rendelet 23. cikkének (1) bekezdésében említett kereskedelemfinanszírozással kapcsolatos mérlegen kívüli termékek összegét kell feltüntetniük.</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1.1.7.9. egyéb</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23. cikkének (2) bekezdése</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A hitelintézeteknek az (EU) 2015/61 felhatalmazáson alapuló rendelet 23. cikkének (1) bekezdésében említett, fent említettektől eltérő termékek és szolgáltatások összegét kell feltüntetniük.</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rPr>
              <w:t>Az egyéb tételek mellett ebben a sorban kell adatot szolgáltatni a garanciákról.</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E sorban kell továbbá adatot szolgáltatni az (EU) 2015/61 felhatalmazáson alapuló rendelet 30. cikkének (2) bekezdésében említett, leminősítéstől eltérő ok miatti függő kiáramlásokról.</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 Egyéb kötelezettségek és esedékes kötelezettségvállalások</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rPr>
              <w:t>Az (EU) 2015/61 felhatalmazáson alapuló rendelet 28. cikkének (2) és (6) bekezdése és 31a. cikke</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az (EU) 2015/61 felhatalmazáson alapuló rendelet 28. cikkének (2) és (6) bekezdésében és 31a. cikkében előírtak szerinti egyéb kötelezettségekből és esedékes kötelezettségvállalásokból származó kiáramlásokat kell megadniuk.</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rPr>
              <w:t>Ez a tétel szükség esetén magában foglalja a központi banki tartalékokban tartandó kiegészítő egyenlegeket, ha ezt az érintett illetékes hatóság és az EKB vagy a központi bank közötti megállapodásban rögzítették az (EU) 2015/61 felhatalmazáson alapuló rendelet 10. cikke (1) bekezdése b) pontja iii. alpontjának megfelelően.</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1.1.8.1. működési költségekből eredő kötelezettségek</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cikkének (2) bekezdése</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az (EU) 2015/61 felhatalmazáson alapuló rendelet 28. cikkének (2) bekezdésében említett, a hitelintézet saját működési költségeiből származó kötelezettségek fennálló egyenlegének összegét kell megadniuk.</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1.1.8.2. hitelviszonyt megtestesítő értékpapír formájában, ha nem lakossági betétnek minősülnek</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cikkének (6) bekezdése</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lastRenderedPageBreak/>
              <w:t>A hitelintézeteknek az (EU) 2015/61 felhatalmazáson alapuló rendelet 28. cikkének (6) bekezdésében említett, a lakossági betétként feltüntetettektől eltérő, a hitelintézet által kibocsátott adósságlevelek, kötvények és más hitelviszonyt megtestesítő értékpapírok fennálló egyenlegének összegét kell megadniuk. Ez az összeg minden említett értékpapír tekintetében magában foglalja a következő 30 naptári napon belül esedékessé váló kamatszelvényeket is.</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1.1.8.4. Nem pénzügyi ügyfeleknek nyújtott többletfinanszírozás</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Az (EU) 2015/61 felhatalmazáson alapuló rendelet 31a. cikkének (2) bekezdése</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rPr>
              <w:t>A hitelintézeteknek itt az említett felhatalmazáson alapuló rendelet 32. cikke (3) bekezdésének a) pontjában említett, nem pénzügyi ügyfelek felé tett, finanszírozás nyújtására vonatkozó szerződéses kötelezettségvállalásnak és az ezen ügyfelektől származó beáramlások összegének különbségét kell megadniuk, ha az előbbi meghaladja az utóbbit.</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1.1.8.4.1. lakossági ügyfeleknek nyújtott többletfinanszírozás</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A hitelintézeteknek itt az (EU) 2015/61 felhatalmazáson alapuló rendelet 32. cikke (3) bekezdésének a) pontjában említett, lakossági ügyfelek felé tett, finanszírozás nyújtására vonatkozó szerződéses kötelezettségvállalásnak és az ezen ügyfelektől származó beáramlások összegének különbségét kell megadniuk, ha az előbbi meghaladja az utóbbit.</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1.1.8.4.2. nem pénzügyi vállalatoknak nyújtott többletfinanszírozás</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A hitelintézeteknek itt az (EU) 2015/61 felhatalmazáson alapuló rendelet 32. cikke (3) bekezdésének a) pontjában említett, nem pénzügyi vállalatok felé tett, finanszírozás nyújtására vonatkozó szerződéses kötelezettségvállalásnak és az ezen ügyfelektől származó beáramlások összegének különbségét kell megadniuk, ha az előbbi meghaladja az utóbbit.</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1.1.8.4.3 kormányzatoknak, multilaterális fejlesztési bankoknak és közszektorbeli intézményeknek nyújtott többletfinanszírozás</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A hitelintézetnek itt az (EU) 2015/61 felhatalmazáson alapuló rendelet 32. cikke (3) bekezdésének a) pontjában említett, kormányzatok, multilaterális fejlesztési bankok és közszektorbeli intézmények felé tett, finanszírozás nyújtására vonatkozó szerződéses kötelezettségvállalásnak és az ezen ügyfelektől származó beáramlások összegének különbségét kell megadnia, ha az előbbi meghaladja az utóbbit.</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1.1.8.4.4 egyéb jogi személyeknek nyújtott többletfinanszírozás</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A hitelintézeteknek itt az (EU) 2015/61 felhatalmazáson alapuló rendelet 32. cikke (3) bekezdésének a) pontjában említett, egyéb jogi személyek felé tett, finanszírozás nyújtására vonatkozó szerződéses kötelezettségvállalásnak és az ezen ügyfelektől származó beáramlások összegének különbségét kell megadniuk, ha az előbbi meghaladja az </w:t>
            </w:r>
            <w:r>
              <w:rPr>
                <w:rFonts w:ascii="Times New Roman" w:hAnsi="Times New Roman"/>
                <w:sz w:val="24"/>
              </w:rPr>
              <w:lastRenderedPageBreak/>
              <w:t>utóbbit.</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1.1.8.5. Fedezet nélkül kölcsönvett eszközök</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cikkének (7) bekezdése</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A hitelintézeteknek itt kell feltüntetniük a fedezet nélkül kölcsönvett és 30 napon belül lejáró eszközöket. Ezen eszközök esetében azzal a feltételezéssel kell élni, hogy azok teljes mértékben kifutnak, ami 100 %-os kiáramláshoz vezet.</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A hitelintézeteknek a fedezet nélkül kölcsönvett és a 30 napos időtartamon belül lejáró eszközök piaci értékét kell megadniuk, ha a hitelintézet nem tulajdonosa az értékpapíroknak, és azok nem képezik részét a hitelintézet likviditási pufferének.</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1.1.8.6. Egyéb</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rPr>
              <w:t>Az (EU) 2015/61 felhatalmazáson alapuló rendelet 31a. cikkének (1) bekezdése</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rPr>
              <w:t>A hitelintézeteknek az (EU) 2015/61 felhatalmazáson alapuló rendelet 24–31. cikkében említettektől eltérő, a következő 30 naptári napon belül esedékessé váló kötelezettségek fennálló egyenlegének összegét kell megadniuk.</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u w:color="000000"/>
              </w:rPr>
              <w:t>Ez a sor csak a fedezetlen ügyletekből származó egyéb kiáramlásokat tartalmazza. A fedezett ügyleteket az 1.2. „Fedezett kölcsönügyletekből és tőkepiac-vezérelt ügyletekből eredő kiáramlások” azonosító és az 1.3. „Biztosítéki csereügylet kiáramlásai összesen” azonosító alatt kell feltüntetni.</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 xml:space="preserve">1.2. </w:t>
            </w:r>
            <w:r>
              <w:rPr>
                <w:rFonts w:ascii="Times New Roman" w:hAnsi="Times New Roman"/>
                <w:b/>
                <w:sz w:val="24"/>
              </w:rPr>
              <w:t>Fedezett kölcsönügyletekből és tőkepiac-vezérelt ügyletekből eredő kiáramlások</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cikkének (3) bekezdése</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Az intézményeknek itt az 575/2013/EU rendelet 192. cikkének 2. és 3. pontjában meghatározott fedezett kölcsönügyletekből és tőkepiac-vezérelt ügyletekből eredő kiáramlásokat kell megadniuk. A biztosítéki csereügyleteket (amelyek biztosíték biztosíték ellenében típusú ügyleteket fednek le) a XXIV. melléklet C 75.01 táblájában kell feltüntetni.</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u w:color="000000"/>
              </w:rPr>
              <w:t>1.2.1. A partner központi bank</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Az intézményeknek itt az 575/2013/EU rendelet 192. cikkének 2. és 3. pontjában meghatározott fedezett kölcsönügyletekből és tőkepiac-vezérelt ügyletekből eredő kiáramlásokat kell megadniuk, ha a partner központi bank.</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 rendkívül magas minőségű fedezett kötvények nélküli 1. szintű eszközökből álló biztosíték</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cikke (3) bekezdésének a) pontja</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A hitelintézeteknek itt az 575/2013/EU rendelet 192. cikkének 2. és </w:t>
            </w:r>
            <w:r>
              <w:rPr>
                <w:rFonts w:ascii="Times New Roman" w:hAnsi="Times New Roman"/>
                <w:sz w:val="24"/>
              </w:rPr>
              <w:lastRenderedPageBreak/>
              <w:t xml:space="preserve">3. pontjában meghatározott fedezett kölcsönügyletekből és tőkepiac-vezérelt ügyletekből eredő kiáramlásokat kell megadniuk, ha a partner központi bank és a nyújtott biztosíték olyan 1. szintű eszköz (a rendkívül magas minőségű fedezett kötvények kivételével), amely – amennyiben nem az említett ügyletekben használnák fedezetként – az (EU) 2015/61 felhatalmazáson alapuló rendelet 7. és 10. cikke szerint likvid eszköznek minősülne.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1.2.1.1.1 ebből a nyújtott biztosíték teljesíti az operatív követelményeket</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rPr>
              <w:t xml:space="preserve">Az 1.2.1.1. tételben szereplő olyan ügyletek, amelyeknél a biztosíték – amennyiben nem az említett ügyletekben használnák fedezetként – az (EU) 2015/61 felhatalmazáson alapuló rendelet 8. cikke szerint likvid eszköznek minősülne.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 1. szintű rendkívül magas minőségű fedezett kötvényekből álló biztosíték</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cikke (3) bekezdésének a) pontja</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itt az 575/2013/EU rendelet 192. cikkének 2. és 3. pontjában meghatározott fedezett kölcsönügyletekből és tőkepiac-vezérelt ügyletekből eredő kiáramlásokat kell megadniuk, ha a partner központi bank és a nyújtott biztosíték olyan 1. szintű rendkívül magas minőségű fedezett kötvény, amely – amennyiben nem az említett ügyletekben használnák fedezetként – az (EU) 2015/61 felhatalmazáson alapuló rendelet 7. és 10. cikke szerint likvid eszköznek minősülne.</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1.2.1.2.1 ebből a nyújtott biztosíték teljesíti az operatív követelményeket</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rPr>
              <w:t>Az 1.2.1.2.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 2A. szintű biztosíték</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cikke (3) bekezdésének a) pontja</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itt az 575/2013/EU rendelet 192. cikkének 2. és 3. pontjában meghatározott fedezett kölcsönügyletekből és tőkepiac-vezérelt ügyletekből eredő kiáramlásokat kell megadniuk, ha a partner központi bank és a nyújtott biztosíték olyan 2A. szintű eszköz, amely – amennyiben nem az említett ügyletekben használnák fedezetként – az (EU) 2015/61 felhatalmazáson alapuló rendelet 7. és 11. cikke szerint likvid eszköznek minősülne.</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1.2.1.3.1 ebből a nyújtott biztosíték teljesíti az operatív követelményeket</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 xml:space="preserve">Az 1.2.1.3. tételben szereplő olyan ügyletek, amelyeknél a biztosíték – amennyiben nem az említett ügyletekben használnák fedezetként – az </w:t>
            </w:r>
            <w:r>
              <w:rPr>
                <w:rFonts w:ascii="Times New Roman" w:hAnsi="Times New Roman"/>
                <w:sz w:val="24"/>
              </w:rPr>
              <w:lastRenderedPageBreak/>
              <w:t>(EU) 2015/61 felhatalmazáson alapuló rendelet 8. cikke szerint likvid eszköznek minősülne.</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1.2.1.4. 2B. szintű eszközfedezetű (lakóingatlan vagy gépjármű, 1. hitelminőségi besorolás) értékpapírból álló biztosíték</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cikke (3) bekezdésének a) pontja</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itt az 575/2013/EU rendelet 192. cikkének 2. és 3. pontjában meghatározott fedezett kölcsönügyletekből és tőkepiac-vezérelt ügyletekből eredő kiáramlásokat kell megadniuk, ha a partner központi bank és a nyújtott biztosíték olyan 2B. szintű eszközfedezetű értékpapír (lakóingatlan vagy gépjármű fedezettel, 1. hitelminőségi besorolással), amely megfelel a 13. cikk (2) bekezdése b) pontjának i., ii. vagy iv. alpontjában megállapított feltételeknek, és amely – amennyiben nem az említett ügyletekben használnák fedezetként – az (EU) 2015/61 felhatalmazáson alapuló rendelet 7. és 13. cikke szerint likvid eszköznek minősülne.</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1.2.1.4.1 ebből a nyújtott biztosíték teljesíti az operatív követelményeket</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Az 1.2.1.4.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 2B. szintű fedezett kötvények</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cikke (3) bekezdésének a) pontja</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itt az 575/2013/EU rendelet 192. cikkének 2. és 3. pontjában meghatározott fedezett kölcsönügyletekből és tőkepiac-vezérelt ügyletekből eredő kiáramlásokat kell megadniuk, ha a partner központi bank és a nyújtott biztosíték olyan 2B. szintű rendkívül magas minőségű fedezett kötvény, amely megfelel a 12. cikk (1) bekezdésének e) pontjában megállapított feltételeknek, és amely – amennyiben nem az említett ügyletekben használnák fedezetként – az (EU) 2015/61 felhatalmazáson alapuló rendelet 7. és 12. cikke szerint likvid eszköznek minősülne.</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1.2.1.5.1 ebből a nyújtott biztosíték teljesíti az operatív követelményeket</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Az 1.2.1.5.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u w:color="000000"/>
              </w:rPr>
              <w:t>1.2.1.6. 2B. szintű eszközfedezetű értékpapírból (vállalati vagy háztartási hitel, tagállam, 1. hitelminőségi besorolás) álló biztosíték</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cikke (3) bekezdésének a) pontja</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lastRenderedPageBreak/>
              <w:t>A hitelintézeteknek itt az 575/2013/EU rendelet 192. cikkének 2. és 3. pontjában meghatározott fedezett kölcsönügyletekből és tőkepiac-vezérelt ügyletekből eredő kiáramlásokat kell megadniuk, ha a partner központi bank és a nyújtott biztosíték olyan 2B. szintű eszközfedezetű értékpapír (valamely tagállamban vállalkozásoknak nyújtott kereskedelmi kölcsön, lízing és hitelkeret vagy háztartásoknak nyújtott kölcsön vagy hitel fedezettel, 1. hitelminőségi besorolással), amely megfelel a 13. cikk (2) bekezdése g) pontjának iii. vagy v. alpontjában megállapított feltételeknek, és amely – amennyiben nem az említett ügyletekben használnák fedezetként – az (EU) 2015/61 felhatalmazáson alapuló rendelet 7. és 13. cikke szerint likvid eszköznek minősülne.</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1.2.1.6.1 ebből a nyújtott biztosíték teljesíti az operatív követelményeket</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Az 1.2.1.6.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 egyéb 2B. szintű eszközből álló biztosíték</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cikke (3) bekezdésének a) pontja</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itt az 575/2013/EU rendelet 192. cikkének 2. és 3. pontjában meghatározott fedezett kölcsönügyletekből és tőkepiac-vezérelt ügyletekből eredő kiáramlásokat kell megadniuk, ha a partner központi bank és a nyújtott biztosíték olyan, feljebb figyelembe nem vett 2B. szintű eszköz, amely – amennyiben nem az említett ügyletekben használnák fedezetként – az (EU) 2015/61 felhatalmazáson alapuló rendelet 7. és 12. cikke szerint likvid eszköznek minősülne.</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1.2.1.7.1 ebből a nyújtott biztosíték teljesíti az operatív követelményeket</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Az 1.2.1.7.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1.2.1.8. nem likvid eszközökből álló biztosíték</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rPr>
              <w:t>Az (EU) 2015/61 felhatalmazáson alapuló rendelet 28. cikke (3) bekezdésének a) pontja</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rPr>
              <w:t>Az intézményeknek itt az 575/2013/EU rendelet 192. cikkének 2. és 3. pontjában meghatározott fedezett kölcsönügyletekből és tőkepiac-vezérelt ügyletekből eredő kiáramlásokat kell megadniuk, ha a partner központi bank, és a nyújtott biztosíték nem likvid eszközökből álló biztosíték.</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 A partner nem központi bank</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Az intézményeknek itt az 575/2013/EU rendelet 192. cikkének 2. és </w:t>
            </w:r>
            <w:r>
              <w:rPr>
                <w:rFonts w:ascii="Times New Roman" w:hAnsi="Times New Roman"/>
                <w:sz w:val="24"/>
              </w:rPr>
              <w:lastRenderedPageBreak/>
              <w:t>3. pontjában meghatározott fedezett kölcsönügyletekből és tőkepiac-vezérelt ügyletekből eredő kiáramlásokat kell megadniuk, ha a partner nem központi bank.</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 rendkívül magas minőségű fedezett kötvények nélküli 1. szintű eszközökből álló biztosíték</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cikke (3) bekezdésének a) pontja</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itt az 575/2013/EU rendelet 192. cikkének 2. és 3. pontjában meghatározott fedezett kölcsönügyletekből és tőkepiac-vezérelt ügyletekből eredő kiáramlásokat kell megadniuk, ha a partner nem központi bank és a nyújtott biztosíték olyan 1. szintű eszköz (a rendkívül magas minőségű fedezett kötvények kivételével), amely – amennyiben nem az említett ügyletekben használnák fedezetként – az (EU) 2015/61 felhatalmazáson alapuló rendelet 7. és 10. cikke szerint likvid eszköznek minősülne.</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1.2.2.1.1. ebből a nyújtott biztosíték teljesíti az operatív követelményeket</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Az 1.2.2.1.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 1. szintű rendkívül magas minőségű fedezett kötvényekből álló biztosíték</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cikke (3) bekezdésének b) pontja</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itt az 575/2013/EU rendelet 192. cikkének 2. és 3. pontjában meghatározott fedezett kölcsönügyletekből és tőkepiac-vezérelt ügyletekből eredő kiáramlásokat kell megadniuk, ha a partner nem központi bank és a nyújtott biztosíték olyan 1. szintű rendkívül magas minőségű fedezett kötvény, amely – amennyiben nem az említett ügyletekben használnák fedezetként – az (EU) 2015/61 felhatalmazáson alapuló rendelet 7. és 10. cikke szerint likvid eszköznek minősülne.</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1.2.2.2.1. ebből a nyújtott biztosíték teljesíti az operatív követelményeket</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rPr>
              <w:t>Az 1.2.2.2.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 2A. szintű biztosíték</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cikke (3) bekezdésének c) pontja</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A hitelintézeteknek itt az 575/2013/EU rendelet 192. cikkének 2. és 3. pontjában meghatározott fedezett kölcsönügyletekből és tőkepiac-vezérelt ügyletekből eredő kiáramlásokat kell megadniuk, ha a partner </w:t>
            </w:r>
            <w:r>
              <w:rPr>
                <w:rFonts w:ascii="Times New Roman" w:hAnsi="Times New Roman"/>
                <w:sz w:val="24"/>
              </w:rPr>
              <w:lastRenderedPageBreak/>
              <w:t>nem központi bank és a nyújtott biztosíték olyan 2A. szintű biztosíték, amely – amennyiben nem az említett ügyletekben használnák fedezetként – az (EU) 2015/61 felhatalmazáson alapuló rendelet 7. és 11. cikke szerint likvid eszköznek minősülne.</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1.2.2.3.1. ebből a nyújtott biztosíték teljesíti az operatív követelményeket</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Az 1.2.2.3.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1.2.2.4. 2B. szintű eszközfedezetű (lakóingatlan vagy gépjármű, 1. hitelminőségi besorolás) értékpapírból álló biztosíték</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cikke (3) bekezdésének d) pontja</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itt az 575/2013/EU rendelet 192. cikkének 2. és 3. pontjában meghatározott fedezett kölcsönügyletekből és tőkepiac-vezérelt ügyletekből eredő kiáramlásokat kell megadniuk, ha a partner nem központi bank és a nyújtott biztosíték olyan 2B. szintű eszközfedezetű értékpapír (lakóingatlan vagy gépjármű fedezettel, 1. hitelminőségi besorolással), amely megfelel a 13. cikk (2) bekezdése g) pontjának i., ii. vagy iv. alpontjában megállapított feltételeknek, és amely – amennyiben nem az említett ügyletekben használnák fedezetként – az (EU) 2015/61 felhatalmazáson alapuló rendelet 7. és 13. cikke szerint likvid eszköznek minősülne.</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1.2.2.4.1. ebből a nyújtott biztosíték teljesíti az operatív követelményeket</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Az 1.2.2.4.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 2B. szintű fedezett kötvények</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cikke (3) bekezdésének e) pontja</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itt az 575/2013/EU rendelet 192. cikkének 2. és 3. pontjában meghatározott fedezett kölcsönügyletekből és tőkepiac-vezérelt ügyletekből eredő kiáramlásokat kell megadniuk, ha a partner nem központi bank és a nyújtott biztosíték olyan 2B. szintű rendkívül magas minőségű fedezett kötvény, amely megfelel a 12. cikk (1) bekezdésének e) pontjában megállapított feltételeknek, és amely – amennyiben nem az említett ügyletekben használnák fedezetként – az (EU) 2015/61 felhatalmazáson alapuló rendelet 7. és 12. cikke szerint likvid eszköznek minősülne.</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1.2.2.5.1. ebből a nyújtott biztosíték teljesíti az operatív követelményeket</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Az 1.2.2.5. tételben szereplő olyan ügyletek, amelyeknél a biztosíték – </w:t>
            </w:r>
            <w:r>
              <w:rPr>
                <w:rFonts w:ascii="Times New Roman" w:hAnsi="Times New Roman"/>
                <w:sz w:val="24"/>
              </w:rPr>
              <w:lastRenderedPageBreak/>
              <w:t>amennyiben nem az említett ügyletekben használnák fedezetként – az (EU) 2015/61 felhatalmazáson alapuló rendelet 8. cikke szerint likvid eszköznek minősülne.</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u w:color="000000"/>
              </w:rPr>
              <w:t>1.2.2.6. 2B. szintű eszközfedezetű értékpapírból (vállalati vagy háztartási hitel, tagállam, 1. hitelminőségi besorolás) álló biztosíték</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cikke (3) bekezdésének f) pontja</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itt az 575/2013/EU rendelet 192. cikkének 2. és 3. pontjában meghatározott fedezett kölcsönügyletekből és tőkepiac-vezérelt ügyletekből eredő kiáramlásokat kell megadniuk, ha a partner nem központi bank és a nyújtott biztosíték olyan 2B. szintű eszközfedezetű értékpapír (valamely tagállamban vállalkozásoknak nyújtott kereskedelmi kölcsön, lízing és hitelkeret vagy háztartásoknak nyújtott kölcsön vagy hitel fedezettel, 1. hitelminőségi besorolással), amely megfelel a 13. cikk (2) bekezdése f) pontjának iii. vagy v. alpontjában megállapított feltételeknek, és amely – amennyiben nem az említett ügyletekben használnák fedezetként – az (EU) 2015/61 felhatalmazáson alapuló rendelet 7. és 13. cikke szerint likvid eszköznek minősülne.</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1.2.2.6.1. ebből a nyújtott biztosíték teljesíti az operatív követelményeket</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Az 1.2.2.6.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 egyéb 2B. szintű eszközből álló biztosíték</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Az (EU) 2015/61 felhatalmazáson alapuló rendelet 28. cikke (3) bekezdésének g) pontja</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itt az 575/2013/EU rendelet 192. cikkének 2. és 3. pontjában meghatározott fedezett kölcsönügyletekből és tőkepiac-vezérelt ügyletekből eredő kiáramlásokat kell megadniuk, ha a partner nem központi bank és a nyújtott biztosíték olyan, feljebb figyelembe nem vett 2B. szintű biztosíték, amely – amennyiben nem az említett ügyletekben használnák fedezetként – az (EU) 2015/61 felhatalmazáson alapuló rendelet 7. és 12. cikke szerint likvid eszköznek minősülne.</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1.2.2.7.1. ebből a nyújtott biztosíték teljesíti az operatív követelményeket</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Az 1.2.2.7.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1.2.2.8. nem likvid eszközökből álló biztosíték</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Az (EU) 2015/61 felhatalmazáson alapuló rendelet 28. cikke (3) </w:t>
            </w:r>
            <w:r>
              <w:rPr>
                <w:rFonts w:ascii="Times New Roman" w:hAnsi="Times New Roman"/>
                <w:sz w:val="24"/>
              </w:rPr>
              <w:lastRenderedPageBreak/>
              <w:t>bekezdésének h) pontja</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A hitelintézeteknek itt az 575/2013/EU rendelet 192. cikkének 2. és 3. pontjában meghatározott fedezett kölcsönügyletekből és tőkepiac-vezérelt ügyletekből eredő kiáramlásokat kell megadniuk, ha a partner nem központi bank, és a nyújtott biztosíték nem likvid eszközből álló biztosíték.</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1.3. Biztosítéki csereügylet kiáramlásai összesen</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XXIV. melléklet C75.01 táblájának 0070 oszlopában lévő kiáramlások összegét a 0060 oszlopban kell megadni.</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u w:color="000000"/>
              </w:rPr>
              <w:t>TÁJÉKOZTATÓ ADATOK</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2. Egymástól kölcsönösen függő beáramlásokkal nettósítandó likviditáskiáramlások</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rPr>
              <w:t>Az (EU) 2015/61 felhatalmazáson alapuló rendelet 26. cikke</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rPr>
              <w:t>A hitelintézeteknek a 0010. oszlopban kell megadniuk az összes olyan kötelezettség és mérlegen kívüli kötelezettségvállalás fennálló egyenlegének összegét, amelyeknek likviditáskiáramlásait egymástól kölcsönösen függő beáramlásokkal nettósítják az (EU) 2015/61 felhatalmazáson alapuló rendelet 26. cikkének megfelelően.</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rPr>
              <w:t>A hitelintézeteknek a 0060. oszlopban kell megadniuk az (EU) 2015/61 felhatalmazáson alapuló rendelet 26. cikkének megfelelően az egymástól kölcsönösen függő beáramlásokkal nettósított kiáramlásokat.</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3. Stabil operatív kapcsolat keretében klíring-, letéti, készpénzmenedzsment vagy egyéb hasonló szolgáltatás céljából elhelyezett operatív betétek</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 hitelintézeteknek itt az 1.1.2.1. tételnél említett operatív betéteket kell feltüntetniük, a következő partnerek szerinti bontásban:</w:t>
            </w:r>
          </w:p>
          <w:p w14:paraId="2F1A52B3" w14:textId="698C5523" w:rsidR="006E48EA" w:rsidRPr="000B6B22" w:rsidRDefault="006E48EA" w:rsidP="009D4EFF">
            <w:pPr>
              <w:widowControl w:val="0"/>
              <w:tabs>
                <w:tab w:val="left" w:pos="820"/>
              </w:tabs>
              <w:spacing w:before="0"/>
              <w:rPr>
                <w:rFonts w:ascii="Times New Roman" w:hAnsi="Times New Roman"/>
                <w:sz w:val="24"/>
              </w:rPr>
            </w:pP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hitelintézetek;</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hitelintézetektől eltérő pénzügyi ügyfelek;</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rPr>
                <w:rFonts w:ascii="Times New Roman" w:hAnsi="Times New Roman"/>
                <w:sz w:val="24"/>
              </w:rPr>
              <w:tab/>
              <w:t>kormányzatok, központi bankok, multilaterális fejlesztési bankok és közszektorbeli intézmények;</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egyéb ügyfelek.</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3.1. hitelintézetek által nyújtott</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az 1.1.2.1. tételnél említett, hitelintézetek által nyújtott operatív betétek fennálló egyenlegének összegét kell megadniuk.</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3.2. hitelintézetektől eltérő pénzügyi ügyfelek által nyújtott</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az 1.1.2.1. tételnél említett, hitelintézetektől eltérő pénzügyi ügyfelek által nyújtott operatív betétek fennálló egyenlegének összegét kell megadniuk.</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3.3. kormányzatok, központi bankok, multilaterális fejlesztési bankok és közszektorbeli intézmények által nyújtott</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az 1.1.2.1. tételnél említett, kormányzatok, központi bankok, multilaterális fejlesztési bankok és közszektorbeli intézmények által nyújtott operatív betétek fennálló egyenlegének összegét kell megadniuk.</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3.4. egyéb ügyfelek által nyújtott</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az 1.1.2.1. tételnél említett, egyéb (a fent említettektől és a lakossági betéteknél figyelembe vett ügyfelektől eltérő) ügyfelek által nyújtott operatív betétek fennálló egyenlegének összegét kell megadniuk.</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 Csoporton vagy intézményvédelmi rendszeren belüli kiáramlások</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 hitelintézeteknek itt minden, az 1. tétel alatt megadott ügyletet fel kell tüntetniük,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4.1. ebből: pénzügyi ügyfeleknek</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rPr>
              <w:t>A hitelintézeteknek a 4. tétel alkalmazási körébe tartozó pénzügyi ügyfelekre vonatkozóan az 1.1. tételnél a megadott teljes összeget kell feltüntetniük.</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4.2. ebből: nem pénzügyi ügyfeleknek</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A hitelintézeteknek a 4. tétel alkalmazási körébe tartozó nem pénzügyi ügyfelekre vonatkozóan az 1.1. tételnél a megadott teljes összeget kell feltüntetniük.</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4.3. ebből: fedezett</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A hitelintézeteknek a 4. tétel alkalmazási körére vonatkozóan az 1.2. tételnél megadott fedezett ügyletek teljes összegét kell feltüntetniük.</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4.4. ebből: kedvezményes kezelés nélküli hitelkeretek</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A hitelintézeteknek a 4. tétel alkalmazási körébe tartozó jogalanyokra vonatkozóan az 1.1.6.1. tételnél megadott azon le nem hívott, folyósítási kötelezettséget tartalmazó hitelkeretekből lehívható maximális összeget kell megadniuk, amelyek esetében az (EU) 2015/61 felhatalmazáson alapuló rendelet 29. cikkének megfelelően nem kaptak engedélyt alacsonyabb kiáramlási arány alkalmazására.</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4.5. ebből: kedvezményes kezelés nélküli likviditási keretek</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A hitelintézeteknek a 4. tétel alkalmazási körébe tartozó jogalanyokra vonatkozóan az 1.1.6.2. tételnél megadott azon le nem hívott, folyósítási kötelezettséget tartalmazó likviditási keretekből lehívható </w:t>
            </w:r>
            <w:r>
              <w:rPr>
                <w:rFonts w:ascii="Times New Roman" w:hAnsi="Times New Roman"/>
                <w:sz w:val="24"/>
              </w:rPr>
              <w:lastRenderedPageBreak/>
              <w:t>maximális összeget kell megadniuk, amelyek esetében az (EU) 2015/61 felhatalmazáson alapuló rendelet 29. cikkének megfelelően nem kaptak engedélyt alacsonyabb kiáramlási arány alkalmazására.</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4.6. ebből: operatív betétek</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A hitelintézeteknek a 4. tétel alkalmazási körébe tartozó jogalanyokra vonatkozóan az 1.1.2. tételnél említett betétek összegét kell feltüntetniük.</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1345</w:t>
            </w:r>
          </w:p>
        </w:tc>
        <w:tc>
          <w:tcPr>
            <w:tcW w:w="6946" w:type="dxa"/>
            <w:shd w:val="clear" w:color="auto" w:fill="auto"/>
          </w:tcPr>
          <w:p w14:paraId="1EB8BAA2" w14:textId="77777777" w:rsidR="009153FF" w:rsidRDefault="006E48EA" w:rsidP="009D4EFF">
            <w:pPr>
              <w:pStyle w:val="TableParagraph"/>
              <w:spacing w:after="120"/>
              <w:jc w:val="both"/>
              <w:rPr>
                <w:rFonts w:ascii="Times New Roman" w:hAnsi="Times New Roman"/>
                <w:b/>
                <w:sz w:val="24"/>
                <w:u w:color="000000"/>
              </w:rPr>
            </w:pPr>
            <w:r>
              <w:rPr>
                <w:rFonts w:ascii="Times New Roman" w:hAnsi="Times New Roman"/>
                <w:b/>
                <w:sz w:val="24"/>
                <w:u w:color="000000"/>
              </w:rPr>
              <w:t>4.7. ebből: többlet operatív betétek</w:t>
            </w:r>
          </w:p>
          <w:p w14:paraId="15178648" w14:textId="293CDB6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 hitelintézeteknek a 4. tétel alkalmazási körébe tartozó jogalanyokra vonatkozóan az 1.1.3. tételnél említett többletként tartott operatív betétek összegét kell feltüntetniük.</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u w:color="000000"/>
              </w:rPr>
              <w:t>4.8. ebből: nem operatív betétek</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A hitelintézeteknek a 4. tétel alkalmazási körébe tartozó jogalanyoktól származó, az 1.1.4. tételnél említett betétek fennálló egyenlegének összegét kell feltüntetniük.</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 xml:space="preserve">4.9. ebből: </w:t>
            </w:r>
            <w:r>
              <w:rPr>
                <w:rFonts w:ascii="Times New Roman" w:hAnsi="Times New Roman"/>
                <w:b/>
                <w:sz w:val="24"/>
              </w:rPr>
              <w:t>kötelezettségek hitelviszonyt megtestesítő értékpapír formájában, ha nem lakossági betétnek minősülnek</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 hitelintézeteknek a 4. tétel alkalmazási körébe tartozó jogalanyok által tartott, az 1.1.8.2. tételnél megadott hitelviszonyt megtestesítő értékpapírok fennálló egyenlegének összegét kell feltüntetniük.</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5. Devizakiáramlások</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Ezt az adatot csak akkor kell megadni, ha külön adatszolgáltatás tárgyát képező devizanemben történik az adatszolgáltatás.</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Kizárólag az 575/2013/EU rendelet 415. cikkének (2) bekezdése szerinti külön devizanemben való adatszolgáltatás esetén a hitelintézeteknek a (az 1.1.5.5. tételnél feltüntetett) származtatott ügyletekből eredő kiáramlások azon részét kell megadniuk, amelyek a 30 napos időtartamon belül lejáró keresztdevizás csereügyletek, azonnali és határidős devizaügyletekből eredő vonatkozó jelentős devizanemben történő deviza-tőkeáramlásokhoz kapcsolódnak. A partner általi nettósítást csak az adott devizanemben lévő áramlásokra lehet alkalmazni, például A partner: +10 EUR és A partner: – 20 EUR 10 EUR kiáramlásként tüntetendő fel. Nem kerülhet sor nettósításra partnerek között, például A partner: –10 EUR, B partner: +40 EUR 10 EUR kiáramlásként tüntetendő fel a C73.00 táblában (és 40 EUR beáramlásként a C74.00 táblában).</w:t>
            </w:r>
          </w:p>
        </w:tc>
      </w:tr>
      <w:tr w:rsidR="00B47B7D" w:rsidRPr="000B6B22" w:rsidDel="00CA485C" w14:paraId="5EAA7725" w14:textId="77777777" w:rsidTr="00454544">
        <w:tc>
          <w:tcPr>
            <w:tcW w:w="1457" w:type="dxa"/>
            <w:shd w:val="clear" w:color="auto" w:fill="auto"/>
            <w:vAlign w:val="center"/>
          </w:tcPr>
          <w:p w14:paraId="606598C1" w14:textId="77777777" w:rsidR="006E48EA" w:rsidRPr="000B6B22" w:rsidDel="00CA485C" w:rsidRDefault="006E48EA" w:rsidP="009D4EFF">
            <w:pPr>
              <w:pStyle w:val="TableParagraph"/>
              <w:spacing w:after="120"/>
              <w:ind w:left="135"/>
              <w:jc w:val="both"/>
              <w:rPr>
                <w:rFonts w:ascii="Times New Roman" w:hAnsi="Times New Roman"/>
                <w:sz w:val="24"/>
                <w:szCs w:val="24"/>
                <w:lang w:val="en-GB"/>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 A 17. cikk (2) és (3) bekezdése alól mentesített fedezett finanszírozás</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A hitelintézeteknek itt a legfeljebb 30 napos hátralévő futamidejű fedezett finanszírozási ügyleteket kell megadniuk, ha a partner központi bank, és ha az érintett ügyletek az (EU) 2015/61 felhatalmazáson alapuló rendelet 17. cikkének (4) bekezdése értelmében mentesülnek a 17. cikk (2) és (3) bekezdésének alkalmazása alól.</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6.1 ebből: 1. szintű fedezet a rendkívül magas minőségű fedezett kötvények kivételével</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A hitelintézeteknek itt a 30 naptári napon belül lejáró fedezett finanszírozási ügyleteket kell megadniuk, ha a partner központi bank, a nyújtott biztosíték 1. szintű biztosíték (a rendkívül magas minőségű fedezett kötvények kivételével) és – amennyiben nem használnák fedezetként – teljesítené az (EU) 2015/61 felhatalmazáson alapuló rendelet 7. és 8. cikkében meghatározott követelményeket, és ha az érintett ügyletek az (EU) 2015/61 felhatalmazáson alapuló rendelet 17. cikkének (4) bekezdése értelmében mentesülnek a 17. cikk (2) és (3) bekezdésének alkalmazása alól.</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6.2 ebből: 1. szintű fedezet, amely rendkívül magas minőségű fedezett kötvényekből áll</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A hitelintézeteknek itt a 30 naptári napon belül lejáró fedezett finanszírozási ügyleteket kell megadniuk, ha a partner központi bank, a nyújtott biztosíték 1. szintű rendkívül magas minőségű fedezett kötvény és biztosítékként való felhasználása nélkül teljesítené az (EU) 2015/61 felhatalmazáson alapuló rendelet 7. és 8. cikkében meghatározott követelményeket, és ha az érintett ügyletek az (EU) 2015/61 felhatalmazáson alapuló rendelet 17. cikkének (4) bekezdése értelmében mentesülnek a 17. cikk (2) és (3) bekezdésének alkalmazása alól.</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6.3 ebből: 2A. szintű fedezet</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A hitelintézeteknek itt a 30 naptári napon belül lejáró fedezett finanszírozási ügyleteket kell megadniuk, ha a partner központi bank, a nyújtott biztosíték 2A. szintű biztosíték és biztosítékként való felhasználása nélkül teljesítené az (EU) 2015/61 felhatalmazáson alapuló rendelet 7. és 8. cikkében meghatározott követelményeket, és ha az érintett ügyletek az (EU) 2015/61 felhatalmazáson alapuló rendelet 17. cikkének (4) bekezdése értelmében mentesülnek a 17. cikk (2) és (3) bekezdésének alkalmazása alól.</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6.4 ebből: 2B. szintű fedezet</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A hitelintézeteknek itt a 30 naptári napon belül lejáró fedezett finanszírozási ügyleteket kell megadniuk, ha a partner központi bank, a nyújtott biztosíték 2B. szintű biztosíték és biztosítékként való felhasználása nélkül teljesítené az (EU) 2015/61 felhatalmazáson alapuló rendelet 7. és 8. cikkében meghatározott követelményeket, és ha az érintett ügyletek az (EU) 2015/61 felhatalmazáson alapuló rendelet 17. cikkének (4) bekezdése értelmében mentesülnek a 17. cikk (2) és (3) bekezdésének alkalmazása alól.</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6.5 ebből: nem likvid eszközökből álló fedezet</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 xml:space="preserve">A hitelintézeteknek itt a 30 naptári napon belül lejáró fedezett finanszírozási ügyleteket kell megadniuk, ha a partner központi bank, a nyújtott biztosíték nem likvid biztosíték, és ha az érintett ügyletek az (EU) 2015/61 felhatalmazáson alapuló rendelet 17. cikkének (4) bekezdése értelmében mentesülnek a 17. cikk (2) és (3) bekezdésének </w:t>
            </w:r>
            <w:r>
              <w:rPr>
                <w:rFonts w:ascii="Times New Roman" w:hAnsi="Times New Roman"/>
                <w:sz w:val="24"/>
              </w:rPr>
              <w:lastRenderedPageBreak/>
              <w:t>alkalmazása alól.</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3. RÉSZ: BEÁRAMLÁSOK</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t>Beáramlások</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Pr>
          <w:rFonts w:ascii="Times New Roman" w:hAnsi="Times New Roman"/>
          <w:sz w:val="24"/>
          <w:u w:val="none"/>
        </w:rPr>
        <w:tab/>
        <w:t>Általános megjegyzések</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rPr>
        <w:t>Ez egy olyan összefoglaló tábla, amely az (EU) 2015/61 felhatalmazáson alapuló rendeletben meghatározott likviditásfedezeti követelményekkel kapcsolatos adatszolgáltatás céljából a következő 30 napon belüli likviditásbeáramlásra vonatkozó információkat tartalmazza. Szürke szín jelzi azokat a tételeket, amelyeket a hitelintézeteknek nem kell kitölteniük.</w:t>
      </w:r>
    </w:p>
    <w:p w14:paraId="59420614" w14:textId="71F4978E" w:rsidR="007453EC" w:rsidRPr="000B6B22" w:rsidRDefault="007453EC">
      <w:pPr>
        <w:pStyle w:val="InstructionsText2"/>
        <w:spacing w:after="120"/>
        <w:rPr>
          <w:rFonts w:cs="Times New Roman"/>
          <w:sz w:val="24"/>
          <w:szCs w:val="24"/>
        </w:rPr>
      </w:pPr>
      <w:r>
        <w:rPr>
          <w:sz w:val="24"/>
        </w:rPr>
        <w:t>A hitelintézetek az 575/2013/EU rendelet 415. cikkének (2) bekezdésével összhangban a megfelelő devizanemben szolgáltatnak adatot a táblában.</w:t>
      </w:r>
    </w:p>
    <w:p w14:paraId="54F00814" w14:textId="73A1BB15" w:rsidR="007453EC" w:rsidRPr="000B6B22" w:rsidRDefault="007453EC">
      <w:pPr>
        <w:pStyle w:val="InstructionsText2"/>
        <w:spacing w:after="120"/>
        <w:rPr>
          <w:rFonts w:cs="Times New Roman"/>
          <w:sz w:val="24"/>
          <w:szCs w:val="24"/>
        </w:rPr>
      </w:pPr>
      <w:r>
        <w:rPr>
          <w:sz w:val="24"/>
        </w:rPr>
        <w:t>Az (EU) 2015/61 felhatalmazáson alapuló rendelet 32. cikkével összhangban a likviditásbeáramlások:</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rPr>
          <w:rFonts w:ascii="Times New Roman" w:hAnsi="Times New Roman"/>
          <w:sz w:val="24"/>
        </w:rPr>
        <w:tab/>
        <w:t>kizárólag az olyan kitettségekből származó szerződéses beáramlásokból tevődnek össze, amelyek még nem késedelmesek, és amelyek esetében a hitelintézetnek nincs oka nemteljesítést feltételezni egy 30 napos időszakon belül;</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rPr>
          <w:rFonts w:ascii="Times New Roman" w:hAnsi="Times New Roman"/>
          <w:sz w:val="24"/>
        </w:rPr>
        <w:tab/>
        <w:t>kiszámításuk különböző kategóriájú szerződés szerinti kötelezettségek fennálló egyenlegének és az (EU) 2015/61 felhatalmazáson alapuló rendeletben meghatározott ráták szorzataként történik.</w:t>
      </w:r>
    </w:p>
    <w:p w14:paraId="4E8B89C3" w14:textId="5B5EEFDE" w:rsidR="007453EC" w:rsidRPr="000B6B22" w:rsidRDefault="007453EC">
      <w:pPr>
        <w:pStyle w:val="InstructionsText2"/>
        <w:spacing w:after="120"/>
        <w:rPr>
          <w:rFonts w:cs="Times New Roman"/>
          <w:sz w:val="24"/>
          <w:szCs w:val="24"/>
        </w:rPr>
      </w:pPr>
      <w:r>
        <w:rPr>
          <w:sz w:val="24"/>
        </w:rPr>
        <w:t>Egy csoporton vagy intézményvédelmi rendszeren belüli beáramlásokat (kivéve azokat beáramlásokat, amelyek egy csoport vagy intézményvédelmi rendszer tagjai által nyújtott, le nem hívott hitel- vagy likviditási keretből származnak, ha az illetékes hatóság engedélyezte kedvezményes beáramlási arány alkalmazását) a vonatkozó kategóriákhoz kell hozzárendelni. A nem súlyozott összegeket ezen felül tájékoztató adatként fel kell tüntetni a tábla 3. szakaszában (0460-0510 sor).</w:t>
      </w:r>
    </w:p>
    <w:p w14:paraId="5A30E889" w14:textId="44274FCE" w:rsidR="007453EC" w:rsidRPr="000B6B22" w:rsidRDefault="007453EC">
      <w:pPr>
        <w:pStyle w:val="InstructionsText2"/>
        <w:spacing w:after="120"/>
        <w:rPr>
          <w:rFonts w:cs="Times New Roman"/>
          <w:sz w:val="24"/>
          <w:szCs w:val="24"/>
        </w:rPr>
      </w:pPr>
      <w:r>
        <w:rPr>
          <w:sz w:val="24"/>
        </w:rPr>
        <w:t>Az (EU) 2015/61 felhatalmazáson alapuló rendelet 32. cikkének (6) bekezdésével összhangban a hitelintézetek az adatszolgáltatásban nem tüntethetik fel az említett rendelet II. címével összhangban jelentett likvid eszközökből származó beáramlásokat, kivéve az eszközökkel kapcsolatos azon esedékes összegeket, amelyek nem tükröződnek az eszköz piaci értékében.</w:t>
      </w:r>
    </w:p>
    <w:p w14:paraId="2155C2C9" w14:textId="332D6D40" w:rsidR="007453EC" w:rsidRPr="000B6B22" w:rsidRDefault="007453EC">
      <w:pPr>
        <w:pStyle w:val="InstructionsText2"/>
        <w:spacing w:after="120"/>
        <w:rPr>
          <w:rFonts w:cs="Times New Roman"/>
          <w:sz w:val="24"/>
          <w:szCs w:val="24"/>
        </w:rPr>
      </w:pPr>
      <w:r>
        <w:rPr>
          <w:sz w:val="24"/>
        </w:rPr>
        <w:t>Azokat a beáramlásokat, amelyek devizakiviteli-/behozatali korlátozásokat alkalmazó harmadik országokban esedékesek, vagy amelyek nem konvertibilis pénznemben denomináltak, az 1.1., 1.2. vagy 1.3. szakasz vonatkozó soraiban kell feltüntetni. A beáramlásokat teljes mértékben fel kell tünteti, tekintet nélkül a harmadik országbeli kiáramlások összegére vagy a devizanemre.</w:t>
      </w:r>
    </w:p>
    <w:p w14:paraId="721E6BE3" w14:textId="3E0D7CAF" w:rsidR="007453EC" w:rsidRPr="000B6B22" w:rsidRDefault="007453EC">
      <w:pPr>
        <w:pStyle w:val="InstructionsText2"/>
        <w:spacing w:after="120"/>
        <w:rPr>
          <w:rFonts w:cs="Times New Roman"/>
          <w:sz w:val="24"/>
          <w:szCs w:val="24"/>
        </w:rPr>
      </w:pPr>
      <w:r>
        <w:rPr>
          <w:sz w:val="24"/>
        </w:rPr>
        <w:t>Az olyan értékpapírokból esedékes pénzeszközöket, amelyeket maga a hitelintézet vagy olyan különleges célú gazdasági egység bocsátott ki, amellyel a hitelintézet szoros kapcsolatban áll, nettó alapon kell figyelembe venni az (EU) 2015/61 felhatalmazáson alapuló rendelet 32. cikke (3) bekezdése h) pontjának megfelelően a mögöttes eszközre alkalmazandó beáramlási arány alapján alkalmazott beáramlási aránnyal.</w:t>
      </w:r>
    </w:p>
    <w:p w14:paraId="141DDFA0" w14:textId="7853DF61" w:rsidR="007453EC" w:rsidRPr="000B6B22" w:rsidRDefault="007453EC">
      <w:pPr>
        <w:pStyle w:val="InstructionsText2"/>
        <w:spacing w:after="120"/>
        <w:rPr>
          <w:rFonts w:cs="Times New Roman"/>
          <w:sz w:val="24"/>
          <w:szCs w:val="24"/>
        </w:rPr>
      </w:pPr>
      <w:r>
        <w:rPr>
          <w:sz w:val="24"/>
        </w:rPr>
        <w:t xml:space="preserve">Az (EU) 2015/61 felhatalmazáson alapuló rendelet 32. cikkének (7) bekezdésével összhangban a hitelintézetek az adatszolgáltatásban nem tüntethetik fel az újonnan vállalt kötelezettségekből származó beáramlásokat. </w:t>
      </w:r>
      <w:r>
        <w:rPr>
          <w:sz w:val="24"/>
        </w:rPr>
        <w:lastRenderedPageBreak/>
        <w:t>Ezalatt az olyan szerződéses kötelezettségvállalások értendők, amelyekről az adatszolgáltatás időpontjában még nem kötöttek szerződést, de 30 napon belül kötni fognak vagy köthetnek.</w:t>
      </w:r>
    </w:p>
    <w:p w14:paraId="5918AFDA" w14:textId="7B744600" w:rsidR="007453EC" w:rsidRPr="000B6B22" w:rsidRDefault="007453EC">
      <w:pPr>
        <w:pStyle w:val="InstructionsText2"/>
        <w:spacing w:after="120"/>
        <w:rPr>
          <w:rFonts w:cs="Times New Roman"/>
          <w:sz w:val="24"/>
          <w:szCs w:val="24"/>
        </w:rPr>
      </w:pPr>
      <w:r>
        <w:rPr>
          <w:sz w:val="24"/>
        </w:rPr>
        <w:t>Az 575/2013/EU rendelet 415. cikkének (2) bekezdése szerinti külön adatszolgáltatás esetén a megadott egyenlegeknek csak azokra kell kiterjedniük, amelyek az érintett devizanemben denomináltak, annak biztosítása érdekében, hogy megfelelően tükröződjenek a devizanem-eltérések. Ez azzal járhat, hogy az érintett devizanemre vonatkozó táblában csak az ügylet egyik oldala kerül feltüntetésre. Például a származtatott devizaügyletek esetében a hitelintézetek a beáramlásokat és kiáramlásokat csak akkor nettósíthatja az (EU) 2015/61 felhatalmazáson alapuló rendelet 21. cikkének megfelelően, ha ugyanabban a devizanemben denomináltak.</w:t>
      </w:r>
    </w:p>
    <w:p w14:paraId="231F16EA" w14:textId="5B11A64B" w:rsidR="007453EC" w:rsidRPr="000B6B22" w:rsidRDefault="007453EC">
      <w:pPr>
        <w:pStyle w:val="InstructionsText2"/>
        <w:spacing w:after="120"/>
        <w:rPr>
          <w:rFonts w:cs="Times New Roman"/>
          <w:sz w:val="24"/>
          <w:szCs w:val="24"/>
        </w:rPr>
      </w:pPr>
      <w:r>
        <w:rPr>
          <w:sz w:val="24"/>
        </w:rPr>
        <w:t>E tábla oszlopainak szerkezete úgy épül fel, hogy magában foglalja az (EU) 2015/61 felhatalmazáson alapuló rendelet 33. cikke alapján a beáramlásokra alkalmazandó különböző felső korlátokat. E tekintetben a tábla három oszlopcsoportra épül, minden felső korláthoz tartozó kezelésre vonatkozik egy oszlopcsoport (75 %-os felső korlát, 90 %-os felső korlát és a korlát alóli mentesség). Az összevont alapú adatszolgáltatást végző hitelintézetek több ilyen oszlopcsoportot is igénybe vehetnek, ha az ugyanazon konszolidálásba bevont különböző jogalanyoknál különböző felső korlátok szerinti kezelés alkalmazandó.</w:t>
      </w:r>
    </w:p>
    <w:p w14:paraId="7ABEC4E1" w14:textId="475FA344" w:rsidR="007453EC" w:rsidRPr="000B6B22" w:rsidRDefault="007453EC">
      <w:pPr>
        <w:pStyle w:val="InstructionsText2"/>
        <w:spacing w:after="120"/>
        <w:rPr>
          <w:rFonts w:cs="Times New Roman"/>
          <w:sz w:val="24"/>
          <w:szCs w:val="24"/>
        </w:rPr>
      </w:pPr>
      <w:r>
        <w:rPr>
          <w:sz w:val="24"/>
        </w:rPr>
        <w:t>A konszolidáció tekintetében az (EU) 2015/61 felhatalmazáson alapuló rendelet 2. cikke (3) bekezdése c) pontjának értelmében annak a harmadik országbeli leányvállalatnak a likviditásbeáramlásait, amelyre ennek a harmadik országnak a jogszabályai szerint a rendelet III. címében rögzítetteknél alacsonyabb arányok vonatkoznak, a harmadik ország nemzeti jogszabályaiban rögzített alacsonyabb arányok szerint kell a konszolidáció során figyelembe venni.</w:t>
      </w:r>
    </w:p>
    <w:p w14:paraId="0393DC96" w14:textId="02075785" w:rsidR="007453EC" w:rsidRPr="000B6B22" w:rsidRDefault="0070035D">
      <w:pPr>
        <w:pStyle w:val="InstructionsText2"/>
        <w:spacing w:after="120"/>
        <w:rPr>
          <w:rFonts w:cs="Times New Roman"/>
          <w:sz w:val="24"/>
          <w:szCs w:val="24"/>
        </w:rPr>
      </w:pPr>
      <w:r>
        <w:rPr>
          <w:sz w:val="24"/>
        </w:rPr>
        <w:t>Az (EU) 2015/61 felhatalmazáson alapuló rendelet csak rátákra és haircutokra hivatkozik, a táblában a „súly” szó ezekre utal a megfelelő kontextusban. Ebben a mellékletben a „súlyozott” szót általános kifejezésként használjuk a vonatkozó haircutok, ráták és bármely egyéb releváns (például fedezett kölcsönügyletekre és finanszírozásra vonatkozó) kiegészítő előírás alkalmazása után kapott összeg megjelölésére.</w:t>
      </w:r>
    </w:p>
    <w:p w14:paraId="5A8208E2" w14:textId="6EB52EC7" w:rsidR="007453EC" w:rsidRPr="000B6B22" w:rsidRDefault="007453EC">
      <w:pPr>
        <w:pStyle w:val="InstructionsText2"/>
        <w:spacing w:after="120"/>
        <w:rPr>
          <w:rFonts w:cs="Times New Roman"/>
          <w:sz w:val="24"/>
          <w:szCs w:val="24"/>
        </w:rPr>
      </w:pPr>
      <w:r>
        <w:rPr>
          <w:sz w:val="24"/>
        </w:rPr>
        <w:t xml:space="preserve">Az ehhez az útmutatóhoz tartozó táblában szerepel néhány tájékoztató adat. Ezek az adatok az illetékes hatóság számára többek között ahhoz szükséges információt szolgáltatnak, hogy megfelelően értékelhesse a hitelintézetek likviditási követelményeknek való megfelelését.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Pr>
          <w:rFonts w:ascii="Times New Roman" w:hAnsi="Times New Roman"/>
          <w:sz w:val="24"/>
          <w:u w:val="none"/>
        </w:rPr>
        <w:tab/>
        <w:t>Fedezett kölcsönügyletekre és tőkepiac-vezérelt ügyletekre vonatkozó külön megjegyzések</w:t>
      </w:r>
    </w:p>
    <w:p w14:paraId="7478B985" w14:textId="3958DC53" w:rsidR="007453EC" w:rsidRPr="000B6B22" w:rsidRDefault="007453EC">
      <w:pPr>
        <w:pStyle w:val="InstructionsText2"/>
        <w:spacing w:after="120"/>
        <w:rPr>
          <w:rFonts w:cs="Times New Roman"/>
          <w:sz w:val="24"/>
          <w:szCs w:val="24"/>
        </w:rPr>
      </w:pPr>
      <w:r>
        <w:rPr>
          <w:sz w:val="24"/>
        </w:rPr>
        <w:t xml:space="preserve">A tábla a mögöttes eszköz minősége vagy magas minőségű likvid eszközként való elismerhetősége alapján kategorizálja a fedezett áramlásokat. Külön táblában szerepelnek a biztosítéki csereügyletek: a XXIV. melléklet C 75.01 táblájában. A biztosítéki csereügyleteket, amelyek biztosíték </w:t>
      </w:r>
      <w:proofErr w:type="spellStart"/>
      <w:r>
        <w:rPr>
          <w:sz w:val="24"/>
        </w:rPr>
        <w:t>biztosíték</w:t>
      </w:r>
      <w:proofErr w:type="spellEnd"/>
      <w:r>
        <w:rPr>
          <w:sz w:val="24"/>
        </w:rPr>
        <w:t xml:space="preserve"> ellenében típusú ügyletek, nem szabad megadni a beáramlási táblában (a XXIV. melléklet C 74.00 táblája), mivel az csak a készpénz biztosíték ellenében típusú ügyletekre terjed ki.</w:t>
      </w:r>
    </w:p>
    <w:p w14:paraId="56720F36" w14:textId="513AE5F2" w:rsidR="007453EC" w:rsidRPr="000B6B22" w:rsidRDefault="007453EC">
      <w:pPr>
        <w:pStyle w:val="InstructionsText2"/>
        <w:spacing w:after="120"/>
        <w:rPr>
          <w:rFonts w:cs="Times New Roman"/>
          <w:sz w:val="24"/>
          <w:szCs w:val="24"/>
        </w:rPr>
      </w:pPr>
      <w:r>
        <w:rPr>
          <w:sz w:val="24"/>
        </w:rPr>
        <w:lastRenderedPageBreak/>
        <w:t>Amennyiben a fedezett kölcsönügyleteket és a tőkepiac-vezérelt ügyleteket KBF-ek részvényei vagy befektetési jegyei fedezik, ezeket az ügyleteket úgy kell feltüntetni, mintha azokat a kollektív befektetési forma mögöttes eszközei fedeznék. Ha például egy fedezett kölcsönügyletet olyan KBF részvényei vagy befektetési jegyei fedeznek, amely kizárólag 2A. szintű eszközökbe fektet be, a fedezett kölcsönügyletet úgy kell feltüntetni, mintha azt közvetlenül 2A. szintű biztosíték fedezné. A KBF-ek részvényeivel vagy befektetési jegyeivel fedezett kölcsönügyletek potenciálisan magasabb beáramlási arányát tükröznie kell a feltüntetendő vonatkozó beáramlási aránynak.</w:t>
      </w:r>
    </w:p>
    <w:p w14:paraId="70BE7A08" w14:textId="5B9447DC" w:rsidR="007453EC" w:rsidRPr="000B6B22" w:rsidRDefault="007453EC">
      <w:pPr>
        <w:pStyle w:val="InstructionsText2"/>
        <w:spacing w:after="120"/>
        <w:rPr>
          <w:rFonts w:cs="Times New Roman"/>
          <w:sz w:val="24"/>
          <w:szCs w:val="24"/>
        </w:rPr>
      </w:pPr>
      <w:r>
        <w:rPr>
          <w:sz w:val="24"/>
        </w:rPr>
        <w:t xml:space="preserve">Az 575/2013/EU rendelet 415. cikkének (2) bekezdése szerinti külön adatszolgáltatás esetén a megadott egyenlegeknek csak azokra kell kiterjedniük, amelyek az érintett devizanemben denomináltak, annak biztosítása érdekében, hogy megfelelően tükröződjenek a devizanem-eltérések. Ez azzal járhat, hogy az érintett devizanemre vonatkozó táblában csak az ügylet egyik oldala kerül feltüntetésre. Így egy fordított repoügylet eredményezhet negatív beáramlást. Az ugyanazon tételnél feltüntetett fordított </w:t>
      </w:r>
      <w:proofErr w:type="spellStart"/>
      <w:r>
        <w:rPr>
          <w:sz w:val="24"/>
        </w:rPr>
        <w:t>repoügyleteket</w:t>
      </w:r>
      <w:proofErr w:type="spellEnd"/>
      <w:r>
        <w:rPr>
          <w:sz w:val="24"/>
        </w:rPr>
        <w:t xml:space="preserve"> összegezni kell (pozitívak és negatívak). Ha a teljes összeg pozitív, azt a beáramlási táblában kell megadni. Ha a teljes összeg negatív, azt a kiáramlási táblában kell megadni. Ezt a módszert oda-vissza követni kell repoügyletek esetén.</w:t>
      </w:r>
    </w:p>
    <w:p w14:paraId="565C88EE" w14:textId="181B7AE3" w:rsidR="007453EC" w:rsidRPr="000B6B22" w:rsidRDefault="007453EC">
      <w:pPr>
        <w:pStyle w:val="InstructionsText2"/>
        <w:spacing w:after="120"/>
        <w:rPr>
          <w:rFonts w:cs="Times New Roman"/>
          <w:sz w:val="24"/>
          <w:szCs w:val="24"/>
        </w:rPr>
      </w:pPr>
      <w:r>
        <w:rPr>
          <w:sz w:val="24"/>
        </w:rPr>
        <w:t>A beáramlások kiszámításához a fedezett kölcsönügyleteket és a tőkepiac-vezérelt ügyleteket attól függetlenül fel kell tüntetni, hogy a kapott mögöttes biztosíték teljesíti-e az (EU) 2015/61 felhatalmazáson alapuló rendelet 8. cikkében előírt operatív követelményeket. Továbbá annak érdekében, hogy az (EU) 2015/61 felhatalmazáson alapuló rendelet 17. cikkének (2) bekezdése szerint ki lehessen számítani a likvid eszközök kiigazított állományát, a hitelintézeteknek külön kell adatot szolgáltatniuk azokról az ügyletekről is, amelyeknél a kapott mögöttes biztosíték teljesíti az (EU) 2015/61 felhatalmazáson alapuló rendelet 8. cikkében előírt operatív követelményeket is.</w:t>
      </w:r>
    </w:p>
    <w:p w14:paraId="36FDEE66" w14:textId="23E71C0D" w:rsidR="007453EC" w:rsidRPr="000B6B22" w:rsidRDefault="007453EC">
      <w:pPr>
        <w:pStyle w:val="InstructionsText2"/>
        <w:spacing w:after="120"/>
        <w:rPr>
          <w:rFonts w:cs="Times New Roman"/>
          <w:sz w:val="24"/>
          <w:szCs w:val="24"/>
        </w:rPr>
      </w:pPr>
      <w:r>
        <w:rPr>
          <w:sz w:val="24"/>
        </w:rPr>
        <w:t>Ha a hitelintézet külföldi devizában lévő részvényeinek, vagy külföldi devizában lévő központi kormányzati vagy banki eszközeinek, vagy hazai devizában lévő központi kormányzati vagy központi banki eszközeinek csak egy részét ismerheti el magas minőségű likvid eszközei között, akkor csak az elismerhető részt kell feltüntetni az (EU) 2015/61 felhatalmazáson alapuló rendelet 12. cikke (1) bekezdése c) pontja ii. alpontjának és 10. cikke (1) bekezdése d) pontjának megfelelő 1., 2A. és 2B. szintű eszközökre vonatkozó sorokban. Ha az adott eszközt biztosítékként használják, de olyan összegben, amely a likvid eszközként elismerhető részt meghaladja, a többletösszeget a nem likvid eszközökre vonatkozó szakaszban kell feltüntetni. A 2A. szintű eszközöket a megfelelő, 2A. szintű eszközökre vonatkozó sorban kell megadni, akkor is az (EU) 2015/61 felhatalmazáson alapuló rendelet 19. cikke szerinti alternatív likviditási megközelítést követik.</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Pr>
          <w:rFonts w:ascii="Times New Roman" w:hAnsi="Times New Roman"/>
          <w:sz w:val="24"/>
          <w:u w:val="none"/>
        </w:rPr>
        <w:tab/>
        <w:t>Az elszámolási és jövőben induló határidős ügyletekre vonatkozó külön megjegyzések</w:t>
      </w:r>
    </w:p>
    <w:p w14:paraId="58CE8345" w14:textId="06ECF8C1" w:rsidR="007453EC" w:rsidRPr="000B6B22" w:rsidRDefault="007453EC">
      <w:pPr>
        <w:pStyle w:val="InstructionsText2"/>
        <w:spacing w:after="120"/>
        <w:rPr>
          <w:rFonts w:cs="Times New Roman"/>
          <w:sz w:val="24"/>
          <w:szCs w:val="24"/>
        </w:rPr>
      </w:pPr>
      <w:r>
        <w:rPr>
          <w:sz w:val="24"/>
        </w:rPr>
        <w:t xml:space="preserve">A hitelintézeteknek a 30 napos időtávon belül induló és a 30 napos időtávon túl lejáró jövőben induló határidős repoügyletekből származó beáramlásokat kell feltüntetniük. Az esedékes beáramlásokat a C 74.00 tábla 0260. sorában kell megadni („egyéb beáramlások”), a partner felé teljesítendő eszközök piaci értéke nélkül a kapcsolódó LCR-haircut alkalmazása után. Ha az eszköz nem </w:t>
      </w:r>
      <w:r>
        <w:rPr>
          <w:sz w:val="24"/>
        </w:rPr>
        <w:lastRenderedPageBreak/>
        <w:t>likvid eszköz, az esedékes beáramlást teljes mértékben fel kell tüntetni. A biztosítékként felhasználandó eszközt a C 72.00 táblában kell feltüntetni, ha az az intézmény könyvében szerepel a vonatkozási időpontban és teljesíti a kapcsolódó feltételeket.</w:t>
      </w:r>
    </w:p>
    <w:p w14:paraId="058EC6C9" w14:textId="1A6729A2" w:rsidR="007453EC" w:rsidRPr="000B6B22" w:rsidRDefault="007453EC">
      <w:pPr>
        <w:pStyle w:val="InstructionsText2"/>
        <w:spacing w:after="120"/>
        <w:rPr>
          <w:rFonts w:cs="Times New Roman"/>
          <w:sz w:val="24"/>
          <w:szCs w:val="24"/>
        </w:rPr>
      </w:pPr>
      <w:r>
        <w:rPr>
          <w:sz w:val="24"/>
        </w:rPr>
        <w:t>A hitelintézeteknek a 30 napos időtávon belül induló és a 30 napos időtávon túl lejáró olyan jövőben induló határidős repoügyletekből, fordított repoügyletekből és biztosítéki csereügyletekből származó beáramlásokat kell feltüntetniük, ahol az induló oldal beáramlást keletkeztet. Repoügylet esetében az esedékes beáramlást a C 74.00 tábla 0260. sorában kell megadni („egyéb beáramlások”), a partner felé teljesítendő eszközök piaci értéke nélkül a kapcsolódó LCR-haircut alkalmazása után. Ha a várhatóan beérkező összeg alacsonyabb mint a biztosítékként kölcsönadandó eszköz piaci értéke (LCR-haircut után), a különbözetet kiáramlásként kell feltüntetni a C73.00 táblában. Ha az eszköz nem likvid eszköz, az esedékes beáramlást teljes mértékben fel kell tüntetni. A biztosítékként felhasználandó eszközt a C 72.00 táblában kell feltüntetni, ha az az intézmény könyvében szerepel a vonatkozási időpontban és teljesíti a kapcsolódó feltételeket. Fordított repoügylet esetében, ha a biztosítékként esedékes eszköz piaci értéke a kapcsolódó LCR-haircut után (ha az eszköz likvid eszköznek minősül) nagyobb, mint a kölcsönadandó készpénzösszeg, a különbözetet a C 74.00 tábla 0260. sorában („egyéb beáramlások”) beáramlásként kell feltüntetni. Biztosítéki csereügyletek esetében, amennyiben az eszközök kezdeti csereügyletének nettó hatása (figyelembe véve az LCR-haircutokat) beáramlást eredményez, ezt a beáramlást a C 74.00 tábla 0260 sorában („egyéb beáramlások”) kell feltüntetni.</w:t>
      </w:r>
    </w:p>
    <w:p w14:paraId="516CC2E4" w14:textId="77777777" w:rsidR="007453EC" w:rsidRPr="000B6B22" w:rsidRDefault="007453EC">
      <w:pPr>
        <w:pStyle w:val="InstructionsText2"/>
        <w:spacing w:after="120"/>
        <w:rPr>
          <w:rFonts w:cs="Times New Roman"/>
          <w:sz w:val="24"/>
          <w:szCs w:val="24"/>
        </w:rPr>
      </w:pPr>
      <w:r>
        <w:rPr>
          <w:sz w:val="24"/>
        </w:rPr>
        <w:t>A likviditásfedezeti ráta 30 napos időtávján belül kezdődő és lejáró határidős repoügyletek, határidős fordított repoügyletek és határidős biztosítéki csereügyletek nincsenek hatással a bank likviditásfedezeti követelményére, és figyelmen kívül hagyhatók.</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rPr>
          <w:rFonts w:ascii="Times New Roman" w:hAnsi="Times New Roman"/>
          <w:sz w:val="24"/>
        </w:rPr>
        <w:tab/>
        <w:t>Az LCR-beáramlásokra vonatkozó döntési fa az (EU) 2015/61 felhatalmazáson alapuló rendelet 32., 33. és 34. cikkének megfelelően</w:t>
      </w:r>
    </w:p>
    <w:p w14:paraId="70E3B016" w14:textId="27F76D6D" w:rsidR="007453EC" w:rsidRPr="000B6B22" w:rsidRDefault="007453EC">
      <w:pPr>
        <w:pStyle w:val="InstructionsText2"/>
        <w:spacing w:after="120"/>
        <w:rPr>
          <w:rFonts w:cs="Times New Roman"/>
          <w:sz w:val="24"/>
          <w:szCs w:val="24"/>
        </w:rPr>
      </w:pPr>
      <w:r>
        <w:rPr>
          <w:sz w:val="24"/>
        </w:rPr>
        <w:t>A döntési fa nincs kihatással a tájékoztató adatok szolgáltatására. A döntési fa az útmutató része, amely az egyes feltüntetett adatok hozzárendelésére vonatkozóan határozza meg a rangsorolás értékelési kritériumait, hogy biztosítsa a homogén és összehasonlító adatszolgáltatást. Önmagában nem elég végighaladni a döntési fán, a hitelintézeteknek az útmutató többi részének is mindenkor meg kell felelniük.</w:t>
      </w:r>
    </w:p>
    <w:p w14:paraId="69E73C91" w14:textId="5A2DB28E" w:rsidR="007453EC" w:rsidRPr="000B6B22" w:rsidRDefault="007453EC">
      <w:pPr>
        <w:pStyle w:val="InstructionsText2"/>
        <w:spacing w:after="120"/>
        <w:rPr>
          <w:rFonts w:cs="Times New Roman"/>
          <w:sz w:val="24"/>
          <w:szCs w:val="24"/>
        </w:rPr>
      </w:pPr>
      <w:r>
        <w:rPr>
          <w:sz w:val="24"/>
        </w:rPr>
        <w:t>Az egyszerűség kedvéért a döntési fa figyelmen kívül hagyja az összegeket és részösszegeket; ez azonban nem szükségszerűen jelenti azt, hogy ezeket nem kell megadni.</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rPr>
          <w:rFonts w:ascii="Times New Roman" w:hAnsi="Times New Roman"/>
          <w:sz w:val="24"/>
        </w:rPr>
        <w:tab/>
        <w:t>A XXIV. melléklet C 74.00 táblájának soraira vonatkozó döntési fa</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Tétel</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Döntés</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Adatszolgáltatás</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A 32. cikkben meghatározott operatív kritériumokat teljesítő beáramlások, például:</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a kitettség nem késedelmes (32. cikk (1) bekezdés)</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lastRenderedPageBreak/>
              <w:t></w:t>
            </w:r>
            <w:r>
              <w:rPr>
                <w:rFonts w:ascii="Times New Roman" w:hAnsi="Times New Roman"/>
                <w:sz w:val="24"/>
              </w:rPr>
              <w:tab/>
              <w:t>a hitelintézetnek 30 naptári napon belül nincs oka nemteljesítést feltételezni (32. cikk (1) bekezdés)</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a hitelintézet az újonnan vállalt kötelezettségekből származó beáramlásokat nem veheti figyelembe (32. cikk (7) bekezdés)</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nem kell beáramlást feltüntetni, ha a beáramlásokat már kiegyenlítették a kiáramlásokkal (26. cikk)</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a hitelintézet nem veheti figyelembe a II. címben említett likvid eszközökből származó beáramlásokat, kivéve az eszközök után esedékessé váló azon kifizetéseket, amelyeket az eszköz piaci értéke nem tükröz (32. cikk (6) bekezdés)</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Nem</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Nincs adatszolgáltatás</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Igen</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Jövőben induló határidős ügylet</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Az adatszolgáltatási időpontot követően kötött határidős ügylet;</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Nincs adatszolgáltatás</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A 30 napos időtávon belül induló és a 30 napos időtávon túl lejáró olyan jövőben induló határidős ügylet, ahol az induló oldal nettó beáramlást keletkeztet.</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260. sor, 1.1.11. azonosító</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Nincs adatszolgáltatás</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Csoporton vagy intézményvédelmi rendszeren belüli beáramlások</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Igen</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Egy csoport vagy intézményvédelmi rendszer tagjai által nyújtott, le nem hívott hitel- vagy likviditási keretből származó beáramlások, ha az illetékes hatóság engedélyezte magasabb beáramlási arány alkalmazását (34. cikk)</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Igen</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250. sor, 1.1.10. azonosító</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 xml:space="preserve">Fedezett kölcsönügyletekből és tőkepiac-vezérelt ügyletekből eredő beáramlások a származékos ügyletek kivételével (32. cikk (3) bekezdés </w:t>
            </w:r>
            <w:proofErr w:type="gramStart"/>
            <w:r>
              <w:rPr>
                <w:rFonts w:ascii="Times New Roman" w:hAnsi="Times New Roman"/>
                <w:sz w:val="24"/>
              </w:rPr>
              <w:t>b)–</w:t>
            </w:r>
            <w:proofErr w:type="gramEnd"/>
            <w:r>
              <w:rPr>
                <w:rFonts w:ascii="Times New Roman" w:hAnsi="Times New Roman"/>
                <w:sz w:val="24"/>
              </w:rPr>
              <w:t>c) pont; e)–f) pont)</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30 naptári napon belül lejáró értékpapírokból esedékes pénzösszegek (32. cikk (2) bekezdés c) pont)</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Igen</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190. sor, 1.1.5. azonosító</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Legfeljebb 30 napos hátralévő futamidejű kereskedelemfinanszírozási ügyletekből esedékes pénzösszegek (32. cikk (2) bekezdés b) pont)</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Igen</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180. sor, 1.1.4. azonosító</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 xml:space="preserve">Hitelek, amelyeknek szerződéses zárónapja nincs meghatározva (32. cikk (3) bekezdés </w:t>
            </w:r>
            <w:proofErr w:type="spellStart"/>
            <w:r>
              <w:rPr>
                <w:rFonts w:ascii="Times New Roman" w:hAnsi="Times New Roman"/>
                <w:sz w:val="24"/>
              </w:rPr>
              <w:t>i)</w:t>
            </w:r>
            <w:proofErr w:type="spellEnd"/>
            <w:r>
              <w:rPr>
                <w:rFonts w:ascii="Times New Roman" w:hAnsi="Times New Roman"/>
                <w:sz w:val="24"/>
              </w:rPr>
              <w:t xml:space="preserve"> pont)</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Igen</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Szerződéses zárónap nélküli hitelekből eredő kamat- és minimumkifizetési kötelezettségek, amelyek a szerződés szerint esedékesek, és a következő 30 napon belül tényleges készpénzbeáramlással járnak.</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Igen</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201. sor, 1.1.6. azonosító</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A jelentős indexeket alkotó tőkeinstrumentumokban tartott pozíciókból esedékes pénzösszegek, ha azokat nem veszik figyelembe a likvid eszközök között is (32. cikk (2) bekezdés d) pont)</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Igen</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210. sor, 1.1.7. azonosító</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Az ügyfelek kereskedési eszközeinek védelmére vonatkozó szabályozói követelményekkel összhangban elkülönített számlákon tartott egyenlegek felszabadításából származó beáramlások (32. cikk (4) bekezdés)</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230. sor, 1.1.8. azonosító</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Származtatott ügyletekből eredő nettó készpénzbeáramlások partnerenként és biztosítékonként (32. cikk (5) bekezdés)</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240. sor, 1.1.9. azonosító</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A 31. cikk (9) bekezdésében említett kedvezményes hitel nyújtására tett kötelezettségvállalásokkal összhangban a kiáramlásoknak megfelelő beáramlások (32. cikk (3) bekezdés a) pont)</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170. sor, 1.1.3. azonosító</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Központi bankoktól és pénzügyi ügyfelektől esedékes, legfeljebb 30 napos hátralevő futamidejű pénzösszegek (32. cikk (2) bekezdés a) pont)</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Nem pénzügyi (és nem központi bank) ügyfelektől esedékes, nem tőketörlesztési célú pénzösszegek (32. cikk (2) bekezdés)</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040. sor, 1.1.1.1. azonosító</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Nem pénzügyi (és nem központi bank) ügyfelektől esedékes egyéb pénzösszegek (32. cikk (3) bekezdés a) pont)</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260. sor, 1.1.11. azonosító</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Nem pénzügyi (és nem központi bank) ügyfelektől esedékes egyéb pénzösszegek (32. cikk (3) bekezdés a) pont)</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Lakossági ügyfelek</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060. sor, 1.1.1.2.1. azonosító</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Nem pénzügyi vállalatok</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070. sor, 1.1.1.2.2. azonosító</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Kormányzatok, multilaterális fejlesztési bankok és közszektorbeli intézmények</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080. sor, 1.1.1.2.3. azonosító</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090. sor, 1.1.1.2.4. azonosító</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Pénzügyi ügyfelektől származó operatív betétként besorolt beáramlások (32. cikk (3) bekezdés d) pont)</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lastRenderedPageBreak/>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A hitelintézet képes megfelelő szimmetrikus beáramlási arányt megállapítani (32. cikk (3) bekezdés d) pont)</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120. sor, 1.1.2.1.1. azonosító</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130. sor, 1.1.2.1.2. azonosító</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Központi bankoktól esedékes pénzösszegek (32. cikk (2) bekezdés a) pont)</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150. sor, 1.1.2.2.1. azonosító</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160. sor, 1.1.2.2.2. azonosító</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Biztosítéki csereügylet (32. cikk (3) bekezdés e) pont)</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410. sor, 1.3. azonosító</w:t>
            </w:r>
            <w:r w:rsidRPr="000B6B22">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Az ügyletet központi bankkal bonyolítják le</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A biztosíték általában likvid eszközként elfogadható (függetlenül attól, hogy újra felhasználják-e egy másik ügyletben, és attól, hogy az eszköz teljesíti-e a 8. cikk szerinti operatív követelményt)</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Rövid pozíció fedezésére használt biztosíték</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297. sor, 1.2.1.2 azonosító</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A kapott biztosíték teljesíti a 8. cikk szerinti operatív követelményeket</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Fedezett finanszírozási ügylet, amelynek fedezete (32. cikk (3) bekezdés b) pont):</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1. szintű biztosíték a rendkívül magas minőségű fedezett kötvények kivételével</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269. sor, 1.2.1.1.1 + azonosító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271. sor, 1.2.1.1.1.1 azonosító</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1. szintű biztosíték, amely rendkívül magas minőségű fedezett kötvényekből áll</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273. sor, 1.2.1.1.2 + azonosító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275. sor, 1.2.1.1.2.1 azonosító</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2A. szintű biztosíték</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277. sor, 1.2.1.1.3 + azonosító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279. sor, 1.2.1.1.3.1 azonosító</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2B. szintű eszközfedezetű (lakóingatlan vagy gépjármű) értékpapírokból álló biztosíték</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281. sor, 1.2.1.1.4 + azonosító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283. sor, 1.2.1.1.4.1 azonosító</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2B. szintű magas minőségű fedezett kötvényekből álló biztosíték</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285. sor, 1.2.1.1.5 + azonosító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287. sor, 1.2.1.1.5.1 azonosító</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2B. szintű eszközfedezetű (vállalati vagy háztartási hitel) értékpapírokból álló biztosíték</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289. sor, 1.2.1.1.6 + azonosító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291. sor, 1.2.1.1.6.1 azonosító</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293. sor, 1.2.1.1.7 + azonosító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295. sor, 1.2.1.1.7.1 azonosító</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Fedezett finanszírozási ügylet, amelynek fedezete (32. cikk (3) bekezdés b) pont):</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1. szintű biztosíték a rendkívül magas minőségű fedezett kötvények kivételével</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269. sor, 1.2.1.1.1 azonosító</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1. szintű biztosíték, amely rendkívül magas minőségű fedezett kötvényekből áll</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273. sor, 1.2.1.1.2 azonosító</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2A. szintű biztosíték</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277. sor, 1.2.1.1.3 azonosító</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2B. szintű eszközfedezetű (lakóingatlan vagy gépjármű) értékpapírokból álló biztosíték</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281. sor, 1.2.1.1.4 azonosító</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2B. szintű magas minőségű fedezett kötvényekből álló biztosíték</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285. sor, 1.2.1.1.5 azonosító</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2B. szintű eszközfedezetű </w:t>
            </w:r>
            <w:r>
              <w:rPr>
                <w:rFonts w:ascii="Times New Roman" w:hAnsi="Times New Roman"/>
                <w:sz w:val="24"/>
              </w:rPr>
              <w:lastRenderedPageBreak/>
              <w:t>(vállalati vagy háztartási hitel) értékpapírokból álló biztosíték</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Igen</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289. sor, 1.2.1.1.6 azonosító</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293. sor, 1.2.1.1.7 azonosító</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Likvid eszköznek nem minősülő biztosíték (32. cikk (3) bekezdés b) pont) és amely nem likvid tőke</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301. sor, 1.2.1.3.1 azonosító</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303. sor, 1.2.1.3.2 azonosító</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A biztosíték általában likvid eszközként elfogadható (függetlenül attól, hogy újra felhasználják-e egy másik ügyletben, és attól, hogy az eszköz teljesíti-e a 8. cikk szerinti operatív követelményt)</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Rövid pozíció fedezésére használt biztosíték</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337. sor, 1.2.2.2 azonosító</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A kapott biztosíték teljesíti a 8. cikk szerinti operatív követelményeket</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Fedezett finanszírozási ügylet, amelynek fedezete (32. cikk (3) bekezdés b) pont):</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1. szintű biztosíték a rendkívül magas minőségű fedezett kötvények kivételével</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309. sor, 1.2.2.1.1 + azonosító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311. sor, 1.2.2.1.1.1 azonosító</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1. szintű biztosíték, amely rendkívül magas minőségű fedezett kötvényekből áll</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313. sor, 1.2.2.1.2 + azonosító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315. sor, 1.2.2.1.2.1 azonosító</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2A. szintű biztosíték</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317. sor, 1.2.2.1.3 + azonosító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319. sor, 1.2.2.1.3.1 azonosító</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2B. szintű eszközfedezetű (lakóingatlan vagy gépjármű) értékpapírokból álló biztosíték</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321. sor, 1.2.2.1.4 + azonosító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323. sor, 1.2.2.1.4.1 azonosító</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2B. szintű magas minőségű fedezett </w:t>
            </w:r>
            <w:r>
              <w:rPr>
                <w:rFonts w:ascii="Times New Roman" w:hAnsi="Times New Roman"/>
                <w:sz w:val="24"/>
              </w:rPr>
              <w:lastRenderedPageBreak/>
              <w:t>kötvényekből álló biztosíték</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Igen</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325. sor, 1.2.2.1.5 + azonosító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327. sor, 1.2.2.1.5.1 </w:t>
            </w:r>
            <w:r>
              <w:rPr>
                <w:rFonts w:ascii="Times New Roman" w:hAnsi="Times New Roman"/>
                <w:sz w:val="24"/>
              </w:rPr>
              <w:lastRenderedPageBreak/>
              <w:t>azonosító</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2B. szintű eszközfedezetű (vállalati vagy háztartási hitel) értékpapírokból álló biztosíték</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329. sor, 1.2.2.1.6 + azonosító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331. sor, 1.2.2.1.6.1 azonosító</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333. sor, 1.2.2.1.7 + azonosító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335. sor, 1.2.2.1.7.1 azonosító</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Fedezett finanszírozási ügylet, amelynek fedezete (32. cikk (3) bekezdés b) pont):</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1. szintű biztosíték a rendkívül magas minőségű fedezett kötvények kivételével</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309. sor, 1.2.2.1.1 azonosító</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1. szintű biztosíték, amely rendkívül magas minőségű fedezett kötvényekből áll</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313. sor, 1.2.2.1.2 azonosító</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2A. szintű biztosíték</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317. sor, 1.2.2.1.3 azonosító</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2B. szintű eszközfedezetű (lakóingatlan vagy gépjármű) értékpapírokból álló biztosíték</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321. sor, 1.2.2.1.4 azonosító</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2B. szintű magas minőségű fedezett kötvényekből álló biztosíték</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325. sor, 1.2.2.1.5 azonosító</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2B. szintű eszközfedezetű (vállalati vagy háztartási hitel) értékpapírokból álló biztosíték</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329. sor, 1.2.2.1.6 azonosító</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333. sor, 1.2.2.1.7 azonosító</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Likvid eszköznek nem minősülő biztosíték (32. cikk (3) bekezdés b) pont)</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letéti hitelek: a biztosíték nem likvid</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341. sor, 1.2.2.3.1. azonosító</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a biztosíték nem likvid tőke</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343. sor, 1.2.2.3.2. azonosító</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345. sor, 1.2.2.3.3. azonosító</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rPr>
          <w:rFonts w:ascii="Times New Roman" w:hAnsi="Times New Roman"/>
          <w:sz w:val="24"/>
        </w:rPr>
        <w:tab/>
        <w:t>A XXIV. melléklet C 74.00 táblájának oszlopaira vonatkozó döntési fa</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Tétel</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Döntés</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Adatszolgáltatás</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A XXIV. melléklet C 74.00 táblájának 0010–0430. sorában feltüntetendő beáramlás a 32., 33. és 34. cikknek megfelelően, valamint az 1. szakaszban meghatározott besorolásnak megfelelően (a C 74.00 tábla soraira vonatkozó döntési fa)</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Nincs adatszolgáltatás</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 xml:space="preserve">Fedezett kölcsönügyletekből és tőkepiac-vezérelt ügyletekből eredő beáramlások a származékos ügyletek kivételével (32. cikk (3) bekezdés </w:t>
            </w:r>
            <w:proofErr w:type="gramStart"/>
            <w:r>
              <w:rPr>
                <w:rFonts w:ascii="Times New Roman" w:hAnsi="Times New Roman"/>
                <w:sz w:val="24"/>
              </w:rPr>
              <w:t>b)–</w:t>
            </w:r>
            <w:proofErr w:type="gramEnd"/>
            <w:r>
              <w:rPr>
                <w:rFonts w:ascii="Times New Roman" w:hAnsi="Times New Roman"/>
                <w:sz w:val="24"/>
              </w:rPr>
              <w:t>c) pont; e)–f) pont)</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Nem</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A beáramlások felső korlátja alóli részleges mentesség (33. cikk (</w:t>
            </w:r>
            <w:proofErr w:type="gramStart"/>
            <w:r>
              <w:rPr>
                <w:rFonts w:ascii="Times New Roman" w:hAnsi="Times New Roman"/>
                <w:sz w:val="24"/>
              </w:rPr>
              <w:t>2)–</w:t>
            </w:r>
            <w:proofErr w:type="gramEnd"/>
            <w:r>
              <w:rPr>
                <w:rFonts w:ascii="Times New Roman" w:hAnsi="Times New Roman"/>
                <w:sz w:val="24"/>
              </w:rPr>
              <w:t>(5) bekezdés)</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A beáramlások felső korlátja alóli részleges mentesség (33. cikk (</w:t>
            </w:r>
            <w:proofErr w:type="gramStart"/>
            <w:r>
              <w:rPr>
                <w:rFonts w:ascii="Times New Roman" w:hAnsi="Times New Roman"/>
                <w:sz w:val="24"/>
              </w:rPr>
              <w:t>2)–</w:t>
            </w:r>
            <w:proofErr w:type="gramEnd"/>
            <w:r>
              <w:rPr>
                <w:rFonts w:ascii="Times New Roman" w:hAnsi="Times New Roman"/>
                <w:sz w:val="24"/>
              </w:rPr>
              <w:t>(5) bekezdés)</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A beáramlásoknak a beáramlások felső korlátja alól mentesített része</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A beáramlásoknak a beáramlások felső korlátja alól nem mentesített része</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A beáramlásoknak a beáramlások 75 %-os felső korlátja alól mentesített, a 90 %-os felső korlát alá tartozó része (33. cikk (4) bekezdés és 33. cikk (5) bekezdés)</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A beáramlások 75 %-os felső korlátja alá tartozó beáramlások (33. cikk (1) bekezdés)</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A beáramlások 75 %-os felső korlátja alá tartozó beáramlások (33. cikk (1) bekezdés)</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Esedékes pénzösszegek/lehívható maximális összeg</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0010. oszlop</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Alkalmazandó súly</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0080. oszlop</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Beáramlás</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0140. oszlop</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A beáramlások 90 %-os felső korlátja alá tartozó beáramlások (33. cikk (4) bekezdés és 33. cikk (5) bekezdés)</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A beáramlások 90 %-os felső korlátja alá tartozó beáramlások (33. cikk (4) bekezdés és 33. cikk (5) bekezdés)</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Esedékes pénzösszegek/lehívható maximális összeg</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0020. oszlop</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Alkalmazandó súly</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0090. oszlop</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Beáramlás</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0150. oszlop</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A beáramlások felső korlátja alól teljesen mentesített beáramlások (33. cikk (</w:t>
            </w:r>
            <w:proofErr w:type="gramStart"/>
            <w:r>
              <w:rPr>
                <w:rFonts w:ascii="Times New Roman" w:hAnsi="Times New Roman"/>
                <w:sz w:val="24"/>
              </w:rPr>
              <w:t>2)–</w:t>
            </w:r>
            <w:proofErr w:type="gramEnd"/>
            <w:r>
              <w:rPr>
                <w:rFonts w:ascii="Times New Roman" w:hAnsi="Times New Roman"/>
                <w:sz w:val="24"/>
              </w:rPr>
              <w:t>(3) bekezdés)</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Esedékes pénzösszegek/lehívható maximális összeg</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0030. oszlop</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Alkalmazandó súly</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0100. oszlop</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Beáramlás</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0160. oszlop</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Olyan fedezett finanszírozási ügylet, amelynek biztosítéka általában likvid eszközként elfogadható (függetlenül attól, hogy újra felhasználják-e egy másik ügyletben, és attól, hogy az eszköz teljesíti-e a 8. cikk szerinti operatív követelményt)</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A beáramlások felső korlátja alóli részleges mentesség (33. cikk (</w:t>
            </w:r>
            <w:proofErr w:type="gramStart"/>
            <w:r>
              <w:rPr>
                <w:rFonts w:ascii="Times New Roman" w:hAnsi="Times New Roman"/>
                <w:sz w:val="24"/>
              </w:rPr>
              <w:t>2)–</w:t>
            </w:r>
            <w:proofErr w:type="gramEnd"/>
            <w:r>
              <w:rPr>
                <w:rFonts w:ascii="Times New Roman" w:hAnsi="Times New Roman"/>
                <w:sz w:val="24"/>
              </w:rPr>
              <w:t>(5) bekezdés)</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A beáramlások felső korlátja alóli részleges mentesség (33. cikk (</w:t>
            </w:r>
            <w:proofErr w:type="gramStart"/>
            <w:r>
              <w:rPr>
                <w:rFonts w:ascii="Times New Roman" w:hAnsi="Times New Roman"/>
                <w:sz w:val="24"/>
              </w:rPr>
              <w:t>2)–</w:t>
            </w:r>
            <w:proofErr w:type="gramEnd"/>
            <w:r>
              <w:rPr>
                <w:rFonts w:ascii="Times New Roman" w:hAnsi="Times New Roman"/>
                <w:sz w:val="24"/>
              </w:rPr>
              <w:t>(5) bekezdés)</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A beáramlásoknak a beáramlások felső korlátja alól mentesített része</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A beáramlásoknak a beáramlások felső korlátja alól nem mentesített része</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A beáramlásoknak a beáramlások 75 %-os felső korlátja alól mentesített, a 90 %-os felső korlát alá tartozó része (33. cikk (4) bekezdés és 33. cikk (5) bekezdés)</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A beáramlások 75 %-os felső korlátja alá tartozó beáramlások (33. cikk (1) bekezdés)</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A beáramlások 75 %-os felső korlátja alá tartozó beáramlások (33. cikk (1) bekezdés)</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Esedékes pénzösszegek</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0010. oszlop</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Kapott biztosíték piaci értéke</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0040. oszlop</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Alkalmazandó súly</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0080. oszlop</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A kapott biztosíték 9. cikk szerinti értéke</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[csak ha a kapott biztosíték teljesíti a működési követelményeket]</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0110. oszlop</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Beáramlás</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0140. oszlop</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A beáramlások 90 %-os felső korlátja alá tartozó beáramlások (33. cikk (4) bekezdés és 33. cikk (5) bekezdés)</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A beáramlások 90 %-os felső korlátja alá tartozó beáramlások (33. cikk (4) bekezdés és 33. cikk (5) bekezdés)</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Esedékes pénzösszegek</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0020. oszlop</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Kapott biztosíték piaci értéke</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0050. oszlop</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Alkalmazandó súly</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0090. oszlop</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A kapott biztosíték 9. cikk szerinti értéke</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[csak ha a kapott biztosíték teljesíti a működési követelményeket]</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0120. oszlop</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Beáramlás</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0150. oszlop</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A beáramlások felső korlátja alól teljesen mentesített beáramlások (33. cikk (</w:t>
            </w:r>
            <w:proofErr w:type="gramStart"/>
            <w:r>
              <w:rPr>
                <w:rFonts w:ascii="Times New Roman" w:hAnsi="Times New Roman"/>
                <w:sz w:val="24"/>
              </w:rPr>
              <w:t>2)–</w:t>
            </w:r>
            <w:proofErr w:type="gramEnd"/>
            <w:r>
              <w:rPr>
                <w:rFonts w:ascii="Times New Roman" w:hAnsi="Times New Roman"/>
                <w:sz w:val="24"/>
              </w:rPr>
              <w:t>(3) bekezdés)</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Esedékes pénzösszegek</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0030. oszlop</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Kapott biztosíték piaci értéke</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0060. oszlop</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Alkalmazandó súly</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0100. oszlop</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A kapott biztosíték 9. cikk szerinti értéke</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[csak ha a kapott biztosíték teljesíti a működési követelményeket]</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0130. oszlop</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Beáramlás</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0160. oszlop</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rPr>
          <w:rFonts w:ascii="Times New Roman" w:hAnsi="Times New Roman"/>
          <w:sz w:val="24"/>
        </w:rPr>
        <w:tab/>
        <w:t>Beáramlásokra vonatkozó altábla</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rPr>
          <w:rFonts w:ascii="Times New Roman" w:hAnsi="Times New Roman"/>
          <w:sz w:val="24"/>
        </w:rPr>
        <w:tab/>
        <w:t>A tábla egyes oszlopaira vonatkozó útmutató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36"/>
        <w:gridCol w:w="7306"/>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Oszlop</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Jogszabályi hivatkozások és útmutató</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sz w:val="24"/>
              </w:rPr>
              <w:t>Összeg – A beáramlások 75 %-os felső korlátja alá tartozó</w:t>
            </w:r>
          </w:p>
          <w:p w14:paraId="76C34829" w14:textId="3AEE35E5"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33. és 34. cikke</w:t>
            </w:r>
          </w:p>
          <w:p w14:paraId="0D9819C3" w14:textId="60CB40D5" w:rsidR="006F1DF5" w:rsidRPr="000B6B22" w:rsidRDefault="006F1DF5">
            <w:pPr>
              <w:spacing w:before="0"/>
              <w:rPr>
                <w:rFonts w:ascii="Times New Roman" w:hAnsi="Times New Roman"/>
                <w:bCs/>
                <w:sz w:val="24"/>
              </w:rPr>
            </w:pPr>
            <w:r>
              <w:rPr>
                <w:rFonts w:ascii="Times New Roman" w:hAnsi="Times New Roman"/>
                <w:sz w:val="24"/>
              </w:rPr>
              <w:t>A 0040, 0060–0090, 0120–0130, 0150–0260, 0269–0297, 0301–0303, 0309–0337, 0341–0345, 0450 és 0470–0510 sor esetében a hitelintézeteknek a 0010. oszlopban kell megadniuk azon lehívható eszközök/esedékes összegek/maximális összegek teljes összegét, amelyek a beáramlások 75 %-os felső korlátja alá tartoznak az (EU) 2015/61 felhatalmazáson alapuló rendelet 33. cikkének (1) bekezdésében meghatározottak szerint, és az itt szereplő útmutató alapján.</w:t>
            </w:r>
          </w:p>
          <w:p w14:paraId="6B99EE47" w14:textId="03BA4ABB" w:rsidR="007453EC" w:rsidRPr="000B6B22" w:rsidRDefault="007453EC">
            <w:pPr>
              <w:spacing w:before="0"/>
              <w:rPr>
                <w:rFonts w:ascii="Times New Roman" w:hAnsi="Times New Roman"/>
                <w:bCs/>
                <w:sz w:val="24"/>
              </w:rPr>
            </w:pPr>
            <w:r>
              <w:rPr>
                <w:rFonts w:ascii="Times New Roman" w:hAnsi="Times New Roman"/>
                <w:sz w:val="24"/>
              </w:rPr>
              <w:t>Ha az illetékes hatóság jóváhagyta a beáramlások felső korlátja alóli részleges mentességet az (EU) 2015/61 felhatalmazáson alapuló rendelet 33. cikke (2) bekezdésének megfelelően, az összeg mentesség alá tartozó részét a 0020. vagy 0030. oszlopban kell megadni, az összeg mentesség alá nem tartozó részét pedig a 0010. oszlopban.</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sz w:val="24"/>
              </w:rPr>
              <w:t>Összeg – A beáramlások 90 %-os felső korlátja alá tartozó</w:t>
            </w:r>
          </w:p>
          <w:p w14:paraId="2F755F35" w14:textId="478637DA"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33. és 34. cikke</w:t>
            </w:r>
          </w:p>
          <w:p w14:paraId="7ACF83D6" w14:textId="41CBEF4C" w:rsidR="006F1DF5" w:rsidRPr="000B6B22" w:rsidRDefault="006F1DF5">
            <w:pPr>
              <w:spacing w:before="0"/>
              <w:rPr>
                <w:rFonts w:ascii="Times New Roman" w:hAnsi="Times New Roman"/>
                <w:bCs/>
                <w:sz w:val="24"/>
              </w:rPr>
            </w:pPr>
            <w:r>
              <w:rPr>
                <w:rFonts w:ascii="Times New Roman" w:hAnsi="Times New Roman"/>
                <w:sz w:val="24"/>
              </w:rPr>
              <w:t>A 0040, 0060–0090, 0120–0130, 0150–0260, 0269–0297, 0301–0303, 0309–0337, 0341–0345, 0450 és 0470–0510 sor esetében a hitelintézeteknek a 0020. oszlopban kell megadniuk azon lehívható eszközök/esedékes összegek/maximális összegek teljes összegét, amelyek a beáramlások 90 %-os felső korlátja alá tartoznak az (EU) 2015/61 felhatalmazáson alapuló rendelet 33. cikkének (4) és (5) bekezdésében meghatározottak szerint, és az itt szereplő útmutató alapján.</w:t>
            </w:r>
          </w:p>
          <w:p w14:paraId="502241E3" w14:textId="30BDB5E8" w:rsidR="007453EC" w:rsidRPr="000B6B22" w:rsidRDefault="007453EC">
            <w:pPr>
              <w:spacing w:before="0"/>
              <w:rPr>
                <w:rFonts w:ascii="Times New Roman" w:hAnsi="Times New Roman"/>
                <w:bCs/>
                <w:sz w:val="24"/>
              </w:rPr>
            </w:pPr>
            <w:r>
              <w:rPr>
                <w:rFonts w:ascii="Times New Roman" w:hAnsi="Times New Roman"/>
                <w:sz w:val="24"/>
              </w:rPr>
              <w:t>Ha az illetékes hatóság jóváhagyta a beáramlások felső korlátja alóli részleges mentességet az (EU) 2015/61 felhatalmazáson alapuló rendelet 33. cikke (2) bekezdésének megfelelően, az összeg mentesség alá tartozó részét a 0020. vagy 0030. oszlopban kell megadni, az összeg mentesség alá nem tartozó részét pedig a 0010. oszlopban.</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sz w:val="24"/>
              </w:rPr>
              <w:t>Összeg – A beáramlások felső korlátja alól mentesített</w:t>
            </w:r>
          </w:p>
          <w:p w14:paraId="72423074" w14:textId="04E28245"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33. és 34. cikke</w:t>
            </w:r>
          </w:p>
          <w:p w14:paraId="007E9028" w14:textId="7213B8E0" w:rsidR="006F1DF5" w:rsidRPr="000B6B22" w:rsidRDefault="006F1DF5">
            <w:pPr>
              <w:spacing w:before="0"/>
              <w:rPr>
                <w:rFonts w:ascii="Times New Roman" w:hAnsi="Times New Roman"/>
                <w:bCs/>
                <w:sz w:val="24"/>
              </w:rPr>
            </w:pPr>
            <w:r>
              <w:rPr>
                <w:rFonts w:ascii="Times New Roman" w:hAnsi="Times New Roman"/>
                <w:sz w:val="24"/>
              </w:rPr>
              <w:t>A 0040, 0060–0090, 0120–0130, 0150–0260, 0269–0297, 0301–0303, 0309–0337, 0341–0345, 0450 és 0470–0510 sor esetében a hitelintézeteknek a 0030. oszlopban kell megadniuk azon lehívható eszközök/esedékes összegek/maximális összegek teljes összegét, amelyek teljesen mentesítettek a beáramlások felső korlátja alól az (EU) 2015/61 felhatalmazáson alapuló rendelet 33. cikkének (2), (3) és (5) bekezdésében meghatározottak szerint, és az itt szereplő útmutató alapján.</w:t>
            </w:r>
          </w:p>
          <w:p w14:paraId="586E0A71" w14:textId="643ADBCB" w:rsidR="007453EC" w:rsidRPr="000B6B22" w:rsidRDefault="007453EC">
            <w:pPr>
              <w:spacing w:before="0"/>
              <w:rPr>
                <w:rFonts w:ascii="Times New Roman" w:hAnsi="Times New Roman"/>
                <w:bCs/>
                <w:sz w:val="24"/>
              </w:rPr>
            </w:pPr>
            <w:r>
              <w:rPr>
                <w:rFonts w:ascii="Times New Roman" w:hAnsi="Times New Roman"/>
                <w:sz w:val="24"/>
              </w:rPr>
              <w:t xml:space="preserve">Ha az illetékes hatóság jóváhagyta a beáramlások felső korlátja alóli részleges mentességet az (EU) 2015/61 felhatalmazáson alapuló rendelet 33. cikke (2) bekezdésének megfelelően, az összeg mentesség alá tartozó </w:t>
            </w:r>
            <w:r>
              <w:rPr>
                <w:rFonts w:ascii="Times New Roman" w:hAnsi="Times New Roman"/>
                <w:sz w:val="24"/>
              </w:rPr>
              <w:lastRenderedPageBreak/>
              <w:t>részét a 0020. vagy 0030. oszlopban kell megadni, az összeg mentesség alá nem tartozó részét pedig a 0010. oszlopban.</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sz w:val="24"/>
              </w:rPr>
              <w:t>A kapott biztosíték piaci értéke – A beáramlások 75 %-os felső korlátja alá tartozó</w:t>
            </w:r>
          </w:p>
          <w:p w14:paraId="61DE5E96" w14:textId="204DFDE3"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33. és 34. cikke</w:t>
            </w:r>
          </w:p>
          <w:p w14:paraId="2ADF96EB" w14:textId="78B6EB93" w:rsidR="007453EC" w:rsidRPr="000B6B22" w:rsidRDefault="006F1DF5">
            <w:pPr>
              <w:spacing w:before="0"/>
              <w:rPr>
                <w:rFonts w:ascii="Times New Roman" w:hAnsi="Times New Roman"/>
                <w:bCs/>
                <w:sz w:val="24"/>
              </w:rPr>
            </w:pPr>
            <w:r>
              <w:rPr>
                <w:rFonts w:ascii="Times New Roman" w:hAnsi="Times New Roman"/>
                <w:sz w:val="24"/>
              </w:rPr>
              <w:t>A 0269–0295, 0309–0335 és 0490 sor esetében a hitelintézeteknek a 0040. oszlopban kell megadniuk a fedezett kölcsönügyletek és tőkepiac-vezérelt ügyletek során kapott biztosíték piaci értékét, amelyek a beáramlások 75 %-os felső korlátja alá tartoznak az (EU) 2015/61 felhatalmazáson alapuló rendelet 33. cikkének (1) bekezdésében meghatározottak szerint.</w:t>
            </w:r>
          </w:p>
          <w:p w14:paraId="5EAD7F40" w14:textId="002EE697" w:rsidR="007453EC" w:rsidRPr="000B6B22" w:rsidRDefault="007453EC">
            <w:pPr>
              <w:spacing w:before="0"/>
              <w:rPr>
                <w:rFonts w:ascii="Times New Roman" w:hAnsi="Times New Roman"/>
                <w:bCs/>
                <w:sz w:val="24"/>
              </w:rPr>
            </w:pPr>
            <w:r>
              <w:rPr>
                <w:rFonts w:ascii="Times New Roman" w:hAnsi="Times New Roman"/>
                <w:sz w:val="24"/>
              </w:rPr>
              <w:t>Ha az illetékes hatóság jóváhagyta a beáramlások felső korlátja alóli részleges mentességet az (EU) 2015/61 felhatalmazáson alapuló rendelet 33. cikke (2) bekezdésének megfelelően, a mentesség alá tartozó fedezett kölcsönügyletek és tőkepiac-vezérelt ügyletek során kapott biztosíték piaci értékét a 0050. vagy 0060. oszlopban kell megadni, a mentesség alá nem tartozó fedezett kölcsönügyletek és tőkepiac-vezérelt ügyletek során kapott biztosíték piaci értékét pedig a 0040. oszlopban.</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sz w:val="24"/>
              </w:rPr>
              <w:t>A kapott biztosíték piaci értéke – A beáramlások 90 %-os felső korlátja alá tartozó</w:t>
            </w:r>
          </w:p>
          <w:p w14:paraId="4E91C243" w14:textId="01908594"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33. és 34. cikke</w:t>
            </w:r>
          </w:p>
          <w:p w14:paraId="6CD388F1" w14:textId="29721BBC" w:rsidR="006F1DF5" w:rsidRPr="000B6B22" w:rsidRDefault="006F1DF5">
            <w:pPr>
              <w:spacing w:before="0"/>
              <w:rPr>
                <w:rFonts w:ascii="Times New Roman" w:hAnsi="Times New Roman"/>
                <w:bCs/>
                <w:sz w:val="24"/>
              </w:rPr>
            </w:pPr>
            <w:r>
              <w:rPr>
                <w:rFonts w:ascii="Times New Roman" w:hAnsi="Times New Roman"/>
                <w:sz w:val="24"/>
              </w:rPr>
              <w:t>A 0269–0295, 0309–0335 és 0490 sor esetében a hitelintézeteknek a 0050. oszlopban kell megadniuk a fedezett kölcsönügyletek és tőkepiac-vezérelt ügyletek során kapott biztosíték piaci értékét, amelyek a beáramlások 90 %-os felső korlátja alá tartoznak az (EU) 2015/61 felhatalmazáson alapuló rendelet 33. cikkének (4) bekezdésében és (5) bekezdésében meghatározottak szerint.</w:t>
            </w:r>
          </w:p>
          <w:p w14:paraId="64326D82" w14:textId="09244D8F" w:rsidR="007453EC" w:rsidRPr="000B6B22" w:rsidRDefault="007453EC">
            <w:pPr>
              <w:spacing w:before="0"/>
              <w:rPr>
                <w:rFonts w:ascii="Times New Roman" w:hAnsi="Times New Roman"/>
                <w:bCs/>
                <w:sz w:val="24"/>
              </w:rPr>
            </w:pPr>
            <w:r>
              <w:rPr>
                <w:rFonts w:ascii="Times New Roman" w:hAnsi="Times New Roman"/>
                <w:sz w:val="24"/>
              </w:rPr>
              <w:t>Ha az illetékes hatóság jóváhagyta a beáramlások felső korlátja alóli részleges mentességet az (EU) 2015/61 felhatalmazáson alapuló rendelet 33. cikke (2) bekezdésének megfelelően, a mentesség alá tartozó fedezett kölcsönügyletek és tőkepiac-vezérelt ügyletek során kapott biztosíték piaci értékét a 0050. vagy 0060. oszlopban kell megadni, a mentesség alá nem tartozó fedezett kölcsönügyletek és tőkepiac-vezérelt ügyletek során kapott biztosíték piaci értékét pedig a 0040. oszlopban.</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sz w:val="24"/>
              </w:rPr>
              <w:t>A kapott biztosíték piaci értéke – A beáramlások felső korlátja alól mentesített</w:t>
            </w:r>
          </w:p>
          <w:p w14:paraId="7031DBC6" w14:textId="6E2075AB"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33. és 34. cikke</w:t>
            </w:r>
          </w:p>
          <w:p w14:paraId="0923FFF4" w14:textId="1E77C133" w:rsidR="006F1DF5" w:rsidRPr="000B6B22" w:rsidRDefault="006F1DF5">
            <w:pPr>
              <w:spacing w:before="0"/>
              <w:rPr>
                <w:rFonts w:ascii="Times New Roman" w:hAnsi="Times New Roman"/>
                <w:bCs/>
                <w:sz w:val="24"/>
              </w:rPr>
            </w:pPr>
            <w:r>
              <w:rPr>
                <w:rFonts w:ascii="Times New Roman" w:hAnsi="Times New Roman"/>
                <w:sz w:val="24"/>
              </w:rPr>
              <w:t>A 0269–0295, 0309–0335 és 0490 sor esetében a hitelintézeteknek a 0060. oszlopban kell megadniuk a fedezett kölcsönügyletek és tőkepiac-vezérelt ügyletek során kapott biztosíték piaci értékét, amelyek teljes mértékben mentesítettek a beáramlások felső korlátja alól az (EU) 2015/61 felhatalmazáson alapuló rendelet 33. cikkének (2), (3) és (5) bekezdésében meghatározottak szerint.</w:t>
            </w:r>
          </w:p>
          <w:p w14:paraId="19366161" w14:textId="415CEE37" w:rsidR="007453EC" w:rsidRPr="000B6B22" w:rsidRDefault="007453EC">
            <w:pPr>
              <w:spacing w:before="0"/>
              <w:rPr>
                <w:rFonts w:ascii="Times New Roman" w:hAnsi="Times New Roman"/>
                <w:bCs/>
                <w:sz w:val="24"/>
              </w:rPr>
            </w:pPr>
            <w:r>
              <w:rPr>
                <w:rFonts w:ascii="Times New Roman" w:hAnsi="Times New Roman"/>
                <w:sz w:val="24"/>
              </w:rPr>
              <w:t xml:space="preserve">Ha az illetékes hatóság jóváhagyta a beáramlások felső korlátja alóli részleges mentességet az (EU) 2015/61 felhatalmazáson alapuló rendelet 33. cikke (2) bekezdésének megfelelően, a mentesség alá tartozó fedezett </w:t>
            </w:r>
            <w:r>
              <w:rPr>
                <w:rFonts w:ascii="Times New Roman" w:hAnsi="Times New Roman"/>
                <w:sz w:val="24"/>
              </w:rPr>
              <w:lastRenderedPageBreak/>
              <w:t>kölcsönügyletek és tőkepiac-vezérelt ügyletek során kapott biztosíték piaci értékét a 0050. vagy 0060. oszlopban kell megadni, a mentesség alá nem tartozó fedezett kölcsönügyletek és tőkepiac-vezérelt ügyletek során kapott biztosíték piaci értékét pedig a 0040. oszlopban.</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sz w:val="24"/>
              </w:rPr>
              <w:t>Standard súly</w:t>
            </w:r>
          </w:p>
          <w:p w14:paraId="2640C8D7" w14:textId="1D875A0A"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33. és 34. cikke</w:t>
            </w:r>
          </w:p>
          <w:p w14:paraId="1E65A7AA" w14:textId="252B9C82" w:rsidR="007453EC" w:rsidRPr="000B6B22" w:rsidRDefault="007453EC">
            <w:pPr>
              <w:spacing w:before="0"/>
              <w:rPr>
                <w:rFonts w:ascii="Times New Roman" w:hAnsi="Times New Roman"/>
                <w:bCs/>
                <w:sz w:val="24"/>
              </w:rPr>
            </w:pPr>
            <w:r>
              <w:rPr>
                <w:rFonts w:ascii="Times New Roman" w:hAnsi="Times New Roman"/>
                <w:sz w:val="24"/>
              </w:rPr>
              <w:t>A 0070. oszlopban szereplő standard súlyok az (EU) 2015/61 felhatalmazáson alapuló rendeletben alapértelmezés szerint meghatározottak, és itt csak tájékoztatásul szerepelnek.</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sz w:val="24"/>
              </w:rPr>
              <w:t>Alkalmazandó súly – A beáramlások 75 %-os felső korlátja alá tartozó</w:t>
            </w:r>
          </w:p>
          <w:p w14:paraId="7524353B" w14:textId="452AAC1D"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33. és 34. cikke</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Az alkalmazandó súly az (EU) 2015/61 felhatalmazáson alapuló rendelet 32–34. cikkében meghatározott súly. Az alkalmazandó súlyok súlyozott átlagértékeket eredményezhetnek, és feltüntetésük tizedes rendszerben történik (azaz 1,00 a 100 százalékos alkalmazandó súly esetében, vagy 0,50 az 50 százalékos alkalmazandó súly esetében). Az alkalmazandó súlyok tükrözhetnek többek között vállalatspecifikus vagy nemzeti megfontolásokat is.</w:t>
            </w:r>
          </w:p>
          <w:p w14:paraId="6CBF0AC2" w14:textId="139C6F61" w:rsidR="007453EC" w:rsidRPr="000B6B22" w:rsidRDefault="002A1DC6">
            <w:pPr>
              <w:spacing w:before="0"/>
              <w:rPr>
                <w:rFonts w:ascii="Times New Roman" w:hAnsi="Times New Roman"/>
                <w:bCs/>
                <w:sz w:val="24"/>
              </w:rPr>
            </w:pPr>
            <w:r>
              <w:rPr>
                <w:rFonts w:ascii="Times New Roman" w:hAnsi="Times New Roman"/>
                <w:sz w:val="24"/>
              </w:rPr>
              <w:t>A 0040, 0060–0090, 0120–0130, 0150–0260, 0269, 0273, 0277, 0281, 0285, 0289, 0293, 0301–0303, 0309, 0313, 0317, 0321, 0325, 0329, 0333, 0341–0345, 0450 és 0470–0510 sor esetében a hitelintézeteknek a 0080. oszlopban kell megadniuk az azon lehívható eszközökre/esedékes pénzösszegekre/maximális összegekre alkalmazott átlagos súlyt, amelyek a beáramlások 75 %-os felső korlátja alá tartoznak az (EU) 2015/61 felhatalmazáson alapuló rendelet 33. cikkének (1) bekezdésében meghatározottak szerint.</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sz w:val="24"/>
              </w:rPr>
              <w:t>Alkalmazandó súly – A beáramlások 90 %-os felső korlátja alá tartozó</w:t>
            </w:r>
          </w:p>
          <w:p w14:paraId="4E2077E5" w14:textId="709CBDEB"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33. és 34. cikke</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Az alkalmazandó súlyok az (EU) 2015/61 felhatalmazáson alapuló rendelet 32–34. cikkében meghatározott súlyok. Az alkalmazandó súlyok súlyozott átlagértékeket eredményezhetnek, és feltüntetésük tizedes rendszerben történik (azaz 1,00 a 100 százalékos alkalmazandó súly esetében, vagy 0,50 az 50 százalékos alkalmazandó súly esetében). Az alkalmazandó súlyok tükrözhetnek többek között vállalatspecifikus vagy nemzeti megfontolásokat is.</w:t>
            </w:r>
          </w:p>
          <w:p w14:paraId="035923CF" w14:textId="2547393B" w:rsidR="007453EC" w:rsidRPr="000B6B22" w:rsidRDefault="002A1DC6">
            <w:pPr>
              <w:spacing w:before="0"/>
              <w:rPr>
                <w:rFonts w:ascii="Times New Roman" w:hAnsi="Times New Roman"/>
                <w:b/>
                <w:bCs/>
                <w:sz w:val="24"/>
              </w:rPr>
            </w:pPr>
            <w:r>
              <w:rPr>
                <w:rFonts w:ascii="Times New Roman" w:hAnsi="Times New Roman"/>
                <w:sz w:val="24"/>
              </w:rPr>
              <w:t xml:space="preserve">A 0040, 0060–0090, 0120–0130, 0150–0260, 0269, 0273, 0277, 0281, 0285, 0289, 0293, 0301–0303, 0309, 0313, 0317, 0321, 0325, 0329, 0333, 0341–0345, 0450 és 0470–0510 sor esetében a hitelintézeteknek a 0090. oszlopban kell megadniuk az azon lehívható eszközökre/esedékes pénzösszegekre/maximális összegekre alkalmazott átlagos súlyt, amelyek a beáramlások 90 %-os felső korlátja alá tartoznak az (EU) 2015/61 felhatalmazáson alapuló rendelet 33. cikkének (4) és (5) bekezdésében meghatározottak szerint.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sz w:val="24"/>
              </w:rPr>
              <w:t>Alkalmazandó súly – A beáramlások felső korlátja alól mentesített</w:t>
            </w:r>
          </w:p>
          <w:p w14:paraId="6212EA54" w14:textId="59D2CEBF" w:rsidR="007453EC" w:rsidRPr="000B6B22" w:rsidRDefault="007453EC">
            <w:pPr>
              <w:spacing w:before="0"/>
              <w:rPr>
                <w:rFonts w:ascii="Times New Roman" w:hAnsi="Times New Roman"/>
                <w:bCs/>
                <w:sz w:val="24"/>
              </w:rPr>
            </w:pPr>
            <w:r>
              <w:rPr>
                <w:rFonts w:ascii="Times New Roman" w:hAnsi="Times New Roman"/>
                <w:sz w:val="24"/>
              </w:rPr>
              <w:lastRenderedPageBreak/>
              <w:t>Az (EU) 2015/61 felhatalmazáson alapuló rendelet 32., 33. és 34. cikke</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Az alkalmazandó súlyok az (EU) 2015/61 felhatalmazáson alapuló rendelet 32–34. cikkében meghatározott súlyok. Az alkalmazandó súlyok súlyozott átlagértékeket eredményezhetnek, és feltüntetésük tizedes rendszerben történik (azaz 1,00 a 100 százalékos alkalmazandó súly esetében, vagy 0,50 az 50 százalékos alkalmazandó súly esetében). Az alkalmazandó súlyok tükrözhetnek többek között vállalatspecifikus vagy nemzeti megfontolásokat is.</w:t>
            </w:r>
          </w:p>
          <w:p w14:paraId="1C43DEE1" w14:textId="42323BF5" w:rsidR="007453EC" w:rsidRPr="000B6B22" w:rsidRDefault="002A1DC6">
            <w:pPr>
              <w:spacing w:before="0"/>
              <w:rPr>
                <w:rFonts w:ascii="Times New Roman" w:hAnsi="Times New Roman"/>
                <w:b/>
                <w:bCs/>
                <w:sz w:val="24"/>
              </w:rPr>
            </w:pPr>
            <w:r>
              <w:rPr>
                <w:rFonts w:ascii="Times New Roman" w:hAnsi="Times New Roman"/>
                <w:sz w:val="24"/>
              </w:rPr>
              <w:t>A 0040, 0060–0090, 0120–0130, 0150–0260, 0269, 0273, 0277, 0281, 0285, 0289, 0293, 0301–0303, 0309, 0313, 0317, 0321, 0325, 0329, 0333, 0341–0345, 0450 és 0470–0510 sor esetében a hitelintézeteknek a 0100. oszlopban kell megadniuk az azon lehívható eszközökre/esedékes pénzösszegekre/maximális összegekre alkalmazott átlagos súlyt, amelyek mentesítettek a beáramlások felső korlátja alól az (EU) 2015/61 felhatalmazáson alapuló rendelet 33. cikkének (2), (3) és (5) bekezdésében meghatározottak szerint.</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lastRenderedPageBreak/>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sz w:val="24"/>
              </w:rPr>
              <w:t>A kapott biztosíték 9. cikk szerinti értéke – A beáramlások 75 %-os felső korlátja alá tartozó</w:t>
            </w:r>
          </w:p>
          <w:p w14:paraId="29D13FC2" w14:textId="436BEE76"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33. és 34. cikke</w:t>
            </w:r>
          </w:p>
          <w:p w14:paraId="0A1DFECB" w14:textId="4488C2C0" w:rsidR="002A1DC6" w:rsidRPr="000B6B22" w:rsidRDefault="002A1DC6">
            <w:pPr>
              <w:spacing w:before="0"/>
              <w:rPr>
                <w:rFonts w:ascii="Times New Roman" w:hAnsi="Times New Roman"/>
                <w:bCs/>
                <w:sz w:val="24"/>
              </w:rPr>
            </w:pPr>
            <w:r>
              <w:rPr>
                <w:rFonts w:ascii="Times New Roman" w:hAnsi="Times New Roman"/>
                <w:sz w:val="24"/>
              </w:rPr>
              <w:t>A 0271, 0275, 0279, 0283, 0287, 0291, 0295, 0311, 0315, 0319, 0323, 0327, 0331 és 0335 sor esetében a hitelintézeteknek a 0110. oszlopban kell megadniuk a fedezett kölcsönügyletek és tőkepiac-vezérelt ügyletek során kapott biztosíték (EU) 2015/61 felhatalmazáson alapuló rendelet 9. cikke szerinti értékét, amelyek a beáramlások 75 %-os felső korlátja alá tartoznak az (EU) 2015/61 felhatalmazáson alapuló rendelet 33. cikkének (1) bekezdésében meghatározottak szerint.</w:t>
            </w:r>
          </w:p>
          <w:p w14:paraId="3F8BB70C" w14:textId="713A15DE" w:rsidR="007453EC" w:rsidRPr="000B6B22" w:rsidRDefault="007453EC">
            <w:pPr>
              <w:spacing w:before="0"/>
              <w:rPr>
                <w:rFonts w:ascii="Times New Roman" w:hAnsi="Times New Roman"/>
                <w:bCs/>
                <w:sz w:val="24"/>
              </w:rPr>
            </w:pPr>
            <w:r>
              <w:rPr>
                <w:rFonts w:ascii="Times New Roman" w:hAnsi="Times New Roman"/>
                <w:sz w:val="24"/>
              </w:rPr>
              <w:t>Ha az illetékes hatóság jóváhagyta a beáramlások felső korlátja alóli részleges mentességet az (EU) 2015/61 felhatalmazáson alapuló rendelet 33. cikke (2) bekezdésének megfelelően, a mentesség alá tartozó fedezett kölcsönügyletek és tőkepiac-vezérelt ügyletek során kapott biztosíték (EU) 2015/61 felhatalmazáson alapuló rendelet 9. cikke szerinti értékét a 0120. vagy 0130. oszlopban kell megadni, a mentesség alá nem tartozó fedezett kölcsönügyletek és tőkepiac-vezérelt ügyletek során kapott biztosíték (EU) 2015/61 felhatalmazáson alapuló bizottsági rendelet 9. cikke szerinti értékét pedig a 0110. oszlopban.</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sz w:val="24"/>
              </w:rPr>
              <w:t>A kapott biztosíték 9. cikk szerinti értéke – A beáramlások 90 %-os felső korlátja alá tartozó</w:t>
            </w:r>
          </w:p>
          <w:p w14:paraId="1514A139" w14:textId="4DAA4B50"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33. és 34. cikke</w:t>
            </w:r>
          </w:p>
          <w:p w14:paraId="11F56268" w14:textId="4E8DA150" w:rsidR="002A1DC6" w:rsidRPr="000B6B22" w:rsidRDefault="002A1DC6">
            <w:pPr>
              <w:spacing w:before="0"/>
              <w:rPr>
                <w:rFonts w:ascii="Times New Roman" w:hAnsi="Times New Roman"/>
                <w:bCs/>
                <w:sz w:val="24"/>
              </w:rPr>
            </w:pPr>
            <w:r>
              <w:rPr>
                <w:rFonts w:ascii="Times New Roman" w:hAnsi="Times New Roman"/>
                <w:sz w:val="24"/>
              </w:rPr>
              <w:t>A 0271, 0275, 0279, 0283, 0287, 0291, 0295, 0311, 0315, 0319, 0323, 0327, 0331 és 0335 sor esetében a hitelintézeteknek a 0120. oszlopban kell megadniuk a fedezett kölcsönügyletek és tőkepiac-vezérelt ügyletek során kapott biztosíték (EU) 2015/61 felhatalmazáson alapuló rendelet 9. cikke szerinti értékét, amelyek a beáramlások 90 %-os felső korlátja alá tartoznak az (EU) 2015/61 felhatalmazáson alapuló rendelet 33. cikkének (4) és (5) bekezdésében meghatározottak szerint.</w:t>
            </w:r>
          </w:p>
          <w:p w14:paraId="56B73A1E" w14:textId="431CCAA1" w:rsidR="007453EC" w:rsidRPr="000B6B22" w:rsidRDefault="007453EC">
            <w:pPr>
              <w:spacing w:before="0"/>
              <w:rPr>
                <w:rFonts w:ascii="Times New Roman" w:hAnsi="Times New Roman"/>
                <w:bCs/>
                <w:sz w:val="24"/>
              </w:rPr>
            </w:pPr>
            <w:r>
              <w:rPr>
                <w:rFonts w:ascii="Times New Roman" w:hAnsi="Times New Roman"/>
                <w:sz w:val="24"/>
              </w:rPr>
              <w:lastRenderedPageBreak/>
              <w:t>Ha az illetékes hatóság jóváhagyta a beáramlások felső korlátja alóli részleges mentességet az (EU) 2015/61 felhatalmazáson alapuló rendelet 33. cikke (2) bekezdésének megfelelően, a mentesség alá tartozó fedezett kölcsönügyletek és tőkepiac-vezérelt ügyletek során kapott biztosíték (EU) 2015/61 felhatalmazáson alapuló rendelet 9. cikke szerinti értékét a 0120. vagy 0130. oszlopban kell megadni, a mentesség alá nem tartozó fedezett kölcsönügyletek és tőkepiac-vezérelt ügyletek során kapott biztosíték (EU) 2015/61 felhatalmazáson alapuló bizottsági rendelet 9. cikke szerinti értékét pedig a 0110. oszlopban.</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sz w:val="24"/>
              </w:rPr>
              <w:t>A kapott biztosíték 9. cikk szerinti értéke – A beáramlások felső korlátja alól mentesített</w:t>
            </w:r>
          </w:p>
          <w:p w14:paraId="0ED04715" w14:textId="70F345A9"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33. és 34. cikke</w:t>
            </w:r>
          </w:p>
          <w:p w14:paraId="0685802D" w14:textId="22087C39" w:rsidR="002A1DC6" w:rsidRPr="000B6B22" w:rsidRDefault="002A1DC6">
            <w:pPr>
              <w:spacing w:before="0"/>
              <w:rPr>
                <w:rFonts w:ascii="Times New Roman" w:hAnsi="Times New Roman"/>
                <w:bCs/>
                <w:sz w:val="24"/>
              </w:rPr>
            </w:pPr>
            <w:r>
              <w:rPr>
                <w:rFonts w:ascii="Times New Roman" w:hAnsi="Times New Roman"/>
                <w:sz w:val="24"/>
              </w:rPr>
              <w:t>A 0271, 0275, 0279, 0283, 0287, 0291, 0295, 0311, 0315, 0319, 0323, 0327, 0331 és 0335 sor esetében a hitelintézeteknek a 0130. oszlopban kell megadniuk a fedezett kölcsönügyletek és tőkepiac-vezérelt ügyletek során kapott biztosíték (EU) 2015/61 felhatalmazáson alapuló rendelet 9. cikke szerinti értékét, amelyek teljes mértékben mentesítettek a beáramlások felső korlátja alól az (EU) 2015/61 felhatalmazáson alapuló rendelet 33. cikkének (2), (3) és (5) bekezdésében meghatározottak szerint.</w:t>
            </w:r>
          </w:p>
          <w:p w14:paraId="78400F34" w14:textId="28DE2D1B" w:rsidR="007453EC" w:rsidRPr="000B6B22" w:rsidRDefault="007453EC">
            <w:pPr>
              <w:spacing w:before="0"/>
              <w:rPr>
                <w:rFonts w:ascii="Times New Roman" w:hAnsi="Times New Roman"/>
                <w:bCs/>
                <w:sz w:val="24"/>
              </w:rPr>
            </w:pPr>
            <w:r>
              <w:rPr>
                <w:rFonts w:ascii="Times New Roman" w:hAnsi="Times New Roman"/>
                <w:sz w:val="24"/>
              </w:rPr>
              <w:t>Ha az illetékes hatóság jóváhagyta a beáramlások felső korlátja alóli részleges mentességet az (EU) 2015/61 felhatalmazáson alapuló rendelet 33. cikke (2) bekezdésének megfelelően, a mentesség alá tartozó fedezett kölcsönügyletek és tőkepiac-vezérelt ügyletek során kapott biztosíték (EU) 2015/61 felhatalmazáson alapuló rendelet 9. cikke szerinti értékét a 0120. vagy 0130. oszlopban kell megadni, a mentesség alá nem tartozó fedezett kölcsönügyletek és tőkepiac-vezérelt ügyletek során kapott biztosíték (EU) 2015/61 felhatalmazáson alapuló bizottsági rendelet 9. cikke szerinti értékét pedig a 0110. oszlopban.</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sz w:val="24"/>
              </w:rPr>
              <w:t>Beáramlás – A beáramlások 75 %-os felső korlátja alá tartozó beáramlások</w:t>
            </w:r>
          </w:p>
          <w:p w14:paraId="36E5D0FC" w14:textId="042DAE98" w:rsidR="007453EC" w:rsidRPr="000B6B22" w:rsidRDefault="007453EC">
            <w:pPr>
              <w:spacing w:before="0"/>
              <w:rPr>
                <w:rFonts w:ascii="Times New Roman" w:hAnsi="Times New Roman"/>
                <w:b/>
                <w:bCs/>
                <w:sz w:val="24"/>
              </w:rPr>
            </w:pPr>
            <w:r>
              <w:rPr>
                <w:rFonts w:ascii="Times New Roman" w:hAnsi="Times New Roman"/>
                <w:sz w:val="24"/>
              </w:rPr>
              <w:t>Az (EU) 2015/61 felhatalmazáson alapuló rendelet 32., 33. és 34. cikke</w:t>
            </w:r>
          </w:p>
          <w:p w14:paraId="17B0DDC5" w14:textId="4244BA29" w:rsidR="002B1DA1" w:rsidRPr="000B6B22" w:rsidRDefault="002B1DA1">
            <w:pPr>
              <w:spacing w:before="0"/>
              <w:rPr>
                <w:rFonts w:ascii="Times New Roman" w:hAnsi="Times New Roman"/>
                <w:bCs/>
                <w:sz w:val="24"/>
              </w:rPr>
            </w:pPr>
            <w:r>
              <w:rPr>
                <w:rFonts w:ascii="Times New Roman" w:hAnsi="Times New Roman"/>
                <w:sz w:val="24"/>
              </w:rPr>
              <w:t>A 0040, 0060-0090, 0120-0130, 0150-0260, 0269, 0273, 0277, 0281, 0285, 0289, 0293, 0301-0303, 0309, 0313, 0317, 0321, 0325, 0329, 0333, 0341-0345, 0450 és 0470–510 sor esetében a hitelintézeteknek a 0140. oszlopban kell megadniuk azon beáramlások teljes összegét, amelyek a beáramlások 75 %-os felső korlátja alá tartoznak az (EU) 2015/61 felhatalmazáson alapuló rendelet 33. cikkének (1) bekezdésében meghatározottak szerint, és amelyek kiszámítása a 0010. oszlopbeli lehívható teljes összeg/maximális összeg és a 0080. oszlopbeli vonatkozó súly szorzataként történik.</w:t>
            </w:r>
          </w:p>
          <w:p w14:paraId="4BA3D379" w14:textId="4C78E013" w:rsidR="007453EC" w:rsidRPr="000B6B22" w:rsidRDefault="002B1DA1">
            <w:pPr>
              <w:spacing w:before="0"/>
              <w:rPr>
                <w:rFonts w:ascii="Times New Roman" w:hAnsi="Times New Roman"/>
                <w:bCs/>
                <w:sz w:val="24"/>
              </w:rPr>
            </w:pPr>
            <w:r>
              <w:rPr>
                <w:rFonts w:ascii="Times New Roman" w:hAnsi="Times New Roman"/>
                <w:sz w:val="24"/>
              </w:rPr>
              <w:t xml:space="preserve">A 0170 sor esetében a hitelintézetnek az (EU) 2015/61 felhatalmazáson alapuló rendelet 33. cikkének (1) bekezdésében meghatározottak szerint a beáramlások 75 %-os felső korlátja alá tartozó beáramlások teljes összegét a 0140. oszlopban csak akkor kell feltüntetnie, ha a hitelintézet ezt a kötelezettségvállalást abból a célból kapta, hogy kedvezményes hitelt folyósítson egy végső kedvezményezettnek vagy hasonló </w:t>
            </w:r>
            <w:r>
              <w:rPr>
                <w:rFonts w:ascii="Times New Roman" w:hAnsi="Times New Roman"/>
                <w:sz w:val="24"/>
              </w:rPr>
              <w:lastRenderedPageBreak/>
              <w:t>kötelezettségvállalást kapott multilaterális fejlesztési banktól vagy közszektorbeli intézménytől.</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lastRenderedPageBreak/>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sz w:val="24"/>
              </w:rPr>
              <w:t>Beáramlás – A beáramlások 90 %-os felső korlátja alá tartozó beáramlások</w:t>
            </w:r>
          </w:p>
          <w:p w14:paraId="4DD2FA3F" w14:textId="19BA64AE" w:rsidR="007453EC" w:rsidRPr="000B6B22" w:rsidRDefault="007453EC">
            <w:pPr>
              <w:spacing w:before="0"/>
              <w:rPr>
                <w:rFonts w:ascii="Times New Roman" w:hAnsi="Times New Roman"/>
                <w:b/>
                <w:bCs/>
                <w:sz w:val="24"/>
              </w:rPr>
            </w:pPr>
            <w:r>
              <w:rPr>
                <w:rFonts w:ascii="Times New Roman" w:hAnsi="Times New Roman"/>
                <w:sz w:val="24"/>
              </w:rPr>
              <w:t>Az (EU) 2015/61 felhatalmazáson alapuló rendelet 32., 33. és 34. cikke</w:t>
            </w:r>
          </w:p>
          <w:p w14:paraId="484EFAFB" w14:textId="74EBACA2" w:rsidR="007453EC" w:rsidRPr="000B6B22" w:rsidRDefault="002B1DA1">
            <w:pPr>
              <w:spacing w:before="0"/>
              <w:rPr>
                <w:rFonts w:ascii="Times New Roman" w:hAnsi="Times New Roman"/>
                <w:b/>
                <w:bCs/>
                <w:sz w:val="24"/>
              </w:rPr>
            </w:pPr>
            <w:r>
              <w:rPr>
                <w:rFonts w:ascii="Times New Roman" w:hAnsi="Times New Roman"/>
                <w:sz w:val="24"/>
              </w:rPr>
              <w:t>A 0040, 0060–0090, 0120–0130, 0150–0260, 0269, 0273, 0277, 0281, 0285, 0289, 0293, 0301–0303, 0309, 0313, 0317, 0321, 0325, 0329, 0333, 0341–0345, 0450 és 0470–0510 sor esetében a hitelintézeteknek a 0150. oszlopban kell megadniuk azon beáramlások teljes összegét, amelyek a beáramlások 90 %-os felső korlátja alá tartoznak az (EU) 2015/61 felhatalmazáson alapuló rendelet 33. cikkének (4) és (5) bekezdésében meghatározottak szerint, és amelyek kiszámítása a 0020. oszlopbeli lehívható teljes összeg/maximális összeg és a 0090. oszlopbeli vonatkozó súly szorzataként történik. A 0170 sor esetében a hitelintézetnek az (EU) 2015/61 felhatalmazáson alapuló rendelet 33. cikkének (4) és (5) bekezdésében meghatározottak szerint a beáramlások 90 %-os felső korlátja alá tartozó beáramlások teljes összegét a 0150. oszlopban csak akkor kell feltüntetnie, ha a hitelintézet ezt a kötelezettségvállalást abból a célból kapta, hogy kedvezményes hitelt folyósítson egy végső kedvezményezettnek vagy hasonló kötelezettségvállalást kapott multilaterális fejlesztési banktól vagy közszektorbeli intézménytől.</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sz w:val="24"/>
              </w:rPr>
              <w:t>Beáramlás – A beáramlások felső korlátja alól mentesített beáramlások</w:t>
            </w:r>
          </w:p>
          <w:p w14:paraId="08CEFDF5" w14:textId="62E623E9" w:rsidR="007453EC" w:rsidRPr="000B6B22" w:rsidRDefault="007453EC">
            <w:pPr>
              <w:spacing w:before="0"/>
              <w:rPr>
                <w:rFonts w:ascii="Times New Roman" w:hAnsi="Times New Roman"/>
                <w:b/>
                <w:bCs/>
                <w:sz w:val="24"/>
              </w:rPr>
            </w:pPr>
            <w:r>
              <w:rPr>
                <w:rFonts w:ascii="Times New Roman" w:hAnsi="Times New Roman"/>
                <w:sz w:val="24"/>
              </w:rPr>
              <w:t>Az (EU) 2015/61 felhatalmazáson alapuló rendelet 32., 33. és 34. cikke</w:t>
            </w:r>
          </w:p>
          <w:p w14:paraId="3630C9D6" w14:textId="74F37295" w:rsidR="002B1DA1" w:rsidRPr="000B6B22" w:rsidRDefault="002B1DA1">
            <w:pPr>
              <w:spacing w:before="0"/>
              <w:rPr>
                <w:rFonts w:ascii="Times New Roman" w:hAnsi="Times New Roman"/>
                <w:bCs/>
                <w:sz w:val="24"/>
              </w:rPr>
            </w:pPr>
            <w:r>
              <w:rPr>
                <w:rFonts w:ascii="Times New Roman" w:hAnsi="Times New Roman"/>
                <w:sz w:val="24"/>
              </w:rPr>
              <w:t>A 0040, 0060–0090, 0120–0130, 0150–0260, 0269, 0273, 0277, 0281, 0285, 0289, 0293, 0301–0303, 0309, 0313, 0317, 0321, 0325, 0329, 0333, 0341–0345, 0450 és 0470–0510 sor esetében a hitelintézeteknek a 0160. oszlopban kell megadniuk azon beáramlások teljes összegét, amelyek teljesen mentesítettek a beáramlások felső korlátja alól az (EU) 2015/61 felhatalmazáson alapuló rendelet 33. cikkének (2), (3) és (5) bekezdésében meghatározottak szerint, és amelyek kiszámítása a 0030. oszlopbeli lehívható teljes összeg/maximális összeg és a 0100. oszlopbeli vonatkozó súly szorzataként történik.</w:t>
            </w:r>
          </w:p>
          <w:p w14:paraId="4ADC76DC" w14:textId="4DA50371" w:rsidR="007453EC" w:rsidRPr="000B6B22" w:rsidRDefault="002B1DA1">
            <w:pPr>
              <w:spacing w:before="0"/>
              <w:rPr>
                <w:rFonts w:ascii="Times New Roman" w:hAnsi="Times New Roman"/>
                <w:b/>
                <w:bCs/>
                <w:sz w:val="24"/>
              </w:rPr>
            </w:pPr>
            <w:r>
              <w:rPr>
                <w:rFonts w:ascii="Times New Roman" w:hAnsi="Times New Roman"/>
                <w:sz w:val="24"/>
              </w:rPr>
              <w:t>A 0170 sor esetében a hitelintézetnek az (EU) 2015/61 felhatalmazáson alapuló rendelet 33. cikkének (2), (3) és (5) bekezdésében meghatározottak szerint a beáramlások felső korlátja alól teljes mértékben mentesített beáramlások teljes összegét a 0160. oszlopban csak akkor kell feltüntetnie, ha a hitelintézet ezt a kötelezettségvállalást abból a célból kapta, hogy kedvezményes hitelt folyósítson egy végső kedvezményezettnek vagy hasonló kötelezettségvállalást kapott multilaterális fejlesztési banktól vagy közszektorbeli intézménytől.</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rPr>
          <w:rFonts w:ascii="Times New Roman" w:hAnsi="Times New Roman"/>
          <w:sz w:val="24"/>
        </w:rPr>
        <w:tab/>
        <w:t>A tábla egyes soraira vonatkozó útmutató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Sor</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Jogszabályi hivatkozások és útmutató</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sz w:val="24"/>
              </w:rPr>
              <w:t>1. BEÁRAMLÁSOK ÖSSZESEN</w:t>
            </w:r>
          </w:p>
          <w:p w14:paraId="112681C3" w14:textId="388FDC9E"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33. és 34. cikke</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0010. sorában a következőket kell megadniuk:</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0010., 0020. és 0030. oszlopban a lehívható eszközök/esedékes pénzeszközök/maximális összegek teljes összege a fedezetlen ügyletekből/betétekből és fedezett kölcsönügyletekből és tőkepiac-vezérelt ügyletekből származó lehívható eszközök/esedékes pénzösszegek/maximális összegek összegeként;</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a 0140. oszlopban a beáramlások teljes összegét a fedezetlen ügyletekből/betétekből, fedezett kölcsönügyletekből és tőkepiac-vezérelt ügyletekből és biztosítéki csereügyletekből származó beáramlások összegeként, levonva belőle a teljes súlyozott beáramlások és teljes súlyozott kiáramlások különbözetét, amelyek devizakiviteli-/behozatali korlátozásokat alkalmazó harmadik országbeli ügyletekből erednek, vagy amelyek nem konvertibilis pénznemben denomináltak; valamint </w:t>
            </w:r>
            <w:proofErr w:type="spellStart"/>
            <w:r>
              <w:rPr>
                <w:rFonts w:ascii="Times New Roman" w:hAnsi="Times New Roman"/>
                <w:sz w:val="24"/>
              </w:rPr>
              <w:t>valamint</w:t>
            </w:r>
            <w:proofErr w:type="spellEnd"/>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0150. és a 0160. oszlopban a beáramlások teljes összegét a fedezetlen ügyletekből/betétekből, fedezett kölcsönügyletekből és tőkepiac-vezérelt ügyletekből és biztosítéki csereügyletekből származó beáramlások összegeként, levonva belőle a teljes súlyozott beáramlások és teljes súlyozott kiáramlások különbözetét, amelyek devizakiviteli-/behozatali korlátozásokat alkalmazó harmadik országbeli ügyletekből erednek, vagy amelyek nem konvertibilis pénznemben denomináltak, valamint levonva az (EU) 2015/61 felhatalmazáson alapuló rendelet 2. cikke (3) bekezdésének e) pontjában és 33. cikke (6) bekezdésében említett szakosodott hitelintézettől származó beáramlás többletét.</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sz w:val="24"/>
              </w:rPr>
              <w:t>1.1. Fedezetlen ügyletek/betétek beáramlásai</w:t>
            </w:r>
          </w:p>
          <w:p w14:paraId="34C4D9F0" w14:textId="5C401A15"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33. és 34. cikke</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0020. sorában a következőket kell megadniuk:</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0010., 0020. és 0030. oszlopban a fedezetlen ügyletekből/betétekből származó lehívható eszközök/esedékes pénzösszegek/maximális összegek teljes összege; valamint</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0140., 0150. és 0160. oszlopban a fedezetlen ügyletekből/betétekből származó teljes beáramlás.</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sz w:val="24"/>
              </w:rPr>
              <w:t>1.1.1. nem pénzügyi (és nem központi bank) ügyfelektől esedékes pénzösszegek</w:t>
            </w:r>
          </w:p>
          <w:p w14:paraId="23FE5278" w14:textId="48664A09" w:rsidR="007453EC" w:rsidRPr="000B6B22" w:rsidRDefault="00DD4C72">
            <w:pPr>
              <w:spacing w:before="0"/>
              <w:rPr>
                <w:rFonts w:ascii="Times New Roman" w:hAnsi="Times New Roman"/>
                <w:bCs/>
                <w:sz w:val="24"/>
              </w:rPr>
            </w:pPr>
            <w:r>
              <w:rPr>
                <w:rFonts w:ascii="Times New Roman" w:hAnsi="Times New Roman"/>
                <w:sz w:val="24"/>
              </w:rPr>
              <w:t>Az (EU) 2015/61 felhatalmazáson alapuló rendelet 32. cikke (3) bekezdésének a) pontja</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lastRenderedPageBreak/>
              <w:t>A hitelintézeteknek a XXIV. melléklet C 74.00 táblájának 0030. sorában a következőket kell megadniuk:</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0010., 0020. és 0030. oszlopban a nem pénzügyi (és nem központi bank) ügyfelektől esedékes pénzösszegek teljes összege (nem pénzügyi ügyfelektől esedékes, nem tőketörlesztési célú pénzösszegek, valamint nem pénzügyi ügyfelektől esedékes minden egyéb pénzösszeg) és</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0140., 0150. és 0160. oszlopban a nem pénzügyi (és nem központi bank) ügyfelektől származó teljes beáramlás (nem pénzügyi ügyfelektől származó, nem tőketörlesztési célú beáramlások, valamint nem pénzügyi ügyfelektől származó minden egyéb beáramlás).</w:t>
            </w:r>
          </w:p>
          <w:p w14:paraId="5CDADF83" w14:textId="1B6D7F7D"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31a. cikkének megfelelően a nem pénzügyi ügyfelek közé tartoznak többek között a természetes személyek, a kkv-k, a vállalkozások, a kormányzatok, a multilaterális fejlesztési bankok és a közszektorbeli intézmények.</w:t>
            </w:r>
          </w:p>
          <w:p w14:paraId="53BD919C" w14:textId="0DE53934" w:rsidR="007453EC" w:rsidRPr="000B6B22" w:rsidRDefault="007453EC">
            <w:pPr>
              <w:spacing w:before="0"/>
              <w:rPr>
                <w:rFonts w:ascii="Times New Roman" w:hAnsi="Times New Roman"/>
                <w:bCs/>
                <w:sz w:val="24"/>
              </w:rPr>
            </w:pPr>
            <w:r>
              <w:rPr>
                <w:rFonts w:ascii="Times New Roman" w:hAnsi="Times New Roman"/>
                <w:sz w:val="24"/>
              </w:rPr>
              <w:t>A nem pénzügyi ügyféllel kötött fedezett kölcsönügyletből és tőkepiac-vezérelt ügyletből esedékes pénzösszegeket, amelyek fedezete likvid eszköz az (EU) 2015/61 felhatalmazáson alapuló rendelet II. címével összhangban, amennyiben ezek az 575/2013/EU rendelet 192. cikkének 2. és 3. pontjában meghatározott ügyletek, az 1.2. szakaszban kell feltüntetni, és nem szabad feltüntetni az 1.1.1. szakaszban. Az (EU) 2015/61 felhatalmazáson alapuló rendelet II. címével összhangban likvid eszköznek nem minősülő átruházható értékpapírokkal fedezett ilyen ügyletekből esedékes pénzösszegeket az 1.2. szakaszban kell feltüntetni, és nem szabad feltüntetni az 1.1.1. szakaszban. Az (EU) 2015/61 felhatalmazáson alapuló rendelet II. címével összhangban likvid eszköznek nem minősülő nem átruházható eszközökkel fedezett, nem pénzügyi ügyfelekkel kötött ilyen ügyletekből esedékes pénzösszegeket az 1.1.1. szakasz érintett sorában kell feltüntetni.</w:t>
            </w:r>
          </w:p>
          <w:p w14:paraId="2A87F287" w14:textId="77777777" w:rsidR="007453EC" w:rsidRPr="000B6B22" w:rsidRDefault="007453EC">
            <w:pPr>
              <w:spacing w:before="0"/>
              <w:rPr>
                <w:rFonts w:ascii="Times New Roman" w:hAnsi="Times New Roman"/>
                <w:bCs/>
                <w:sz w:val="24"/>
              </w:rPr>
            </w:pPr>
            <w:r>
              <w:rPr>
                <w:rFonts w:ascii="Times New Roman" w:hAnsi="Times New Roman"/>
                <w:sz w:val="24"/>
              </w:rPr>
              <w:t>A központi bankoktól esedékes pénzösszegeket az 1.1.2. szakaszban kell feltüntetni, és itt nem szabad megadni. A legfeljebb 30 napos hátralévő futamidejű kereskedelemfinanszírozási ügyletekből esedékes pénzösszegeket az 1.1.4. szakaszban kell feltüntetni, és itt nem szabad megadni. A 30 naptári napon belül lejáró értékpapírokból esedékes pénzösszegeket az 1.1.5. szakaszban kell feltüntetni, és itt nem szabad megadni.</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sz w:val="24"/>
              </w:rPr>
              <w:t>1.1.1.1. nem pénzügyi (és nem központi bank) ügyfelektől esedékes, nem tőketörlesztési célú pénzösszegek</w:t>
            </w:r>
          </w:p>
          <w:p w14:paraId="4FA9B0E4" w14:textId="3EF5C0AE" w:rsidR="007453EC" w:rsidRPr="000B6B22" w:rsidRDefault="00DD4C72">
            <w:pPr>
              <w:spacing w:before="0"/>
              <w:rPr>
                <w:rFonts w:ascii="Times New Roman" w:hAnsi="Times New Roman"/>
                <w:bCs/>
                <w:sz w:val="24"/>
              </w:rPr>
            </w:pPr>
            <w:r>
              <w:rPr>
                <w:rFonts w:ascii="Times New Roman" w:hAnsi="Times New Roman"/>
                <w:sz w:val="24"/>
              </w:rPr>
              <w:t>Az (EU) 2015/61 felhatalmazáson alapuló rendelet 32. cikke (3) bekezdésének a) pontja</w:t>
            </w:r>
          </w:p>
          <w:p w14:paraId="172C6ABF" w14:textId="02DFCE82" w:rsidR="007453EC" w:rsidRPr="000B6B22" w:rsidRDefault="007453EC">
            <w:pPr>
              <w:spacing w:before="0"/>
              <w:rPr>
                <w:rFonts w:ascii="Times New Roman" w:hAnsi="Times New Roman"/>
                <w:b/>
                <w:bCs/>
                <w:sz w:val="24"/>
              </w:rPr>
            </w:pPr>
            <w:r>
              <w:rPr>
                <w:rFonts w:ascii="Times New Roman" w:hAnsi="Times New Roman"/>
                <w:sz w:val="24"/>
              </w:rPr>
              <w:t xml:space="preserve">Nem pénzügyi (és nem központi bank) ügyfelektől esedékes, legfeljebb 30 napos hátralévő futamidejű, nem tőketörlesztési célú pénzösszegek. Ezek a beáramlások magukban foglalják a nem pénzügyi (és nem központi bank) ügyfelektől esedékes kamatokat és </w:t>
            </w:r>
            <w:proofErr w:type="spellStart"/>
            <w:proofErr w:type="gramStart"/>
            <w:r>
              <w:rPr>
                <w:rFonts w:ascii="Times New Roman" w:hAnsi="Times New Roman"/>
                <w:sz w:val="24"/>
              </w:rPr>
              <w:t>díjakat.A</w:t>
            </w:r>
            <w:proofErr w:type="spellEnd"/>
            <w:proofErr w:type="gramEnd"/>
            <w:r>
              <w:rPr>
                <w:rFonts w:ascii="Times New Roman" w:hAnsi="Times New Roman"/>
                <w:sz w:val="24"/>
              </w:rPr>
              <w:t xml:space="preserve"> központi bankoktól esedékes nem tőketörlesztési célú pénzösszegeket az 1.1.2. szakaszban kell feltüntetni, és itt nem szabad megadni.</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lastRenderedPageBreak/>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sz w:val="24"/>
              </w:rPr>
              <w:t>1.1.1.2. nem pénzügyi (és nem központi bank) ügyfelektől esedékes egyéb pénzösszegek</w:t>
            </w:r>
          </w:p>
          <w:p w14:paraId="6C66B478" w14:textId="5EEEE80E" w:rsidR="007453EC" w:rsidRPr="000B6B22" w:rsidRDefault="00DD4C72">
            <w:pPr>
              <w:spacing w:before="0"/>
              <w:rPr>
                <w:rFonts w:ascii="Times New Roman" w:hAnsi="Times New Roman"/>
                <w:bCs/>
                <w:sz w:val="24"/>
              </w:rPr>
            </w:pPr>
            <w:r>
              <w:rPr>
                <w:rFonts w:ascii="Times New Roman" w:hAnsi="Times New Roman"/>
                <w:sz w:val="24"/>
              </w:rPr>
              <w:t>Az (EU) 2015/61 felhatalmazáson alapuló rendelet 32. cikke (3) bekezdésének a) pontja</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0050. sorában a következőket kell megadniuk:</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0010., 0020. és 0030. oszlopban a nem pénzügyi (és nem központi bank) ügyfelektől esedékes egyéb pénzösszegek teljes összege a nem pénzügyi ügyfelektől esedékes pénzösszegek partnerenkénti összegeként, és</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0140., 0150. és 0160. oszlopban a nem pénzügyi (és nem központi bank) ügyfelektől esedékes egyéb beáramlások teljes összege a nem pénzügyi ügyfelektől esedékes beáramlások partnerenkénti összegeként.</w:t>
            </w:r>
          </w:p>
          <w:p w14:paraId="214A590C" w14:textId="77777777" w:rsidR="007453EC" w:rsidRPr="000B6B22" w:rsidRDefault="007453EC">
            <w:pPr>
              <w:spacing w:before="0"/>
              <w:rPr>
                <w:rFonts w:ascii="Times New Roman" w:hAnsi="Times New Roman"/>
                <w:bCs/>
                <w:sz w:val="24"/>
              </w:rPr>
            </w:pPr>
            <w:r>
              <w:rPr>
                <w:rFonts w:ascii="Times New Roman" w:hAnsi="Times New Roman"/>
                <w:sz w:val="24"/>
              </w:rPr>
              <w:t>A nem pénzügyi (és nem központi bank) ügyfelektől esedékes nem tőketörlesztési célú pénzösszegeket az 1.1.1.1. szakaszban kell feltüntetni, és itt nem szabad megadni.</w:t>
            </w:r>
          </w:p>
          <w:p w14:paraId="3C46F32E" w14:textId="77777777" w:rsidR="007453EC" w:rsidRPr="000B6B22" w:rsidRDefault="007453EC">
            <w:pPr>
              <w:spacing w:before="0"/>
              <w:rPr>
                <w:rFonts w:ascii="Times New Roman" w:hAnsi="Times New Roman"/>
                <w:bCs/>
                <w:sz w:val="24"/>
              </w:rPr>
            </w:pPr>
            <w:r>
              <w:rPr>
                <w:rFonts w:ascii="Times New Roman" w:hAnsi="Times New Roman"/>
                <w:sz w:val="24"/>
              </w:rPr>
              <w:t>A központi bankoktól esedékes egyéb pénzösszegeket az 1.1.2. szakaszban kell feltüntetni, és itt nem szabad megadni.</w:t>
            </w:r>
          </w:p>
          <w:p w14:paraId="08EC130A" w14:textId="0E49451E"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31. cikkének (9) bekezdésében említett kedvezményes hitel nyújtására tett kötelezettségvállalásokkal összhangban a kiáramlásoknak megfelelő beáramlásokat az 1.1.3. szakaszban kell feltüntetni, és itt nem szabad megadni.</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sz w:val="24"/>
              </w:rPr>
              <w:t>1.1.1.2.1. lakossági ügyfelektől esedékes pénzösszegek</w:t>
            </w:r>
          </w:p>
          <w:p w14:paraId="3878003B" w14:textId="418625CE" w:rsidR="007453EC" w:rsidRPr="000B6B22" w:rsidRDefault="00DD4C72">
            <w:pPr>
              <w:spacing w:before="0"/>
              <w:rPr>
                <w:rFonts w:ascii="Times New Roman" w:hAnsi="Times New Roman"/>
                <w:bCs/>
                <w:sz w:val="24"/>
              </w:rPr>
            </w:pPr>
            <w:r>
              <w:rPr>
                <w:rFonts w:ascii="Times New Roman" w:hAnsi="Times New Roman"/>
                <w:sz w:val="24"/>
              </w:rPr>
              <w:t>Az (EU) 2015/61 felhatalmazáson alapuló rendelet 32. cikke (3) bekezdésének a) pontja</w:t>
            </w:r>
          </w:p>
          <w:p w14:paraId="6EADAFB2" w14:textId="443BAE12" w:rsidR="007453EC" w:rsidRPr="000B6B22" w:rsidRDefault="007453EC">
            <w:pPr>
              <w:spacing w:before="0"/>
              <w:rPr>
                <w:rFonts w:ascii="Times New Roman" w:hAnsi="Times New Roman"/>
                <w:b/>
                <w:bCs/>
                <w:sz w:val="24"/>
              </w:rPr>
            </w:pPr>
            <w:r>
              <w:rPr>
                <w:rFonts w:ascii="Times New Roman" w:hAnsi="Times New Roman"/>
                <w:sz w:val="24"/>
              </w:rPr>
              <w:t>Lakossági ügyfelektől esedékes, legfeljebb 30 napos hátralevő futamidejű pénzösszegek.</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sz w:val="24"/>
              </w:rPr>
              <w:t>1.1.1.2.2. nem pénzügyi vállalatoktól esedékes pénzösszegek</w:t>
            </w:r>
          </w:p>
          <w:p w14:paraId="1D49F1FE" w14:textId="6D016E65" w:rsidR="007453EC" w:rsidRPr="000B6B22" w:rsidRDefault="00DD4C72">
            <w:pPr>
              <w:spacing w:before="0"/>
              <w:rPr>
                <w:rFonts w:ascii="Times New Roman" w:hAnsi="Times New Roman"/>
                <w:bCs/>
                <w:sz w:val="24"/>
              </w:rPr>
            </w:pPr>
            <w:r>
              <w:rPr>
                <w:rFonts w:ascii="Times New Roman" w:hAnsi="Times New Roman"/>
                <w:sz w:val="24"/>
              </w:rPr>
              <w:t>Az (EU) 2015/61 felhatalmazáson alapuló rendelet 32. cikke (3) bekezdésének a) pontja</w:t>
            </w:r>
          </w:p>
          <w:p w14:paraId="38D54DFA" w14:textId="4091AF0C" w:rsidR="007453EC" w:rsidRPr="000B6B22" w:rsidRDefault="007453EC">
            <w:pPr>
              <w:spacing w:before="0"/>
              <w:rPr>
                <w:rFonts w:ascii="Times New Roman" w:hAnsi="Times New Roman"/>
                <w:b/>
                <w:bCs/>
                <w:sz w:val="24"/>
              </w:rPr>
            </w:pPr>
            <w:r>
              <w:rPr>
                <w:rFonts w:ascii="Times New Roman" w:hAnsi="Times New Roman"/>
                <w:sz w:val="24"/>
              </w:rPr>
              <w:t>Nem pénzügyi vállalatoktól esedékes, legfeljebb 30 napos hátralevő futamidejű pénzösszegek.</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sz w:val="24"/>
              </w:rPr>
              <w:t>1.1.1.2.3. kormányzatoktól, multilaterális fejlesztési bankoktól és közszektorbeli intézményektől esedékes pénzösszegek</w:t>
            </w:r>
          </w:p>
          <w:p w14:paraId="5CB95ACB" w14:textId="548FDFFB" w:rsidR="007453EC" w:rsidRPr="000B6B22" w:rsidRDefault="00DD4C72">
            <w:pPr>
              <w:spacing w:before="0"/>
              <w:rPr>
                <w:rFonts w:ascii="Times New Roman" w:hAnsi="Times New Roman"/>
                <w:bCs/>
                <w:sz w:val="24"/>
              </w:rPr>
            </w:pPr>
            <w:r>
              <w:rPr>
                <w:rFonts w:ascii="Times New Roman" w:hAnsi="Times New Roman"/>
                <w:sz w:val="24"/>
              </w:rPr>
              <w:t>Az (EU) 2015/61 felhatalmazáson alapuló rendelet 32. cikke (3) bekezdésének a) pontja</w:t>
            </w:r>
          </w:p>
          <w:p w14:paraId="4DDD16B8" w14:textId="2FF53647" w:rsidR="007453EC" w:rsidRPr="000B6B22" w:rsidRDefault="007453EC">
            <w:pPr>
              <w:spacing w:before="0"/>
              <w:rPr>
                <w:rFonts w:ascii="Times New Roman" w:hAnsi="Times New Roman"/>
                <w:b/>
                <w:bCs/>
                <w:sz w:val="24"/>
              </w:rPr>
            </w:pPr>
            <w:r>
              <w:rPr>
                <w:rFonts w:ascii="Times New Roman" w:hAnsi="Times New Roman"/>
                <w:sz w:val="24"/>
              </w:rPr>
              <w:t>Kormányzatoktól, multilaterális fejlesztési bankoktól és közszektorbeli intézményektől esedékes, legfeljebb 30 napos hátralevő futamidejű pénzösszegek.</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sz w:val="24"/>
              </w:rPr>
              <w:t>1.1.1.2.4. egyéb jogi személyektől esedékes pénzösszegek</w:t>
            </w:r>
          </w:p>
          <w:p w14:paraId="6ACB8013" w14:textId="769D95BF" w:rsidR="007453EC" w:rsidRPr="000B6B22" w:rsidRDefault="00DD4C72">
            <w:pPr>
              <w:spacing w:before="0"/>
              <w:rPr>
                <w:rFonts w:ascii="Times New Roman" w:hAnsi="Times New Roman"/>
                <w:bCs/>
                <w:sz w:val="24"/>
              </w:rPr>
            </w:pPr>
            <w:r>
              <w:rPr>
                <w:rFonts w:ascii="Times New Roman" w:hAnsi="Times New Roman"/>
                <w:sz w:val="24"/>
              </w:rPr>
              <w:lastRenderedPageBreak/>
              <w:t>Az (EU) 2015/61 felhatalmazáson alapuló rendelet 32. cikke (3) bekezdésének a) pontja</w:t>
            </w:r>
          </w:p>
          <w:p w14:paraId="1BFD562F" w14:textId="6D30103E" w:rsidR="007453EC" w:rsidRPr="000B6B22" w:rsidRDefault="007453EC">
            <w:pPr>
              <w:spacing w:before="0"/>
              <w:rPr>
                <w:rFonts w:ascii="Times New Roman" w:hAnsi="Times New Roman"/>
                <w:b/>
                <w:bCs/>
                <w:sz w:val="24"/>
              </w:rPr>
            </w:pPr>
            <w:r>
              <w:rPr>
                <w:rFonts w:ascii="Times New Roman" w:hAnsi="Times New Roman"/>
                <w:sz w:val="24"/>
              </w:rPr>
              <w:t>A fentiekben nem szereplő, egyéb jogi személyektől esedékes, legfeljebb 30 napos hátralevő futamidejű pénzösszegek.</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lastRenderedPageBreak/>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sz w:val="24"/>
              </w:rPr>
              <w:t>1.1.2. központi bankoktól és pénzügyi ügyfelektől esedékes pénzösszegek</w:t>
            </w:r>
          </w:p>
          <w:p w14:paraId="1F631B5A" w14:textId="3755D185"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(2) bekezdésének a) pontja és 32. cikke (3) bekezdésének d) pontja, összefüggésben 27. cikkével</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0100. sorában a következőket kell megadniuk:</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0010., 0020. és 0030. oszlopban a központi bankoktól és pénzügyi ügyfelektől esedékes pénzösszegek teljes összege (operatív és nem operatív betétek egyaránt); valamint</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0140., 0150. és 0160. oszlopban a központi bankoktól és pénzügyi ügyfelektől származó teljes beáramlás (operatív és nem operatív betétek egyaránt).</w:t>
            </w:r>
          </w:p>
          <w:p w14:paraId="7AA7B851" w14:textId="67EBFB2E" w:rsidR="007453EC" w:rsidRPr="000B6B22" w:rsidRDefault="007453EC">
            <w:pPr>
              <w:spacing w:before="0"/>
              <w:rPr>
                <w:rFonts w:ascii="Times New Roman" w:hAnsi="Times New Roman"/>
                <w:bCs/>
                <w:sz w:val="24"/>
              </w:rPr>
            </w:pPr>
            <w:r>
              <w:rPr>
                <w:rFonts w:ascii="Times New Roman" w:hAnsi="Times New Roman"/>
                <w:sz w:val="24"/>
              </w:rPr>
              <w:t>A hitelintézeteknek a központi bankoktól és pénzügyi ügyfelektől esedékes, legfeljebb 30 napos hátralevő futamidejű pénzösszegek teljes összege, amelyek még nem késedelmesek, és amelyek esetében a banknak nincs oka nemteljesítést feltételezni egy 30 napos időszakon belül.</w:t>
            </w:r>
          </w:p>
          <w:p w14:paraId="0F56E8AD" w14:textId="77777777" w:rsidR="007453EC" w:rsidRPr="000B6B22" w:rsidRDefault="007453EC">
            <w:pPr>
              <w:spacing w:before="0"/>
              <w:rPr>
                <w:rFonts w:ascii="Times New Roman" w:hAnsi="Times New Roman"/>
                <w:bCs/>
                <w:sz w:val="24"/>
              </w:rPr>
            </w:pPr>
            <w:r>
              <w:rPr>
                <w:rFonts w:ascii="Times New Roman" w:hAnsi="Times New Roman"/>
                <w:sz w:val="24"/>
              </w:rPr>
              <w:t>A központi bankoktól és pénzügyi ügyfelektől esedékes, nem tőketörlesztési célú pénzösszegeket a vonatkozó szakaszban kell feltüntetni.</w:t>
            </w:r>
          </w:p>
          <w:p w14:paraId="1428E208" w14:textId="7253B30E"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27. cikkének (3) bekezdésében említett, központi intézménynél elhelyezett betéteket nem szabad beáramlásként feltüntetni.</w:t>
            </w:r>
          </w:p>
          <w:p w14:paraId="7F7414AF" w14:textId="77777777" w:rsidR="007453EC" w:rsidRPr="000B6B22" w:rsidRDefault="007453EC">
            <w:pPr>
              <w:spacing w:before="0"/>
              <w:rPr>
                <w:rFonts w:ascii="Times New Roman" w:hAnsi="Times New Roman"/>
                <w:bCs/>
                <w:sz w:val="24"/>
              </w:rPr>
            </w:pPr>
            <w:r>
              <w:rPr>
                <w:rFonts w:ascii="Times New Roman" w:hAnsi="Times New Roman"/>
                <w:sz w:val="24"/>
              </w:rPr>
              <w:t>A legfeljebb 30 napos hátralévő futamidejű kereskedelemfinanszírozási ügyletekből esedékes pénzösszegeket az 1.1.4. szakaszban kell feltüntetni, és itt nem szabad megadni. A 30 naptári napon belül lejáró értékpapírokból esedékes pénzösszegeket az 1.1.5. szakaszban kell feltüntetni, és itt nem szabad megadni.</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sz w:val="24"/>
              </w:rPr>
              <w:t>1.1.2.1. pénzügyi ügyfelektől esedékes, operatív betétként besorolt pénzösszegek</w:t>
            </w:r>
          </w:p>
          <w:p w14:paraId="39FA7398" w14:textId="4770BC57"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d) pontja, összefüggésben 27. cikkével</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0110. sorában a következőket kell megadniuk:</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0010., 0020. és 0030. oszlopban az operatív betétként besorolt, pénzügyi ügyfelektől esedékes pénzösszegek teljes összege (figyelmen kívül hagyva, hogy a hitelintézet képes-e megfelelő szimmetrikus beáramlási arányt megállapítani); valamint</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0140., 0150. és 0160. oszlopban az operatív betétként besorolt, pénzügyi ügyfelektől származó teljes beáramlás (figyelmen kívül hagyva, hogy a hitelintézet képes-e megfelelő szimmetrikus beáramlási arányt megállapítani).</w:t>
            </w:r>
          </w:p>
          <w:p w14:paraId="2A6FD64A" w14:textId="4AF63FB4" w:rsidR="007453EC" w:rsidRPr="000B6B22" w:rsidRDefault="007453EC">
            <w:pPr>
              <w:spacing w:before="0"/>
              <w:rPr>
                <w:rFonts w:ascii="Times New Roman" w:hAnsi="Times New Roman"/>
                <w:bCs/>
                <w:sz w:val="24"/>
              </w:rPr>
            </w:pPr>
            <w:r>
              <w:rPr>
                <w:rFonts w:ascii="Times New Roman" w:hAnsi="Times New Roman"/>
                <w:sz w:val="24"/>
              </w:rPr>
              <w:lastRenderedPageBreak/>
              <w:t>A hitelintézeteknek itt a pénzügyi ügyfelektől esedékes, klíring-, letéti, készpénzmenedzsment szolgáltatások hitelintézet általi igénybevétele céljából fizetendő pénzösszegeket kell megadniuk az (EU) 2015/61 felhatalmazáson alapuló rendelet 27. cikkével összhangban.</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lastRenderedPageBreak/>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sz w:val="24"/>
              </w:rPr>
              <w:t>1.1.2.1.1. pénzügyi ügyfelektől esedékes, operatív betétként besorolt pénzösszegek, amelyek esetében a hitelintézet képes megfelelő szimmetrikus beáramlási arányt megállapítani</w:t>
            </w:r>
          </w:p>
          <w:p w14:paraId="0C2F0E5C" w14:textId="60B334D3"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d) pontja, összefüggésben 27. cikkével</w:t>
            </w:r>
          </w:p>
          <w:p w14:paraId="04469659" w14:textId="55FE77D7" w:rsidR="007453EC" w:rsidRPr="000B6B22" w:rsidRDefault="007453EC">
            <w:pPr>
              <w:spacing w:before="0"/>
              <w:rPr>
                <w:rFonts w:ascii="Times New Roman" w:hAnsi="Times New Roman"/>
                <w:b/>
                <w:bCs/>
                <w:sz w:val="24"/>
              </w:rPr>
            </w:pPr>
            <w:r>
              <w:rPr>
                <w:rFonts w:ascii="Times New Roman" w:hAnsi="Times New Roman"/>
                <w:sz w:val="24"/>
              </w:rPr>
              <w:t>Pénzügyi ügyfelektől esedékes, klíring-, letéti, készpénzmenedzsment szolgáltatások hitelintézet általi igénybevétele céljából fizetendő, legfeljebb 30 napos hátralevő futamidejű pénzösszegek az (EU) 2015/61 felhatalmazáson alapuló rendelet 27. cikkével összhangban, ha a hitelintézet képes megállapítani a megfelelő szimmetrikus beáramlási arányt.</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sz w:val="24"/>
              </w:rPr>
              <w:t>1.1.2.1.2. pénzügyi ügyfelektől esedékes, operatív betétként besorolt pénzösszegek, amelyek esetében a hitelintézet nem képes megfelelő szimmetrikus beáramlási arányt megállapítani</w:t>
            </w:r>
          </w:p>
          <w:p w14:paraId="13B37973" w14:textId="573B2BE5"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d) pontja, összefüggésben 27. cikkével</w:t>
            </w:r>
          </w:p>
          <w:p w14:paraId="6746E1A1" w14:textId="3E479540" w:rsidR="007453EC" w:rsidRPr="000B6B22" w:rsidRDefault="007453EC">
            <w:pPr>
              <w:spacing w:before="0"/>
              <w:rPr>
                <w:rFonts w:ascii="Times New Roman" w:hAnsi="Times New Roman"/>
                <w:b/>
                <w:bCs/>
                <w:sz w:val="24"/>
              </w:rPr>
            </w:pPr>
            <w:r>
              <w:rPr>
                <w:rFonts w:ascii="Times New Roman" w:hAnsi="Times New Roman"/>
                <w:sz w:val="24"/>
              </w:rPr>
              <w:t>Pénzügyi ügyfelektől esedékes, klíring-, letéti, készpénzmenedzsment szolgáltatások hitelintézet általi igénybevétele céljából fizetendő, legfeljebb 30 napos hátralevő futamidejű pénzösszegek az (EU) 2015/61 felhatalmazáson alapuló rendelet 27. cikkével összhangban, ha a hitelintézet nem képes megállapítani a megfelelő szimmetrikus beáramlási arányt.</w:t>
            </w:r>
            <w:r>
              <w:rPr>
                <w:rFonts w:ascii="Times New Roman" w:hAnsi="Times New Roman"/>
                <w:b/>
                <w:sz w:val="24"/>
              </w:rPr>
              <w:t xml:space="preserve"> </w:t>
            </w:r>
            <w:r>
              <w:rPr>
                <w:rFonts w:ascii="Times New Roman" w:hAnsi="Times New Roman"/>
                <w:sz w:val="24"/>
              </w:rPr>
              <w:t>E tételek esetében 5 %-os beáramlási arányt kell alkalmazni.</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sz w:val="24"/>
              </w:rPr>
              <w:t>1.1.2.2. központi bankoktól és pénzügyi ügyfelektől esedékes, nem operatív betétként besorolt pénzösszegek</w:t>
            </w:r>
          </w:p>
          <w:p w14:paraId="4112A8EB" w14:textId="2EDC68EE"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(2) bekezdésének a) pontja</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140. sorában a következőket kell megadniuk:</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0010., 0020. és 0030. oszlopban a nem operatív betétként besorolt, központi bankoktól és pénzügyi ügyfelektől esedékes pénzösszegek teljes összege, és</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0140., 0150. és 0160. oszlopban a nem operatív betétként besorolt, központi bankoktól és pénzügyi ügyfelektől származó teljes beáramlás.</w:t>
            </w:r>
          </w:p>
          <w:p w14:paraId="168D4E28" w14:textId="474EE3E0" w:rsidR="007453EC" w:rsidRPr="000B6B22" w:rsidRDefault="007453EC">
            <w:pPr>
              <w:spacing w:before="0"/>
              <w:rPr>
                <w:rFonts w:ascii="Times New Roman" w:hAnsi="Times New Roman"/>
                <w:b/>
                <w:bCs/>
                <w:sz w:val="24"/>
              </w:rPr>
            </w:pPr>
            <w:r>
              <w:rPr>
                <w:rFonts w:ascii="Times New Roman" w:hAnsi="Times New Roman"/>
                <w:sz w:val="24"/>
              </w:rPr>
              <w:t>A hitelintézeteknek itt a központi bankoktól és pénzügyi ügyfelektől esedékes olyan pénzösszegeket kell megadniuk, amelyek nem minősülnek operatív betétként kezelhetőnek, az (EU) 2015/61 felhatalmazáson alapuló rendelet 32. cikke (3) bekezdésének d) pontjában meghatározottak szerint, összefüggésben 27. cikkével.</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sz w:val="24"/>
              </w:rPr>
              <w:t>1.1.2.2.1. központi bankoktól esedékes pénzösszegek</w:t>
            </w:r>
          </w:p>
          <w:p w14:paraId="04B27F13" w14:textId="74C8BBC1" w:rsidR="007453EC" w:rsidRPr="000B6B22" w:rsidRDefault="000378A5">
            <w:pPr>
              <w:spacing w:before="0"/>
              <w:rPr>
                <w:rFonts w:ascii="Times New Roman" w:hAnsi="Times New Roman"/>
                <w:bCs/>
                <w:sz w:val="24"/>
              </w:rPr>
            </w:pPr>
            <w:r>
              <w:rPr>
                <w:rFonts w:ascii="Times New Roman" w:hAnsi="Times New Roman"/>
                <w:sz w:val="24"/>
              </w:rPr>
              <w:lastRenderedPageBreak/>
              <w:t>Az (EU) 2015/61 felhatalmazáson alapuló rendelet 32. cikke (2) bekezdésének a) pontja</w:t>
            </w:r>
          </w:p>
          <w:p w14:paraId="4EC1A2F0" w14:textId="1B2DC25D" w:rsidR="007453EC" w:rsidRPr="000B6B22" w:rsidRDefault="007453EC">
            <w:pPr>
              <w:spacing w:before="0"/>
              <w:rPr>
                <w:rFonts w:ascii="Times New Roman" w:hAnsi="Times New Roman"/>
                <w:b/>
                <w:bCs/>
                <w:sz w:val="24"/>
              </w:rPr>
            </w:pPr>
            <w:r>
              <w:rPr>
                <w:rFonts w:ascii="Times New Roman" w:hAnsi="Times New Roman"/>
                <w:sz w:val="24"/>
              </w:rPr>
              <w:t>Központi bankoktól esedékes, legfeljebb 30 napos hátralévő futamidejű pénzösszegek az (EU) 2015/61 felhatalmazáson alapuló rendelet 32. cikke (2) bekezdésének a) pontjával összhangban.</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lastRenderedPageBreak/>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sz w:val="24"/>
              </w:rPr>
              <w:t>1.1.2.2.2. pénzügyi ügyfelektől esedékes pénzösszegek</w:t>
            </w:r>
          </w:p>
          <w:p w14:paraId="425BBC82" w14:textId="48F198E9"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(2) bekezdésének a) pontja</w:t>
            </w:r>
          </w:p>
          <w:p w14:paraId="545B953A" w14:textId="1F87FB0E" w:rsidR="007453EC" w:rsidRPr="000B6B22" w:rsidRDefault="007453EC">
            <w:pPr>
              <w:spacing w:before="0"/>
              <w:rPr>
                <w:rFonts w:ascii="Times New Roman" w:hAnsi="Times New Roman"/>
                <w:bCs/>
                <w:sz w:val="24"/>
              </w:rPr>
            </w:pPr>
            <w:r>
              <w:rPr>
                <w:rFonts w:ascii="Times New Roman" w:hAnsi="Times New Roman"/>
                <w:sz w:val="24"/>
              </w:rPr>
              <w:t>Pénzügyi ügyfelektől esedékes, legfeljebb 30 napos hátralevő futamidejű pénzösszegek, amelyek nem minősülnek operatív betétként kezelhetőnek az (EU) 2015/61 felhatalmazáson alapuló rendelet 32. cikke (3) bekezdésének d) pontjában meghatározottak szerint, összefüggésben 27. cikkével.</w:t>
            </w:r>
          </w:p>
          <w:p w14:paraId="5878AF48" w14:textId="3EB7084D" w:rsidR="007453EC" w:rsidRPr="000B6B22" w:rsidRDefault="007453EC">
            <w:pPr>
              <w:spacing w:before="0"/>
              <w:rPr>
                <w:rFonts w:ascii="Times New Roman" w:hAnsi="Times New Roman"/>
                <w:b/>
                <w:bCs/>
                <w:sz w:val="24"/>
              </w:rPr>
            </w:pPr>
            <w:r>
              <w:rPr>
                <w:rFonts w:ascii="Times New Roman" w:hAnsi="Times New Roman"/>
                <w:sz w:val="24"/>
              </w:rPr>
              <w:t>Az (EU) 2015/61 felhatalmazáson alapuló rendelet 31. cikkének (9) bekezdésében említett kedvezményes hitel nyújtására tett kötelezettségvállalásokkal összhangban a kiáramlásoknak megfelelő beáramlásokat az 1.1.3. szakaszban kell feltüntetni, és itt nem szabad megadni.</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sz w:val="24"/>
              </w:rPr>
              <w:t>1.1.3. az (EU) 2015/61 felhatalmazáson alapuló rendelet 31. cikkének (9) bekezdésében említett kedvezményes hitel nyújtására tett kötelezettségvállalásokkal összhangban a kiáramlásoknak megfelelő beáramlások</w:t>
            </w:r>
          </w:p>
          <w:p w14:paraId="5BE94286" w14:textId="4CA5E7E2"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a) pontja</w:t>
            </w:r>
          </w:p>
          <w:p w14:paraId="1EA9FA81" w14:textId="13BDA3FE"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31. cikkének (9) bekezdésében említett kedvezményes hitel nyújtására tett kötelezettségvállalásokkal összhangban a kiáramlásoknak megfelelő beáramlások</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sz w:val="24"/>
              </w:rPr>
              <w:t>1.1.4. kereskedelemfinanszírozási ügyletekből esedékes pénzösszegek</w:t>
            </w:r>
          </w:p>
          <w:p w14:paraId="07856EB7" w14:textId="25AE3391"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(2) bekezdésének b) pontja</w:t>
            </w:r>
          </w:p>
          <w:p w14:paraId="24F50792" w14:textId="3C40DCB3" w:rsidR="007453EC" w:rsidRPr="000B6B22" w:rsidRDefault="007453EC">
            <w:pPr>
              <w:spacing w:before="0"/>
              <w:rPr>
                <w:rFonts w:ascii="Times New Roman" w:hAnsi="Times New Roman"/>
                <w:b/>
                <w:bCs/>
                <w:sz w:val="24"/>
              </w:rPr>
            </w:pPr>
            <w:r>
              <w:rPr>
                <w:rFonts w:ascii="Times New Roman" w:hAnsi="Times New Roman"/>
                <w:sz w:val="24"/>
              </w:rPr>
              <w:t>Legfeljebb 30 napos hátralévő futamidejű kereskedelemfinanszírozási ügyletekből esedékes pénzösszegek az (EU) 2015/61 felhatalmazáson alapuló rendelet 32. cikke (2) bekezdésének b) pontjával összhangban.</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sz w:val="24"/>
              </w:rPr>
              <w:t>1.1.5. 30 napon belül lejáró értékpapírokból esedékes pénzösszegek</w:t>
            </w:r>
          </w:p>
          <w:p w14:paraId="20BF47DF" w14:textId="30C33678"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(2) bekezdésének c) pontja</w:t>
            </w:r>
          </w:p>
          <w:p w14:paraId="653506C8" w14:textId="39AAEB2A" w:rsidR="007453EC" w:rsidRPr="000B6B22" w:rsidRDefault="007453EC">
            <w:pPr>
              <w:spacing w:before="0"/>
              <w:rPr>
                <w:rFonts w:ascii="Times New Roman" w:hAnsi="Times New Roman"/>
                <w:b/>
                <w:bCs/>
                <w:sz w:val="24"/>
              </w:rPr>
            </w:pPr>
            <w:r>
              <w:rPr>
                <w:rFonts w:ascii="Times New Roman" w:hAnsi="Times New Roman"/>
                <w:sz w:val="24"/>
              </w:rPr>
              <w:t>30 naptári napon belül lejáró értékpapírokból esedékes pénzösszegek, az (EU) 2015/61 felhatalmazáson alapuló rendelet 32. cikke (2) bekezdése c) pontjával összhangban.</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sz w:val="24"/>
              </w:rPr>
              <w:t>1.1.6. hitelek, amelyeknek szerződéses zárónapja nincs meghatározva</w:t>
            </w:r>
          </w:p>
          <w:p w14:paraId="50412A1A" w14:textId="711B8B54" w:rsidR="007453EC" w:rsidRPr="000B6B22" w:rsidRDefault="000378A5">
            <w:pPr>
              <w:spacing w:before="0"/>
              <w:rPr>
                <w:rFonts w:ascii="Times New Roman" w:hAnsi="Times New Roman"/>
                <w:bCs/>
                <w:sz w:val="24"/>
              </w:rPr>
            </w:pPr>
            <w:r>
              <w:rPr>
                <w:rFonts w:ascii="Times New Roman" w:hAnsi="Times New Roman"/>
                <w:sz w:val="24"/>
              </w:rPr>
              <w:t xml:space="preserve">Az (EU) 2015/61 felhatalmazáson alapuló rendelet 32. cikke (3) bekezdésének </w:t>
            </w:r>
            <w:proofErr w:type="spellStart"/>
            <w:r>
              <w:rPr>
                <w:rFonts w:ascii="Times New Roman" w:hAnsi="Times New Roman"/>
                <w:sz w:val="24"/>
              </w:rPr>
              <w:t>i)</w:t>
            </w:r>
            <w:proofErr w:type="spellEnd"/>
            <w:r>
              <w:rPr>
                <w:rFonts w:ascii="Times New Roman" w:hAnsi="Times New Roman"/>
                <w:sz w:val="24"/>
              </w:rPr>
              <w:t xml:space="preserve"> pontja</w:t>
            </w:r>
          </w:p>
          <w:p w14:paraId="6EF8FA17" w14:textId="18CEC767" w:rsidR="007453EC" w:rsidRPr="000B6B22" w:rsidRDefault="007453EC">
            <w:pPr>
              <w:spacing w:before="0"/>
              <w:rPr>
                <w:rFonts w:ascii="Times New Roman" w:hAnsi="Times New Roman"/>
                <w:b/>
                <w:bCs/>
                <w:sz w:val="24"/>
              </w:rPr>
            </w:pPr>
            <w:r>
              <w:rPr>
                <w:rFonts w:ascii="Times New Roman" w:hAnsi="Times New Roman"/>
                <w:sz w:val="24"/>
              </w:rPr>
              <w:lastRenderedPageBreak/>
              <w:t xml:space="preserve">Szerződéses zárónap nélküli hitelek, az (EU) 2015/61 felhatalmazáson alapuló rendelet 32. cikke (3) bekezdésének </w:t>
            </w:r>
            <w:proofErr w:type="spellStart"/>
            <w:r>
              <w:rPr>
                <w:rFonts w:ascii="Times New Roman" w:hAnsi="Times New Roman"/>
                <w:sz w:val="24"/>
              </w:rPr>
              <w:t>i)</w:t>
            </w:r>
            <w:proofErr w:type="spellEnd"/>
            <w:r>
              <w:rPr>
                <w:rFonts w:ascii="Times New Roman" w:hAnsi="Times New Roman"/>
                <w:sz w:val="24"/>
              </w:rPr>
              <w:t xml:space="preserve"> pontjával összhangban. A hitelintézet csak akkor veheti figyelembe ezeket a hiteleket, ha a szerződés lehetővé teszi a hitelintézet számára, hogy 30 naptári napon belül elálljon vagy fizetést kérjen. Az ügyfélszámlákra 30 naptári napon belül terhelendő kamat- és minimumkifizetéseket bele kell foglalni a feltüntetett összegbe. A szerződéses zárónap nélküli hitelekből eredő kamat- és minimumkifizetések, amelyek szerződés szerint esedékesek és a következő 30 naptári napon belül tényleges készpénzbeáramlást eredményeznek, esedékes pénzösszegnek tekintendők és azokat az érintett sorban fel kell tüntetni, az esedékes pénzösszegekre vonatkozóan a 32. cikkben előírt eljárást követve. A hitelintézetek nem adhatnak meg egyéb olyan felhalmozódó kamatokat, amelyeket nem terhelnek az ügyfélszámlára, és amelyek a következő 30 naptári napon belül nem eredményeznek tényleges készpénzbeáramlást sem.</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lastRenderedPageBreak/>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sz w:val="24"/>
              </w:rPr>
              <w:t>1.1.7. a jelentős indexeket alkotó tőkeinstrumentumokban tartott pozíciókból esedékes pénzösszegek, ha azokat nem veszik figyelembe a likvid eszközök között is</w:t>
            </w:r>
          </w:p>
          <w:p w14:paraId="6EFECAA7" w14:textId="41986F3F"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(2) bekezdésének d) pontja</w:t>
            </w:r>
          </w:p>
          <w:p w14:paraId="3FB14AF9" w14:textId="5F6008BB" w:rsidR="007453EC" w:rsidRPr="000B6B22" w:rsidRDefault="007453EC">
            <w:pPr>
              <w:spacing w:before="0"/>
              <w:rPr>
                <w:rFonts w:ascii="Times New Roman" w:hAnsi="Times New Roman"/>
                <w:b/>
                <w:bCs/>
                <w:sz w:val="24"/>
              </w:rPr>
            </w:pPr>
            <w:r>
              <w:rPr>
                <w:rFonts w:ascii="Times New Roman" w:hAnsi="Times New Roman"/>
                <w:sz w:val="24"/>
              </w:rPr>
              <w:t>A jelentős indexeket alkotó tőkeinstrumentumokban tartott pozíciókból esedékes pénzösszegek, ha azokat nem veszik figyelembe a likvid eszközök között is, az (EU) 2015/61 felhatalmazáson alapuló rendelet 32. cikke (2) bekezdésének d) pontjával összhangban. A pozíciók magukban foglalják a szerződés szerint 30 naptári napon belül esedékes pénzösszegeket, mint például a jelentős indexekből származó készpénz-osztalékot és a már értékesített, de még el nem számolt tőkeinstrumentumok után járó készpénzt, ha azokat nem veszik figyelembe a likvid eszközök között is az (EU) 2015/61 felhatalmazáson alapuló rendelet II. címének megfelelően.</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sz w:val="24"/>
              </w:rPr>
              <w:t>1.1.8. az ügyfelek kereskedési eszközeinek védelmére vonatkozó szabályozói követelményekkel összhangban elkülönített számlákon tartott egyenlegek felszabadításából származó beáramlások</w:t>
            </w:r>
          </w:p>
          <w:p w14:paraId="775341D9" w14:textId="023BC8E7"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cikkének (4) bekezdése</w:t>
            </w:r>
          </w:p>
          <w:p w14:paraId="50121AFE" w14:textId="4A96E6A9" w:rsidR="007453EC" w:rsidRPr="000B6B22" w:rsidRDefault="007453EC">
            <w:pPr>
              <w:spacing w:before="0"/>
              <w:rPr>
                <w:rFonts w:ascii="Times New Roman" w:hAnsi="Times New Roman"/>
                <w:bCs/>
                <w:sz w:val="24"/>
              </w:rPr>
            </w:pPr>
            <w:r>
              <w:rPr>
                <w:rFonts w:ascii="Times New Roman" w:hAnsi="Times New Roman"/>
                <w:sz w:val="24"/>
              </w:rPr>
              <w:t>Az ügyfelek kereskedési eszközeinek védelmére vonatkozó szabályozói követelményekkel összhangban elkülönített számlákon tartott egyenlegek felszabadításából származó beáramlások az (EU) 2015/61 felhatalmazáson alapuló rendelet 32. cikkének (4) bekezdésével összhangban.</w:t>
            </w:r>
          </w:p>
          <w:p w14:paraId="61A2512C" w14:textId="37159C83" w:rsidR="007453EC" w:rsidRPr="000B6B22" w:rsidRDefault="007453EC">
            <w:pPr>
              <w:spacing w:before="0"/>
              <w:rPr>
                <w:rFonts w:ascii="Times New Roman" w:hAnsi="Times New Roman"/>
                <w:b/>
                <w:bCs/>
                <w:sz w:val="24"/>
              </w:rPr>
            </w:pPr>
            <w:r>
              <w:rPr>
                <w:rFonts w:ascii="Times New Roman" w:hAnsi="Times New Roman"/>
                <w:sz w:val="24"/>
              </w:rPr>
              <w:t>A beáramlásokat csak akkor kell figyelembe venni, ha ezeket az egyenlegeket likvid eszközökben tartják az (EU) 2015/61 felhatalmazáson alapuló rendelet II. címében meghatározottak szerint.</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sz w:val="24"/>
              </w:rPr>
              <w:t>1.1.9. származtatott ügyletekből eredő beáramlások</w:t>
            </w:r>
          </w:p>
          <w:p w14:paraId="2B565980" w14:textId="5322282D"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cikkének (5) bekezdése, összefüggésben 21. cikkével</w:t>
            </w:r>
          </w:p>
          <w:p w14:paraId="2AB45F97" w14:textId="4BD3B8B3" w:rsidR="007453EC" w:rsidRPr="000B6B22" w:rsidRDefault="007453EC">
            <w:pPr>
              <w:spacing w:before="0"/>
              <w:rPr>
                <w:rFonts w:ascii="Times New Roman" w:hAnsi="Times New Roman"/>
                <w:bCs/>
                <w:sz w:val="24"/>
              </w:rPr>
            </w:pPr>
            <w:r>
              <w:rPr>
                <w:rFonts w:ascii="Times New Roman" w:hAnsi="Times New Roman"/>
                <w:sz w:val="24"/>
              </w:rPr>
              <w:t>Az 575/2013/EU rendelet II. mellékletében felsorolt ügyletekből és hitelderivatívákból a következő 30 naptári nap során várható követelések nettó összege.</w:t>
            </w:r>
          </w:p>
          <w:p w14:paraId="498479E7" w14:textId="3293DB26" w:rsidR="007453EC" w:rsidRPr="000B6B22" w:rsidRDefault="007453EC">
            <w:pPr>
              <w:spacing w:before="0"/>
              <w:rPr>
                <w:rFonts w:ascii="Times New Roman" w:hAnsi="Times New Roman"/>
                <w:bCs/>
                <w:sz w:val="24"/>
              </w:rPr>
            </w:pPr>
            <w:r>
              <w:rPr>
                <w:rFonts w:ascii="Times New Roman" w:hAnsi="Times New Roman"/>
                <w:sz w:val="24"/>
              </w:rPr>
              <w:lastRenderedPageBreak/>
              <w:t>A hitelintézetnek a 30 naptári nap alatt várható beáramlásokat nettó alapon, partnerenként kell kiszámolnia, figyelemmel a kétoldalú nettósítási megállapodások létezésére az 575/2013/EU rendelet 295. cikkének megfelelően. A nettó alapú számításnak ebben az esetben magában kell foglalnia a kapott biztosíték levonását is, feltéve, hogy az az (EU) 2015/61 felhatalmazáson alapuló bizottsági rendelet II. címe szerint likvid eszköznek minősül.</w:t>
            </w:r>
          </w:p>
          <w:p w14:paraId="7A456C61" w14:textId="77777777" w:rsidR="007453EC" w:rsidRPr="000B6B22" w:rsidRDefault="007453EC">
            <w:pPr>
              <w:spacing w:before="0"/>
              <w:rPr>
                <w:rFonts w:ascii="Times New Roman" w:hAnsi="Times New Roman"/>
                <w:bCs/>
                <w:sz w:val="24"/>
              </w:rPr>
            </w:pPr>
            <w:r>
              <w:rPr>
                <w:rFonts w:ascii="Times New Roman" w:hAnsi="Times New Roman"/>
                <w:sz w:val="24"/>
              </w:rPr>
              <w:t>A tőkeösszegek egyidejű (vagy napon belüli) teljes cseréjét magukban foglaló származtatott devizaügyletekből vagy hitelderivatívákból eredő készpénzkiáramlásokat és -beáramlásokat nettó alapon kell számítani, akkor is, ha az adott ügyletek nem tartoznak kétoldalú nettósítási megállapodás hatálya alá.</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Az 575/2013/EU rendelet 415. cikkének (2) bekezdése szerinti külön adatszolgáltatás esetén a származtatott ügyleteket vagy a hitelderivatívákat minden egyes pénznem esetében külön kell bemutatni. A partner általi nettósítást csak az adott devizanemben lévő áramlásokra lehet alkalmazni.</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lastRenderedPageBreak/>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sz w:val="24"/>
              </w:rPr>
              <w:t>1.1.10. egy csoport vagy intézményvédelmi rendszer tagjai által nyújtott, le nem hívott hitel- vagy likviditási keretből származó beáramlások, ha az illetékes hatóság engedélyezte magasabb beáramlási arány alkalmazását</w:t>
            </w:r>
          </w:p>
          <w:p w14:paraId="52A91E47" w14:textId="6D4B12C6"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34. cikke</w:t>
            </w:r>
          </w:p>
          <w:p w14:paraId="3CFB5DCA" w14:textId="741C2B31" w:rsidR="007453EC" w:rsidRPr="000B6B22" w:rsidRDefault="007453EC">
            <w:pPr>
              <w:spacing w:before="0"/>
              <w:rPr>
                <w:rFonts w:ascii="Times New Roman" w:hAnsi="Times New Roman"/>
                <w:b/>
                <w:bCs/>
                <w:sz w:val="24"/>
              </w:rPr>
            </w:pPr>
            <w:r>
              <w:rPr>
                <w:rFonts w:ascii="Times New Roman" w:hAnsi="Times New Roman"/>
                <w:sz w:val="24"/>
              </w:rPr>
              <w:t>Egy csoport vagy intézményvédelmi rendszer tagjai által nyújtott, le nem hívott hitel- vagy likviditási keretből származó beáramlások, ha az illetékes hatóság engedélyezte magasabb beáramlási arány alkalmazását az (EU) 2015/61 felhatalmazáson alapuló rendelet 34. cikkének megfelelően.</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sz w:val="24"/>
              </w:rPr>
              <w:t>1.1.11. egyéb beáramlások</w:t>
            </w:r>
          </w:p>
          <w:p w14:paraId="7EE5352C" w14:textId="77B1DAFA"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cikkének (2) bekezdése</w:t>
            </w:r>
          </w:p>
          <w:p w14:paraId="3A35C748" w14:textId="7D2AA379" w:rsidR="007453EC" w:rsidRPr="000B6B22" w:rsidRDefault="007453EC">
            <w:pPr>
              <w:spacing w:before="0"/>
              <w:rPr>
                <w:rFonts w:ascii="Times New Roman" w:hAnsi="Times New Roman"/>
                <w:b/>
                <w:bCs/>
                <w:sz w:val="24"/>
              </w:rPr>
            </w:pPr>
            <w:r>
              <w:rPr>
                <w:rFonts w:ascii="Times New Roman" w:hAnsi="Times New Roman"/>
                <w:sz w:val="24"/>
              </w:rPr>
              <w:t>A táblában sehol máshol fel nem tüntetett minden egyéb beáramlás az (EU) 2015/61 felhatalmazáson alapuló rendelet 32. cikke (2) bekezdésének megfelelően.</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 Fedezett kölcsönügyletekből és tőkepiac-vezérelt ügyletekből eredő beáramlások</w:t>
            </w:r>
          </w:p>
          <w:p w14:paraId="5E83DDB2" w14:textId="520D0FDE"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c) és f) pontja a fedezett kölcsönügyletekből és tőkepiac-vezérelt ügyletekből eredő, legfeljebb 30 napos hátralévő futamidejű beáramlásokra vonatkozik.</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t>A hitelintézeteknek a XXIV. melléklet C 74.00 táblájának 0263. sorában a következőket kell megadniuk:</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0010., 0020. és 0030. oszlopban a fedezett kölcsönügyletekből és tőkepiac-vezérelt ügyletekből esedékes pénzösszegek teljes összege; valamint</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0140., 0150. és 0160. oszlopban a fedezett kölcsönügyletekből és tőkepiac-vezérelt ügyletekből származó teljes beáramlás.</w:t>
            </w:r>
          </w:p>
          <w:p w14:paraId="7B541C76" w14:textId="778E3A36" w:rsidR="007453EC" w:rsidRPr="000B6B22" w:rsidRDefault="007453EC">
            <w:pPr>
              <w:spacing w:before="0"/>
              <w:rPr>
                <w:rFonts w:ascii="Times New Roman" w:hAnsi="Times New Roman"/>
                <w:bCs/>
                <w:sz w:val="24"/>
              </w:rPr>
            </w:pPr>
            <w:r>
              <w:rPr>
                <w:rFonts w:ascii="Times New Roman" w:hAnsi="Times New Roman"/>
                <w:sz w:val="24"/>
              </w:rPr>
              <w:lastRenderedPageBreak/>
              <w:t>A 30 naptári napon belül lejáró biztosítéki csereügyleteket a XXIV. melléklet C 75.01 táblájában kell feltüntetni, és itt nem szabad megadni.</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lastRenderedPageBreak/>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sz w:val="24"/>
              </w:rPr>
              <w:t>1.2.1. a partner központi bank</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A hitelintézeteknek itt az 575/2013/EU rendelet 192. cikkének 2. és 3. pontjában meghatározott fedezett kölcsönügyletekből és tőkepiac-vezérelt ügyletekből eredő, legfeljebb 30 napos hátralévő futamidejű beáramlásokat kell megadniuk, ha a partner központi bank.</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A hitelintézeteknek a XXIV. melléklet C 74.00 táblájának 0265. sorában a következőket kell megadniuk:</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0010., 0020. és 0030. oszlopban a fedezett kölcsönügyletekből és tőkepiac-vezérelt ügyletekből esedékes pénzösszegek teljes összege, ha a partner központi bank; valamint</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0140., 0150. és 0160. oszlopban a fedezett kölcsönügyletekből és tőkepiac-vezérelt ügyletekből származó teljes beáramlás, ha a partner központi bank.</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sz w:val="24"/>
              </w:rPr>
              <w:t>1.2.1.1. likvid eszköznek minősülő biztosíték</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A hitelintézeteknek a XXIV. melléklet C 74.00 táblájának 0267. sorában a következőket kell megadniuk:</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sz w:val="24"/>
              </w:rPr>
              <w:t></w:t>
            </w:r>
            <w:r>
              <w:rPr>
                <w:rFonts w:ascii="Times New Roman" w:hAnsi="Times New Roman"/>
                <w:sz w:val="24"/>
              </w:rPr>
              <w:tab/>
              <w:t>a 0010., 0020. és 0030. oszlopban a fedezett kölcsönügyletekből és tőkepiac-vezérelt ügyletekből esedékes, legfeljebb 30 napos hátralévő futamidejű pénzösszegek teljes összege, ha a partner központi bank, és ha az ügyletet likvid eszközök fedezik; valamint</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a 0140., 0150. és 0160. oszlopban a fedezett kölcsönügyletekből és tőkepiac-vezérelt ügyletekből származó, legfeljebb 30 napos hátralévő futamidejű teljes beáramlás, ha a partner központi bank, és ha az ügyletet likvid eszközök fedezik.</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A hitelintézeteknek itt a legfeljebb 30 napos hátralévő futamidejű fedezett kölcsönügyleteket és tőkepiac-vezérelt ügyleteket kell megadniuk, ha a partner központi bank, és ha az ügyletet likvid eszközök fedezik, függetlenül attól, hogy újra felhasználják-e azokat más ügyletben, illetve attól, hogy a kapott likvid eszközök teljesítik-e az (EU) 2015/61 felhatalmazáson alapuló rendelet 8. cikke szerinti operatív követelményeket.</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sz w:val="24"/>
              </w:rPr>
              <w:t>1.2.1.1.1. 1. szintű biztosíték a rendkívül magas minőségű fedezett kötvények kivételével</w:t>
            </w:r>
          </w:p>
          <w:p w14:paraId="60075FD1" w14:textId="166CA80F"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10. cikke szerint az 1. szintű eszközök 10. cikkben említett valamely kategóriájába tartozó likvid eszköznek minősülnének, a 10. cikk (1) bekezdésének f) pontjában említett, rendkívül magas minőségű fedezett kötvények kivételével;</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lastRenderedPageBreak/>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sz w:val="24"/>
              </w:rPr>
              <w:t>1.2.1.1.1.1.</w:t>
            </w:r>
            <w:r>
              <w:rPr>
                <w:rFonts w:ascii="Times New Roman" w:hAnsi="Times New Roman"/>
                <w:sz w:val="24"/>
              </w:rPr>
              <w:t xml:space="preserve"> </w:t>
            </w:r>
            <w:r>
              <w:rPr>
                <w:rFonts w:ascii="Times New Roman" w:hAnsi="Times New Roman"/>
                <w:b/>
                <w:sz w:val="24"/>
              </w:rPr>
              <w:t>ebből: a kapott biztosíték teljesíti az operatív követelményeket</w:t>
            </w:r>
          </w:p>
          <w:p w14:paraId="2779EE63" w14:textId="5CDC213C"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Az 1.2.1.1.1 tételben szereplő ügyletek közül azok az ügyletek, ahol a kapott biztosíték teljesíti az (EU) 2015/61 felhatalmazáson alapuló rendelet 8. cikke szerinti operatív követelményeket.</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sz w:val="24"/>
              </w:rPr>
              <w:t>1.2.1.1.2. 1. szintű biztosíték, amely rendkívül magas minőségű fedezett kötvényekből áll</w:t>
            </w:r>
          </w:p>
          <w:p w14:paraId="465D66DF" w14:textId="73CF7738"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10. cikke szerint a 10. cikk (1) bekezdésének f) pontjában említett kategóriába tartozó likvid eszköznek minősülnének.</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sz w:val="24"/>
              </w:rPr>
              <w:t>1.2.1.1.2.1.</w:t>
            </w:r>
            <w:r>
              <w:rPr>
                <w:rFonts w:ascii="Times New Roman" w:hAnsi="Times New Roman"/>
                <w:sz w:val="24"/>
              </w:rPr>
              <w:t xml:space="preserve"> </w:t>
            </w:r>
            <w:r>
              <w:rPr>
                <w:rFonts w:ascii="Times New Roman" w:hAnsi="Times New Roman"/>
                <w:b/>
                <w:sz w:val="24"/>
              </w:rPr>
              <w:t>ebből: a kapott biztosíték teljesíti az operatív követelményeket</w:t>
            </w:r>
          </w:p>
          <w:p w14:paraId="71DCD54B" w14:textId="0ABC7D7D"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Az 1.2.1.1.2 tételben szereplő ügyletek közül azok az ügyletek, ahol a kapott biztosíték teljesíti az (EU) 2015/61 felhatalmazáson alapuló rendelet 8. cikke szerinti operatív követelményeket.</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sz w:val="24"/>
              </w:rPr>
              <w:t>1.2.1.1.3. 2A. szintű biztosíték</w:t>
            </w:r>
          </w:p>
          <w:p w14:paraId="6057672F" w14:textId="1BBCB13B"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11. cikke szerint a 2A. szintű eszközök 11. cikkben említett valamely kategóriájába tartozó likvid eszköznek minősülnének.</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sz w:val="24"/>
              </w:rPr>
              <w:t>1.2.1.1.3.1.</w:t>
            </w:r>
            <w:r>
              <w:rPr>
                <w:rFonts w:ascii="Times New Roman" w:hAnsi="Times New Roman"/>
                <w:sz w:val="24"/>
              </w:rPr>
              <w:t xml:space="preserve"> </w:t>
            </w:r>
            <w:r>
              <w:rPr>
                <w:rFonts w:ascii="Times New Roman" w:hAnsi="Times New Roman"/>
                <w:b/>
                <w:sz w:val="24"/>
              </w:rPr>
              <w:t>ebből: a kapott biztosíték teljesíti az operatív követelményeket</w:t>
            </w:r>
          </w:p>
          <w:p w14:paraId="41735A45" w14:textId="3CC5648C"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Az 1.2.1.1.3 tételben szereplő ügyletek közül azok az ügyletek, ahol a kapott biztosíték teljesíti az (EU) 2015/61 felhatalmazáson alapuló rendelet 8. cikke szerinti operatív követelményeket.</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sz w:val="24"/>
              </w:rPr>
              <w:t>1.2.1.1.4. 2B. szintű eszközfedezetű (lakóingatlan vagy gépjármű) értékpapírokból álló biztosíték</w:t>
            </w:r>
          </w:p>
          <w:p w14:paraId="32BFA614" w14:textId="322AB308" w:rsidR="007453EC" w:rsidRPr="000B6B22" w:rsidRDefault="000378A5">
            <w:pPr>
              <w:spacing w:before="0"/>
              <w:rPr>
                <w:rFonts w:ascii="Times New Roman" w:hAnsi="Times New Roman"/>
                <w:bCs/>
                <w:sz w:val="24"/>
              </w:rPr>
            </w:pPr>
            <w:r>
              <w:rPr>
                <w:rFonts w:ascii="Times New Roman" w:hAnsi="Times New Roman"/>
                <w:sz w:val="24"/>
              </w:rPr>
              <w:lastRenderedPageBreak/>
              <w:t>Az (EU) 2015/61 felhatalmazáson alapuló rendelet 32. cikke (3) bekezdésének b) pontja</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13. cikke szerint a 2B. szintű eszközök 13. cikk (2) bekezdése g) pontjának i., ii. vagy iv. alpontjában említett valamely kategóriájába tartozó likvid eszköznek minősülnének.</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lastRenderedPageBreak/>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sz w:val="24"/>
              </w:rPr>
              <w:t>1.2.1.1.4.1.</w:t>
            </w:r>
            <w:r>
              <w:rPr>
                <w:rFonts w:ascii="Times New Roman" w:hAnsi="Times New Roman"/>
                <w:sz w:val="24"/>
              </w:rPr>
              <w:t xml:space="preserve"> </w:t>
            </w:r>
            <w:r>
              <w:rPr>
                <w:rFonts w:ascii="Times New Roman" w:hAnsi="Times New Roman"/>
                <w:b/>
                <w:sz w:val="24"/>
              </w:rPr>
              <w:t>ebből: a kapott biztosíték teljesíti az operatív követelményeket</w:t>
            </w:r>
          </w:p>
          <w:p w14:paraId="1F274A53" w14:textId="647760C8"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Az 1.2.1.1.4 tételben szereplő ügyletek közül azok az ügyletek, ahol a kapott biztosíték teljesíti az (EU) 2015/61 felhatalmazáson alapuló rendelet 8. cikke szerinti operatív követelményeket.</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sz w:val="24"/>
              </w:rPr>
              <w:t>1.2.1.1.5. 2B. szintű magas minőségű fedezett kötvényekből álló biztosíték</w:t>
            </w:r>
          </w:p>
          <w:p w14:paraId="2F479E2F" w14:textId="6FB8B0EB"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12. cikke szerint a 2B. szintű eszközök 12. cikk (1) bekezdésének e) pontjában említett kategóriájába tartozó likvid eszköznek minősülnének.</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sz w:val="24"/>
              </w:rPr>
              <w:t>1.2.1.1.5.1.</w:t>
            </w:r>
            <w:r>
              <w:rPr>
                <w:rFonts w:ascii="Times New Roman" w:hAnsi="Times New Roman"/>
                <w:sz w:val="24"/>
              </w:rPr>
              <w:t xml:space="preserve"> </w:t>
            </w:r>
            <w:r>
              <w:rPr>
                <w:rFonts w:ascii="Times New Roman" w:hAnsi="Times New Roman"/>
                <w:b/>
                <w:sz w:val="24"/>
              </w:rPr>
              <w:t>ebből: a kapott biztosíték teljesíti az operatív követelményeket</w:t>
            </w:r>
          </w:p>
          <w:p w14:paraId="17D3606C" w14:textId="04A6D9F7"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Az 1.2.1.1.5 tételben szereplő ügyletek közül azok az ügyletek, ahol a kapott biztosíték teljesíti az (EU) 2015/61 felhatalmazáson alapuló rendelet 8. cikke szerinti operatív követelményeket.</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sz w:val="24"/>
              </w:rPr>
              <w:t>1.2.1.1.6. 2B. szintű eszközfedezetű (vállalati vagy háztartási hitel) értékpapírokból álló biztosíték</w:t>
            </w:r>
          </w:p>
          <w:p w14:paraId="7ECE90DE" w14:textId="5DA031B4"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 xml:space="preserve">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13. cikke szerint a 2B. szintű eszközök 13. cikk (2) </w:t>
            </w:r>
            <w:r>
              <w:rPr>
                <w:rFonts w:ascii="Times New Roman" w:hAnsi="Times New Roman"/>
                <w:sz w:val="24"/>
              </w:rPr>
              <w:lastRenderedPageBreak/>
              <w:t>bekezdése g) pontjának iii. vagy v. alpontjában említett valamely kategóriájába tartozó likvid eszköznek minősülnének.</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lastRenderedPageBreak/>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ebből: a kapott biztosíték teljesíti az operatív követelményeket</w:t>
            </w:r>
          </w:p>
          <w:p w14:paraId="2CA9D556" w14:textId="5B566ECC"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Az 1.2.1.1.6 tételben szereplő ügyletek közül azok az ügyletek, ahol a kapott biztosíték teljesíti az (EU) 2015/61 felhatalmazáson alapuló rendelet 8. cikke szerinti operatív követelményeket.</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sz w:val="24"/>
              </w:rPr>
              <w:t>1.2.1.1.7. Az 1.2.1.1.4., 1.2.1.1.5. vagy 1.2.1.1.6. szakaszban figyelembe nem vett 2B. szintű biztosíték</w:t>
            </w:r>
          </w:p>
          <w:p w14:paraId="207160CD" w14:textId="14648D9B"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12. cikke szerint a 2B. szintű eszközök 12. cikk (1) bekezdésének b), c) vagy f) pontjában említett valamely kategóriájába tartozó likvid eszköznek minősülnének.</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sz w:val="24"/>
              </w:rPr>
              <w:t>1.2.1.1.7.1.</w:t>
            </w:r>
            <w:r>
              <w:rPr>
                <w:rFonts w:ascii="Times New Roman" w:hAnsi="Times New Roman"/>
                <w:sz w:val="24"/>
              </w:rPr>
              <w:t xml:space="preserve"> </w:t>
            </w:r>
            <w:r>
              <w:rPr>
                <w:rFonts w:ascii="Times New Roman" w:hAnsi="Times New Roman"/>
                <w:b/>
                <w:sz w:val="24"/>
              </w:rPr>
              <w:t>ebből: a kapott biztosíték teljesíti az operatív követelményeket</w:t>
            </w:r>
          </w:p>
          <w:p w14:paraId="2831C8CD" w14:textId="3FB88739"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Az 1.2.1.1.7 tételben szereplő ügyletek közül azok az ügyletek, ahol a kapott biztosíték teljesíti az (EU) 2015/61 felhatalmazáson alapuló rendelet 8. cikke szerinti operatív követelményeket.</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sz w:val="24"/>
              </w:rPr>
              <w:t>1.2.1.2. a biztosítékot rövid pozíció fedezésére használják</w:t>
            </w:r>
          </w:p>
          <w:p w14:paraId="468345EC" w14:textId="32FB53EB"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Legfeljebb 30 napos hátralévő futamidejű fedezett kölcsönügyletek és tőkepiac-vezérelt ügyletek, ha a partner központi bank, és ha az ügyletet olyan eszközök fedezik, amelyeket a 30. cikk (5) bekezdése második mondatának megfelelően rövid pozíció fedezésére használják. Ha bármely típusú biztosítékot rövid pozíció fedezésére használnak, azt itt kell feltüntetni, és nem a fenti sorok egyikében. Nem lehetséges a többszörös figyelembevétel.</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sz w:val="24"/>
              </w:rPr>
              <w:t>1.2.1.3. likvid eszköznek nem minősülő biztosíték</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0299. sorában a legfeljebb 30 napos hátralévő futamidejű fedezett kölcsönügyleteket és tőkepiac-vezérelt ügyleteket kell megadniuk, ha a partner központi bank, és ha a biztosíték nem minősül likvid eszköznek. A hitelintézeteknek itt a következőkről kell adatot szolgáltatniuk:</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sz w:val="24"/>
              </w:rPr>
              <w:lastRenderedPageBreak/>
              <w:t>a 0010., 0020. és 0030. oszlopban az említett ügyletekből esedékes pénzösszegek teljes összege, vagyis a nem likvid tőke biztosítékkal rendelkező fedezett kölcsönügyletekből és tőkepiac-vezérelt ügyletekből és a bármely más nem likvid biztosítékkal rendelkező fedezett kölcsönügyletekből és tőkepiac-vezérelt ügyletekből esedékes pénzösszegek összege; valamint</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sz w:val="24"/>
              </w:rPr>
              <w:t>a 0140., 0150. és 0160. oszlopban az említett ügyletekből esedékes teljes beáramlás, vagyis a nem likvid tőke biztosítékkal rendelkező fedezett kölcsönügyletekből és tőkepiac-vezérelt ügyletekből és a bármely más nem likvid biztosítékkal rendelkező fedezett kölcsönügyletekből és tőkepiac-vezérelt ügyletekből származó beáramlások összege.</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lastRenderedPageBreak/>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sz w:val="24"/>
              </w:rPr>
              <w:t>1.2.1.3.1. a biztosíték nem likvid tőke</w:t>
            </w:r>
          </w:p>
          <w:p w14:paraId="637379CF" w14:textId="7C7F66ED"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Legfeljebb 30 napos hátralévő futamidejű fedezett kölcsönügyletek és tőkepiac-vezérelt ügyletek, ha a partner központi bank, és ha az ügyletet nem likvid tőke fedezi.</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sz w:val="24"/>
              </w:rPr>
              <w:t>1.2.1.3.2. minden egyéb nem likvid biztosíték</w:t>
            </w:r>
          </w:p>
          <w:p w14:paraId="298EA1F7" w14:textId="15861E17"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Legfeljebb 30 napos hátralévő futamidejű fedezett kölcsönügyletek és tőkepiac-vezérelt ügyletek, ha a partner központi bank, és ha az ügyletet az 1.2.1.3.1. szakaszban még nem figyelembe vett nem likvid eszközök fedezik.</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sz w:val="24"/>
              </w:rPr>
              <w:t>1.2.2. a partner nem központi bank</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A hitelintézeteknek itt az 575/2013/EU rendelet 192. cikkének 2. és 3. pontjában meghatározott fedezett kölcsönügyletekből és tőkepiac-vezérelt ügyletekből eredő, legfeljebb 30 napos hátralévő futamidejű beáramlásokat kell megadniuk, ha a partner nem központi bank.</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A hitelintézeteknek a XXIV. melléklet C 74.00 táblájának 0305. sorában a következőket kell megadniuk:</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0010., 0020. és 0030. oszlopban a fedezett kölcsönügyletekből és tőkepiac-vezérelt ügyletekből esedékes pénzösszegek teljes összege, ha a partner nem központi bank; valamint</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0140., 0150. és 0160. oszlopban a fedezett kölcsönügyletekből és tőkepiac-vezérelt ügyletekből származó teljes beáramlás, ha a partner nem központi bank.</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sz w:val="24"/>
              </w:rPr>
              <w:t>1.2.2.1. likvid eszköznek minősülő biztosíték</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A hitelintézeteknek a XXIV. melléklet C 74.00 táblájának 0307. sorában a következőket kell megadniuk:</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sz w:val="24"/>
              </w:rPr>
              <w:t></w:t>
            </w:r>
            <w:r>
              <w:rPr>
                <w:rFonts w:ascii="Times New Roman" w:hAnsi="Times New Roman"/>
                <w:sz w:val="24"/>
              </w:rPr>
              <w:tab/>
              <w:t>a 0010., 0020. és 0030. oszlopban a fedezett kölcsönügyletekből és tőkepiac-vezérelt ügyletekből esedékes, legfeljebb 30 napos hátralévő futamidejű pénzösszegek teljes összege, ha a partner nem központi bank, és ha az ügyletet likvid eszközök fedezik; valamint</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lastRenderedPageBreak/>
              <w:t>a 0140., 0150. és 0160. oszlopban a fedezett kölcsönügyletekből és tőkepiac-vezérelt ügyletekből származó, legfeljebb 30 napos hátralévő futamidejű teljes beáramlás, ha a partner nem központi bank, és ha az ügyletet likvid eszközök fedezik.</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A hitelintézeteknek itt a legfeljebb 30 napos hátralévő futamidejű fedezett kölcsönügyleteket és tőkepiac-vezérelt ügyleteket kell megadniuk, ha a partner nem központi bank, és ha az ügyletet likvid eszközök fedezik, függetlenül attól, hogy újra felhasználják-e azokat más ügyletben, illetve attól, hogy a kapott likvid eszközök teljesítik-e az (EU) 2015/61 felhatalmazáson alapuló rendelet 8. cikke szerinti operatív követelményeket.</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lastRenderedPageBreak/>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sz w:val="24"/>
              </w:rPr>
              <w:t>1.2.2.1.1. 1. szintű biztosíték a rendkívül magas minőségű fedezett kötvények kivételével</w:t>
            </w:r>
          </w:p>
          <w:p w14:paraId="24C1B65E" w14:textId="0065B9D3"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10. cikke szerint az 1. szintű eszközök 10. cikkben említett valamely kategóriájába tartozó likvid eszköznek minősülnének, a 10. cikk (1) bekezdésének f) pontjában említett, rendkívül magas minőségű fedezett kötvények kivételével;</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sz w:val="24"/>
              </w:rPr>
              <w:t>1.2.2.1.1.1.</w:t>
            </w:r>
            <w:r>
              <w:rPr>
                <w:rFonts w:ascii="Times New Roman" w:hAnsi="Times New Roman"/>
                <w:sz w:val="24"/>
              </w:rPr>
              <w:t xml:space="preserve"> </w:t>
            </w:r>
            <w:r>
              <w:rPr>
                <w:rFonts w:ascii="Times New Roman" w:hAnsi="Times New Roman"/>
                <w:b/>
                <w:sz w:val="24"/>
              </w:rPr>
              <w:t>ebből: a kapott biztosíték teljesíti az operatív követelményeket</w:t>
            </w:r>
          </w:p>
          <w:p w14:paraId="6B62DBA3" w14:textId="5EDB54A4"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Az 1.2.2.1.1 tételben szereplő ügyletek közül azok az ügyletek, ahol a kapott biztosíték teljesíti az (EU) 2015/61 felhatalmazáson alapuló rendelet 8. cikke szerinti operatív követelményeket.</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sz w:val="24"/>
              </w:rPr>
              <w:t>1.2.2.1.2. 1. szintű biztosíték, amely rendkívül magas minőségű fedezett kötvényekből áll</w:t>
            </w:r>
          </w:p>
          <w:p w14:paraId="14F81783" w14:textId="090C3E15"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10. cikke szerint a 10. cikk (1) bekezdésének f) pontjában említett kategóriába tartozó likvid eszköznek minősülnének.</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sz w:val="24"/>
              </w:rPr>
              <w:t>1.2.2.1.2.1.</w:t>
            </w:r>
            <w:r>
              <w:rPr>
                <w:rFonts w:ascii="Times New Roman" w:hAnsi="Times New Roman"/>
                <w:sz w:val="24"/>
              </w:rPr>
              <w:t xml:space="preserve"> </w:t>
            </w:r>
            <w:r>
              <w:rPr>
                <w:rFonts w:ascii="Times New Roman" w:hAnsi="Times New Roman"/>
                <w:b/>
                <w:sz w:val="24"/>
              </w:rPr>
              <w:t>ebből: a kapott biztosíték teljesíti az operatív követelményeket</w:t>
            </w:r>
          </w:p>
          <w:p w14:paraId="5A49C7E6" w14:textId="00D3A644"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lastRenderedPageBreak/>
              <w:t>Az 1.2.2.1.2 tételben szereplő ügyletek közül azok az ügyletek, ahol a kapott biztosíték teljesíti az (EU) 2015/61 felhatalmazáson alapuló rendelet 8. cikke szerinti operatív követelményeket.</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lastRenderedPageBreak/>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sz w:val="24"/>
              </w:rPr>
              <w:t>1.2.2.1.3. 2A. szintű biztosíték</w:t>
            </w:r>
          </w:p>
          <w:p w14:paraId="10C3F229" w14:textId="5AA898AD"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11. cikke szerint a 2A. szintű eszközök 11. cikkben említett valamely kategóriájába tartozó likvid eszköznek minősülnének.</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sz w:val="24"/>
              </w:rPr>
              <w:t>1.2.2.1.3.1.</w:t>
            </w:r>
            <w:r>
              <w:rPr>
                <w:rFonts w:ascii="Times New Roman" w:hAnsi="Times New Roman"/>
                <w:sz w:val="24"/>
              </w:rPr>
              <w:t xml:space="preserve"> </w:t>
            </w:r>
            <w:r>
              <w:rPr>
                <w:rFonts w:ascii="Times New Roman" w:hAnsi="Times New Roman"/>
                <w:b/>
                <w:sz w:val="24"/>
              </w:rPr>
              <w:t>ebből: a kapott biztosíték teljesíti az operatív követelményeket</w:t>
            </w:r>
          </w:p>
          <w:p w14:paraId="7E5A06E4" w14:textId="21AF0FCB"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Az 1.2.2.1.3 tételben szereplő ügyletek közül azok az ügyletek, ahol a kapott biztosíték teljesíti az (EU) 2015/61 felhatalmazáson alapuló rendelet 8. cikke szerinti operatív követelményeket.</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sz w:val="24"/>
              </w:rPr>
              <w:t>1.2.2.1.4. 2B. szintű eszközfedezetű (lakóingatlan vagy gépjármű) értékpapírokból álló biztosíték</w:t>
            </w:r>
          </w:p>
          <w:p w14:paraId="33B44521" w14:textId="2AB2A660"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13. cikke szerint a 2B. szintű eszközök 13. cikk (2) bekezdése g) pontjának i., ii. vagy iv. alpontjában említett valamely kategóriájába tartozó likvid eszköznek minősülnének.</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sz w:val="24"/>
              </w:rPr>
              <w:t>1.2.2.1.4.1.</w:t>
            </w:r>
            <w:r>
              <w:rPr>
                <w:rFonts w:ascii="Times New Roman" w:hAnsi="Times New Roman"/>
                <w:sz w:val="24"/>
              </w:rPr>
              <w:t xml:space="preserve"> </w:t>
            </w:r>
            <w:r>
              <w:rPr>
                <w:rFonts w:ascii="Times New Roman" w:hAnsi="Times New Roman"/>
                <w:b/>
                <w:sz w:val="24"/>
              </w:rPr>
              <w:t>ebből: a kapott biztosíték teljesíti az operatív követelményeket</w:t>
            </w:r>
          </w:p>
          <w:p w14:paraId="6E7D5832" w14:textId="748D1B6A"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Az 1.2.2.1.4 tételben szereplő ügyletek közül azok az ügyletek, ahol a kapott biztosíték teljesíti az (EU) 2015/61 felhatalmazáson alapuló rendelet 8. cikke szerinti operatív követelményeket.</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sz w:val="24"/>
              </w:rPr>
              <w:t>1.2.2.1.5. 2B. szintű magas minőségű fedezett kötvényekből álló biztosíték</w:t>
            </w:r>
          </w:p>
          <w:p w14:paraId="6196A3D5" w14:textId="2EFC5A67"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 xml:space="preserve">A legfeljebb 30 napos hátralévő futamidejű fedezett kölcsönügyletek és tőkepiac-vezérelt ügyletek, ha a partner nem központi bank, és ha az ügyletet olyan likvid eszközök fedezik, amelyek – függetlenül attól, hogy újra </w:t>
            </w:r>
            <w:r>
              <w:rPr>
                <w:rFonts w:ascii="Times New Roman" w:hAnsi="Times New Roman"/>
                <w:sz w:val="24"/>
              </w:rPr>
              <w:lastRenderedPageBreak/>
              <w:t>felhasználják-e azokat más ügyletben –, az (EU) 2015/61 felhatalmazáson alapuló rendelet 7. és 12. cikke szerint a 2B. szintű eszközök 12. cikk (1) bekezdésének e) pontjában említett kategóriájába tartozó likvid eszköznek minősülnének.</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lastRenderedPageBreak/>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sz w:val="24"/>
              </w:rPr>
              <w:t>1.2.2.1.5.1.</w:t>
            </w:r>
            <w:r>
              <w:rPr>
                <w:rFonts w:ascii="Times New Roman" w:hAnsi="Times New Roman"/>
                <w:sz w:val="24"/>
              </w:rPr>
              <w:t xml:space="preserve"> </w:t>
            </w:r>
            <w:r>
              <w:rPr>
                <w:rFonts w:ascii="Times New Roman" w:hAnsi="Times New Roman"/>
                <w:b/>
                <w:sz w:val="24"/>
              </w:rPr>
              <w:t>ebből: a kapott biztosíték teljesíti az operatív követelményeket</w:t>
            </w:r>
          </w:p>
          <w:p w14:paraId="6590FE79" w14:textId="6A57D929"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Az 1.2.2.1.5 tételben szereplő ügyletek közül azok az ügyletek, ahol a kapott biztosíték teljesíti az (EU) 2015/61 felhatalmazáson alapuló rendelet 8. cikke szerinti operatív követelményeket.</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sz w:val="24"/>
              </w:rPr>
              <w:t>1.2.2.1.6. 2B. szintű eszközfedezetű (vállalati vagy háztartási hitel) értékpapírokból álló biztosíték</w:t>
            </w:r>
          </w:p>
          <w:p w14:paraId="2F1CFA16" w14:textId="1509FDCF"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13. cikke szerint a 2B. szintű eszközök 13. cikk (2) bekezdése g) pontjának iii. vagy v. alpontjában említett valamely kategóriájába tartozó likvid eszköznek minősülnének.</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ebből: a kapott biztosíték teljesíti az operatív követelményeket</w:t>
            </w:r>
          </w:p>
          <w:p w14:paraId="7980AB98" w14:textId="5BB8893C"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Az 1.2.2.1.6 tételben szereplő ügyletek közül azok az ügyletek, ahol a kapott biztosíték teljesíti az (EU) 2015/61 felhatalmazáson alapuló rendelet 8. cikke szerinti operatív követelményeket.</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sz w:val="24"/>
              </w:rPr>
              <w:t>1.2.2.1.7. Az 1.2.2.1.4., 1.2.2.1.5. vagy 1.2.2.1.6. szakaszban figyelembe nem vett 2B. szintű biztosíték</w:t>
            </w:r>
          </w:p>
          <w:p w14:paraId="725CDF50" w14:textId="47C90764"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12. cikke szerint a 2B. szintű eszközök 12. cikk (1) bekezdésének b), c) vagy f) pontjában említett valamely kategóriájába tartozó likvid eszköznek minősülnének.</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sz w:val="24"/>
              </w:rPr>
              <w:t>1.2.2.1.7.1.</w:t>
            </w:r>
            <w:r>
              <w:rPr>
                <w:rFonts w:ascii="Times New Roman" w:hAnsi="Times New Roman"/>
                <w:sz w:val="24"/>
              </w:rPr>
              <w:t xml:space="preserve"> </w:t>
            </w:r>
            <w:r>
              <w:rPr>
                <w:rFonts w:ascii="Times New Roman" w:hAnsi="Times New Roman"/>
                <w:b/>
                <w:sz w:val="24"/>
              </w:rPr>
              <w:t>ebből: a kapott biztosíték teljesíti az operatív követelményeket</w:t>
            </w:r>
          </w:p>
          <w:p w14:paraId="07328C5B" w14:textId="438055C6"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lastRenderedPageBreak/>
              <w:t>Az 1.2.2.1.7 tételben szereplő ügyletek közül azok az ügyletek, ahol a kapott biztosíték teljesíti az (EU) 2015/61 felhatalmazáson alapuló rendelet 8. cikke szerinti operatív követelményeket.</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lastRenderedPageBreak/>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sz w:val="24"/>
              </w:rPr>
              <w:t>1.2.2.2. a biztosítékot rövid pozíció fedezésére használják</w:t>
            </w:r>
          </w:p>
          <w:p w14:paraId="39101CBB" w14:textId="41AEA676"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Legfeljebb 30 napos hátralévő futamidejű fedezett kölcsönügyletek és tőkepiac-vezérelt ügyletek, ha a partner nem központi bank, és ha az ügyletet olyan eszközök fedezik, amelyeket a 30. cikk (5) bekezdése második mondatának megfelelően rövid pozíció fedezésére használják. Ha bármely típusú biztosítékot rövid pozíció fedezésére használnak, azt itt kell feltüntetni, és nem a fenti sorok egyikében. Nem lehetséges a többszörös figyelembevétel.</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sz w:val="24"/>
              </w:rPr>
              <w:t>1.2.2.3. likvid eszköznek nem minősülő biztosíték</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0339. sorában a legfeljebb 30 napos hátralévő futamidejű fedezett kölcsönügyleteket és tőkepiac-vezérelt ügyleteket kell megadniuk, ha a partner nem központi bank, és ha a biztosíték nem minősül likvid eszköznek. A hitelintézeteknek itt a következőkről kell adatot szolgáltatniuk:</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0010., 0020. és 0030. oszlopban az említett ügyletekből esedékes pénzösszegek teljes összege, vagyis a nem likvid biztosítékkal rendelkező letéti hitelekből, a nem likvid tőke biztosítékkal rendelkező fedezett kölcsönügyletekből és tőkepiac-vezérelt ügyletekből és a bármely más nem likvid biztosítékkal rendelkező fedezett kölcsönügyletekből és tőkepiac-vezérelt ügyletekből esedékes pénzösszegek összege; valamint</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sz w:val="24"/>
              </w:rPr>
              <w:t>a 0140., 0150. és 0160. oszlopban az említett ügyletekből származó teljes beáramlás, vagyis a nem likvid biztosítékkal rendelkező letéti hitelekből, a nem likvid tőke biztosítékkal rendelkező fedezett kölcsönügyletekből és tőkepiac-vezérelt ügyletekből és a bármely más nem likvid biztosítékkal rendelkező fedezett kölcsönügyletekből és tőkepiac-vezérelt ügyletekből származó beáramlások összege;</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sz w:val="24"/>
              </w:rPr>
              <w:t>1.2.2.3.1. letéti hitelek: a biztosíték nem likvid</w:t>
            </w:r>
          </w:p>
          <w:p w14:paraId="3F467D84" w14:textId="5C511614"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c) pontja</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Nem likvid eszközökre nyújtott, legfeljebb 30 napos hátralévő futamidejű letéti hitelek, ha a partner nem központi bank, és ha a kapott eszközöket nem rövid pozíciók fedezésére használják az (EU) 2015/61 felhatalmazáson alapuló rendelet 32. cikke (3) bekezdésének c) pontjában meghatározottak szerint.</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sz w:val="24"/>
              </w:rPr>
              <w:t>1.2.2.3.2. a biztosíték nem likvid tőke</w:t>
            </w:r>
          </w:p>
          <w:p w14:paraId="1F04D6E8" w14:textId="4244E03C"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lastRenderedPageBreak/>
              <w:t>Legfeljebb 30 napos hátralévő futamidejű fedezett kölcsönügyletek és tőkepiac-vezérelt ügyletek, ha a partner nem központi bank, és ha az ügyletet nem likvid tőke fedezi.</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lastRenderedPageBreak/>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sz w:val="24"/>
              </w:rPr>
              <w:t>1.2.2.3.3. minden egyéb nem likvid biztosíték</w:t>
            </w:r>
          </w:p>
          <w:p w14:paraId="3E87F6CC" w14:textId="30080A2F" w:rsidR="007453EC" w:rsidRPr="000B6B22" w:rsidRDefault="000378A5">
            <w:pPr>
              <w:spacing w:before="0"/>
              <w:rPr>
                <w:rFonts w:ascii="Times New Roman" w:hAnsi="Times New Roman"/>
                <w:bCs/>
                <w:sz w:val="24"/>
              </w:rPr>
            </w:pPr>
            <w:r>
              <w:rPr>
                <w:rFonts w:ascii="Times New Roman" w:hAnsi="Times New Roman"/>
                <w:sz w:val="24"/>
              </w:rPr>
              <w:t>Az (EU) 2015/61 felhatalmazáson alapuló rendelet 32. cikke (3) bekezdésének b) pontja</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Legfeljebb 30 napos hátralévő futamidejű fedezett kölcsönügyletek és tőkepiac-vezérelt ügyletek, ha a partner központi bank, és ha az ügyletet az 1.2.2.3.1. vagy az 1.2.2.3.2. szakaszban még nem figyelembe vett nem likvid eszközök fedezik.</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sz w:val="24"/>
              </w:rPr>
              <w:t>1.3. Biztosítéki csereügylet beáramlásai összesen</w:t>
            </w:r>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t>A hitelintézeteknek itt a biztosítéki csereügyletekből eredő teljes beáramlás összegét kell megadniuk, a XXIV. melléklet C 75.01 táblájának számításai alapján.</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sz w:val="24"/>
              </w:rPr>
              <w:t>1.4. (Devizakiviteli-/behozatali korlátozásokat alkalmazó harmadik országokbeli ügyletekből eredő, vagy nem konvertibilis pénznemben denominált összes súlyozott beáramlás és összes súlyozott kiáramlás különbözete)</w:t>
            </w:r>
          </w:p>
          <w:p w14:paraId="5B749BFA" w14:textId="3F7B74A2" w:rsidR="007453EC" w:rsidRPr="000B6B22" w:rsidRDefault="007453EC">
            <w:pPr>
              <w:spacing w:before="0"/>
              <w:rPr>
                <w:rFonts w:ascii="Times New Roman" w:hAnsi="Times New Roman"/>
                <w:bCs/>
                <w:sz w:val="24"/>
              </w:rPr>
            </w:pPr>
            <w:r>
              <w:rPr>
                <w:rFonts w:ascii="Times New Roman" w:hAnsi="Times New Roman"/>
                <w:sz w:val="24"/>
              </w:rPr>
              <w:t>Az (EU) 2015/61 felhatalmazáson alapuló rendelet 32. cikkének (8) bekezdése</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Az intézményeknek az érintett 0140., 0150. és 0160. oszlopban kell megadniuk azon teljes súlyozott beáramlások összegét, amelyek devizakiviteli-/behozatali korlátozásokat alkalmazó harmadik országbeli ügyletekből erednek, vagy amelyek nem konvertibilis pénznemben denomináltak, levonva a XXIV. melléklet C 73.00 táblájában megadott azon teljes súlyozott kiáramlások összegét, amelyek devizakiviteli-/behozatali korlátozásokat alkalmazó harmadik országbeli ügyletekből erednek, vagy amelyek nem konvertibilis pénznemben denomináltak. Amennyiben ez az összeg negatív, az intézményeknek „0” számot kell feltüntetniük.</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sz w:val="24"/>
              </w:rPr>
              <w:t>1.5. (Kapcsolt szakosított hitelintézettől származó többletbeáramlás)</w:t>
            </w:r>
          </w:p>
          <w:p w14:paraId="56944145" w14:textId="7FE54F46" w:rsidR="007453EC" w:rsidRPr="000B6B22" w:rsidRDefault="00DD4C72">
            <w:pPr>
              <w:spacing w:before="0"/>
              <w:rPr>
                <w:rFonts w:ascii="Times New Roman" w:hAnsi="Times New Roman"/>
                <w:bCs/>
                <w:sz w:val="24"/>
              </w:rPr>
            </w:pPr>
            <w:r>
              <w:rPr>
                <w:rFonts w:ascii="Times New Roman" w:hAnsi="Times New Roman"/>
                <w:sz w:val="24"/>
              </w:rPr>
              <w:t>Az (EU) 2015/61 felhatalmazáson alapuló rendelet 2. cikke (3) bekezdésének e) pontja és 33. cikkének (6) bekezdése</w:t>
            </w:r>
          </w:p>
          <w:p w14:paraId="1098E357" w14:textId="6A8AC411" w:rsidR="007453EC" w:rsidRPr="000B6B22" w:rsidRDefault="007453EC">
            <w:pPr>
              <w:spacing w:before="0"/>
              <w:rPr>
                <w:rFonts w:ascii="Times New Roman" w:hAnsi="Times New Roman"/>
                <w:bCs/>
                <w:sz w:val="24"/>
              </w:rPr>
            </w:pPr>
            <w:r>
              <w:rPr>
                <w:rFonts w:ascii="Times New Roman" w:hAnsi="Times New Roman"/>
                <w:sz w:val="24"/>
              </w:rPr>
              <w:t>Az adatszolgáltatást konszolidált alapon teljesítő hitelintézeteknek az érintett 0140., 0150. és 0160. oszlopban kell megadniuk az (EU) 2015/61 felhatalmazáson alapuló rendelet 33. cikkének (3) és (4) bekezdésében említett szakosodott hitelintézettől származó azon beáramlások összegét, amelyek meghaladják az ugyanazon vállalkozástól eredő kiáramlások összegét.</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sz w:val="24"/>
              </w:rPr>
              <w:t>TÁJÉKOZTATÓ ADATOK</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sz w:val="24"/>
              </w:rPr>
              <w:t>2. Devizabeáramlások</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Ezt a tájékoztató adatot csak az adatszolgáltatás pénznemére vagy az adatszolgáltatás pénznemétől eltérő pénznemre vonatkozó, az (EU) 575/2013 rendelet 415. cikkének (2) bekezdése szerinti külön adatszolgáltatás esetén kell megadni.</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sz w:val="24"/>
              </w:rPr>
              <w:lastRenderedPageBreak/>
              <w:t>A hitelintézeteknek (az 1.1.9. szakaszban feltüntetett) származtatott ügyletekből eredő beáramlások azon részét kell megadniuk, amelyek a 30 napos időtartamon belül lejáró keresztdevizás csereügyletek, azonnali és határidős devizaügyletekből eredő vonatkozó devizanemben történő deviza-tőkeáramlásokhoz kapcsolódnak. A partner általi nettósítást csak az adott devizanemben lévő áramlásokra lehet alkalmazni.</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lastRenderedPageBreak/>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sz w:val="24"/>
              </w:rPr>
              <w:t>3. Csoporton vagy intézményvédelmi rendszeren belüli beáramlások</w:t>
            </w:r>
          </w:p>
          <w:p w14:paraId="4042A99D" w14:textId="33231E78" w:rsidR="007453EC" w:rsidRPr="000B6B22" w:rsidRDefault="007453EC">
            <w:pPr>
              <w:spacing w:before="0"/>
              <w:rPr>
                <w:rFonts w:ascii="Times New Roman" w:hAnsi="Times New Roman"/>
                <w:bCs/>
                <w:sz w:val="24"/>
              </w:rPr>
            </w:pPr>
            <w:r>
              <w:rPr>
                <w:rFonts w:ascii="Times New Roman" w:hAnsi="Times New Roman"/>
                <w:sz w:val="24"/>
              </w:rPr>
              <w:t>A hitelintézeteknek itt minden, az 1. szakaszban (az 1.1.10. szakasz kivételével) megadott ügyletet fel kell tüntetniük tájékoztató adatként,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p w14:paraId="5871C80C" w14:textId="7FD03E60"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0460. sorában a következőket kell megadniuk:</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a 0010., 0020. és 0030. oszlopban a csoporton belüli vagy intézményvédelmi rendszeren belüli lehívható esedékes pénzösszegek/maximális összegek teljes összege, a csoporton belüli vagy intézményvédelmi rendszeren belüli lehívható esedékes pénzösszegek/maximális összegek ügylettípusonkénti és partnerenkénti összegeként; valamint</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sz w:val="24"/>
              </w:rPr>
              <w:t></w:t>
            </w:r>
            <w:r>
              <w:rPr>
                <w:rFonts w:ascii="Times New Roman" w:hAnsi="Times New Roman"/>
                <w:sz w:val="24"/>
              </w:rPr>
              <w:tab/>
              <w:t>a 0140., 0150. és 0160. oszlopban a csoporton belüli vagy intézményvédelmi rendszeren belüli beáramlások teljes összege, a csoporton belüli vagy intézményvédelmi rendszeren belüli beáramlások ügylettípusonkénti és partnerenkénti összegeként.</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sz w:val="24"/>
              </w:rPr>
              <w:t>3.1. Nem pénzügyi (és nem központi bank) ügyfelektől esedékes pénzösszegek</w:t>
            </w:r>
          </w:p>
          <w:p w14:paraId="7E6F1F99" w14:textId="77777777" w:rsidR="007453EC" w:rsidRPr="000B6B22" w:rsidRDefault="007453EC">
            <w:pPr>
              <w:spacing w:before="0"/>
              <w:rPr>
                <w:rFonts w:ascii="Times New Roman" w:hAnsi="Times New Roman"/>
                <w:b/>
                <w:bCs/>
                <w:sz w:val="24"/>
              </w:rPr>
            </w:pPr>
            <w:r>
              <w:rPr>
                <w:rFonts w:ascii="Times New Roman" w:hAnsi="Times New Roman"/>
                <w:sz w:val="24"/>
              </w:rPr>
              <w:t>A hitelintézeteknek itt minden, az 1.1.1. szakasz alatt megadott nem pénzügyi ügyfelektől esedékes pénzösszeget fel kell tüntetniük,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hitelintézete vagy társult tagja.</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sz w:val="24"/>
              </w:rPr>
              <w:t>3.2. Pénzügyi ügyfelektől esedékes pénzösszegek</w:t>
            </w:r>
          </w:p>
          <w:p w14:paraId="1E3892C8" w14:textId="77777777" w:rsidR="007453EC" w:rsidRPr="000B6B22" w:rsidRDefault="007453EC">
            <w:pPr>
              <w:spacing w:before="0"/>
              <w:rPr>
                <w:rFonts w:ascii="Times New Roman" w:hAnsi="Times New Roman"/>
                <w:b/>
                <w:bCs/>
                <w:sz w:val="24"/>
              </w:rPr>
            </w:pPr>
            <w:r>
              <w:rPr>
                <w:rFonts w:ascii="Times New Roman" w:hAnsi="Times New Roman"/>
                <w:sz w:val="24"/>
              </w:rPr>
              <w:t xml:space="preserve">A hitelintézeteknek itt minden, az 1.1.2. szakasz alatt megadott pénzügyi ügyfelektől esedékes pénzösszeget fel kell tüntetniük,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w:t>
            </w:r>
            <w:r>
              <w:rPr>
                <w:rFonts w:ascii="Times New Roman" w:hAnsi="Times New Roman"/>
                <w:sz w:val="24"/>
              </w:rPr>
              <w:lastRenderedPageBreak/>
              <w:t>575/2013/EU rendelet 10. cikkében említett hálózat vagy szövetkezeti csoport központi intézménye vagy társult tagja.</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lastRenderedPageBreak/>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sz w:val="24"/>
              </w:rPr>
              <w:t>3.3. Fedezett ügyletek</w:t>
            </w:r>
          </w:p>
          <w:p w14:paraId="57D0789B" w14:textId="3E2F0A5A" w:rsidR="007453EC" w:rsidRPr="000B6B22" w:rsidRDefault="007453EC">
            <w:pPr>
              <w:spacing w:before="0"/>
              <w:rPr>
                <w:rFonts w:ascii="Times New Roman" w:hAnsi="Times New Roman"/>
                <w:b/>
                <w:bCs/>
                <w:sz w:val="24"/>
              </w:rPr>
            </w:pPr>
            <w:r>
              <w:rPr>
                <w:rFonts w:ascii="Times New Roman" w:hAnsi="Times New Roman"/>
                <w:sz w:val="24"/>
              </w:rPr>
              <w:t>A hitelintézeteknek itt minden, fedezett kölcsönügyletből és tőkepiac-vezérelt ügyletből esedékes pénzösszeget és az 1.2. szakaszban megadott kapott biztosítékok teljes piaci értékét fel kell tüntetniük,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sz w:val="24"/>
              </w:rPr>
              <w:t>3.4. 30 napon belül lejáró értékpapírokból esedékes pénzösszegek</w:t>
            </w:r>
          </w:p>
          <w:p w14:paraId="02710816" w14:textId="77777777" w:rsidR="007453EC" w:rsidRPr="000B6B22" w:rsidRDefault="007453EC">
            <w:pPr>
              <w:spacing w:before="0"/>
              <w:rPr>
                <w:rFonts w:ascii="Times New Roman" w:hAnsi="Times New Roman"/>
                <w:b/>
                <w:bCs/>
                <w:sz w:val="24"/>
              </w:rPr>
            </w:pPr>
            <w:r>
              <w:rPr>
                <w:rFonts w:ascii="Times New Roman" w:hAnsi="Times New Roman"/>
                <w:sz w:val="24"/>
              </w:rPr>
              <w:t>A hitelintézeteknek itt minden, az 1.1.5. szakaszban megadott 30 napon belül lejáró értékpapírokból esedékes pénzösszeget fel kell tüntetniük, ha a kibocsátó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sz w:val="24"/>
              </w:rPr>
              <w:t>3.5. Csoporton vagy intézményvédelmi rendszeren belüli minden egyéb beáramlás</w:t>
            </w:r>
          </w:p>
          <w:p w14:paraId="4AB804A2" w14:textId="251BA725" w:rsidR="007453EC" w:rsidRPr="000B6B22" w:rsidRDefault="007453EC">
            <w:pPr>
              <w:spacing w:before="0"/>
              <w:rPr>
                <w:rFonts w:ascii="Times New Roman" w:hAnsi="Times New Roman"/>
                <w:b/>
                <w:bCs/>
                <w:sz w:val="24"/>
              </w:rPr>
            </w:pPr>
            <w:r>
              <w:rPr>
                <w:rFonts w:ascii="Times New Roman" w:hAnsi="Times New Roman"/>
                <w:sz w:val="24"/>
              </w:rPr>
              <w:t>A hitelintézeteknek itt minden egyéb, az 1.1.3–1.1.11. szakaszban (az 1.1.5 és az 1.1.10. szakasz kivételével) megadott csoporton vagy intézményvédelmi rendszeren belüli beáramlást fel kell tüntetniük,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sz w:val="24"/>
              </w:rPr>
              <w:t>4. A 17. cikk (2) és (3) bekezdése alól mentesített fedezett kölcsönügyletek</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A hitelintézeteknek itt a legfeljebb 30 napos hátralévő futamidejű fedezett kölcsönügyleteket kell megadniuk, ha a partner központi bank, és ha az érintett ügyletek az (EU) 2015/61 felhatalmazáson alapuló rendelet 17. cikkének (4) bekezdése értelmében mentesülnek a 17. cikk (2) és (3) bekezdésének alkalmazása alól.</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sz w:val="24"/>
              </w:rPr>
              <w:t>4.1. ebből: 1. szintű fedezet a rendkívül magas minőségű fedezett kötvények kivételével</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 xml:space="preserve">A hitelintézeteknek itt a 30 naptári napon belül lejáró fedezett kölcsönügyleteket kell megadniuk, ha a partner központi bank, a kapott biztosíték 1. szintű biztosíték (a rendkívül magas minőségű fedezett </w:t>
            </w:r>
            <w:r>
              <w:rPr>
                <w:rFonts w:ascii="Times New Roman" w:hAnsi="Times New Roman"/>
                <w:sz w:val="24"/>
              </w:rPr>
              <w:lastRenderedPageBreak/>
              <w:t>kötvények kivételével) és teljesíti az (EU) 2015/61 felhatalmazáson alapuló rendelet 8. cikkében meghatározott operatív követelményeket, és ha az érintett ügyletek az (EU) 2015/61 felhatalmazáson alapuló rendelet 17. cikkének (4) bekezdése értelmében mentesülnek a 17. cikk (2) és (3) bekezdésének alkalmazása alól.</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lastRenderedPageBreak/>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sz w:val="24"/>
              </w:rPr>
              <w:t>4.2. ebből: 1. szintű fedezet, amely rendkívül magas minőségű fedezett kötvényekből áll</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A hitelintézeteknek itt a 30 naptári napon belül lejáró fedezett kölcsönügyleteket kell megadniuk, ha a partner központi bank, a kapott biztosíték 1. szintű biztosíték rendkívül magas minőségű fedezett kötvény és teljesíti az (EU) 2015/61 felhatalmazáson alapuló rendelet 8. cikkében meghatározott operatív követelményeket, és ha az érintett ügyletek az (EU) 2015/61 felhatalmazáson alapuló rendelet 17. cikkének (4) bekezdése értelmében mentesülnek a 17. cikk (2) és (3) bekezdésének alkalmazása alól.</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sz w:val="24"/>
              </w:rPr>
              <w:t>4.3. ebből: 2A. szintű fedezet</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A hitelintézeteknek itt a 30 naptári napon belül lejáró fedezett kölcsönügyleteket kell megadniuk, ha a partner központi bank, a kapott biztosíték 2A. szintű biztosíték és teljesíti az (EU) 2015/61 felhatalmazáson alapuló rendelet 8. cikkében meghatározott operatív követelményeket, és ha az érintett ügyletek az (EU) 2015/61 felhatalmazáson alapuló rendelet 17. cikkének (4) bekezdése értelmében mentesülnek a 17. cikk (2) és (3) bekezdésének alkalmazása alól.</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sz w:val="24"/>
              </w:rPr>
              <w:t>4.4. ebből: 2B. szintű fedezet</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A hitelintézeteknek itt a 30 naptári napon belül lejáró fedezett kölcsönügyleteket kell megadniuk, ha a partner központi bank, a kapott biztosíték 2B. szintű biztosíték és teljesíti az (EU) 2015/61 felhatalmazáson alapuló rendelet 8. cikkében meghatározott operatív követelményeket, és ha az érintett ügyletek az (EU) 2015/61 felhatalmazáson alapuló rendelet 17. cikkének (4) bekezdése értelmében mentesülnek a 17. cikk (2) és (3) bekezdésének alkalmazása alól.</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sz w:val="24"/>
              </w:rPr>
              <w:t>4.5. ebből: nem likvid eszközökből álló fedezet</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A hitelintézeteknek itt a 30 naptári napon belül lejáró fedezett kölcsönügyleteket kell megadniuk, ha a partner központi bank, a kapott biztosíték nem likvid biztosíték, és ha az érintett ügyletek az (EU) 2015/61 felhatalmazáson alapuló rendelet 17. cikkének (4) bekezdése értelmében mentesülnek a 17. cikk (2) és (3) bekezdésének alkalmazása alól.</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4. RÉSZ: BIZTOSÍTÉKI CSEREÜGYLETEK</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rPr>
          <w:rFonts w:ascii="Times New Roman" w:hAnsi="Times New Roman"/>
          <w:sz w:val="24"/>
        </w:rPr>
        <w:tab/>
        <w:t>Biztosítéki csereügyletek</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rPr>
          <w:rFonts w:ascii="Times New Roman" w:hAnsi="Times New Roman"/>
          <w:sz w:val="24"/>
        </w:rPr>
        <w:tab/>
        <w:t>Általános megjegyzések</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rPr>
        <w:t>Minden olyan a következő 30 naptári napon belül lejáró ügyletet, amelyben nem készpénz eszközöket cserélnek más nem készpénz eszközökre, ebben a táblában kell feltüntetni. Szürke szín jelzi azokat a tételeket, amelyeket az intézményeknek nem kell kitölteniük.</w:t>
      </w:r>
    </w:p>
    <w:p w14:paraId="15C44248" w14:textId="2487973B" w:rsidR="00F71050" w:rsidRPr="000B6B22" w:rsidRDefault="00F71050">
      <w:pPr>
        <w:pStyle w:val="InstructionsText2"/>
        <w:spacing w:after="120"/>
        <w:rPr>
          <w:rFonts w:eastAsia="PMingLiU" w:cs="Times New Roman"/>
          <w:sz w:val="24"/>
          <w:szCs w:val="24"/>
        </w:rPr>
      </w:pPr>
      <w:r>
        <w:rPr>
          <w:sz w:val="24"/>
        </w:rPr>
        <w:t>A következő 30 naptári napon belül lejáró biztosítéki csereügyletek kiáramláshoz vezetnek, ha a kölcsönvett eszközre az (EU) 2015/61 felhatalmazáson alapuló rendelet 2. fejezete szerint alacsonyabb haircut alkalmazandó, mint a kölcsönadott eszközre. A kiáramlást úgy kell kiszámítani, hogy a kölcsönvett eszköz piaci értékét meg kell szorozni a kölcsönadott eszközre vonatkozó kiáramlási arány és a következő 30 naptári napon belül lejáró fedezett finanszírozási ügyletekben a kölcsönvett eszközre vonatkozó kiáramlási arány különbségével. Ha a partner a hitelintézet hazai központi bankja, a kölcsönvett eszköz piaci értékére alkalmazandó kiáramlási arány 0 %. A hitelintézet belföldi központi bankjának jelentése az (EU) 2015/61 felhatalmazáson alapuló rendelet 28. cikkének (8) bekezdésében szereplő meghatározást követi.</w:t>
      </w:r>
    </w:p>
    <w:p w14:paraId="252F77C9" w14:textId="4C9BCC25" w:rsidR="00F71050" w:rsidRPr="000B6B22" w:rsidRDefault="00F71050">
      <w:pPr>
        <w:pStyle w:val="InstructionsText2"/>
        <w:spacing w:after="120"/>
        <w:rPr>
          <w:rFonts w:eastAsia="PMingLiU" w:cs="Times New Roman"/>
          <w:sz w:val="24"/>
          <w:szCs w:val="24"/>
        </w:rPr>
      </w:pPr>
      <w:r>
        <w:rPr>
          <w:sz w:val="24"/>
        </w:rPr>
        <w:t>A következő 30 naptári napon belül lejáró biztosítéki csereügyletek beáramlást eredményeznek, ha az (EU) 2015/61 felhatalmazáson alapuló rendelet 2. fejezete értelmében a kölcsönadott eszközre alacsonyabb haircut vonatkozik, mint a kölcsönvett eszközre. A beáramlást úgy kell kiszámítani, hogy a kölcsönadott eszköz piaci értékét meg kell szorozni a kölcsönvett eszközre vonatkozó kiáramlási arány és a következő 30 naptári napon belül lejáró fedezett finanszírozási ügyletekben a kölcsönadott eszközre vonatkozó beáramlási arány különbségével. Ha a kapott biztosítékot olyan rövid pozíciók fedezésére használják, amelyek 30 naptári napon túl meghosszabbíthatók, beáramlás nem ismerhető el.</w:t>
      </w:r>
    </w:p>
    <w:p w14:paraId="29131344" w14:textId="4A439145" w:rsidR="00F71050" w:rsidRPr="000B6B22" w:rsidRDefault="00F71050">
      <w:pPr>
        <w:pStyle w:val="InstructionsText2"/>
        <w:spacing w:after="120"/>
        <w:rPr>
          <w:rFonts w:eastAsia="PMingLiU" w:cs="Times New Roman"/>
          <w:sz w:val="24"/>
          <w:szCs w:val="24"/>
        </w:rPr>
      </w:pPr>
      <w:r>
        <w:rPr>
          <w:sz w:val="24"/>
        </w:rPr>
        <w:t>A likvid eszközök likviditási értékét az (EU) 2015/61 felhatalmazáson alapuló rendelet 9. cikke szerinti kell számítani.</w:t>
      </w:r>
    </w:p>
    <w:p w14:paraId="5BD6E8D9" w14:textId="09E78D86" w:rsidR="00F71050" w:rsidRPr="000B6B22" w:rsidRDefault="00F71050">
      <w:pPr>
        <w:pStyle w:val="InstructionsText2"/>
        <w:spacing w:after="120"/>
        <w:rPr>
          <w:rFonts w:eastAsia="PMingLiU" w:cs="Times New Roman"/>
          <w:sz w:val="24"/>
          <w:szCs w:val="24"/>
        </w:rPr>
      </w:pPr>
      <w:r>
        <w:rPr>
          <w:sz w:val="24"/>
        </w:rPr>
        <w:t>Minden biztosítéki csereügyletet egyedileg kell értékelni és az áramlást vagy kiáramlásként vagy beáramlásként (ügyletenként) kell feltüntetni a megfelelő sorban. Ha egy ügylet több típusú biztosítékot foglal magában (például biztosítékkosár), akkor a feltüntetéskor szét kell bontani a tábla sorainak megfelelő részekre, és részenként kell értékelni. A biztosítékkosarakat vagy -halmazokat érintő, következő 30 naptári napon belül lejáró csereügyletekkel összefüggésben a kölcsönadott nem készpénzes eszközöket egyedileg kell hozzárendelni a kölcsönvett nem készpénzes eszközökhöz, az (EU) 2015/61 felhatalmazáson alapuló rendelet II. címének 2. fejezetében meghatározott likvideszköz-kategóriáknak megfelelően, a legkevésbé likvid kombinációtól kezdve (kölcsönadott nem likvid nem készpénzes eszközök, kölcsönvett nem likvid nem készpénzes eszközök). Az adott kombináción belüli többletbiztosítékot át kell helyezni a következő magasabb kategóriába, hogy az érintett kombinációk a leglikvidebb kombinációig teljes mértékben illeszkedjenek egymáshoz. Az esetleges többletbiztosítékot ezután a leglikvidebb kombinációban kell figyelembe venni.</w:t>
      </w:r>
    </w:p>
    <w:p w14:paraId="5EAFC22B" w14:textId="35C61A17" w:rsidR="00F71050" w:rsidRPr="000B6B22" w:rsidRDefault="00F71050">
      <w:pPr>
        <w:pStyle w:val="InstructionsText2"/>
        <w:spacing w:after="120"/>
        <w:rPr>
          <w:rFonts w:eastAsia="PMingLiU" w:cs="Times New Roman"/>
          <w:sz w:val="24"/>
          <w:szCs w:val="24"/>
        </w:rPr>
      </w:pPr>
      <w:r>
        <w:rPr>
          <w:sz w:val="24"/>
        </w:rPr>
        <w:lastRenderedPageBreak/>
        <w:t>A KBF-ek részvényeit vagy befektetési jegyeit érintő biztosítéki csereügyleteket úgy kell feltüntetni, mintha az ügyletek a KBF mögöttes eszközeire vonatkoznának. A KBF-ek részvényeire vagy befektetési jegyeire alkalmazott különböző haircutoknak tükröződniük kell a megadandó érintett kiáramlási vagy beáramlási arányban.</w:t>
      </w:r>
    </w:p>
    <w:p w14:paraId="17B8D6B2" w14:textId="132D07E7" w:rsidR="00F71050" w:rsidRPr="000B6B22" w:rsidRDefault="00F71050">
      <w:pPr>
        <w:pStyle w:val="InstructionsText2"/>
        <w:spacing w:after="120"/>
        <w:rPr>
          <w:rFonts w:eastAsia="PMingLiU" w:cs="Times New Roman"/>
          <w:sz w:val="24"/>
          <w:szCs w:val="24"/>
        </w:rPr>
      </w:pPr>
      <w:r>
        <w:rPr>
          <w:sz w:val="24"/>
        </w:rPr>
        <w:t>A hitelintézetek az 575/2013/EU rendelet 415. cikkének (2) bekezdésével összhangban a megfelelő devizanemben szolgáltatnak adatot a táblában. Ilyen esetben a megadott egyenlegeknek csak azokra kell kiterjedniük, amelyek az érintett devizanemben denomináltak, annak biztosítása érdekében, hogy megfelelően tükröződjenek a devizanem-eltérések. Ez azzal járhat, hogy az érintett devizanemre vonatkozó táblában csak az ügylet egyik oldala kerül feltüntetésre, a likviditási többletértékre gyakorolt megfelelő hatással.</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Külön megjegyzések</w:t>
      </w:r>
    </w:p>
    <w:p w14:paraId="13FCD761" w14:textId="6F946856" w:rsidR="00F71050" w:rsidRPr="000B6B22" w:rsidRDefault="00F71050">
      <w:pPr>
        <w:pStyle w:val="InstructionsText2"/>
        <w:spacing w:after="120"/>
        <w:rPr>
          <w:rFonts w:eastAsia="PMingLiU" w:cs="Times New Roman"/>
          <w:sz w:val="24"/>
          <w:szCs w:val="24"/>
        </w:rPr>
      </w:pPr>
      <w:r>
        <w:rPr>
          <w:sz w:val="24"/>
        </w:rPr>
        <w:t>A beáramlások kiszámításához a biztosítéki csereügyleteket attól függetlenül fel kell tüntetni, hogy az érintett mögöttes biztosíték teljesíti-e az (EU) 2015/61 felhatalmazáson alapuló rendelet 8. cikkében előírt operatív követelményeket, vagy teljesítené-e azokat, ha nem használnák az ügylet fedezésére. Továbbá annak érdekében, hogy az (EU) 2015/61 felhatalmazáson alapuló rendelet 17. cikkének (2) bekezdése szerint ki lehessen számítani a likvid eszközök kiigazított állományát, a hitelintézeteknek külön kell adatot szolgáltatniuk azokról az ügyletekről is, amelyeknél a biztosíték legalább egyik oldala teljesíti az (EU) 2015/61 felhatalmazáson alapuló rendelet 8. cikkében előírt operatív követelményeket is.</w:t>
      </w:r>
    </w:p>
    <w:p w14:paraId="65DF558A" w14:textId="5BC1B3A1" w:rsidR="00F71050" w:rsidRPr="000B6B22" w:rsidRDefault="00F71050">
      <w:pPr>
        <w:pStyle w:val="InstructionsText2"/>
        <w:spacing w:after="120"/>
        <w:rPr>
          <w:rFonts w:eastAsia="PMingLiU" w:cs="Times New Roman"/>
          <w:sz w:val="24"/>
          <w:szCs w:val="24"/>
        </w:rPr>
      </w:pPr>
      <w:r>
        <w:rPr>
          <w:sz w:val="24"/>
        </w:rPr>
        <w:t>Ha az intézmény külföldi devizában lévő részvényeinek, vagy külföldi devizában lévő központi kormányzati vagy banki eszközeinek, vagy hazai devizában lévő központi kormányzati vagy központi banki eszközeinek csak egy részét ismerheti el magas minőségű likvid eszközei között, akkor csak az elismerhető részt kell feltüntetni az (EU) 2015/61 felhatalmazáson alapuló rendelet 12. cikke (1) bekezdése c) pontja ii. alpontjának és 10. cikke (1) bekezdése d) pontjának megfelelő 1., 2A. és 2B. szintű eszközökre vonatkozó sorokban. Ha az adott eszközt biztosítékként használják, de olyan összegben, amely a likvid eszközökön belül elismerhető részt meghaladja, a többletösszeget a nem likvid eszközökre vonatkozó szakaszban kell feltüntetni.</w:t>
      </w:r>
    </w:p>
    <w:p w14:paraId="43E17CE7" w14:textId="105C6179" w:rsidR="00F71050" w:rsidRPr="000B6B22" w:rsidRDefault="00F71050">
      <w:pPr>
        <w:pStyle w:val="InstructionsText2"/>
        <w:spacing w:after="120"/>
        <w:rPr>
          <w:rFonts w:eastAsia="PMingLiU" w:cs="Times New Roman"/>
          <w:sz w:val="24"/>
          <w:szCs w:val="24"/>
        </w:rPr>
      </w:pPr>
      <w:r>
        <w:rPr>
          <w:sz w:val="24"/>
        </w:rPr>
        <w:t>A 2A. szintű eszközöket magában foglaló biztosítéki csereügyleteket a megfelelő 2A. szintű eszközökre vonatkozó sorban kell feltüntetni, akkor is, ha az alternatív likviditási megközelítést követik (vagyis ne helyezzék át a 2A. szintű eszközöket az 1. szintű eszközökhöz a biztosítéki csereügyletekre vonatkozó adatszolgáltatás során).</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rPr>
          <w:rFonts w:ascii="Times New Roman" w:hAnsi="Times New Roman"/>
          <w:sz w:val="24"/>
        </w:rPr>
        <w:tab/>
        <w:t>A biztosítéki csereügyletekre vonatkozó altábla</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rPr>
          <w:rFonts w:ascii="Times New Roman" w:hAnsi="Times New Roman"/>
          <w:sz w:val="24"/>
        </w:rPr>
        <w:tab/>
        <w:t>A tábla egyes oszlopaira vonatkozó útmutató</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Oszlop</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Jogszabályi hivatkozások és útmutató</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Kölcsönadott biztosíték piaci értéke</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sz w:val="24"/>
              </w:rPr>
              <w:t xml:space="preserve">A kölcsönadott biztosíték piaci értékét a 0010. oszlopban kell feltüntetni. A piaci érték az aktuális piaci értéket tükrözi, haircut nélkül, a kapcsolódó fedezeti ügyletek lezárásából eredő áramlások levonásával, az (EU) </w:t>
            </w:r>
            <w:r>
              <w:rPr>
                <w:rFonts w:ascii="Times New Roman" w:hAnsi="Times New Roman"/>
                <w:sz w:val="24"/>
              </w:rPr>
              <w:lastRenderedPageBreak/>
              <w:t>2015/61 felhatalmazáson alapuló bizottsági rendelet 8. cikke (5) bekezdésének megfelelően.</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Kölcsönadott biztosíték likviditási értéke</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A kölcsönadott biztosíték likviditási értékét a 0020. oszlopban kell feltüntetni. Likvid eszközök esetében a likviditási érték az eszköz haircuttal csökkentett értékét tükrözi.</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Kölcsönvett biztosíték piaci értéke</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A kölcsönvett biztosíték piaci értékét a 0030. oszlopban kell feltüntetni. A piaci érték az aktuális piaci értéket tükrözi, haircut nélkül, a kapcsolódó fedezeti ügyletek lezárásából eredő áramlások levonásával, az (EU) 2015/61 felhatalmazáson alapuló bizottsági rendelet 8. cikke (5) bekezdésének megfelelően.</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Kölcsönvett biztosíték likviditási értéke</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A kölcsönvett biztosíték likviditási értékét a 0040. oszlopban kell feltüntetni. Likvid eszközök esetében a likviditási érték az eszköz haircuttal csökkentett értékét tükrözi.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Standard súly</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Az (EU) 2015/61 felhatalmazáson alapuló rendelet 28. és 32. cikke</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A 0050. oszlopban szereplő standard súlyok az (EU) 2015/61 felhatalmazáson alapuló rendeletben alapértelmezés szerint meghatározottak, és itt csak tájékoztatásul szerepelnek.</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Alkalmazandó súly</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Az (EU) 2015/61 felhatalmazáson alapuló rendelet 28. és 32. cikke</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Az alkalmazandó súlyok az (EU) 2015/61 felhatalmazáson alapuló rendelet 28. és 32. cikkében meghatározott súlyok. Az alkalmazandó súlyok súlyozott átlagértékeket eredményezhetnek, és feltüntetésük tizedes rendszerben történik (azaz 1,00 a 100 százalékos alkalmazandó súly esetében, vagy 0,50 az 50 százalékos alkalmazandó súly esetében). Az alkalmazandó súlyok tükrözhetnek többek között vállalatspecifikus vagy nemzeti megfontolásokat is.</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Kiáramlások</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 hitelintézeteknek itt kell megadniuk a kiáramlásokat. Kiszámítása a XXIV. mellékletben található C75.01. tábla 0060. és 0030. oszlopának összeszorzásával történik.</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 beáramlások 75 %-os felső korlátja alá tartozó beáramlások</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 hitelintézeteknek itt a beáramlások 75 %-os felső korlátja alá tartozó ügyletek beáramlásait kell megadniuk. A beáramlások kiszámítása a XXIV. mellékletben található C75.01. tábla 0060. és 0010. oszlopának összeszorzásával történik.</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 beáramlások 90 %-os felső korlátja alá tartozó beáramlások</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A hitelintézeteknek itt a beáramlások 90 %-os felső korlátja alá tartozó ügyletek beáramlásait kell megadniuk. A beáramlások kiszámítása a </w:t>
            </w:r>
            <w:r>
              <w:rPr>
                <w:rFonts w:ascii="Times New Roman" w:hAnsi="Times New Roman"/>
                <w:sz w:val="24"/>
              </w:rPr>
              <w:lastRenderedPageBreak/>
              <w:t>XXIV. mellékletben található C75.01. tábla 0060. és 0010. oszlopának összeszorzásával történik.</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 beáramlások felső korlátja alól mentesített beáramlások</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 hitelintézeteknek itt a beáramlások felső korlátja alól mentesített ügyletek beáramlásait kell megadniuk. A beáramlások kiszámítása a XXIV. mellékletben található C75.01. tábla 0060. és 0010. oszlopának összeszorzásával történik.</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rPr>
          <w:rFonts w:ascii="Times New Roman" w:hAnsi="Times New Roman"/>
          <w:sz w:val="24"/>
        </w:rPr>
        <w:tab/>
        <w:t>A tábla egyes soraira vonatkozó útmutató</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Sor</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Jogszabályi hivatkozások és útmutató</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 ÖSSZES BIZTOSÍTÉKI CSEREÜGYLET (a partner központi bank)</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Az (EU) 2015/61 felhatalmazáson alapuló rendelet 28. cikkének (4) bekezdése és 32. cikkének (3) bekezdése</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A hitelintézeteknek az érintett oszlopokban a biztosítéki csereügyletek teljes értékét kell feltüntetniük.</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 Azon ügyletek összértéke, amelyekben 1. szintű eszközöket (a rendkívül magas minőségű fedezett kötvények kivételével) adnak kölcsön és a következő biztosítékokat veszik kölcsön:</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Az (EU) 2015/61 felhatalmazáson alapuló rendelet 28. cikkének (4) bekezdése és 32. cikkének (3) bekezdése</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minden érintett oszlopban a biztosítéki csereügyletek teljes értékét kell feltüntetniük olyan ügyletekre vonatkozóan, amelyekben 1. szintű eszközöket (a rendkívül magas minőségű fedezett kötvények kivételével) adnak kölcsön.</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1.1.1. 1. szintű eszközök (a rendkívül magas minőségű fedezett kötvények kivételével)</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Olyan ügyletek, amelyekben az intézmény a rendkívül magas minőségű fedezett kötvények kivételével 1. szintű eszközöket (kölcsönadott) cserél rendkívül magas minőségű fedezett kötvények kivételével 1. szintű eszközökre (kölcsönvett).</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sz w:val="24"/>
              </w:rPr>
              <w:t>Ebből: a cserélt biztosíték teljesíti az operatív követelményeket</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Az 1.1.1. tételben szereplő ügyletek közül a hitelintézetek adatot szolgáltatnak a következőkről:</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1.1.2. 1. szintű rendkívül magas minőségű fedezett kötvények</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Olyan ügyletek, amelyekben az intézmény a rendkívül magas minőségű fedezett kötvények kivételével 1. szintű eszközöket (kölcsönadott) cserél 1. szintű rendkívül magas minőségű fedezett kötvényekre (kölcsönvett).</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1.1.2.1. Ebből: a cserélt biztosíték teljesíti az operatív követelményeket</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Az 1.1.2. tételben szereplő ügyletek közül a hitelintézetek adatot szolgáltatnak a következőkről:</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1.1.3. 2A. szintű eszközök</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a rendkívül magas minőségű fedezett kötvények kivételével 1. szintű eszközöket (kölcsönadott) cserél 2A. szintű eszközökre (kölcsönvett).</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1.1.3.1. Ebből: a cserélt biztosíték teljesíti az operatív követelményeket</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Az 1.1.3. tételben szereplő ügyletek közül a hitelintézetek adatot szolgáltatnak a következőkről:</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1.1.4. 2B. szintű eszközfedezetű értékpapír (lakóingatlan vagy gépjármű, 1. hitelminőségi besorolás)</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a rendkívül magas minőségű fedezett kötvények kivételével 1. szintű eszközöket (kölcsönadott) cserél 2B. szintű eszközfedezetű értékpapírokra (lakóingatlan vagy gépjármű, 1. hitelminőségi besorolás) (kölcsönvett).</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1.1.4.1. Ebből: a cserélt biztosíték teljesíti az operatív követelményeket</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Az 1.1.4. tételben szereplő ügyletek közül a hitelintézetek adatot szolgáltatnak a következőkről:</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1.1.5. 2B. szintű magas minőségű fedezett kötvények</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Olyan ügyletek, amelyekben az intézmény a rendkívül magas minőségű fedezett kötvények kivételével 1. szintű eszközöket (kölcsönadott) cserél 2B. szintű magas minőségű fedezett kötvényekre (kölcsönvett).</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1.1.5.1. Ebből: a cserélt biztosíték teljesíti az operatív követelményeket</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Az 1.1.5. tételben szereplő ügyletek közül a hitelintézetek adatot szolgáltatnak a következőkről:</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1.1.6. 2B. szintű eszközfedezetű értékpapír (vállalati vagy háztartási hitel, tagállam, 1. hitelminőségi besorolás)</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a rendkívül magas minőségű fedezett kötvények kivételével 1. szintű eszközöket (kölcsönadott) cserél 2B. szintű eszközfedezetű értékpapírokra (vállalati vagy háztartási hitel, tagállam, 1. hitelminőségi besorolás) (kölcsönvett)</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1.1.6.1. Ebből: a cserélt biztosíték teljesíti az operatív követelményeket</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Az 1.1.6. tételben szereplő ügyletek közül a hitelintézetek adatot szolgáltatnak a következőkről:</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1.1.7. Egyéb 2B. szint</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a rendkívül magas minőségű fedezett kötvények kivételével 1. szintű eszközöket (kölcsönadott) cserél egyéb 2B. szintű eszközökre (kölcsönvett)</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1.1.7.1. Ebből: a cserélt biztosíték teljesíti az operatív követelményeket</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Az 1.1.7. tételben szereplő ügyletek közül a hitelintézetek adatot szolgáltatnak a következőkről:</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1.1.8. Nem likvid eszközök</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Olyan ügyletek, amelyekben az intézmény a rendkívül magas minőségű fedezett kötvények kivételével 1. szintű eszközöket (kölcsönadott) cserél nem likvid eszközökre (kölcsönvett)</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lastRenderedPageBreak/>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1.1.8.1. Ebből: a cserélt biztosíték teljesíti az operatív követelményeket</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1.1.8.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 Azon ügyletek összértéke, amelyekben 1. szintű rendkívül magas minőségű fedezett kötvényeket adnak kölcsön és a következő biztosítékokat veszik kölcsön:</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Az (EU) 2015/61 felhatalmazáson alapuló rendelet 28. cikkének (4) bekezdése és 32. cikkének (3) bekezdése</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az érintett oszlopokban a biztosítéki csereügyletek teljes értékét kell feltüntetniük olyan ügyletekre vonatkozóan, amelyekben 1. szintű rendkívül magas minőségű fedezett kötvényeket adnak kölcsön.</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 1. szintű eszközök (a rendkívül magas minőségű fedezett kötvények kivételével)</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a rendkívül magas minőségű fedezett kötvények kivételével 1. szintű eszközökre (kölcsönvett).</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1.2.1.1. Ebből: a cserélt biztosíték teljesíti az operatív követelményeket</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Az 1.2.1. tételben szereplő ügyletek közül a hitelintézetek adatot szolgáltatnak a következőkről:</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1.2.2. 1. szintű rendkívül magas minőségű fedezett kötvények</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1. szintű rendkívül magas minőségű fedezett kötvényekre (kölcsönvett)</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1.2.2.1. Ebből: a cserélt biztosíték teljesíti az operatív követelményeket</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Az 1.2.2. tételben szereplő ügyletek közül a hitelintézetek adatot szolgáltatnak a következőkről:</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lastRenderedPageBreak/>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1.2.3. 2A. szintű eszközök</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2A. szintű eszközökre (kölcsönvett)</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1.2.3.1. Ebből: a cserélt biztosíték teljesíti az operatív követelményeket</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Az 1.2.3. tételben szereplő ügyletek közül a hitelintézetek adatot szolgáltatnak a következőkről:</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1.2.4. 2B. szintű eszközfedezetű értékpapír (lakóingatlan vagy gépjármű, 1. hitelminőségi besorolás)</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2B. szintű eszközfedezetű értékpapírokra (lakóingatlan vagy gépjármű, 1. hitelminőségi besorolás) (kölcsönvett)</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1.2.4.1. Ebből: a cserélt biztosíték teljesíti az operatív követelményeket</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Az 1.2.4. tételben szereplő ügyletek közül a hitelintézetek adatot szolgáltatnak a következőkről:</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1.2.5. 2B. szintű magas minőségű fedezett kötvények</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2B. szintű magas minőségű fedezett kötvényekre (kölcsönvett)</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1.2.5.1. Ebből: a cserélt biztosíték teljesíti az operatív követelményeket</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Az 1.2.5. tételben szereplő ügyletek közül a hitelintézetek adatot szolgáltatnak a következőkről:</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lastRenderedPageBreak/>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1.2.6. 2B. szintű eszközfedezetű értékpapír (vállalati vagy háztartási hitel, tagállam, 1. hitelminőségi besorolás)</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2B. szintű eszközfedezetű értékpapírokra (vállalati vagy háztartási hitel, tagállam, 1. hitelminőségi besorolás) (kölcsönvett)</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1.2.6.1. Ebből: a cserélt biztosíték teljesíti az operatív követelményeket</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Az 1.2.6. tételben szereplő ügyletek közül a hitelintézetek adatot szolgáltatnak a következőkről:</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1.2.7. Egyéb 2B. szint</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egyéb 2B. szintű eszközökre (kölcsönvett)</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1.2.7.1. Ebből: a cserélt biztosíték teljesíti az operatív követelményeket</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Az 1.2.7. tételben szereplő ügyletek közül a hitelintézetek adatot szolgáltatnak a következőkről:</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1.2.8. Nem likvid eszközök</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nem likvid eszközökre (kölcsönvett)</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1.2.8.1. Ebből: a cserélt biztosíték teljesíti az operatív követelményeket</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1.2.8.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1.3. Azon ügyletek összértéke, amelyekben 2A. szintű eszközöket adnak kölcsön és a következő biztosítékokat veszik kölcsön:</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Az (EU) 2015/61 felhatalmazáson alapuló rendelet 28. cikkének (4) bekezdése és 32. cikkének (3) bekezdése</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A hitelintézeteknek az érintett oszlopokban a biztosítéki csereügyletek teljes értékét kell feltüntetniük olyan ügyletekre vonatkozóan, amelyekben egyéb 2A. szintű eszközöket adnak kölcsön.</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lastRenderedPageBreak/>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 1. szintű eszközök (a rendkívül magas minőségű fedezett kötvények kivételével)</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Olyan ügyletek, amelyekben az intézmény 2A. szintű eszközöket (kölcsönadott) cserél a rendkívül magas minőségű fedezett kötvények kivételével 1. szintű eszközökre (kölcsönvett)</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1.3.1.1. Ebből: a cserélt biztosíték teljesíti az operatív követelményeket</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Az 1.3.1. tételben szereplő ügyletek közül a hitelintézetek adatot szolgáltatnak a következőkről:</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1.3.2. 1. szintű rendkívül magas minőségű fedezett kötvények</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1. szintű rendkívül magas minőségű fedezett kötvényekre (kölcsönvett)</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1.3.2.1. Ebből: a cserélt biztosíték teljesíti az operatív követelményeket</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Az 1.3.2. tételben szereplő ügyletek közül a hitelintézetek adatot szolgáltatnak a következőkről:</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1.3.3. 2A. szintű eszközök</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2A. szintű eszközökre (kölcsönvett)</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1.3.3.1. Ebből: a cserélt biztosíték teljesíti az operatív követelményeket</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Az 1.3.3. tételben szereplő ügyletek közül a hitelintézetek adatot szolgáltatnak a következőkről:</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lastRenderedPageBreak/>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1.3.4. 2B. szintű eszközfedezetű értékpapír (lakóingatlan vagy gépjármű, 1. hitelminőségi besorolás)</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2B. szintű eszközfedezetű értékpapírokra (lakóingatlan vagy gépjármű, 1. hitelminőségi besorolás) (kölcsönvett).</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1.3.4.1. Ebből: a cserélt biztosíték teljesíti az operatív követelményeket</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Az 1.3.4. tételben szereplő ügyletek közül a hitelintézetek adatot szolgáltatnak a következőkről:</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1.3.5. 2B. szintű magas minőségű fedezett kötvények</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2B. szintű magas minőségű fedezett kötvényekre (kölcsönvett)</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1.3.5.1. Ebből: a cserélt biztosíték teljesíti az operatív követelményeket</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Az 1.3.5. tételben szereplő ügyletek közül a hitelintézetek adatot szolgáltatnak a következőkről:</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1.3.6. 2B. szintű eszközfedezetű értékpapír (vállalati vagy háztartási hitel, tagállam, 1. hitelminőségi besorolás)</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Olyan ügyletek, amelyekben az intézmény 2A. szintű eszközöket (kölcsönadott) cserél 2B. szintű eszközfedezetű értékpapírokra (vállalati vagy háztartási hitel, tagállam, 1. hitelminőségi </w:t>
            </w:r>
            <w:proofErr w:type="gramStart"/>
            <w:r>
              <w:rPr>
                <w:rFonts w:ascii="Times New Roman" w:hAnsi="Times New Roman"/>
                <w:sz w:val="24"/>
              </w:rPr>
              <w:t>besorolás)(</w:t>
            </w:r>
            <w:proofErr w:type="gramEnd"/>
            <w:r>
              <w:rPr>
                <w:rFonts w:ascii="Times New Roman" w:hAnsi="Times New Roman"/>
                <w:sz w:val="24"/>
              </w:rPr>
              <w:t>kölcsönvett)</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1.3.6.1. Ebből: a cserélt biztosíték teljesíti az operatív követelményeket</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Az 1.3.6. tételben szereplő ügyletek közül a hitelintézetek adatot szolgáltatnak a következőkről:</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lastRenderedPageBreak/>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1.3.7. Egyéb 2B. szint</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egyéb 2B. szintű eszközökre (kölcsönvett).</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1.3.7.1. Ebből: a cserélt biztosíték teljesíti az operatív követelményeket</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Az 1.3.7. tételben szereplő ügyletek közül a hitelintézetek adatot szolgáltatnak a következőkről:</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1.3.8. Nem likvid eszközök</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nem likvid eszközökre (kölcsönvett)</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1.3.8.1. Ebből: a cserélt biztosíték teljesíti az operatív követelményeket</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1.3.8.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 Azon ügyletek összértéke, amelyekben 2B. szintű eszközfedezetű értékpapírokat (lakóingatlan vagy gépjármű, 1. hitelminőségi besorolás) adnak kölcsön és a következő biztosítékokat veszik kölcsön:</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Az (EU) 2015/61 felhatalmazáson alapuló rendelet 28. cikkének (4) bekezdése és 32. cikkének (3) bekezdése</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A hitelintézeteknek az érintett oszlopokban a biztosítéki csereügyletek teljes értékét kell feltüntetniük olyan ügyletekre vonatkozóan, amelyekben 2B. szintű eszközfedezetű értékpapírokat (lakóingatlan vagy gépjármű, 1. hitelminőségi besorolás) adnak kölcsön.</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 1. szintű eszközök (a rendkívül magas minőségű fedezett kötvények kivételével)</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Olyan ügyletek, amelyekben az intézmény 2B. szintű eszközfedezetű értékpapírokat (lakóingatlan vagy gépjármű, 1. hitelminőségi besorolás) (kölcsönadott) cserél a rendkívül magas minőségű fedezett kötvények kivételével 1. szintű eszközökre (kölcsönvett)</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1.4.1.1. Ebből: a cserélt biztosíték teljesíti az operatív követelményeket</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Az 1.4.1. tételben szereplő ügyletek közül a hitelintézetek adatot szolgáltatnak a következőkről:</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kölcsönadott biztosíték oldala, amely – amennyiben nem az említett ügyletekben használnák fedezetként – az (EU) 2015/61 felhatalmazáson alapuló rendelet 8. cikke szerint likvid eszköznek minősülne; valamint</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lastRenderedPageBreak/>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1.4.2. 1. szintű rendkívül magas minőségű fedezett kötvények</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 vagy gépjármű, 1. hitelminőségi besorolás) (kölcsönadott) cserél 1. szintű rendkívül magas minőségű fedezett kötvényekre (kölcsönvett)</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1.4.2.1. Ebből: a cserélt biztosíték teljesíti az operatív követelményeket</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Az 1.4.2. tételben szereplő ügyletek közül a hitelintézetek adatot szolgáltatnak a következőkről:</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1.4.3. 2A. szintű eszközök</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 vagy gépjármű, 1. hitelminőségi besorolás) (kölcsönadott) cserél 2A. szintű eszközökre (kölcsönvett)</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1.4.3.1. Ebből: a cserélt biztosíték teljesíti az operatív követelményeket</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Az 1.4.3. tételben szereplő ügyletek közül a hitelintézetek adatot szolgáltatnak a következőkről:</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1.4.4. 2B. szintű eszközfedezetű értékpapír (lakóingatlan vagy gépjármű, 1. hitelminőségi besorolás)</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Olyan ügyletek, amelyekben az intézmény 2B. szintű eszközfedezetű értékpapírokat (lakóingatlan vagy gépjármű, 1. hitelminőségi besorolás) (kölcsönadott) cserél 2B. szintű eszközfedezetű értékpapírokra (lakóingatlan vagy gépjármű, 1. hitelminőségi </w:t>
            </w:r>
            <w:proofErr w:type="gramStart"/>
            <w:r>
              <w:rPr>
                <w:rFonts w:ascii="Times New Roman" w:hAnsi="Times New Roman"/>
                <w:sz w:val="24"/>
              </w:rPr>
              <w:t>besorolás)(</w:t>
            </w:r>
            <w:proofErr w:type="gramEnd"/>
            <w:r>
              <w:rPr>
                <w:rFonts w:ascii="Times New Roman" w:hAnsi="Times New Roman"/>
                <w:sz w:val="24"/>
              </w:rPr>
              <w:t>kölcsönvett)</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1.4.4.1. Ebből: a cserélt biztosíték teljesíti az operatív követelményeket</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Az 1.4.4. tételben szereplő ügyletek közül a hitelintézetek adatot szolgáltatnak a következőkről:</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kölcsönadott biztosíték oldala, amely – amennyiben nem az említett ügyletekben használnák fedezetként – az (EU) 2015/61 felhatalmazáson alapuló rendelet 8. cikke szerint likvid eszköznek minősülne; valamint</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lastRenderedPageBreak/>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1.4.5. 2B. szintű magas minőségű fedezett kötvények</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(lakóingatlannal vagy gépjárművel fedezett, 1.hitelminőségi besorolás) (kölcsönadott) cserél 2B. szintű magas minőségű fedezett kötvényekre (kölcsönvett)</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1.4.5.1. Ebből: a cserélt biztosíték teljesíti az operatív követelményeket</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Az 1.4.5. tételben szereplő ügyletek közül a hitelintézetek adatot szolgáltatnak a következőkről:</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1.4.6. 2B. szintű eszközfedezetű értékpapír (vállalati vagy háztartási hitel, tagállam, 1. hitelminőségi besorolás)</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 vagy gépjármű, 1. hitelminőségi besorolás) (kölcsönadott) cserél 2B. szintű eszközfedezetű értékpapírokra (vállalati vagy háztartási hitel, tagállam, 1. hitelminőségi besorolás) (kölcsönvett)</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1.4.6.1. Ebből: a cserélt biztosíték teljesíti az operatív követelményeket</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Az 1.4.6. tételben szereplő ügyletek közül a hitelintézetek adatot szolgáltatnak a következőkről:</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1.4.7. Egyéb 2B. szint</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(lakóingatlannal vagy gépjárművel fedezett, 1. hitelminőségi besorolás) (kölcsönadott) cserél egyéb 2B. szintű eszközökre (kölcsönvett)</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1.4.7.1. Ebből: a cserélt biztosíték teljesíti az operatív követelményeket</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Az 1.4.7. tételben szereplő ügyletek közül a hitelintézetek adatot szolgáltatnak a következőkről:</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kölcsönadott biztosíték oldala, amely – amennyiben nem az említett ügyletekben használnák fedezetként – az (EU) 2015/61 felhatalmazáson alapuló rendelet 8. cikke szerint likvid eszköznek minősülne; valamint</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lastRenderedPageBreak/>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1.4.8. Nem likvid eszközök</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(lakóingatlannal vagy gépjárművel fedezett, 1. hitelminőségi besorolás) (kölcsönadott) cserél nem likvid eszközökre (kölcsönvett)</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1.4.8.1. Ebből: a cserélt biztosíték teljesíti az operatív követelményeket</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1.4.8.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 Azon ügyletek összértéke, amelyekben 2B. szintű rendkívül magas minőségű fedezett kötvényeket adnak kölcsön és a következő biztosítékokat veszik kölcsön:</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Az (EU) 2015/61 felhatalmazáson alapuló rendelet 28. cikkének (4) bekezdése és 32. cikkének (3) bekezdése</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az érintett oszlopokban a biztosítéki csereügyletek teljes értékét kell feltüntetniük olyan ügyletekre vonatkozóan, amelyekben 2B. szintű rendkívül magas minőségű fedezett kötvényeket adnak kölcsön.</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 1. szintű eszközök (a rendkívül magas minőségű fedezett kötvények kivételével)</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a rendkívül magas minőségű fedezett kötvények kivételével 1. szintű eszközökre (kölcsönvett).</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1.5.1.1. Ebből: a cserélt biztosíték teljesíti az operatív követelményeket</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Az 1.5.1. tételben szereplő ügyletek közül a hitelintézetek adatot szolgáltatnak a következőkről:</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1.5.2. 1. szintű rendkívül magas minőségű fedezett kötvények</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1. szintű rendkívül magas minőségű fedezett kötvényekre (kölcsönvett)</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1.5.2.1. Ebből: a cserélt biztosíték teljesíti az operatív követelményeket</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Az 1.5.2. tételben szereplő ügyletek közül a hitelintézetek adatot szolgáltatnak a következőkről:</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lastRenderedPageBreak/>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1.5.3. 2A. szintű eszközök</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2A. szintű eszközökre (kölcsönvett)</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1.5.3.1. Ebből: a cserélt biztosíték teljesíti az operatív követelményeket</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Az 1.5.3. tételben szereplő ügyletek közül a hitelintézetek adatot szolgáltatnak a következőkről:</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1.5.4. 2B. szintű eszközfedezetű értékpapír (lakóingatlan vagy gépjármű, 1. hitelminőségi besorolás)</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2B. szintű eszközfedezetű értékpapírokra (lakóingatlan vagy gépjármű, 1. hitelminőségi besorolás) (kölcsönvett)</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1.5.4.1. Ebből: a cserélt biztosíték teljesíti az operatív követelményeket</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Az 1.5.4. tételben szereplő ügyletek közül a hitelintézetek adatot szolgáltatnak a következőkről:</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1.5.5. 2B. szintű magas minőségű fedezett kötvények</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2B. szintű magas minőségű fedezett kötvényekre (kölcsönvett)</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1.5.5.1. Ebből: a cserélt biztosíték teljesíti az operatív követelményeket</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Az 1.5.5. tételben szereplő ügyletek közül a hitelintézetek adatot szolgáltatnak a következőkről:</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lastRenderedPageBreak/>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1.5.6. 2B. szintű eszközfedezetű értékpapír (vállalati vagy háztartási hitel, tagállam, 1. hitelminőségi besorolás)</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2B. szintű eszközfedezetű értékpapírokra (vállalati vagy háztartási hitel, tagállam, 1. hitelminőségi besorolás) (kölcsönvett)</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1.5.6.1. Ebből: a cserélt biztosíték teljesíti az operatív követelményeket</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Az 1.5.6. tételben szereplő ügyletek közül a hitelintézetek adatot szolgáltatnak a következőkről:</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1.5.7. Egyéb 2B. szint</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egyéb 2B. szintű eszközökre (kölcsönvett)</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1.5.7.1. Ebből: a cserélt biztosíték teljesíti az operatív követelményeket</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Az 1.5.7. tételben szereplő ügyletek közül a hitelintézetek adatot szolgáltatnak a következőkről:</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1.5.8. Nem likvid eszközök</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nem likvid eszközökre (kölcsönvett)</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1.5.8.1. Ebből: a cserélt biztosíték teljesíti az operatív követelményeket</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Az 1.5.8. tételben szereplő ügyletek közül a hitelintézetek adatot szolgáltatnak a kölcsönadott biztosíték oldaláról, amely – amennyiben nem </w:t>
            </w:r>
            <w:r>
              <w:rPr>
                <w:rFonts w:ascii="Times New Roman" w:hAnsi="Times New Roman"/>
                <w:sz w:val="24"/>
              </w:rPr>
              <w:lastRenderedPageBreak/>
              <w:t>az említett ügyletekben használnák fedezetként – az (EU) 2015/61 felhatalmazáson alapuló rendelet 8. cikke szerint likvid eszköznek minősülne.</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lastRenderedPageBreak/>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 Azon ügyletek összértéke, amelyekben 2B. szintű eszközfedezetű értékpapírokat (vállalati vagy háztartási hitel, tagállam, 1. hitelminőségi besorolás) adnak kölcsön és a következő biztosítékokat veszik kölcsön:</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Az (EU) 2015/61 felhatalmazáson alapuló rendelet 28. cikkének (4) bekezdése és 32. cikkének (3) bekezdése</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az érintett oszlopokban a biztosítéki csereügyletek teljes értékét kell feltüntetniük olyan ügyletekre vonatkozóan, amelyekben 2B. szintű eszközfedezetű értékpapírokat (vállalati vagy háztartási hitel, tagállam, 1. hitelminőségi besorolás) adnak kölcsön.</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 1. szintű eszközök (a rendkívül magas minőségű fedezett kötvények kivételével)</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a rendkívül magas minőségű fedezett kötvények kivételével 1. szintű eszközökre (kölcsönvett)</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1.6.1.1. Ebből: a cserélt biztosíték teljesíti az operatív követelményeket</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Az 1.6.1. tételben szereplő ügyletek közül a hitelintézetek adatot szolgáltatnak a következőkről:</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1.6.2. 1. szintű rendkívül magas minőségű fedezett kötvények</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1. szintű rendkívül magas minőségű fedezett kötvényekre (kölcsönvett)</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1.6.2.1. Ebből: a cserélt biztosíték teljesíti az operatív követelményeket</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Az 1.6.2. tételben szereplő ügyletek közül a hitelintézetek adatot szolgáltatnak a következőkről:</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1.6.3. 2A. szintű eszközök</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Olyan ügyletek, amelyekben az intézmény 2B. szintű eszközfedezetű értékpapírokat (vállalati vagy háztartási hitel, tagállam, 1. hitelminőségi besorolás) (kölcsönadott) cserél 2A. szintű eszközökre (kölcsönvett)</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lastRenderedPageBreak/>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1.6.3.1. Ebből: a cserélt biztosíték teljesíti az operatív követelményeket</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Az 1.6.3. tételben szereplő ügyletek közül a hitelintézetek adatot szolgáltatnak a következőkről:</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1.6.4. 2B. szintű eszközfedezetű értékpapír (lakóingatlan vagy gépjármű, 1. hitelminőségi besorolás)</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Olyan ügyletek, amelyekben az intézmény 2B. szintű eszközfedezetű értékpapírokat (vállalati vagy háztartási hitel, tagállam, 1. hitelminőségi besorolás) (kölcsönadott) cserél 2B. szintű eszközfedezetű értékpapírokra (lakóingatlan vagy gépjármű, 1. hitelminőségi </w:t>
            </w:r>
            <w:proofErr w:type="gramStart"/>
            <w:r>
              <w:rPr>
                <w:rFonts w:ascii="Times New Roman" w:hAnsi="Times New Roman"/>
                <w:sz w:val="24"/>
              </w:rPr>
              <w:t>besorolás)(</w:t>
            </w:r>
            <w:proofErr w:type="gramEnd"/>
            <w:r>
              <w:rPr>
                <w:rFonts w:ascii="Times New Roman" w:hAnsi="Times New Roman"/>
                <w:sz w:val="24"/>
              </w:rPr>
              <w:t>kölcsönvett)</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1.6.4.1. Ebből: a cserélt biztosíték teljesíti az operatív követelményeket</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Az 1.6.4. tételben szereplő ügyletek közül a hitelintézetek adatot szolgáltatnak a következőkről:</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1.6.5. 2B. szintű magas minőségű fedezett kötvények</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2B. szintű magas minőségű fedezett kötvényekre (kölcsönvett)</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1.6.5.1. Ebből: a cserélt biztosíték teljesíti az operatív követelményeket</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Az 1.6.5. tételben szereplő ügyletek közül a hitelintézetek adatot szolgáltatnak a következőkről:</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1.6.6. 2B. szintű eszközfedezetű értékpapír (vállalati vagy háztartási hitel, tagállam, 1. hitelminőségi besorolás)</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 xml:space="preserve">Olyan ügyletek, amelyekben az intézmény 2B. szintű eszközfedezetű értékpapírokat (vállalati vagy háztartási hitel, tagállam, 1. hitelminőségi besorolás) (kölcsönadott) cserél 2B. szintű eszközfedezetű értékpapírokra (vállalati vagy háztartási hitel, tagállam, 1. hitelminőségi </w:t>
            </w:r>
            <w:proofErr w:type="gramStart"/>
            <w:r>
              <w:rPr>
                <w:rFonts w:ascii="Times New Roman" w:hAnsi="Times New Roman"/>
                <w:sz w:val="24"/>
              </w:rPr>
              <w:t>besorolás)(</w:t>
            </w:r>
            <w:proofErr w:type="gramEnd"/>
            <w:r>
              <w:rPr>
                <w:rFonts w:ascii="Times New Roman" w:hAnsi="Times New Roman"/>
                <w:sz w:val="24"/>
              </w:rPr>
              <w:t>kölcsönvett)</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lastRenderedPageBreak/>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1.6.6.1. Ebből: a cserélt biztosíték teljesíti az operatív követelményeket</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Az 1.6.6. tételben szereplő ügyletek közül a hitelintézetek adatot szolgáltatnak a következőkről:</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1.6.7. Egyéb 2B. szint</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egyéb 2B. szintű eszközökre (kölcsönvett)</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1.6.7.1. Ebből: a cserélt biztosíték teljesíti az operatív követelményeket</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Az 1.6.7. tételben szereplő ügyletek közül a hitelintézetek adatot szolgáltatnak a következőkről:</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1.6.8. Nem likvid eszközök</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nem likvid eszközökre (kölcsönvett)</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1.6.8.1. Ebből: a cserélt biztosíték teljesíti az operatív követelményeket</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1.6.8.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1.7. Azon ügyletek összértéke, amelyekben egyéb 2B. szintű eszközöket adnak kölcsön és a következő biztosítékokat veszik kölcsön:</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Az (EU) 2015/61 felhatalmazáson alapuló rendelet 28. cikkének (4) bekezdése és 32. cikkének (3) bekezdése</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lastRenderedPageBreak/>
              <w:t>A hitelintézeteknek az érintett oszlopokban a biztosítéki csereügyletek teljes értékét kell feltüntetniük olyan ügyletekre vonatkozóan, amelyekben egyéb 2B. szintű eszközöket adnak kölcsön</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lastRenderedPageBreak/>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 1. szintű eszközök (a rendkívül magas minőségű fedezett kötvények kivételével)</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a rendkívül magas minőségű fedezett kötvények kivételével 1. szintű eszközökre (kölcsönvett).</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1.7.1.1. Ebből: a cserélt biztosíték teljesíti az operatív követelményeket</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Az 1.7.1. tételben szereplő ügyletek közül a hitelintézetek adatot szolgáltatnak a következőkről:</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1.7.2. 1. szintű rendkívül magas minőségű fedezett kötvények</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1. szintű rendkívül magas minőségű fedezett kötvényekre eszközökre (kölcsönvett)</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1.7.2.1. Ebből: a cserélt biztosíték teljesíti az operatív követelményeket</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Az 1.7.2. tételben szereplő ügyletek közül a hitelintézetek adatot szolgáltatnak a következőkről:</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1.7.3. 2A. szintű eszközök</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2A. szintű eszközökre (kölcsönvett)</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1.7.3.1. Ebből: a cserélt biztosíték teljesíti az operatív követelményeket</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Az 1.7.3. tételben szereplő ügyletek közül a hitelintézetek adatot szolgáltatnak a következőkről:</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lastRenderedPageBreak/>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1.7.4. 2B. szintű eszközfedezetű értékpapír (lakóingatlan vagy gépjármű, 1. hitelminőségi besorolás)</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2B. szintű eszközfedezetű értékpapírokra (lakóingatlan vagy gépjármű, 1. hitelminőségi besorolás) (kölcsönvett)</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1.7.4.1. Ebből: a cserélt biztosíték teljesíti az operatív követelményeket</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Az 1.7.4. tételben szereplő ügyletek közül a hitelintézetek adatot szolgáltatnak a következőkről:</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1.7.5. 2B. szintű magas minőségű fedezett kötvények</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2B. szintű magas minőségű fedezett kötvényekre eszközökre (kölcsönvett)</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1.7.5.1. Ebből: a cserélt biztosíték teljesíti az operatív követelményeket</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Az 1.7.5. tételben szereplő ügyletek közül a hitelintézetek adatot szolgáltatnak a következőkről:</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1.7.6. 2B. szintű eszközfedezetű értékpapír (vállalati vagy háztartási hitel, tagállam, 1. hitelminőségi besorolás)</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2B. szintű eszközfedezetű értékpapírokra (vállalati vagy háztartási hitel, tagállam, 1. hitelminőségi besorolás) (kölcsönvett)</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1.7.6.1. Ebből: a cserélt biztosíték teljesíti az operatív követelményeket</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Az 1.7.6. tételben szereplő ügyletek közül a hitelintézetek adatot szolgáltatnak a következőkről:</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1.7.7. Egyéb 2B. szint</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Olyan ügyletek, amelyekben az intézmény egyéb 2B. szintű eszközöket (kölcsönadott) cserél egyéb 2B. szintű eszközökre (kölcsönvett)</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lastRenderedPageBreak/>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1.7.7.1. Ebből: a cserélt biztosíték teljesíti az operatív követelményeket</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Az 1.7.7. tételben szereplő ügyletek közül a hitelintézetek adatot szolgáltatnak a következőkről:</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1.7.8. Nem likvid eszközök</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nem likvid eszközökre (kölcsönvett)</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1.7.8.1. Ebből: a cserélt biztosíték teljesíti az operatív követelményeket</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1.7.8.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1.8. Azon ügyletek összértéke, amelyekben nem likvid eszközöket adnak kölcsön és a következő biztosítékokat veszik kölcsön:</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Az (EU) 2015/61 felhatalmazáson alapuló rendelet 28. cikkének (4) bekezdése és 32. cikkének (3) bekezdése</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az érintett oszlopokban a biztosítéki csereügyletek teljes értékét kell feltüntetniük olyan ügyletekre vonatkozóan, amelyekben nem likvid eszközöket adnak kölcsön.</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 1. szintű eszközök (a rendkívül magas minőségű fedezett kötvények kivételével)</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a rendkívül magas minőségű fedezett kötvények kivételével 1. szintű eszközökre (kölcsönvett)</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1.8.1.1. Ebből: a cserélt biztosíték teljesíti az operatív követelményeket</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1.8.1.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1.8.2. 1. szintű rendkívül magas minőségű fedezett kötvények</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Olyan ügyletek, amelyekben az intézmény nem likvid eszközöket (kölcsönadott) cserél 1. szintű rendkívül magas minőségű fedezett kötvényekre eszközökre (kölcsönvett)</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1.8.2.1. Ebből: a cserélt biztosíték teljesíti az operatív követelményeket</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Az 1.8.2.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lastRenderedPageBreak/>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1.8.3. 2A. szintű eszközök</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2A. szintű eszközökre (kölcsönvett)</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1.8.3.1. Ebből: a cserélt biztosíték teljesíti az operatív követelményeket</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1.8.3.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1.8.4. 2B. szintű eszközfedezetű értékpapír (lakóingatlan vagy gépjármű, 1. hitelminőségi besorolás)</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2B. szintű eszközfedezetű értékpapírokra (lakóingatlan vagy gépjármű, 1. hitelminőségi besorolás) (kölcsönvett)</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1.8.4.1. Ebből: a cserélt biztosíték teljesíti az operatív követelményeket</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1.8.4.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1.8.5. 2B. szintű magas minőségű fedezett kötvények</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2B. szintű magas minőségű fedezett kötvényekre (kölcsönvett)</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1.8.5.1. Ebből: a cserélt biztosíték teljesíti az operatív követelményeket</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1.8.5.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1.8.6. 2B. szintű eszközfedezetű értékpapír (vállalati vagy háztartási hitel, tagállam, 1. hitelminőségi besorolás)</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2B. szintű eszközfedezetű értékpapírokra (vállalati vagy háztartási hitel, tagállam, 1. hitelminőségi besorolás) (kölcsönvett)</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1.8.6.1. Ebből: a cserélt biztosíték teljesíti az operatív követelményeket</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1.8.6.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1.8.7. Egyéb 2B. szint</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Olyan ügyletek, amelyekben az intézmény nem likvid eszközöket (kölcsönadott) cserél egyéb 2B. szintű eszközökre (kölcsönvett)</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lastRenderedPageBreak/>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1.8.7.1. Ebből: a cserélt biztosíték teljesíti az operatív követelményeket</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1.8.7.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1.8.8. Nem likvid eszközök</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nem likvid eszközökre (kölcsönvett)</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 ÖSSZES BIZTOSÍTÉKI CSEREÜGYLET (a partner nem központi bank)</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Az (EU) 2015/61 felhatalmazáson alapuló rendelet 28. cikkének (4) bekezdése és 32. cikkének (3) bekezdése</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A hitelintézeteknek az érintett oszlopokban a biztosítéki csereügyletek teljes értékét kell feltüntetniük.</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 Azon ügyletek összértéke, amelyekben 1. szintű eszközöket (a rendkívül magas minőségű fedezett kötvények kivételével) adnak kölcsön és a következő biztosítékokat veszik kölcsön:</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Az (EU) 2015/61 felhatalmazáson alapuló rendelet 28. cikkének (4) bekezdése és 32. cikkének (3) bekezdése</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minden érintett oszlopban a biztosítéki csereügyletek teljes értékét kell feltüntetniük olyan ügyletekre vonatkozóan, amelyekben 1. szintű eszközöket (a rendkívül magas minőségű fedezett kötvények kivételével) adnak kölcsön.</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2.1.1. 1. szintű eszközök (a rendkívül magas minőségű fedezett kötvények kivételével)</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Olyan ügyletek, amelyekben az intézmény a rendkívül magas minőségű fedezett kötvények kivételével 1. szintű eszközöket (kölcsönadott) cserél rendkívül magas minőségű fedezett kötvények kivételével 1. szintű eszközökre (kölcsönvett).</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sz w:val="24"/>
              </w:rPr>
              <w:t>Ebből: a cserélt biztosíték teljesíti az operatív követelményeket</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A 2.1.1. tételben szereplő ügyletek közül a hitelintézetek adatot szolgáltatnak a következőkről:</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2.1.2. 1. szintű rendkívül magas minőségű fedezett kötvények</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Olyan ügyletek, amelyekben az intézmény a rendkívül magas minőségű fedezett kötvények kivételével 1. szintű eszközöket (kölcsönadott) cserél 1. szintű rendkívül magas minőségű fedezett kötvényekre (kölcsönvett)</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2.1.2.1. Ebből: a cserélt biztosíték teljesíti az operatív követelményeket</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A 2.1.2. tételben szereplő ügyletek közül a hitelintézetek adatot szolgáltatnak a következőkről:</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2.1.3. 2A. szintű eszközök</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a rendkívül magas minőségű fedezett kötvények kivételével 1. szintű eszközöket (kölcsönadott) cserél 2A. szintű eszközökre (kölcsönvett).</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2.1.3.1. Ebből: a cserélt biztosíték teljesíti az operatív követelményeket</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A 2.1.3. tételben szereplő ügyletek közül a hitelintézetek adatot szolgáltatnak a következőkről:</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2.1.4. 2B. szintű eszközfedezetű értékpapír (lakóingatlan vagy gépjármű, 1. hitelminőségi besorolás)</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a rendkívül magas minőségű fedezett kötvények kivételével 1. szintű eszközöket (kölcsönadott) cserél 2B. szintű eszközfedezetű értékpapírokra (lakóingatlan vagy gépjármű, 1. hitelminőségi besorolás) (kölcsönvett)</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2.1.4.1. Ebből: a cserélt biztosíték teljesíti az operatív követelményeket</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A 2.1.4. tételben szereplő ügyletek közül a hitelintézetek adatot szolgáltatnak a következőkről:</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2.1.5. 2B. szintű magas minőségű fedezett kötvények</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Olyan ügyletek, amelyekben az intézmény a rendkívül magas minőségű fedezett kötvények kivételével 1. szintű eszközöket (kölcsönadott) cserél 2B. szintű magas minőségű fedezett kötvényekre (kölcsönvett)</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2.1.5.1. Ebből: a cserélt biztosíték teljesíti az operatív követelményeket</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A 2.1.5. tételben szereplő ügyletek közül a hitelintézetek adatot szolgáltatnak a következőkről:</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2.1.6. 2B. szintű eszközfedezetű értékpapír (vállalati vagy háztartási hitel, tagállam, 1. hitelminőségi besorolás)</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a rendkívül magas minőségű fedezett kötvények kivételével 1. szintű eszközöket (kölcsönadott) cserél 2B. szintű eszközfedezetű értékpapírokra (vállalati vagy háztartási hitel, tagállam, 1. hitelminőségi besorolás) (kölcsönvett)</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2.1.6.1. Ebből: a cserélt biztosíték teljesíti az operatív követelményeket</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A 2.1.6. tételben szereplő ügyletek közül a hitelintézetek adatot szolgáltatnak a következőkről:</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2.1.7. Egyéb 2B. szint</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a rendkívül magas minőségű fedezett kötvények kivételével 1. szintű eszközöket (kölcsönadott) cserél egyéb 2B. szintű eszközökre (kölcsönvett)</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2.1.7.1. Ebből: a cserélt biztosíték teljesíti az operatív követelményeket</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A 2.1.7. tételben szereplő ügyletek közül a hitelintézetek adatot szolgáltatnak a következőkről:</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2.1.8. Nem likvid eszközök</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Olyan ügyletek, amelyekben az intézmény a rendkívül magas minőségű fedezett kötvények kivételével 1. szintű eszközöket (kölcsönadott) cserél nem likvid eszközökre (kölcsönvett)</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lastRenderedPageBreak/>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2.1.8.1. Ebből: a cserélt biztosíték teljesíti az operatív követelményeket</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2.1.8.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2.2. Azon ügyletek összértéke, amelyekben 1. szintű rendkívül magas minőségű fedezett kötvényeket adnak kölcsön és a következő biztosítékokat veszik kölcsön:</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Az (EU) 2015/61 felhatalmazáson alapuló rendelet 28. cikkének (4) bekezdése és 32. cikkének (3) bekezdése</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az érintett oszlopokban a biztosítéki csereügyletek teljes értékét kell feltüntetniük olyan ügyletekre vonatkozóan, amelyekben 1. szintű rendkívül magas minőségű fedezett kötvényeket adnak kölcsön.</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 1. szintű eszközök (a rendkívül magas minőségű fedezett kötvények kivételével)</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a rendkívül magas minőségű fedezett kötvények kivételével 1. szintű eszközökre (kölcsönvett)</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2.2.1.1. Ebből: a cserélt biztosíték teljesíti az operatív követelményeket</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A 2.2.1. tételben szereplő ügyletek közül a hitelintézetek adatot szolgáltatnak a következőkről:</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2.2.2. 1. szintű rendkívül magas minőségű fedezett kötvények</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1. szintű rendkívül magas minőségű fedezett kötvényekre (kölcsönvett)</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2.2.2.1. Ebből: a cserélt biztosíték teljesíti az operatív követelményeket</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A 2.2.2. tételben szereplő ügyletek közül a hitelintézetek adatot szolgáltatnak a következőkről:</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lastRenderedPageBreak/>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2.2.3. 2A. szintű eszközök</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2A. szintű eszközökre (kölcsönvett)</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2.2.3.1. Ebből: a cserélt biztosíték teljesíti az operatív követelményeket</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A 2.2.3. tételben szereplő ügyletek közül a hitelintézetek adatot szolgáltatnak a következőkről:</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2.2.4. 2B. szintű eszközfedezetű értékpapír (lakóingatlan vagy gépjármű, 1. hitelminőségi besorolás)</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2B. szintű eszközfedezetű értékpapírokra (lakóingatlan vagy gépjármű, 1. hitelminőségi besorolás) (kölcsönvett)</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2.2.4.1. Ebből: a cserélt biztosíték teljesíti az operatív követelményeket</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A 2.2.4. tételben szereplő ügyletek közül a hitelintézetek adatot szolgáltatnak a következőkről:</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2.2.5. 2B. szintű magas minőségű fedezett kötvények</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2B. szintű magas minőségű fedezett kötvényekre (kölcsönvett)</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2.2.5.1. Ebből: a cserélt biztosíték teljesíti az operatív követelményeket</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A 2.2.5. tételben szereplő ügyletek közül a hitelintézetek adatot szolgáltatnak a következőkről:</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lastRenderedPageBreak/>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2.2.6. 2B. szintű eszközfedezetű értékpapír (vállalati vagy háztartási hitel, tagállam, 1. hitelminőségi besorolás)</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2B. szintű eszközfedezetű értékpapírokra (vállalati vagy háztartási hitel, tagállam, 1. hitelminőségi besorolás) (kölcsönvett)</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2.2.6.1. Ebből: a cserélt biztosíték teljesíti az operatív követelményeket</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A 2.2.6. tételben szereplő ügyletek közül a hitelintézetek adatot szolgáltatnak a következőkről:</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2.2.7. Egyéb 2B. szint</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egyéb 2B. szintű eszközökre (kölcsönvett)</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2.2.7.1. Ebből: a cserélt biztosíték teljesíti az operatív követelményeket</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A 2.2.7. tételben szereplő ügyletek közül a hitelintézetek adatot szolgáltatnak a következőkről:</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2.2.8. Nem likvid eszközök</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nem likvid eszközökre (kölcsönvett)</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2.2.8.1. Ebből: a cserélt biztosíték teljesíti az operatív követelményeket</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2.2.8.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2.3. Azon ügyletek összértéke, amelyekben 2A. szintű eszközöket adnak kölcsön és a következő biztosítékokat veszik kölcsön:</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Az (EU) 2015/61 felhatalmazáson alapuló rendelet 28. cikkének (4) bekezdése és 32. cikkének (3) bekezdése</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az érintett oszlopokban a biztosítéki csereügyletek teljes értékét kell feltüntetniük olyan ügyletekre vonatkozóan, amelyekben egyéb 2A. szintű eszközöket adnak kölcsön.</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lastRenderedPageBreak/>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 1. szintű eszközök (a rendkívül magas minőségű fedezett kötvények kivételével)</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Olyan ügyletek, amelyekben az intézmény 2A. szintű eszközöket (kölcsönadott) cserél a rendkívül magas minőségű fedezett kötvények kivételével 1. szintű eszközökre (kölcsönvett).</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2.3.1.1. Ebből: a cserélt biztosíték teljesíti az operatív követelményeket</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A 2.3.1. tételben szereplő ügyletek közül a hitelintézetek adatot szolgáltatnak a következőkről:</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2.3.2. 1. szintű rendkívül magas minőségű fedezett kötvények</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1. szintű rendkívül magas minőségű fedezett kötvényekre (kölcsönvett)</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2.3.2.1. Ebből: a cserélt biztosíték teljesíti az operatív követelményeket</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A 2.3.2. tételben szereplő ügyletek közül a hitelintézetek adatot szolgáltatnak a következőkről:</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2.3.3. 2A. szintű eszközök</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2A. szintű eszközökre (kölcsönvett)</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2.3.3.1. Ebből: a cserélt biztosíték teljesíti az operatív követelményeket</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A 2.3.3. tételben szereplő ügyletek közül a hitelintézetek adatot szolgáltatnak a következőkről:</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lastRenderedPageBreak/>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2.3.4. 2B. szintű eszközfedezetű értékpapír (lakóingatlan vagy gépjármű, 1. hitelminőségi besorolás)</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2B. szintű eszközfedezetű értékpapírokra (lakóingatlan vagy gépjármű, 1. hitelminőségi besorolás) (kölcsönvett).</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2.3.4.1. Ebből: a cserélt biztosíték teljesíti az operatív követelményeket</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A 2.3.4. tételben szereplő ügyletek közül a hitelintézetek adatot szolgáltatnak a következőkről:</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2.3.5. 2B. szintű magas minőségű fedezett kötvények</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2B. szintű magas minőségű fedezett kötvényekre (kölcsönvett)</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2.3.5.1. Ebből: a cserélt biztosíték teljesíti az operatív követelményeket</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A 2.3.5. tételben szereplő ügyletek közül a hitelintézetek adatot szolgáltatnak a következőkről:</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2.3.6. 2B. szintű eszközfedezetű értékpapír (vállalati vagy háztartási hitel, tagállam, 1. hitelminőségi besorolás)</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Olyan ügyletek, amelyekben az intézmény 2A. szintű eszközöket (kölcsönadott) cserél 2B. szintű eszközfedezetű értékpapírokra (vállalati vagy háztartási hitel, tagállam, 1. hitelminőségi </w:t>
            </w:r>
            <w:proofErr w:type="gramStart"/>
            <w:r>
              <w:rPr>
                <w:rFonts w:ascii="Times New Roman" w:hAnsi="Times New Roman"/>
                <w:sz w:val="24"/>
              </w:rPr>
              <w:t>besorolás)(</w:t>
            </w:r>
            <w:proofErr w:type="gramEnd"/>
            <w:r>
              <w:rPr>
                <w:rFonts w:ascii="Times New Roman" w:hAnsi="Times New Roman"/>
                <w:sz w:val="24"/>
              </w:rPr>
              <w:t>kölcsönvett)</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2.3.6.1. Ebből: a cserélt biztosíték teljesíti az operatív követelményeket</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A 2.3.6. tételben szereplő ügyletek közül a hitelintézetek adatot szolgáltatnak a következőkről:</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lastRenderedPageBreak/>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2.3.7. Egyéb 2B. szint</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egyéb 2B. szintű eszközökre (kölcsönvett)</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2.3.7.1. Ebből: a cserélt biztosíték teljesíti az operatív követelményeket</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A 2.3.7. tételben szereplő ügyletek közül a hitelintézetek adatot szolgáltatnak a következőkről:</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2.3.8. Nem likvid eszközök</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nem likvid eszközökre (kölcsönvett)</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2.3.8.1. Ebből: a cserélt biztosíték teljesíti az operatív követelményeket</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2.3.8.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 Azon ügyletek összértéke, amelyekben 2B. szintű eszközfedezetű értékpapírokat (lakóingatlan vagy gépjármű, 1. hitelminőségi besorolás) adnak kölcsön és a következő biztosítékokat veszik kölcsön:</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Az (EU) 2015/61 felhatalmazáson alapuló rendelet 28. cikkének (4) bekezdése és 32. cikkének (3) bekezdése</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A hitelintézeteknek az érintett oszlopokban a biztosítéki csereügyletek teljes értékét kell feltüntetniük olyan ügyletekre vonatkozóan, amelyekben 2B. szintű eszközfedezetű értékpapírokat (lakóingatlan vagy gépjármű, 1. hitelminőségi besorolás) adnak kölcsön.</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 1. szintű eszközök (a rendkívül magas minőségű fedezett kötvények kivételével)</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Olyan ügyletek, amelyekben az intézmény 2B. szintű eszközfedezetű értékpapírokat (lakóingatlan vagy gépjármű, 1. hitelminőségi besorolás) (kölcsönadott) cserél a rendkívül magas minőségű fedezett kötvények kivételével 1. szintű eszközökre (kölcsönvett)</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2.4.1.1. Ebből: a cserélt biztosíték teljesíti az operatív követelményeket</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A 2.4.1. tételben szereplő ügyletek közül a hitelintézetek adatot szolgáltatnak a következőkről:</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kölcsönadott biztosíték oldala, amely – amennyiben nem az említett ügyletekben használnák fedezetként – az (EU) 2015/61 felhatalmazáson alapuló rendelet 8. cikke szerint likvid eszköznek minősülne; valamint</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lastRenderedPageBreak/>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2.4.2. 1. szintű rendkívül magas minőségű fedezett kötvények</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 vagy gépjármű, 1. hitelminőségi besorolás) (kölcsönadott) cserél 1. szintű rendkívül magas minőségű fedezett kötvényekre (kölcsönvett)</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2.4.2.1. Ebből: a cserélt biztosíték teljesíti az operatív követelményeket</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A 2.4.2. tételben szereplő ügyletek közül a hitelintézetek adatot szolgáltatnak a következőkről:</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2.4.3. 2A. szintű eszközök</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 vagy gépjármű, 1. hitelminőségi besorolás) (kölcsönadott) cserél 2A. szintű eszközökre (kölcsönvett)</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2.4.3.1. Ebből: a cserélt biztosíték teljesíti az operatív követelményeket</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A 2.4.3. tételben szereplő ügyletek közül a hitelintézetek adatot szolgáltatnak a következőkről:</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2.4.4. 2B. szintű eszközfedezetű értékpapír (lakóingatlan vagy gépjármű, 1. hitelminőségi besorolás)</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Olyan ügyletek, amelyekben az intézmény 2B. szintű eszközfedezetű értékpapírokat (lakóingatlan vagy gépjármű, 1. hitelminőségi besorolás) (kölcsönadott) cserél 2B. szintű eszközfedezetű értékpapírokra (lakóingatlan vagy gépjármű, 1. hitelminőségi </w:t>
            </w:r>
            <w:proofErr w:type="gramStart"/>
            <w:r>
              <w:rPr>
                <w:rFonts w:ascii="Times New Roman" w:hAnsi="Times New Roman"/>
                <w:sz w:val="24"/>
              </w:rPr>
              <w:t>besorolás)(</w:t>
            </w:r>
            <w:proofErr w:type="gramEnd"/>
            <w:r>
              <w:rPr>
                <w:rFonts w:ascii="Times New Roman" w:hAnsi="Times New Roman"/>
                <w:sz w:val="24"/>
              </w:rPr>
              <w:t>kölcsönvett)</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2.4.4.1. Ebből: a cserélt biztosíték teljesíti az operatív követelményeket</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A 2.4.4. tételben szereplő ügyletek közül a hitelintézetek adatot szolgáltatnak a következőkről:</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kölcsönadott biztosíték oldala, amely – amennyiben nem az említett ügyletekben használnák fedezetként – az (EU) 2015/61 felhatalmazáson alapuló rendelet 8. cikke szerint likvid eszköznek minősülne; valamint</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lastRenderedPageBreak/>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2.4.5. 2B. szintű magas minőségű fedezett kötvények</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(lakóingatlannal vagy gépjárművel fedezett, 1.hitelminőségi besorolás) (kölcsönadott) cserél 2B. szintű magas minőségű fedezett kötvényekre (kölcsönvett)</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2.4.5.1. Ebből: a cserélt biztosíték teljesíti az operatív követelményeket</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A 2.4.5. tételben szereplő ügyletek közül a hitelintézetek adatot szolgáltatnak a következőkről:</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2.4.6. 2B. szintű eszközfedezetű értékpapír (vállalati vagy háztartási hitel, tagállam, 1. hitelminőségi besorolás)</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 vagy gépjármű, 1. hitelminőségi besorolás) (kölcsönadott) cserél 2B. szintű eszközfedezetű értékpapírokra (vállalati vagy háztartási hitel, tagállam, 1. hitelminőségi besorolás) (kölcsönvett)</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2.4.6.1. Ebből: a cserélt biztosíték teljesíti az operatív követelményeket</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A 2.4.6. tételben szereplő ügyletek közül a hitelintézetek adatot szolgáltatnak a következőkről:</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2.4.7. Egyéb 2B. szint</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(lakóingatlannal vagy gépjárművel fedezett, 1. hitelminőségi besorolás) (kölcsönadott) cserél egyéb 2B. szintű eszközökre (kölcsönvett)</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2.4.7.1. Ebből: a cserélt biztosíték teljesíti az operatív követelményeket</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A 2.4.7. tételben szereplő ügyletek közül a hitelintézetek adatot szolgáltatnak a következőkről:</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kölcsönadott biztosíték oldala, amely – amennyiben nem az említett ügyletekben használnák fedezetként – az (EU) 2015/61 felhatalmazáson alapuló rendelet 8. cikke szerint likvid eszköznek minősülne; valamint</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lastRenderedPageBreak/>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2.4.8. Nem likvid eszközök</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(lakóingatlannal vagy gépjárművel fedezett, 1. hitelminőségi besorolás) (kölcsönadott) cserél nem likvid eszközökre (kölcsönvett)</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2.4.8.1. Ebből: a cserélt biztosíték teljesíti az operatív követelményeket</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2.4.8.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 Azon ügyletek összértéke, amelyekben 2B. szintű rendkívül magas minőségű fedezett kötvényeket adnak kölcsön és a következő biztosítékokat veszik kölcsön:</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Az (EU) 2015/61 felhatalmazáson alapuló rendelet 28. cikkének (4) bekezdése és 32. cikkének (3) bekezdése</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az érintett oszlopokban a biztosítéki csereügyletek teljes értékét kell feltüntetniük olyan ügyletekre vonatkozóan, amelyekben 2B. szintű rendkívül magas minőségű fedezett kötvényeket adnak kölcsön.</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 1. szintű eszközök (a rendkívül magas minőségű fedezett kötvények kivételével)</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a rendkívül magas minőségű fedezett kötvények kivételével 1. szintű eszközökre (kölcsönvett)</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2.5.1.1. Ebből: a cserélt biztosíték teljesíti az operatív követelményeket</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A 2.5.1. tételben szereplő ügyletek közül a hitelintézetek adatot szolgáltatnak a következőkről:</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2.5.2. 1. szintű rendkívül magas minőségű fedezett kötvények</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1. szintű rendkívül magas minőségű fedezett kötvényekre (kölcsönvett)</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2.5.2.1. Ebből: a cserélt biztosíték teljesíti az operatív követelményeket</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A 2.5.2. tételben szereplő ügyletek közül a hitelintézetek adatot szolgáltatnak a következőkről:</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lastRenderedPageBreak/>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2.5.3. 2A. szintű eszközök</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2A. szintű eszközökre (kölcsönvett)</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2.5.3.1. Ebből: a cserélt biztosíték teljesíti az operatív követelményeket</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A 2.5.3. tételben szereplő ügyletek közül a hitelintézetek adatot szolgáltatnak a következőkről:</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2.5.4. 2B. szintű eszközfedezetű értékpapír (lakóingatlan vagy gépjármű, 1. hitelminőségi besorolás)</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2B. szintű eszközfedezetű értékpapírokra (lakóingatlan vagy gépjármű, 1. hitelminőségi besorolás) (kölcsönvett)</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2.5.4.1. Ebből: a cserélt biztosíték teljesíti az operatív követelményeket</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A 2.5.4. tételben szereplő ügyletek közül a hitelintézetek adatot szolgáltatnak a következőkről:</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2.5.5. 2B. szintű magas minőségű fedezett kötvények</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2B. szintű magas minőségű fedezett kötvényekre (kölcsönvett)</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2.5.5.1. Ebből: a cserélt biztosíték teljesíti az operatív követelményeket</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A 2.5.5. tételben szereplő ügyletek közül a hitelintézetek adatot szolgáltatnak a következőkről:</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lastRenderedPageBreak/>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2.5.6. 2B. szintű eszközfedezetű értékpapír (vállalati vagy háztartási hitel, tagállam, 1. hitelminőségi besorolás)</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2B. szintű eszközfedezetű értékpapírokra (vállalati vagy háztartási hitel, tagállam, 1. hitelminőségi besorolás) (kölcsönvett)</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2.5.6.1. Ebből: a cserélt biztosíték teljesíti az operatív követelményeket</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A 2.5.6. tételben szereplő ügyletek közül a hitelintézetek adatot szolgáltatnak a következőkről:</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2.5.7. Egyéb 2B. szint</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egyéb 2B. szintű eszközökre (kölcsönvett)</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2.5.7.1. Ebből: a cserélt biztosíték teljesíti az operatív követelményeket</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A 2.5.7. tételben szereplő ügyletek közül a hitelintézetek adatot szolgáltatnak a következőkről:</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2.5.8. Nem likvid eszközök</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nem likvid eszközökre (kölcsönvett)</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2.5.8.1. Ebből: a cserélt biztosíték teljesíti az operatív követelményeket</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 2.5.8. tételben szereplő ügyletek közül a hitelintézetek adatot szolgáltatnak a kölcsönadott biztosíték oldaláról, amely – amennyiben nem </w:t>
            </w:r>
            <w:r>
              <w:rPr>
                <w:rFonts w:ascii="Times New Roman" w:hAnsi="Times New Roman"/>
                <w:sz w:val="24"/>
              </w:rPr>
              <w:lastRenderedPageBreak/>
              <w:t>az említett ügyletekben használnák fedezetként – az (EU) 2015/61 felhatalmazáson alapuló rendelet 8. cikke szerint likvid eszköznek minősülne.</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lastRenderedPageBreak/>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2.6. Azon ügyletek összértéke, amelyekben 2B. szintű eszközfedezetű értékpapírokat (vállalati vagy háztartási hitel, tagállam, 1. hitelminőségi besorolás) adnak kölcsön és a következő biztosítékokat veszik kölcsön:</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Az (EU) 2015/61 felhatalmazáson alapuló rendelet 28. cikkének (4) bekezdése és 32. cikkének (3) bekezdése</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az érintett oszlopokban a biztosítéki csereügyletek teljes értékét kell feltüntetniük olyan ügyletekre vonatkozóan, amelyekben 2B. szintű eszközfedezetű értékpapírokat (vállalati vagy háztartási hitel, tagállam, 1. hitelminőségi besorolás) adnak kölcsön.</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 1. szintű eszközök (a rendkívül magas minőségű fedezett kötvények kivételével)</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a rendkívül magas minőségű fedezett kötvények kivételével 1. szintű eszközökre (kölcsönvett)</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2.6.1.1. Ebből: a cserélt biztosíték teljesíti az operatív követelményeket</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A 2.6.1. tételben szereplő ügyletek közül a hitelintézetek adatot szolgáltatnak a következőkről:</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2.6.2. 1. szintű rendkívül magas minőségű fedezett kötvények</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1. szintű rendkívül magas minőségű fedezett kötvényekre (kölcsönvett)</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2.6.2.1. Ebből: a cserélt biztosíték teljesíti az operatív követelményeket</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A 2.6.2. tételben szereplő ügyletek közül a hitelintézetek adatot szolgáltatnak a következőkről:</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2.6.3. 2A. szintű eszközök</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Olyan ügyletek, amelyekben az intézmény 2B. szintű eszközfedezetű értékpapírokat (vállalati vagy háztartási hitel, tagállam, 1. hitelminőségi besorolás) (kölcsönadott) cserél 2A. szintű eszközökre (kölcsönvett)</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lastRenderedPageBreak/>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2.6.3.1. Ebből: a cserélt biztosíték teljesíti az operatív követelményeket</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A 2.6.3. tételben szereplő ügyletek közül a hitelintézetek adatot szolgáltatnak a következőkről:</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2.6.4. 2B. szintű eszközfedezetű értékpapír (lakóingatlan vagy gépjármű, 1. hitelminőségi besorolás)</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Olyan ügyletek, amelyekben az intézmény 2B. szintű eszközfedezetű értékpapírokat (vállalati vagy háztartási hitel, tagállam, 1. hitelminőségi besorolás) (kölcsönadott) cserél 2B. szintű eszközfedezetű értékpapírokra (lakóingatlan vagy gépjármű, 1. hitelminőségi </w:t>
            </w:r>
            <w:proofErr w:type="gramStart"/>
            <w:r>
              <w:rPr>
                <w:rFonts w:ascii="Times New Roman" w:hAnsi="Times New Roman"/>
                <w:sz w:val="24"/>
              </w:rPr>
              <w:t>besorolás)(</w:t>
            </w:r>
            <w:proofErr w:type="gramEnd"/>
            <w:r>
              <w:rPr>
                <w:rFonts w:ascii="Times New Roman" w:hAnsi="Times New Roman"/>
                <w:sz w:val="24"/>
              </w:rPr>
              <w:t>kölcsönvett).</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2.6.4.1. Ebből: a cserélt biztosíték teljesíti az operatív követelményeket</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A 2.6.4. tételben szereplő ügyletek közül a hitelintézetek adatot szolgáltatnak a következőkről:</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2.6.5. 2B. szintű magas minőségű fedezett kötvények</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2B. szintű magas minőségű fedezett kötvényekre (kölcsönvett)</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2.6.5.1. Ebből: a cserélt biztosíték teljesíti az operatív követelményeket</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A 2.6.5. tételben szereplő ügyletek közül a hitelintézetek adatot szolgáltatnak a következőkről:</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2.6.6. 2B. szintű eszközfedezetű értékpapír (vállalati vagy háztartási hitel, tagállam, 1. hitelminőségi besorolás)</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 xml:space="preserve">Olyan ügyletek, amelyekben az intézmény 2B. szintű eszközfedezetű értékpapírokat (vállalati vagy háztartási hitel, tagállam, 1. hitelminőségi besorolás) (kölcsönadott) cserél 2B. szintű eszközfedezetű értékpapírokra (vállalati vagy háztartási hitel, tagállam, 1. hitelminőségi </w:t>
            </w:r>
            <w:proofErr w:type="gramStart"/>
            <w:r>
              <w:rPr>
                <w:rFonts w:ascii="Times New Roman" w:hAnsi="Times New Roman"/>
                <w:sz w:val="24"/>
              </w:rPr>
              <w:t>besorolás)(</w:t>
            </w:r>
            <w:proofErr w:type="gramEnd"/>
            <w:r>
              <w:rPr>
                <w:rFonts w:ascii="Times New Roman" w:hAnsi="Times New Roman"/>
                <w:sz w:val="24"/>
              </w:rPr>
              <w:t>kölcsönvett).</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lastRenderedPageBreak/>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2.6.6.1. Ebből: a cserélt biztosíték teljesíti az operatív követelményeket</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A 2.6.6. tételben szereplő ügyletek közül a hitelintézetek adatot szolgáltatnak a következőkről:</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2.6.7. Egyéb 2B. szint</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egyéb 2B. szintű eszközökre (kölcsönvett)</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2.6.7.1. Ebből: a cserélt biztosíték teljesíti az operatív követelményeket</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A 2.6.7. tételben szereplő ügyletek közül a hitelintézetek adatot szolgáltatnak a következőkről:</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2.6.8. Nem likvid eszközök</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nem likvid eszközökre (kölcsönvett)</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2.6.8.1. Ebből: a cserélt biztosíték teljesíti az operatív követelményeket</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2.6.8.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2.7. Azon ügyletek összértéke, amelyekben egyéb 2B. szintű eszközöket adnak kölcsön és a következő biztosítékokat veszik kölcsön:</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Az (EU) 2015/61 felhatalmazáson alapuló rendelet 28. cikkének (4) bekezdése és 32. cikkének (3) bekezdése</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lastRenderedPageBreak/>
              <w:t>A hitelintézeteknek az érintett oszlopokban a biztosítéki csereügyletek teljes értékét kell feltüntetniük olyan ügyletekre vonatkozóan, amelyekben egyéb 2B. szintű eszközöket adnak kölcsön</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lastRenderedPageBreak/>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 1. szintű eszközök (a rendkívül magas minőségű fedezett kötvények kivételével)</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a rendkívül magas minőségű fedezett kötvények kivételével 1. szintű eszközökre (kölcsönvett)</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2.7.1.1. Ebből: a cserélt biztosíték teljesíti az operatív követelményeket</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A 2.7.1. tételben szereplő ügyletek közül a hitelintézetek adatot szolgáltatnak a következőkről:</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2.7.2. 1. szintű rendkívül magas minőségű fedezett kötvények</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1. szintű rendkívül magas minőségű fedezett kötvényekre eszközökre (kölcsönvett)</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2.7.2.1. Ebből: a cserélt biztosíték teljesíti az operatív követelményeket</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A 2.7.2. tételben szereplő ügyletek közül a hitelintézetek adatot szolgáltatnak a következőkről:</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2.7.3. 2A. szintű eszközök</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2A. szintű eszközökre (kölcsönvett)</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2.7.3.1. Ebből: a cserélt biztosíték teljesíti az operatív követelményeket</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A 2.7.3. tételben szereplő ügyletek közül a hitelintézetek adatot szolgáltatnak a következőkről:</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lastRenderedPageBreak/>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2.7.4. 2B. szintű eszközfedezetű értékpapír (lakóingatlan vagy gépjármű, 1. hitelminőségi besorolás)</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2B. szintű eszközfedezetű értékpapírokra (lakóingatlan vagy gépjármű, 1. hitelminőségi besorolás) (kölcsönvett)</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2.7.4.1. Ebből: a cserélt biztosíték teljesíti az operatív követelményeket</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A 2.7.4. tételben szereplő ügyletek közül a hitelintézetek adatot szolgáltatnak a következőkről:</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2.7.5. 2B. szintű magas minőségű fedezett kötvények</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2B. szintű magas minőségű fedezett kötvényekre eszközökre (kölcsönvett)</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2.7.5.1. Ebből: a cserélt biztosíték teljesíti az operatív követelményeket</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A 2.7.5. tételben szereplő ügyletek közül a hitelintézetek adatot szolgáltatnak a következőkről:</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2.7.6. 2B. szintű eszközfedezetű értékpapír (vállalati vagy háztartási hitel, tagállam, 1. hitelminőségi besorolás)</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2B. szintű eszközfedezetű értékpapírokra (vállalati vagy háztartási hitel, tagállam, 1. hitelminőségi besorolás) (kölcsönvett)</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2.7.6.1. Ebből: a cserélt biztosíték teljesíti az operatív követelményeket</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A 2.7.6. tételben szereplő ügyletek közül a hitelintézetek adatot szolgáltatnak a következőkről:</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2.7.7. Egyéb 2B. szint</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Olyan ügyletek, amelyekben az intézmény egyéb 2B. szintű eszközöket (kölcsönadott) cserél egyéb 2B. szintű eszközökre (kölcsönvett)</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lastRenderedPageBreak/>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2.7.7.1. Ebből: a cserélt biztosíték teljesíti az operatív követelményeket</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A 2.7.7. tételben szereplő ügyletek közül a hitelintézetek adatot szolgáltatnak a következőkről:</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2.7.8. Nem likvid eszközök</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nem likvid eszközökre (kölcsönvett)</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2.7.8.1. Ebből: a cserélt biztosíték teljesíti az operatív követelményeket</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2.7.8.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2.8. Azon ügyletek összértéke, amelyekben nem likvid eszközöket adnak kölcsön és a következő biztosítékokat veszik kölcsön:</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sz w:val="24"/>
              </w:rPr>
              <w:t>Az (EU) 2015/61 felhatalmazáson alapuló rendelet 28. cikkének (4) bekezdése és 32. cikkének (3) bekezdése</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az érintett oszlopokban a biztosítéki csereügyletek teljes értékét kell feltüntetniük olyan ügyletekre vonatkozóan, amelyekben nem likvid eszközöket adnak kölcsön.</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 1. szintű eszközök (a rendkívül magas minőségű fedezett kötvények kivételével)</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a rendkívül magas minőségű fedezett kötvények kivételével 1. szintű eszközökre (kölcsönvett)</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2.8.1.1. Ebből: a cserélt biztosíték teljesíti az operatív követelményeket</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2.8.1.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2.8.2. 1. szintű rendkívül magas minőségű fedezett kötvények</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Olyan ügyletek, amelyekben az intézmény nem likvid eszközöket (kölcsönadott) cserél 1. szintű rendkívül magas minőségű fedezett kötvényekre eszközökre (kölcsönvett)</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2.8.2.1. Ebből: a cserélt biztosíték teljesíti az operatív követelményeket</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A 2.8.2.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lastRenderedPageBreak/>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2.8.3. 2A. szintű eszközök</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2A. szintű eszközökre (kölcsönvett)</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2.8.3.1. Ebből: a cserélt biztosíték teljesíti az operatív követelményeket</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2.8.3.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2.8.4. 2B. szintű eszközfedezetű értékpapír (lakóingatlan vagy gépjármű, 1. hitelminőségi besorolás)</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2B. szintű eszközfedezetű értékpapírokra (lakóingatlan vagy gépjármű, 1. hitelminőségi besorolás) (kölcsönvett)</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2.8.4.1. Ebből: a cserélt biztosíték teljesíti az operatív követelményeket</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2.8.4.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2.8.5. 2B. szintű magas minőségű fedezett kötvények</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2B. szintű magas minőségű fedezett kötvényekre (kölcsönvett)</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2.8.5.1. Ebből: a cserélt biztosíték teljesíti az operatív követelményeket</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2.8.5.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2.8.6. 2B. szintű eszközfedezetű értékpapír (vállalati vagy háztartási hitel, tagállam, 1. hitelminőségi besorolás)</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2B. szintű eszközfedezetű értékpapírokra (vállalati vagy háztartási hitel, tagállam, 1. hitelminőségi besorolás) (kölcsönvett)</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2.8.6.1. Ebből: a cserélt biztosíték teljesíti az operatív követelményeket</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2.8.6.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2.8.7. Egyéb 2B. szint</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Olyan ügyletek, amelyekben az intézmény nem likvid eszközöket (kölcsönadott) cserél egyéb 2B. szintű eszközökre (kölcsönvett)</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lastRenderedPageBreak/>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2.8.7.1. Ebből: a cserélt biztosíték teljesíti az operatív követelményeket</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2.8.7.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2.8.8. Nem likvid eszközök</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nem likvid eszközökre (kölcsönvett)</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TÁJÉKOZTATÓ ADATOK</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3. Azon biztosítéki csereügyletek összértéke (minden partner), amelyeknél kölcsönvett biztosítékot használtak a rövid pozíciók fedezésére</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Az intézményeknek itt kell feltüntetniük a fenti sorokban megadott biztosítéki csereügyleteket összesen (minden partner), amelyeknél a kölcsönvett biztosítékot rövid pozíció fedezésére használták, amely esetben 0 %-os kiáramlási arányt alkalmaztak.</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4. Összes biztosítéki csereügylet csoporton belüli partnerekkel</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Az intézményeknek itt a fenti sorokban feltüntetett azon biztosítéki csereügyletek teljes összegét kell megadniuk, amelyeket csoporton belüli partnerekkel folytattak.</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 A 17. cikk (2) és (3) bekezdése alól mentesített biztosítéki csereügyletek</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 hitelintézeteknek itt a legfeljebb 30 napos hátralévő futamidejű biztosítéki csereügyletek azon részét kell megadniuk, amelynél a partner központi bank, és amelynél az érintett ügyletek az (EU) 2015/61 felhatalmazáson alapuló rendelet 17. cikkének (4) bekezdése értelmében mentesülnek a 17. cikk (2) és (3) bekezdésének alkalmazása alól.</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ebből: a kölcsönvett biztosíték 1. szintű eszközökből áll, a rendkívül magas minőségű fedezett kötvények kivételével</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 hitelintézeteknek itt a legfeljebb 30 napos hátralévő futamidejű biztosítéki csereügyletek azon részét kell megadniuk, amelynél a partner központi bank, a kölcsönvett biztosíték 1. szintű biztosíték (a rendkívül magas minőségű fedezett kötvények kivételével)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ebből: a kölcsönvett biztosíték 1. szintű rendkívül magas minőségű fedezett kötvényekből áll</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A hitelintézeteknek itt a legfeljebb 30 napos hátralévő futamidejű biztosítéki csereügyletek azon részét kell megadniuk, amelynél a partner központi bank, a kölcsönvett biztosíték 1. szintű rendkívül magas minőségű fedezett </w:t>
            </w:r>
            <w:r>
              <w:rPr>
                <w:rFonts w:ascii="Times New Roman" w:hAnsi="Times New Roman"/>
                <w:sz w:val="24"/>
              </w:rPr>
              <w:lastRenderedPageBreak/>
              <w:t>kötvény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sz w:val="24"/>
              </w:rPr>
              <w:lastRenderedPageBreak/>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ebből: a kölcsönvett biztosíték 2A. szintű eszközökből áll</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 hitelintézeteknek itt a legfeljebb 30 napos hátralévő futamidejű biztosítéki csereügyletek azon részét kell megadniuk, amelynél a partner központi bank, a kölcsönvett biztosíték 2A. szintű biztosíték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ebből: a kölcsönvett biztosíték 2B. szintű eszközökből áll</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 hitelintézeteknek itt a legfeljebb 30 napos hátralévő futamidejű biztosítéki csereügyletek azon részét kell megadniuk, amelynél a partner központi bank, a kölcsönvett biztosíték 2B. szintű biztosíték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sz w:val="24"/>
              </w:rPr>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ebből: a kölcsönadott biztosíték 1. szintű eszközökből áll, a rendkívül magas minőségű fedezett kötvények kivételével</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 hitelintézeteknek itt a legfeljebb 30 napos hátralévő futamidejű biztosítéki csereügyletek azon részét kell megadniuk, amelynél a partner központi bank, a kölcsönadott biztosíték 1. szintű biztosíték (a rendkívül magas minőségű fedezett kötvények kivételével)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ebből: a kölcsönadott biztosíték 1. szintű rendkívül magas minőségű fedezett kötvényekből áll</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 hitelintézeteknek itt a legfeljebb 30 napos hátralévő futamidejű biztosítéki csereügyletek azon részét kell megadniuk, amelynél a partner központi bank, a kölcsönadott biztosíték 1. szintű rendkívül magas minőségű fedezett kötvény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ebből: a kölcsönadott biztosíték 2A. szintű eszközökből áll</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A hitelintézeteknek itt a legfeljebb 30 napos hátralévő futamidejű biztosítéki csereügyletek azon részét kell megadniuk, amelynél a partner központi bank, a kölcsönadott biztosíték 2A. szintű biztosíték és teljesíti az (EU) 2015/61 felhatalmazáson alapuló rendelet 8. cikkében meghatározott </w:t>
            </w:r>
            <w:r>
              <w:rPr>
                <w:rFonts w:ascii="Times New Roman" w:hAnsi="Times New Roman"/>
                <w:sz w:val="24"/>
              </w:rPr>
              <w:lastRenderedPageBreak/>
              <w:t>operatív követelményeket, és amelynél az érintett ügyletek az (EU) 2015/61 felhatalmazáson alapuló rendelet 17. cikkének (4) bekezdése értelmében mentesülnek a 17. cikk (2) és (3) bekezdésének alkalmazása alól.</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sz w:val="24"/>
              </w:rPr>
              <w:lastRenderedPageBreak/>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ebből: a kölcsönadott biztosíték 2B. szintű eszközökből áll</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 hitelintézeteknek itt a legfeljebb 30 napos hátralévő futamidejű biztosítéki csereügyletek azon részét kell megadniuk, amelynél a partner központi bank, a kölcsönadott biztosíték 2B. szintű biztosíték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5. RÉSZ: SZÁMÍTÁSOK</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rPr>
          <w:rFonts w:ascii="Times New Roman" w:hAnsi="Times New Roman"/>
          <w:sz w:val="24"/>
        </w:rPr>
        <w:tab/>
        <w:t>Számítások</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rPr>
          <w:rFonts w:ascii="Times New Roman" w:hAnsi="Times New Roman"/>
          <w:sz w:val="24"/>
        </w:rPr>
        <w:tab/>
        <w:t>Általános megjegyzések</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rPr>
        <w:t>Ez egy olyan összefoglaló tábla, amely az (EU) 2015/61 felhatalmazáson alapuló rendeletben meghatározott likviditásfedezeti követelményekkel kapcsolatos adatszolgáltatás céljából a számításokra vonatkozó információkat tartalmazza. Szürke szín jelzi azokat a tételeket, amelyeket az intézményeknek nem kell kitölteniük.</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rPr>
          <w:rFonts w:ascii="Times New Roman" w:hAnsi="Times New Roman"/>
          <w:sz w:val="24"/>
        </w:rPr>
        <w:tab/>
        <w:t>Külön megjegyzések</w:t>
      </w:r>
    </w:p>
    <w:p w14:paraId="7ABAF944" w14:textId="45E30863" w:rsidR="00881B4D" w:rsidRPr="000B6B22" w:rsidRDefault="00881B4D">
      <w:pPr>
        <w:pStyle w:val="InstructionsText2"/>
        <w:spacing w:after="120"/>
        <w:rPr>
          <w:rFonts w:cs="Times New Roman"/>
          <w:sz w:val="24"/>
          <w:szCs w:val="24"/>
        </w:rPr>
      </w:pPr>
      <w:r>
        <w:rPr>
          <w:sz w:val="24"/>
        </w:rPr>
        <w:t>A cellákra való hivatkozás formátuma: tábla; sor; oszlop. Például a {C 72.00; r0130; c0040} mező jelentése: likvid eszközök tábla; 0130. sor; 0040. oszlop.</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rPr>
          <w:rFonts w:ascii="Times New Roman" w:hAnsi="Times New Roman"/>
          <w:sz w:val="24"/>
        </w:rPr>
        <w:tab/>
        <w:t>Számításokra vonatkozó altábla – A tábla egyes soraira vonatkozó útmutató</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sz w:val="24"/>
              </w:rPr>
              <w:t>Sor</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Jogszabályi hivatkozások és útmutató</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sz w:val="24"/>
              </w:rPr>
              <w:t>SZÁMÍTÁSOK</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sz w:val="24"/>
              </w:rPr>
              <w:t>Számláló, nevező, ráta</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Az (EU) 2015/61 felhatalmazáson alapuló rendelet 4. cikke</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A likviditásfedezeti ráta számlálója, nevezője, és a ráta.</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Az összes lenti adatot meg kell adni az adott sorhoz tartozó 0010. oszlopban.</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w:t>
            </w:r>
            <w:r>
              <w:rPr>
                <w:rFonts w:ascii="Times New Roman" w:hAnsi="Times New Roman"/>
                <w:sz w:val="24"/>
              </w:rPr>
              <w:t xml:space="preserve"> </w:t>
            </w:r>
            <w:r>
              <w:rPr>
                <w:rFonts w:ascii="Times New Roman" w:hAnsi="Times New Roman"/>
                <w:b/>
                <w:sz w:val="24"/>
              </w:rPr>
              <w:t>Likviditási puffer</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a {C 76.00; r0290; c0010} mezőben lévő értéket kell megadniuk.</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sz w:val="24"/>
              </w:rPr>
              <w:t>2. Nettó likviditáskiáramlás</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a {C 76.00; r0370; c0010} mezőben lévő értéket kell megadniuk.</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sz w:val="24"/>
              </w:rPr>
              <w:t>3. Likviditásfedezeti ráta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az (EU) 2015/61 felhatalmazáson alapuló rendelet 4. cikkének (1) bekezdésében meghatározottak szerint kiszámított likviditásfedezeti rátát kell megadniuk.</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sz w:val="24"/>
              </w:rPr>
              <w:t>A likviditásfedezeti ráta a hitelintézet likviditási pufferének és egy 30 naptári napos stresszidőszak alatti nettó likviditáskiáramlásának százalékos aránya.</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Ha a {C 76.00; r0020; c0010} mező értéke nulla (ami végtelen arányt eredményez), akkor a 999999 értéket kell feltüntetni.</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sz w:val="24"/>
              </w:rPr>
              <w:t>Számláló számítása</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Az (EU) 2015/61 felhatalmazáson alapuló rendelet 17. cikke és I. melléklete</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A likviditási puffer kiszámítására alkalmazandó képlet</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Az összes lenti adatot meg kell adni az adott sorhoz tartozó 0010. oszlopban.</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sz w:val="24"/>
              </w:rPr>
              <w:t>4. 1. szintű (a rendkívül magas minőségű fedezett kötvények kivételével) likviditási puffer (a 9. cikk szerinti érték): kiigazítás nélkül</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lastRenderedPageBreak/>
              <w:t>Az intézményeknek a {C 72.00; r0030; c0040} mezőben lévő értéket kell megadniuk.</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sz w:val="24"/>
              </w:rPr>
              <w:t>5. 1. szintű (a rendkívül magas minőségű fedezett kötvények kivételével) biztosíték, 30 napon belüli kiáramlás</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itt az 1. szintű likvid értékpapírok kiáramlásait kell megadniuk (a rendkívül magas minőségű fedezett kötvények kivételével), bármely, a vonatkozási időponttól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sz w:val="24"/>
              </w:rPr>
              <w:t>6. 1. szintű (a rendkívül magas minőségű fedezett kötvények kivételével) biztosíték, 30 napon belüli beáramlás</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itt az 1. szintű likvid értékpapírok beáramlásait kell megadniuk (a rendkívül magas minőségű fedezett kötvények kivételével), bármely, a vonatkozási időponttól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sz w:val="24"/>
              </w:rPr>
              <w:t>7.</w:t>
            </w:r>
            <w:r>
              <w:rPr>
                <w:rFonts w:ascii="Times New Roman" w:hAnsi="Times New Roman"/>
                <w:sz w:val="24"/>
              </w:rPr>
              <w:t xml:space="preserve"> </w:t>
            </w:r>
            <w:r>
              <w:rPr>
                <w:rFonts w:ascii="Times New Roman" w:hAnsi="Times New Roman"/>
                <w:b/>
                <w:sz w:val="24"/>
              </w:rPr>
              <w:t>Fedezett készpénzkiáramlás</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itt a készpénz (1. szintű eszköz) kiáramlásait kell megadniuk, bármely, a vonatkozási időponttól számított 30 naptári napon belül lejáró fedezett finanszírozási ügylet vagy fedezett kölcsönügylet kifutásakor, kivéve, ha az ügylet az (EU) 2015/61 felhatalmazáson alapuló rendelet 17. cikkének (4) bekezdése alapján mentesített.</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sz w:val="24"/>
              </w:rPr>
              <w:t>8. Fedezett készpénzbeáramlás</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Az intézményeknek itt a készpénz (1. szintű eszköz) beáramlásait kell megadniuk, bármely, a vonatkozási időponttól számított 30 naptári napon belül lejáró fedezett finanszírozási ügylet vagy fedezett kölcsönügylet kifutásakor, kivéve, ha az ügylet az (EU) 2015/61 felhatalmazáson alapuló rendelet 17. cikkének (4) bekezdése alapján mentesített.</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1. szintű (a rendkívül magas minőségű fedezett kötvények kivételével) „kiigazított összeg”</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sz w:val="24"/>
              </w:rPr>
              <w:t>Az I. melléklet 3. pontjának a) alpontja.</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Az intézményeknek a nem fedezett, 1. szintű kötvények kiigazított összegét kell megadniuk a felső korlát alkalmazása előtt.</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A kiigazított összeg figyelembe veszi a vonatkozási időponttól számított 30 naptári napon belül lejáró fedezett finanszírozási ügyletek, fedezett kölcsönügyletek vagy biztosítéki csereügyletek kifutását, kivéve, ha az ügylet az (EU) 2015/61 felhatalmazáson alapuló rendelet 17. cikkének (4) bekezdése alapján mentesített.</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sz w:val="24"/>
              </w:rPr>
              <w:t>10. 1. szintű rendkívül magas minőségű fedezett kötvények 9. cikk szerinti értéke: kiigazítás nélkül</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lastRenderedPageBreak/>
              <w:t>Az intézményeknek a {C 72.00; r0180; c0040} mezőben lévő értéket kell megadniuk.</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lastRenderedPageBreak/>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11. 1. szintű rendkívül magas minőségű fedezett kötvényekből álló biztosíték, 30 napon belüli kiáramlás</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Az intézményeknek itt az 1. szintű rendkívül magas minőségű fedezett kötvények kiáramlásait kell megadniuk, bármely, a vonatkozási időponttól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12. 1. szintű rendkívül magas minőségű fedezett kötvényekből álló biztosíték, 30 napon belüli beáramlás</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Az intézményeknek itt az 1. szintű rendkívül magas minőségű fedezett kötvények beáramlásait kell megadniuk, bármely, a vonatkozási időponttól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sz w:val="24"/>
              </w:rPr>
              <w:t>13.</w:t>
            </w:r>
            <w:r>
              <w:rPr>
                <w:rFonts w:ascii="Times New Roman" w:hAnsi="Times New Roman"/>
                <w:sz w:val="24"/>
              </w:rPr>
              <w:t xml:space="preserve"> </w:t>
            </w:r>
            <w:r>
              <w:rPr>
                <w:rFonts w:ascii="Times New Roman" w:hAnsi="Times New Roman"/>
                <w:b/>
                <w:sz w:val="24"/>
              </w:rPr>
              <w:t>1. szintű rendkívül magas minőségű fedezett kötvények, „kiigazított összeg”</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sz w:val="24"/>
              </w:rPr>
              <w:t>Az I. melléklet 3. pontjának b) alpontja.</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Az intézményeknek a fedezett, 1. szintű kötvények kiigazított összegét kell megadniuk a felső korlát alkalmazása előtt.</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A kiigazított összeg figyelembe veszi a vonatkozási időponttól számított 30 naptári napon belül lejáró fedezett finanszírozási ügyletek, fedezett kölcsönügyletek vagy biztosítéki csereügyletek kifutását, kivéve, ha az ügylet az (EU) 2015/61 felhatalmazáson alapuló rendelet 17. cikkének (4) bekezdése alapján mentesített.</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sz w:val="24"/>
              </w:rPr>
              <w:t>14. 2A. szintű érték a 9. cikk szerint: kiigazítás nélkül</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a {C 72.00; r0230; c0040} mezőben lévő értéket kell megadniuk.</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sz w:val="24"/>
              </w:rPr>
              <w:t>15. 2A. szintű biztosíték, 30 napon belüli kiáramlás</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itt a 2A. szintű likvid eszközök kiáramlásait kell megadniuk, bármely, a számítás időpontjától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sz w:val="24"/>
              </w:rPr>
              <w:t>16. 2A. szintű biztosíték, 30 napon belüli beáramlás</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Az intézményeknek itt a 2A. szintű likvid eszközök beáramlásait kell megadniuk, bármely, a számítás időpontjától számított 30 naptári napon belül lejáró fedezett finanszírozási ügylet, fedezett kölcsönügylet vagy biztosítéki csereügylet kifutásakor, kivéve, ha az ügylet az (EU) 2015/61 </w:t>
            </w:r>
            <w:r>
              <w:rPr>
                <w:rFonts w:ascii="Times New Roman" w:hAnsi="Times New Roman"/>
                <w:sz w:val="24"/>
              </w:rPr>
              <w:lastRenderedPageBreak/>
              <w:t>felhatalmazáson alapuló rendelet 17. cikkének (4) bekezdése alapján mentesített.</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lastRenderedPageBreak/>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sz w:val="24"/>
              </w:rPr>
              <w:t>17. 2A. szintű „kiigazított összeg”</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sz w:val="24"/>
              </w:rPr>
              <w:t>Az I. melléklet 3. pontjának c) alpontja.</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Az intézményeknek a 2A. szintű eszközök kiigazított összegét kell megadniuk a felső korlát alkalmazása előtt.</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A kiigazított összeg figyelembe veszi a számítás időpontjától számított 30 naptári napon belül lejáró fedezett finanszírozási ügyletek, fedezett kölcsönügyletek vagy biztosítéki csereügyletek kifutását, kivéve, ha az ügylet az (EU) 2015/61 felhatalmazáson alapuló rendelet 17. cikkének (4) bekezdése alapján mentesített.</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sz w:val="24"/>
              </w:rPr>
              <w:t>18. 2B. szintű érték a 9. cikk szerint: kiigazítás nélkül</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a {C 72.00; r0310; c0040} mezőben lévő értéket kell megadniuk.</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sz w:val="24"/>
              </w:rPr>
              <w:t>19.</w:t>
            </w:r>
            <w:r>
              <w:rPr>
                <w:rFonts w:ascii="Times New Roman" w:hAnsi="Times New Roman"/>
                <w:sz w:val="24"/>
              </w:rPr>
              <w:t xml:space="preserve"> </w:t>
            </w:r>
            <w:r>
              <w:rPr>
                <w:rFonts w:ascii="Times New Roman" w:hAnsi="Times New Roman"/>
                <w:b/>
                <w:sz w:val="24"/>
              </w:rPr>
              <w:t>2B. szintű biztosíték, 30 napon belüli kiáramlás</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itt a 2B. szintű likvid eszközök kiáramlásait kell megadniuk, bármely, a számítás időpontjától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sz w:val="24"/>
              </w:rPr>
              <w:t>20. 2B. szintű biztosíték, 30 napon belüli beáramlás</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itt a 2B. szintű likvid eszközök beáramlásait kell megadniuk, bármely, a számítás időpontjától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sz w:val="24"/>
              </w:rPr>
              <w:t>21. 2B. szintű „kiigazított összeg”</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sz w:val="24"/>
              </w:rPr>
              <w:t>Az I. melléklet 3. pontjának d) alpontja.</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Az intézményeknek a 2B. szintű eszközök kiigazított összegét kell megadniuk a felső korlát alkalmazása előtt.</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A kiigazított összeg figyelembe veszi a számítás időpontjától számított 30 naptári napon belül lejáró fedezett finanszírozási ügyletek, fedezett kölcsönügyletek vagy biztosítéki csereügyletek kifutását, kivéve, ha az ügylet az (EU) 2015/61 felhatalmazáson alapuló rendelet 17. cikkének (4) bekezdése alapján mentesített.</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sz w:val="24"/>
              </w:rPr>
              <w:t>22. Likvideszköztöbblet összege</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I. melléklet 4. pont</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Az intézményeknek a „likvideszköztöbblet összegét” kell megadniuk; ez az összeg egyenlő:</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 a nem fedezett, 1. szintű kötvények kiigazított összege; plusz</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lastRenderedPageBreak/>
              <w:t>b) a fedezett, 1. szintű kötvények kiigazított összege; plusz</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 a 2A. szintű eszközök kiigazított összege; plusz</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a 2B. szintű eszközök kiigazított összege;</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csökkentve az alábbiak közül a kisebb összegűvel:</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a), b), c) és d) összege;</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f) 100/30 ×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g) 100/60 × a) és b) összege;</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h) 100/85 × a), b) és c) összege.</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lastRenderedPageBreak/>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sz w:val="24"/>
              </w:rPr>
              <w:t>23. LIKVIDITÁSI PUFFER</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I. melléklet 2. pont</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Az intézményeknek a likviditási puffert kell megadniuk, amely egyenlő:</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 az 1. szintű eszközök összege; plusz</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b) a 2A. szintű eszközök összege; plusz</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 a 2B. szintű eszközök összege;</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csökkentve az alábbiak közül a kisebb összegűvel:</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a), b) és c) összege; vagy</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a „likvideszköztöbblet” összege.</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sz w:val="24"/>
              </w:rPr>
              <w:t>Nevező számítása</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Az (EU) 2015/61 felhatalmazáson alapuló rendelet II. melléklete</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A nettó likviditáskiáramlás kiszámítására alkalmazandó képletek</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ahol:</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Nettó likviditáskiáramlás</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Összes kiáramlás</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Összes beáramlás</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Teljes egészükben mentesített beáramlások</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Beáramlások a kiáramlások 90 %-ának megfelelő, magasabb felső korláttal</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Beáramlások a kiáramlások 75 %-ának megfelelő felső korláttal</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Az intézményeknek az összes lenti adatot meg kell adniuk az adott sorhoz tartozó 0010. oszlopban.</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24. Összes kiáramlás</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sz w:val="24"/>
              </w:rPr>
              <w:t>TO = a kiáramlás táblájából</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Az intézményeknek a {C 73.00; r0010; c0060} mezőben lévő értéket kell megadniuk.</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25. Teljesen mentesített beáramlások</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sz w:val="24"/>
              </w:rPr>
              <w:t>FEI = a beáramlások táblájából</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lastRenderedPageBreak/>
              <w:t>Az intézményeknek a {C 74.00; r0010; c0160} mezőben lévő értéket kell megadniuk.</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lastRenderedPageBreak/>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26. 90 %-os felső korlát alá tartozó beáramlások</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sz w:val="24"/>
              </w:rPr>
              <w:t>IHC = a beáramlások táblájából</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Az intézményeknek a {C 74.00; r0010; c0150} mezőben lévő értéket kell megadniuk.</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27. 75 %-os felső korlát alá tartozó beáramlások</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sz w:val="24"/>
              </w:rPr>
              <w:t>IC = a beáramlások táblájából</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Az intézményeknek a {C 74.00; r0010; c0140} mezőben lévő értéket kell megadniuk.</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28. A teljesen mentesített beáramlások miatti csökkentés</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sz w:val="24"/>
              </w:rPr>
              <w:t>Az intézményeknek a nettó likviditáskiáramlás (NLO) számításának a következő részét kell megadniuk:</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29. 90 %-os felső korlát alá tartozó beáramlások miatti csökkentés</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sz w:val="24"/>
              </w:rPr>
              <w:t>Az intézményeknek a nettó likviditáskiáramlás (NLO) számításának a következő részét kell megadniuk:</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sz w:val="24"/>
              </w:rPr>
              <w:t>= MIN (IHC, 0.9*</w:t>
            </w:r>
            <w:proofErr w:type="gramStart"/>
            <w:r>
              <w:rPr>
                <w:rFonts w:ascii="Times New Roman" w:hAnsi="Times New Roman"/>
                <w:sz w:val="24"/>
              </w:rPr>
              <w:t>MAX(</w:t>
            </w:r>
            <w:proofErr w:type="gramEnd"/>
            <w:r>
              <w:rPr>
                <w:rFonts w:ascii="Times New Roman" w:hAnsi="Times New Roman"/>
                <w:sz w:val="24"/>
              </w:rPr>
              <w:t>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30. 75 %-os felső korlát alá tartozó beáramlások miatti csökkentés</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sz w:val="24"/>
              </w:rPr>
              <w:t>Az intézményeknek a nettó likviditáskiáramlás (NLO) számításának a következő részét kell megadniuk:</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sz w:val="24"/>
              </w:rPr>
              <w:t>= MIN (IC, 0.75*</w:t>
            </w:r>
            <w:proofErr w:type="gramStart"/>
            <w:r>
              <w:rPr>
                <w:rFonts w:ascii="Times New Roman" w:hAnsi="Times New Roman"/>
                <w:sz w:val="24"/>
              </w:rPr>
              <w:t>MAX(</w:t>
            </w:r>
            <w:proofErr w:type="gramEnd"/>
            <w:r>
              <w:rPr>
                <w:rFonts w:ascii="Times New Roman" w:hAnsi="Times New Roman"/>
                <w:sz w:val="24"/>
              </w:rPr>
              <w:t>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31. NETTÓ LIKVIDITÁSKIÁRAMLÁS</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Az intézményeknek a likviditási puffert kell megadniuk, amely egyenlő: a teljes kiáramlás mínusz a felső korlát alól teljesen mentesített beáramlások miatti csökkentés, mínusz a 90 %-os felső korlát alá tartozó beáramlások miatti csökkentés, mínusz a 75 %-os felső korlát alá tartozó beáramlások miatti csökkentés.</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 xml:space="preserve">NLO = TO — </w:t>
            </w:r>
            <w:proofErr w:type="gramStart"/>
            <w:r>
              <w:rPr>
                <w:rFonts w:ascii="Times New Roman" w:hAnsi="Times New Roman"/>
                <w:sz w:val="24"/>
              </w:rPr>
              <w:t>MIN(</w:t>
            </w:r>
            <w:proofErr w:type="gramEnd"/>
            <w:r>
              <w:rPr>
                <w:rFonts w:ascii="Times New Roman" w:hAnsi="Times New Roman"/>
                <w:sz w:val="24"/>
              </w:rPr>
              <w:t>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sz w:val="24"/>
              </w:rPr>
              <w:t>2. pillér</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32. 2. PILLÉR SZERINTI KÖVETELMÉNYEK</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sz w:val="24"/>
              </w:rPr>
              <w:t>A CRR 105. cikke</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sz w:val="24"/>
              </w:rPr>
              <w:t xml:space="preserve">Az </w:t>
            </w:r>
            <w:proofErr w:type="spellStart"/>
            <w:r>
              <w:rPr>
                <w:rFonts w:ascii="Times New Roman" w:hAnsi="Times New Roman"/>
                <w:sz w:val="24"/>
              </w:rPr>
              <w:t>intézmáényeknek</w:t>
            </w:r>
            <w:proofErr w:type="spellEnd"/>
            <w:r>
              <w:rPr>
                <w:rFonts w:ascii="Times New Roman" w:hAnsi="Times New Roman"/>
                <w:sz w:val="24"/>
              </w:rPr>
              <w:t xml:space="preserve"> a 2. pillér szerinti követelményt kell feltüntetniük.</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6. RÉSZ: A KONSZOLIDÁCIÓ KÖRE</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lastRenderedPageBreak/>
        <w:t>1.</w:t>
      </w:r>
      <w:r>
        <w:rPr>
          <w:rFonts w:ascii="Times New Roman" w:hAnsi="Times New Roman"/>
          <w:sz w:val="24"/>
        </w:rPr>
        <w:tab/>
        <w:t>A konszolidáció köre</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rPr>
          <w:rFonts w:ascii="Times New Roman" w:hAnsi="Times New Roman"/>
          <w:sz w:val="24"/>
        </w:rPr>
        <w:tab/>
        <w:t>Általános megjegyzések</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rPr>
        <w:t>Ez a tábla azokat a jogalanyokat azonosítja – kizárólag a konszolidált szintű likviditásfedezeti követelmény céljaira –, amelyekre a C 72.00, C 73.00, C 74.00, C 75.01 és C 76.00 táblában megadott információk vonatkoznak. Ez a tábla az összes olyan jogalanyt azonosítja, amely az 575/2013/EU rendelet 8. és 10. cikkének, valamint 11. cikke (3) és (5) bekezdésének megfelelően a likviditásfedezeti mutató konszolidációs körének részét képezi. A táblában annyi sort kell feltüntetni, ahány jogalany a konszolidációs körön belül van.</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rPr>
          <w:rFonts w:ascii="Times New Roman" w:hAnsi="Times New Roman"/>
          <w:sz w:val="24"/>
        </w:rPr>
        <w:tab/>
        <w:t>A tábla egyes oszlopaira vonatkozó útmutató</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Oszlop</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Jogszabályi hivatkozások és útmutató</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sz w:val="24"/>
              </w:rPr>
              <w:t>Anyavállalat vagy leányvállalat</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sz w:val="24"/>
              </w:rPr>
              <w:t>A sorban „</w:t>
            </w:r>
            <w:proofErr w:type="gramStart"/>
            <w:r>
              <w:rPr>
                <w:rFonts w:ascii="Times New Roman" w:hAnsi="Times New Roman"/>
                <w:sz w:val="24"/>
              </w:rPr>
              <w:t>Anyavállalat”-</w:t>
            </w:r>
            <w:proofErr w:type="gramEnd"/>
            <w:r>
              <w:rPr>
                <w:rFonts w:ascii="Times New Roman" w:hAnsi="Times New Roman"/>
                <w:sz w:val="24"/>
              </w:rPr>
              <w:t>ot kell feltüntetni, ha a sorban szereplő jogalany:</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az 575/2013/EU rendelet 11. cikkének (3) bekezdése szerinti EU-szintű anyaintézmény, EU-szintű pénzügyi holding társaság anyavállalat vagy EU-szintű vegyes pénzügyi holding társaság anyavállalat;</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sz w:val="24"/>
              </w:rPr>
              <w:t>olyan anya- vagy leányvállalat intézmény, amely az 575/2013/EU rendelet 8. cikke alapján egyetlen likviditási alcsoport keretében köteles megfelelni – összevont vagy szubkonszolidált alapon – a likviditásfedezeti követelménynek;</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olyan érintett intézmény, amely az 575/2013/EU rendelet 11. cikkének (5) bekezdése alapján szubkonszolidált alapon köteles megfelelni a likviditásfedezeti követelménynek;</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az EU központi intézménye.</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sz w:val="24"/>
              </w:rPr>
              <w:t>A többi sorban „</w:t>
            </w:r>
            <w:proofErr w:type="gramStart"/>
            <w:r>
              <w:rPr>
                <w:rFonts w:ascii="Times New Roman" w:hAnsi="Times New Roman"/>
                <w:sz w:val="24"/>
              </w:rPr>
              <w:t>Leányvállalat”-</w:t>
            </w:r>
            <w:proofErr w:type="gramEnd"/>
            <w:r>
              <w:rPr>
                <w:rFonts w:ascii="Times New Roman" w:hAnsi="Times New Roman"/>
                <w:sz w:val="24"/>
              </w:rPr>
              <w:t>ot kell feltüntetni.</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sz w:val="24"/>
              </w:rPr>
              <w:t>Név</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A 0010. oszlopban a konszolidációs körbe tartozó jogalanyok nevét kell megadni.</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sz w:val="24"/>
              </w:rPr>
              <w:t>Kód</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A sorazonosító részét képező kódnak minden egyes jelentett jogalany esetében egyedinek kell lennie. Intézmények és biztosítók esetében a kód a LEI-kód. Más jogalanyok esetében a kód a LEI-kód, vagy ha nem áll rendelkezésre, a nemzeti kód. A kódnak egyedinek kell lennie, és azt (időben is) következetesen kell használni a táblákban. A kódot mindig meg kell adni.</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sz w:val="24"/>
              </w:rPr>
              <w:t>Kódtípus</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sz w:val="24"/>
              </w:rPr>
              <w:t>Az intézményeknek a 0020. oszlopban feltüntetett kód típusát kell megadniuk („LEI-kód” vagy „Nem LEI-kód”).</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sz w:val="24"/>
              </w:rPr>
              <w:t>A kód típusát mindig meg kell adni.</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sz w:val="24"/>
              </w:rPr>
              <w:t>Nemzeti kód</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sz w:val="24"/>
                <w:u w:val="none"/>
              </w:rPr>
              <w:lastRenderedPageBreak/>
              <w:t>Az intézmények kiegészítő jelleggel megadhatják a nemzeti kódot is, ha a „Kód” oszlopban a LEI-kódot tüntetik fel.</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lastRenderedPageBreak/>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sz w:val="24"/>
              </w:rPr>
              <w:t>Országkód</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sz w:val="24"/>
              </w:rPr>
              <w:t>A 0020. oszlopban a konszolidációs körbe tartozó jogalanyok bejegyzés szerinti országának ISO 3166-1-alpha-2 kódját kell megadni.</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sz w:val="24"/>
              </w:rPr>
              <w:t>A jogalany típusa</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sz w:val="24"/>
              </w:rPr>
              <w:t>A 0010. oszlopban feltüntetett jogalanyokhoz a jogi formájuknak megfelelő jogalanytípust kell rendelni a következő lista alapján:</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sz w:val="24"/>
              </w:rPr>
              <w:t>„Hitelintézet”;</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sz w:val="24"/>
              </w:rPr>
              <w:t>„Befektetési vállalkozás”;</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sz w:val="24"/>
              </w:rPr>
              <w:t>„Egyéb”.</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9995C" w14:textId="77777777" w:rsidR="00394E3F" w:rsidRDefault="00394E3F" w:rsidP="0011588D">
      <w:pPr>
        <w:spacing w:before="0" w:after="0"/>
      </w:pPr>
      <w:r>
        <w:separator/>
      </w:r>
    </w:p>
  </w:endnote>
  <w:endnote w:type="continuationSeparator" w:id="0">
    <w:p w14:paraId="55B533DF" w14:textId="77777777" w:rsidR="00394E3F" w:rsidRDefault="00394E3F" w:rsidP="0011588D">
      <w:pPr>
        <w:spacing w:before="0" w:after="0"/>
      </w:pPr>
      <w:r>
        <w:continuationSeparator/>
      </w:r>
    </w:p>
  </w:endnote>
  <w:endnote w:type="continuationNotice" w:id="1">
    <w:p w14:paraId="76F937A9" w14:textId="77777777" w:rsidR="00394E3F" w:rsidRDefault="00394E3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sidRPr="000B6B22">
          <w:rPr>
            <w:rFonts w:ascii="Times New Roman" w:hAnsi="Times New Roman"/>
            <w:sz w:val="24"/>
          </w:rPr>
          <w:fldChar w:fldCharType="begin"/>
        </w:r>
        <w:r w:rsidRPr="000B6B22">
          <w:rPr>
            <w:rFonts w:ascii="Times New Roman" w:hAnsi="Times New Roman"/>
            <w:sz w:val="24"/>
          </w:rPr>
          <w:instrText xml:space="preserve"> PAGE   \* MERGEFORMAT </w:instrText>
        </w:r>
        <w:r w:rsidRPr="000B6B22">
          <w:rPr>
            <w:rFonts w:ascii="Times New Roman" w:hAnsi="Times New Roman"/>
            <w:sz w:val="24"/>
          </w:rPr>
          <w:fldChar w:fldCharType="separate"/>
        </w:r>
        <w:r w:rsidR="00D638D6">
          <w:rPr>
            <w:rFonts w:ascii="Times New Roman" w:hAnsi="Times New Roman"/>
            <w:sz w:val="24"/>
          </w:rPr>
          <w:t>137</w:t>
        </w:r>
        <w:r w:rsidRPr="000B6B22">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81F1B" w14:textId="77777777" w:rsidR="00394E3F" w:rsidRDefault="00394E3F" w:rsidP="0011588D">
      <w:pPr>
        <w:spacing w:before="0" w:after="0"/>
      </w:pPr>
      <w:r>
        <w:separator/>
      </w:r>
    </w:p>
  </w:footnote>
  <w:footnote w:type="continuationSeparator" w:id="0">
    <w:p w14:paraId="19D0F8A1" w14:textId="77777777" w:rsidR="00394E3F" w:rsidRDefault="00394E3F" w:rsidP="0011588D">
      <w:pPr>
        <w:spacing w:before="0" w:after="0"/>
      </w:pPr>
      <w:r>
        <w:continuationSeparator/>
      </w:r>
    </w:p>
  </w:footnote>
  <w:footnote w:type="continuationNotice" w:id="1">
    <w:p w14:paraId="05A176CA" w14:textId="77777777" w:rsidR="00394E3F" w:rsidRDefault="00394E3F">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color w:val="444444"/>
        </w:rPr>
        <w:t>A Bizottság (EU) 2015/61 felhatalmazáson alapuló rendelete (2014. október 10.) az 575/2013/EU európai parlamenti és tanácsi rendeletnek a hitelintézetekre vonatkozó likviditásfedezeti követelmények tekintetében történő kiegészítéséről (HL L 11., 2015.1.17., 1. o.).</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A biztosítéki csereügyleteket a XXIV. melléklet C 75.01 táblájában is fel kell tüntetni.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1551067461">
    <w:abstractNumId w:val="38"/>
  </w:num>
  <w:num w:numId="2" w16cid:durableId="2112898266">
    <w:abstractNumId w:val="18"/>
  </w:num>
  <w:num w:numId="3" w16cid:durableId="1678342460">
    <w:abstractNumId w:val="37"/>
  </w:num>
  <w:num w:numId="4" w16cid:durableId="43724219">
    <w:abstractNumId w:val="15"/>
  </w:num>
  <w:num w:numId="5" w16cid:durableId="2141411253">
    <w:abstractNumId w:val="11"/>
  </w:num>
  <w:num w:numId="6" w16cid:durableId="1027759080">
    <w:abstractNumId w:val="14"/>
  </w:num>
  <w:num w:numId="7" w16cid:durableId="1533037624">
    <w:abstractNumId w:val="41"/>
  </w:num>
  <w:num w:numId="8" w16cid:durableId="204147949">
    <w:abstractNumId w:val="4"/>
  </w:num>
  <w:num w:numId="9" w16cid:durableId="946813660">
    <w:abstractNumId w:val="21"/>
  </w:num>
  <w:num w:numId="10" w16cid:durableId="1271082125">
    <w:abstractNumId w:val="12"/>
  </w:num>
  <w:num w:numId="11" w16cid:durableId="612981111">
    <w:abstractNumId w:val="42"/>
  </w:num>
  <w:num w:numId="12" w16cid:durableId="2003922623">
    <w:abstractNumId w:val="44"/>
  </w:num>
  <w:num w:numId="13" w16cid:durableId="1679582551">
    <w:abstractNumId w:val="30"/>
  </w:num>
  <w:num w:numId="14" w16cid:durableId="41057401">
    <w:abstractNumId w:val="17"/>
  </w:num>
  <w:num w:numId="15" w16cid:durableId="1109356582">
    <w:abstractNumId w:val="6"/>
  </w:num>
  <w:num w:numId="16" w16cid:durableId="584538735">
    <w:abstractNumId w:val="7"/>
  </w:num>
  <w:num w:numId="17" w16cid:durableId="1234045163">
    <w:abstractNumId w:val="28"/>
  </w:num>
  <w:num w:numId="18" w16cid:durableId="362479790">
    <w:abstractNumId w:val="33"/>
  </w:num>
  <w:num w:numId="19" w16cid:durableId="1948652574">
    <w:abstractNumId w:val="29"/>
  </w:num>
  <w:num w:numId="20" w16cid:durableId="1340736189">
    <w:abstractNumId w:val="27"/>
  </w:num>
  <w:num w:numId="21" w16cid:durableId="718170714">
    <w:abstractNumId w:val="13"/>
  </w:num>
  <w:num w:numId="22" w16cid:durableId="874120147">
    <w:abstractNumId w:val="8"/>
  </w:num>
  <w:num w:numId="23" w16cid:durableId="1074744714">
    <w:abstractNumId w:val="39"/>
  </w:num>
  <w:num w:numId="24" w16cid:durableId="1747922121">
    <w:abstractNumId w:val="36"/>
  </w:num>
  <w:num w:numId="25" w16cid:durableId="1765686984">
    <w:abstractNumId w:val="1"/>
  </w:num>
  <w:num w:numId="26" w16cid:durableId="496111428">
    <w:abstractNumId w:val="31"/>
  </w:num>
  <w:num w:numId="27" w16cid:durableId="1525434677">
    <w:abstractNumId w:val="35"/>
  </w:num>
  <w:num w:numId="28" w16cid:durableId="1756320401">
    <w:abstractNumId w:val="0"/>
  </w:num>
  <w:num w:numId="29" w16cid:durableId="1484156137">
    <w:abstractNumId w:val="26"/>
  </w:num>
  <w:num w:numId="30" w16cid:durableId="566499271">
    <w:abstractNumId w:val="19"/>
  </w:num>
  <w:num w:numId="31" w16cid:durableId="903679365">
    <w:abstractNumId w:val="25"/>
  </w:num>
  <w:num w:numId="32" w16cid:durableId="1877738517">
    <w:abstractNumId w:val="34"/>
    <w:lvlOverride w:ilvl="0">
      <w:startOverride w:val="1"/>
    </w:lvlOverride>
    <w:lvlOverride w:ilvl="1"/>
    <w:lvlOverride w:ilvl="2"/>
    <w:lvlOverride w:ilvl="3"/>
    <w:lvlOverride w:ilvl="4"/>
    <w:lvlOverride w:ilvl="5"/>
    <w:lvlOverride w:ilvl="6"/>
    <w:lvlOverride w:ilvl="7"/>
    <w:lvlOverride w:ilvl="8"/>
  </w:num>
  <w:num w:numId="33" w16cid:durableId="196698732">
    <w:abstractNumId w:val="18"/>
    <w:lvlOverride w:ilvl="0">
      <w:startOverride w:val="1"/>
    </w:lvlOverride>
  </w:num>
  <w:num w:numId="34" w16cid:durableId="1033728503">
    <w:abstractNumId w:val="16"/>
  </w:num>
  <w:num w:numId="35" w16cid:durableId="931662555">
    <w:abstractNumId w:val="23"/>
  </w:num>
  <w:num w:numId="36" w16cid:durableId="118231054">
    <w:abstractNumId w:val="43"/>
  </w:num>
  <w:num w:numId="37" w16cid:durableId="1434521656">
    <w:abstractNumId w:val="24"/>
  </w:num>
  <w:num w:numId="38" w16cid:durableId="817379142">
    <w:abstractNumId w:val="2"/>
  </w:num>
  <w:num w:numId="39" w16cid:durableId="1846826893">
    <w:abstractNumId w:val="20"/>
  </w:num>
  <w:num w:numId="40" w16cid:durableId="1212962993">
    <w:abstractNumId w:val="5"/>
  </w:num>
  <w:num w:numId="41" w16cid:durableId="874659513">
    <w:abstractNumId w:val="3"/>
  </w:num>
  <w:num w:numId="42" w16cid:durableId="1057168869">
    <w:abstractNumId w:val="9"/>
  </w:num>
  <w:num w:numId="43" w16cid:durableId="1292173517">
    <w:abstractNumId w:val="40"/>
  </w:num>
  <w:num w:numId="44" w16cid:durableId="1584489638">
    <w:abstractNumId w:val="10"/>
  </w:num>
  <w:num w:numId="45" w16cid:durableId="1610234210">
    <w:abstractNumId w:val="32"/>
  </w:num>
  <w:num w:numId="46" w16cid:durableId="1743672582">
    <w:abstractNumId w:val="45"/>
  </w:num>
  <w:num w:numId="47" w16cid:durableId="1202866328">
    <w:abstractNumId w:val="22"/>
  </w:num>
  <w:num w:numId="48" w16cid:durableId="1777865230">
    <w:abstractNumId w:val="18"/>
  </w:num>
  <w:num w:numId="49" w16cid:durableId="789276655">
    <w:abstractNumId w:val="38"/>
  </w:num>
  <w:num w:numId="50" w16cid:durableId="1596865220">
    <w:abstractNumId w:val="38"/>
  </w:num>
  <w:num w:numId="51" w16cid:durableId="1654677182">
    <w:abstractNumId w:val="38"/>
  </w:num>
  <w:num w:numId="52" w16cid:durableId="551623847">
    <w:abstractNumId w:val="38"/>
  </w:num>
  <w:num w:numId="53" w16cid:durableId="1876262524">
    <w:abstractNumId w:val="38"/>
  </w:num>
  <w:num w:numId="54" w16cid:durableId="788822316">
    <w:abstractNumId w:val="38"/>
  </w:num>
  <w:num w:numId="55" w16cid:durableId="1661619841">
    <w:abstractNumId w:val="38"/>
  </w:num>
  <w:num w:numId="56" w16cid:durableId="2006351782">
    <w:abstractNumId w:val="38"/>
  </w:num>
  <w:num w:numId="57" w16cid:durableId="789127820">
    <w:abstractNumId w:val="38"/>
  </w:num>
  <w:num w:numId="58" w16cid:durableId="273827296">
    <w:abstractNumId w:val="18"/>
  </w:num>
  <w:num w:numId="59" w16cid:durableId="1564100435">
    <w:abstractNumId w:val="18"/>
  </w:num>
  <w:num w:numId="60" w16cid:durableId="1665429341">
    <w:abstractNumId w:val="18"/>
  </w:num>
  <w:num w:numId="61" w16cid:durableId="1468669341">
    <w:abstractNumId w:val="18"/>
  </w:num>
  <w:num w:numId="62" w16cid:durableId="50152152">
    <w:abstractNumId w:val="18"/>
  </w:num>
  <w:num w:numId="63" w16cid:durableId="1220020936">
    <w:abstractNumId w:val="18"/>
  </w:num>
  <w:num w:numId="64" w16cid:durableId="873663958">
    <w:abstractNumId w:val="18"/>
  </w:num>
  <w:num w:numId="65" w16cid:durableId="919488472">
    <w:abstractNumId w:val="18"/>
  </w:num>
  <w:num w:numId="66" w16cid:durableId="358162696">
    <w:abstractNumId w:val="18"/>
  </w:num>
  <w:num w:numId="67" w16cid:durableId="1578978298">
    <w:abstractNumId w:val="18"/>
  </w:num>
  <w:num w:numId="68" w16cid:durableId="246958959">
    <w:abstractNumId w:val="18"/>
  </w:num>
  <w:num w:numId="69" w16cid:durableId="1491092965">
    <w:abstractNumId w:val="18"/>
  </w:num>
  <w:num w:numId="70" w16cid:durableId="1272978368">
    <w:abstractNumId w:val="18"/>
  </w:num>
  <w:num w:numId="71" w16cid:durableId="392049721">
    <w:abstractNumId w:val="18"/>
  </w:num>
  <w:num w:numId="72" w16cid:durableId="501968400">
    <w:abstractNumId w:val="18"/>
  </w:num>
  <w:num w:numId="73" w16cid:durableId="744187066">
    <w:abstractNumId w:val="18"/>
  </w:num>
  <w:num w:numId="74" w16cid:durableId="822743711">
    <w:abstractNumId w:val="18"/>
  </w:num>
  <w:num w:numId="75" w16cid:durableId="1531145333">
    <w:abstractNumId w:val="18"/>
  </w:num>
  <w:num w:numId="76" w16cid:durableId="1181431570">
    <w:abstractNumId w:val="18"/>
  </w:num>
  <w:num w:numId="77" w16cid:durableId="1528835249">
    <w:abstractNumId w:val="18"/>
  </w:num>
  <w:num w:numId="78" w16cid:durableId="1316225421">
    <w:abstractNumId w:val="18"/>
  </w:num>
  <w:num w:numId="79" w16cid:durableId="1255436144">
    <w:abstractNumId w:val="18"/>
  </w:num>
  <w:num w:numId="80" w16cid:durableId="1978796540">
    <w:abstractNumId w:val="18"/>
  </w:num>
  <w:num w:numId="81" w16cid:durableId="1011495344">
    <w:abstractNumId w:val="18"/>
  </w:num>
  <w:num w:numId="82" w16cid:durableId="369650014">
    <w:abstractNumId w:val="18"/>
  </w:num>
  <w:num w:numId="83" w16cid:durableId="1295679054">
    <w:abstractNumId w:val="18"/>
  </w:num>
  <w:num w:numId="84" w16cid:durableId="850535628">
    <w:abstractNumId w:val="18"/>
  </w:num>
  <w:num w:numId="85" w16cid:durableId="1268200475">
    <w:abstractNumId w:val="18"/>
  </w:num>
  <w:num w:numId="86" w16cid:durableId="1968243256">
    <w:abstractNumId w:val="18"/>
  </w:num>
  <w:num w:numId="87" w16cid:durableId="1706566045">
    <w:abstractNumId w:val="18"/>
  </w:num>
  <w:num w:numId="88" w16cid:durableId="2099593735">
    <w:abstractNumId w:val="18"/>
  </w:num>
  <w:num w:numId="89" w16cid:durableId="709913286">
    <w:abstractNumId w:val="18"/>
  </w:num>
  <w:num w:numId="90" w16cid:durableId="753937751">
    <w:abstractNumId w:val="18"/>
  </w:num>
  <w:num w:numId="91" w16cid:durableId="906497969">
    <w:abstractNumId w:val="18"/>
  </w:num>
  <w:num w:numId="92" w16cid:durableId="1207836163">
    <w:abstractNumId w:val="18"/>
  </w:num>
  <w:num w:numId="93" w16cid:durableId="1275593427">
    <w:abstractNumId w:val="18"/>
  </w:num>
  <w:num w:numId="94" w16cid:durableId="1163621266">
    <w:abstractNumId w:val="18"/>
  </w:num>
  <w:num w:numId="95" w16cid:durableId="38434348">
    <w:abstractNumId w:val="18"/>
  </w:num>
  <w:num w:numId="96" w16cid:durableId="1127814708">
    <w:abstractNumId w:val="18"/>
  </w:num>
  <w:num w:numId="97" w16cid:durableId="336468959">
    <w:abstractNumId w:val="18"/>
  </w:num>
  <w:num w:numId="98" w16cid:durableId="256015953">
    <w:abstractNumId w:val="18"/>
  </w:num>
  <w:num w:numId="99" w16cid:durableId="1400402965">
    <w:abstractNumId w:val="18"/>
  </w:num>
  <w:num w:numId="100" w16cid:durableId="934635127">
    <w:abstractNumId w:val="18"/>
  </w:num>
  <w:num w:numId="101" w16cid:durableId="1942030385">
    <w:abstractNumId w:val="18"/>
  </w:num>
  <w:num w:numId="102" w16cid:durableId="1137726635">
    <w:abstractNumId w:val="18"/>
  </w:num>
  <w:num w:numId="103" w16cid:durableId="1929923199">
    <w:abstractNumId w:val="18"/>
  </w:num>
  <w:num w:numId="104" w16cid:durableId="140002253">
    <w:abstractNumId w:val="18"/>
    <w:lvlOverride w:ilvl="0">
      <w:startOverride w:val="1"/>
    </w:lvlOverride>
  </w:num>
  <w:num w:numId="105" w16cid:durableId="2012565209">
    <w:abstractNumId w:val="38"/>
  </w:num>
  <w:num w:numId="106" w16cid:durableId="856508561">
    <w:abstractNumId w:val="38"/>
  </w:num>
  <w:num w:numId="107" w16cid:durableId="154499557">
    <w:abstractNumId w:val="38"/>
  </w:num>
  <w:num w:numId="108" w16cid:durableId="539248235">
    <w:abstractNumId w:val="38"/>
  </w:num>
  <w:num w:numId="109" w16cid:durableId="1590197267">
    <w:abstractNumId w:val="38"/>
  </w:num>
  <w:num w:numId="110" w16cid:durableId="1231235713">
    <w:abstractNumId w:val="38"/>
  </w:num>
  <w:num w:numId="111" w16cid:durableId="604456733">
    <w:abstractNumId w:val="38"/>
  </w:num>
  <w:num w:numId="112" w16cid:durableId="546837621">
    <w:abstractNumId w:val="38"/>
  </w:num>
  <w:num w:numId="113" w16cid:durableId="1963883958">
    <w:abstractNumId w:val="18"/>
    <w:lvlOverride w:ilvl="0">
      <w:startOverride w:val="1"/>
    </w:lvlOverride>
  </w:num>
  <w:num w:numId="114" w16cid:durableId="815757091">
    <w:abstractNumId w:val="18"/>
    <w:lvlOverride w:ilvl="0">
      <w:startOverride w:val="1"/>
    </w:lvlOverride>
  </w:num>
  <w:num w:numId="115" w16cid:durableId="1451702070">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94E3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3FF"/>
    <w:rsid w:val="0091546E"/>
    <w:rsid w:val="00916D40"/>
    <w:rsid w:val="00917163"/>
    <w:rsid w:val="00920C42"/>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97088"/>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hu-HU"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hu-HU"/>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7CBCF26D-1697-4442-A781-2091F72778DC}"/>
</file>

<file path=customXml/itemProps3.xml><?xml version="1.0" encoding="utf-8"?>
<ds:datastoreItem xmlns:ds="http://schemas.openxmlformats.org/officeDocument/2006/customXml" ds:itemID="{493CABE6-202B-4B87-8368-D2A2693A010E}"/>
</file>

<file path=customXml/itemProps4.xml><?xml version="1.0" encoding="utf-8"?>
<ds:datastoreItem xmlns:ds="http://schemas.openxmlformats.org/officeDocument/2006/customXml" ds:itemID="{F158EB97-8175-47AB-8392-8B4C8A7D6870}"/>
</file>

<file path=docProps/app.xml><?xml version="1.0" encoding="utf-8"?>
<Properties xmlns="http://schemas.openxmlformats.org/officeDocument/2006/extended-properties" xmlns:vt="http://schemas.openxmlformats.org/officeDocument/2006/docPropsVTypes">
  <Template>Normal.dotm</Template>
  <TotalTime>8</TotalTime>
  <Pages>157</Pages>
  <Words>46803</Words>
  <Characters>324813</Characters>
  <Application>Microsoft Office Word</Application>
  <DocSecurity>0</DocSecurity>
  <Lines>8778</Lines>
  <Paragraphs>4129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SCHAIG Ferenc (DGT)</cp:lastModifiedBy>
  <cp:revision>4</cp:revision>
  <cp:lastPrinted>2019-10-07T08:42:00Z</cp:lastPrinted>
  <dcterms:created xsi:type="dcterms:W3CDTF">2020-12-02T17:08:00Z</dcterms:created>
  <dcterms:modified xsi:type="dcterms:W3CDTF">2025-01-25T13:40:00Z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2025-01-25T13:40:17Z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6dbc8fa2-276b-4268-86a2-952c6159fd5c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