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1CAB54" w14:textId="77777777" w:rsidR="00023C1E" w:rsidRDefault="00023C1E" w:rsidP="00023C1E">
      <w:pPr>
        <w:jc w:val="center"/>
        <w:rPr>
          <w:sz w:val="24"/>
          <w:szCs w:val="22"/>
          <w:rFonts w:ascii="Times New Roman" w:hAnsi="Times New Roman"/>
        </w:rPr>
      </w:pPr>
      <w:r>
        <w:rPr>
          <w:sz w:val="24"/>
          <w:rFonts w:ascii="Times New Roman" w:hAnsi="Times New Roman"/>
        </w:rPr>
        <w:t xml:space="preserve">HU</w:t>
      </w:r>
    </w:p>
    <w:p w14:paraId="26E578F4" w14:textId="77777777" w:rsidR="00023C1E" w:rsidRDefault="00023C1E" w:rsidP="00023C1E">
      <w:pPr>
        <w:rPr>
          <w:rFonts w:asciiTheme="minorHAnsi" w:hAnsiTheme="minorHAnsi"/>
          <w:sz w:val="22"/>
        </w:rPr>
      </w:pPr>
    </w:p>
    <w:p w14:paraId="2814ADEA" w14:textId="77777777" w:rsidR="00EC5F08" w:rsidRPr="00037E7B" w:rsidRDefault="00EC5F08" w:rsidP="00EC5F08">
      <w:pPr>
        <w:jc w:val="center"/>
        <w:rPr>
          <w:sz w:val="24"/>
          <w:rFonts w:ascii="Times New Roman" w:hAnsi="Times New Roman"/>
        </w:rPr>
      </w:pPr>
      <w:r>
        <w:rPr>
          <w:sz w:val="24"/>
          <w:rFonts w:ascii="Times New Roman" w:hAnsi="Times New Roman"/>
        </w:rPr>
        <w:t xml:space="preserve">II. MELLÉKLET</w:t>
      </w:r>
    </w:p>
    <w:p w14:paraId="3C60A640" w14:textId="77777777" w:rsidR="00EC5F08" w:rsidRPr="00037E7B" w:rsidRDefault="00EC5F08" w:rsidP="00EC5F08">
      <w:pPr>
        <w:jc w:val="center"/>
        <w:rPr>
          <w:sz w:val="24"/>
          <w:rFonts w:ascii="Times New Roman" w:hAnsi="Times New Roman"/>
        </w:rPr>
      </w:pPr>
      <w:r>
        <w:rPr>
          <w:sz w:val="24"/>
          <w:rFonts w:ascii="Times New Roman" w:hAnsi="Times New Roman"/>
        </w:rPr>
        <w:t xml:space="preserve">„II. MELLÉKLET</w:t>
      </w:r>
    </w:p>
    <w:p w14:paraId="62D6C096" w14:textId="77777777" w:rsidR="00EC5F08" w:rsidRPr="00037E7B" w:rsidRDefault="00EC5F08" w:rsidP="00EC5F08">
      <w:pPr>
        <w:jc w:val="center"/>
        <w:rPr>
          <w:b/>
          <w:sz w:val="24"/>
          <w:rFonts w:ascii="Times New Roman" w:hAnsi="Times New Roman"/>
        </w:rPr>
      </w:pPr>
      <w:r>
        <w:rPr>
          <w:b/>
          <w:sz w:val="24"/>
          <w:rFonts w:ascii="Times New Roman" w:hAnsi="Times New Roman"/>
        </w:rPr>
        <w:t xml:space="preserve">ÚTMUTATÓ A SZAVATOLÓTŐKÉRE ÉS A SZAVATOLÓTŐKE-KÖVETELMÉNYEKRE VONATKOZÓ ADATSZOLGÁLTATÁSHOZ</w:t>
      </w:r>
    </w:p>
    <w:p w14:paraId="63A72470" w14:textId="77777777" w:rsidR="00EC5F08" w:rsidRDefault="00EC5F08" w:rsidP="00EC5F08"/>
    <w:p w14:paraId="1E2DD6C0" w14:textId="77777777" w:rsidR="00EC5F08" w:rsidRDefault="00EC5F08" w:rsidP="00EC5F08">
      <w:pPr>
        <w:spacing w:before="0" w:after="0"/>
        <w:jc w:val="left"/>
        <w:rPr>
          <w:rStyle w:val="InstructionsTabelleText"/>
          <w:b/>
          <w:bCs/>
          <w:sz w:val="24"/>
          <w:u w:val="single"/>
          <w:rFonts w:ascii="Times New Roman" w:hAnsi="Times New Roman"/>
        </w:rPr>
      </w:pPr>
      <w:r>
        <w:rPr>
          <w:rStyle w:val="InstructionsTabelleText"/>
          <w:b/>
          <w:sz w:val="24"/>
          <w:u w:val="single"/>
          <w:rFonts w:ascii="Times New Roman" w:hAnsi="Times New Roman"/>
        </w:rPr>
        <w:t xml:space="preserve">II. RÉSZ:</w:t>
      </w:r>
      <w:r>
        <w:rPr>
          <w:rStyle w:val="InstructionsTabelleText"/>
          <w:b/>
          <w:sz w:val="24"/>
          <w:u w:val="single"/>
          <w:rFonts w:ascii="Times New Roman" w:hAnsi="Times New Roman"/>
        </w:rPr>
        <w:t xml:space="preserve"> </w:t>
      </w:r>
      <w:r>
        <w:rPr>
          <w:rStyle w:val="InstructionsTabelleText"/>
          <w:b/>
          <w:sz w:val="24"/>
          <w:u w:val="single"/>
          <w:rFonts w:ascii="Times New Roman" w:hAnsi="Times New Roman"/>
        </w:rPr>
        <w:t xml:space="preserve">TÁBLASPECIFIKUS ÚTMUTATÓ</w:t>
      </w:r>
    </w:p>
    <w:p w14:paraId="5F94331A" w14:textId="77777777" w:rsidR="00EC5F08" w:rsidRDefault="00EC5F08" w:rsidP="00EC5F08">
      <w:pPr>
        <w:spacing w:before="0" w:after="0"/>
        <w:jc w:val="left"/>
        <w:rPr>
          <w:rStyle w:val="InstructionsTabelleText"/>
          <w:sz w:val="24"/>
          <w:rFonts w:ascii="Times New Roman" w:hAnsi="Times New Roman"/>
        </w:rPr>
      </w:pPr>
      <w:r>
        <w:rPr>
          <w:rStyle w:val="InstructionsTabelleText"/>
          <w:sz w:val="24"/>
          <w:rFonts w:ascii="Times New Roman" w:hAnsi="Times New Roman"/>
        </w:rPr>
        <w:t xml:space="preserve"> </w:t>
      </w:r>
    </w:p>
    <w:p w14:paraId="537964DB" w14:textId="77777777" w:rsidR="00EC5F08" w:rsidRPr="00736637" w:rsidRDefault="00EC5F08" w:rsidP="00EC5F08">
      <w:pPr>
        <w:spacing w:before="0" w:after="0"/>
        <w:jc w:val="left"/>
        <w:rPr>
          <w:rStyle w:val="InstructionsTabelleText"/>
          <w:sz w:val="24"/>
          <w:rFonts w:ascii="Times New Roman" w:hAnsi="Times New Roman"/>
        </w:rPr>
      </w:pPr>
      <w:r>
        <w:rPr>
          <w:rStyle w:val="InstructionsTabelleText"/>
          <w:sz w:val="24"/>
          <w:rFonts w:ascii="Times New Roman" w:hAnsi="Times New Roman"/>
        </w:rPr>
        <w:t xml:space="preserve">(…)</w:t>
      </w:r>
    </w:p>
    <w:p w14:paraId="541E439D" w14:textId="77777777" w:rsidR="00EC5F08" w:rsidRPr="002A677E" w:rsidRDefault="00EC5F08" w:rsidP="00BD16F2">
      <w:pPr>
        <w:rPr>
          <w:rStyle w:val="InstructionsTabelleText"/>
          <w:rFonts w:ascii="Times New Roman" w:hAnsi="Times New Roman"/>
          <w:sz w:val="24"/>
        </w:rPr>
      </w:pPr>
    </w:p>
    <w:p w14:paraId="329CE43D" w14:textId="77777777" w:rsidR="00BD16F2" w:rsidRPr="002A677E" w:rsidRDefault="00BD16F2" w:rsidP="00BD16F2">
      <w:pPr>
        <w:pStyle w:val="Instructionsberschrift2"/>
        <w:numPr>
          <w:ilvl w:val="0"/>
          <w:numId w:val="0"/>
        </w:numPr>
        <w:ind w:left="357" w:hanging="357"/>
        <w:rPr>
          <w:sz w:val="24"/>
          <w:rFonts w:ascii="Times New Roman" w:hAnsi="Times New Roman" w:cs="Times New Roman"/>
        </w:rPr>
      </w:pPr>
      <w:bookmarkStart w:id="0" w:name="_Toc473561055"/>
      <w:bookmarkStart w:id="1" w:name="_Toc151714522"/>
      <w:r>
        <w:rPr>
          <w:sz w:val="24"/>
          <w:u w:val="none"/>
          <w:rFonts w:ascii="Times New Roman" w:hAnsi="Times New Roman"/>
        </w:rPr>
        <w:t xml:space="preserve">7.</w:t>
      </w:r>
      <w:r>
        <w:rPr>
          <w:sz w:val="24"/>
          <w:u w:val="none"/>
          <w:rFonts w:ascii="Times New Roman" w:hAnsi="Times New Roman"/>
        </w:rPr>
        <w:tab/>
      </w:r>
      <w:r>
        <w:rPr>
          <w:sz w:val="24"/>
          <w:rFonts w:ascii="Times New Roman" w:hAnsi="Times New Roman"/>
        </w:rPr>
        <w:t xml:space="preserve">C 33.00 – Államháztartásokkal szembeni kitettségek (GOV)</w:t>
      </w:r>
      <w:bookmarkEnd w:id="0"/>
      <w:bookmarkEnd w:id="1"/>
    </w:p>
    <w:p w14:paraId="47ECBF7E" w14:textId="77777777" w:rsidR="00BD16F2" w:rsidRPr="002A677E" w:rsidRDefault="00BD16F2" w:rsidP="00BD16F2">
      <w:pPr>
        <w:pStyle w:val="Instructionsberschrift2"/>
        <w:numPr>
          <w:ilvl w:val="0"/>
          <w:numId w:val="0"/>
        </w:numPr>
        <w:ind w:left="357" w:hanging="357"/>
        <w:rPr>
          <w:sz w:val="24"/>
          <w:rFonts w:ascii="Times New Roman" w:hAnsi="Times New Roman" w:cs="Times New Roman"/>
        </w:rPr>
      </w:pPr>
      <w:bookmarkStart w:id="2" w:name="_Toc367202008"/>
      <w:bookmarkStart w:id="3" w:name="_Toc473561056"/>
      <w:bookmarkStart w:id="4" w:name="_Toc151714523"/>
      <w:r>
        <w:rPr>
          <w:sz w:val="24"/>
          <w:u w:val="none"/>
          <w:rFonts w:ascii="Times New Roman" w:hAnsi="Times New Roman"/>
        </w:rPr>
        <w:t xml:space="preserve">7.1.</w:t>
      </w:r>
      <w:r>
        <w:rPr>
          <w:sz w:val="24"/>
          <w:u w:val="none"/>
          <w:rFonts w:ascii="Times New Roman" w:hAnsi="Times New Roman"/>
        </w:rPr>
        <w:tab/>
      </w:r>
      <w:r>
        <w:rPr>
          <w:sz w:val="24"/>
          <w:rFonts w:ascii="Times New Roman" w:hAnsi="Times New Roman"/>
        </w:rPr>
        <w:t xml:space="preserve">Általános megjegyzések</w:t>
      </w:r>
      <w:bookmarkEnd w:id="2"/>
      <w:bookmarkEnd w:id="3"/>
      <w:bookmarkEnd w:id="4"/>
      <w:r>
        <w:rPr>
          <w:sz w:val="24"/>
          <w:rFonts w:ascii="Times New Roman" w:hAnsi="Times New Roman"/>
        </w:rPr>
        <w:t xml:space="preserve"> </w:t>
      </w:r>
    </w:p>
    <w:p w14:paraId="607B1B9D" w14:textId="4D6DEBA3" w:rsidR="00BD16F2" w:rsidRPr="002A677E" w:rsidRDefault="00BD16F2" w:rsidP="00BD16F2">
      <w:pPr>
        <w:pStyle w:val="InstructionsText2"/>
        <w:numPr>
          <w:ilvl w:val="0"/>
          <w:numId w:val="0"/>
        </w:numPr>
        <w:ind w:left="993"/>
      </w:pPr>
      <w:r w:rsidRPr="005B57EC">
        <w:fldChar w:fldCharType="begin" w:dirty="true"/>
      </w:r>
      <w:r w:rsidRPr="002A677E">
        <w:instrText xml:space="preserve"> seq paragraphs </w:instrText>
      </w:r>
      <w:r w:rsidRPr="005B57EC">
        <w:fldChar w:fldCharType="separate"/>
      </w:r>
      <w:r w:rsidRPr="002A677E">
        <w:t>191</w:t>
      </w:r>
      <w:r w:rsidRPr="005B57EC">
        <w:fldChar w:fldCharType="end"/>
      </w:r>
      <w:r>
        <w:t xml:space="preserve">.</w:t>
      </w:r>
      <w:r>
        <w:tab/>
      </w:r>
      <w:r>
        <w:t xml:space="preserve"> </w:t>
      </w:r>
      <w:r>
        <w:t xml:space="preserve">A C 33.00 táblában az e végrehajtási rendelet V. mellékletének 42. b) pontjában említett „államháztartásokkal” szembeni kitettségeket kell jelenteni.</w:t>
      </w:r>
    </w:p>
    <w:p w14:paraId="6DDF43E1" w14:textId="777647EB" w:rsidR="00BD16F2" w:rsidRPr="002A677E" w:rsidRDefault="00BD16F2" w:rsidP="00BD16F2">
      <w:pPr>
        <w:pStyle w:val="InstructionsText2"/>
        <w:numPr>
          <w:ilvl w:val="0"/>
          <w:numId w:val="0"/>
        </w:numPr>
        <w:ind w:left="993"/>
      </w:pPr>
      <w:r w:rsidRPr="005B57EC">
        <w:fldChar w:fldCharType="begin" w:dirty="true"/>
      </w:r>
      <w:r w:rsidRPr="002A677E">
        <w:instrText xml:space="preserve"> seq paragraphs </w:instrText>
      </w:r>
      <w:r w:rsidRPr="005B57EC">
        <w:fldChar w:fldCharType="separate"/>
      </w:r>
      <w:r w:rsidRPr="002A677E">
        <w:t>192</w:t>
      </w:r>
      <w:r w:rsidRPr="005B57EC">
        <w:fldChar w:fldCharType="end"/>
      </w:r>
      <w:r>
        <w:t xml:space="preserve">.</w:t>
      </w:r>
      <w:r>
        <w:tab/>
      </w:r>
      <w:r>
        <w:t xml:space="preserve"> </w:t>
      </w:r>
      <w:r>
        <w:t xml:space="preserve">Amennyiben az „államháztartásokkal” szembeni kitettségekre az 575/2013/EU rendelet harmadik része II. címének megfelelően szavatolótőke-követelmények vonatkoznak, az államháztartásokkal szembeni kitettségek különböző kitettségi osztályokba tartoznak az említett rendelet 112. cikkének és 147. cikkének megfelelően, a C 07.00, C 08.01 és a C 08.02 táblához tartozó kitöltési útmutatóban meghatározottak szerint.</w:t>
      </w:r>
      <w:r>
        <w:t xml:space="preserve"> </w:t>
      </w:r>
    </w:p>
    <w:p w14:paraId="293BF385" w14:textId="0FB1F10B" w:rsidR="00BD16F2" w:rsidRPr="002A677E" w:rsidRDefault="00BD16F2" w:rsidP="00BD16F2">
      <w:pPr>
        <w:pStyle w:val="InstructionsText2"/>
        <w:numPr>
          <w:ilvl w:val="0"/>
          <w:numId w:val="0"/>
        </w:numPr>
        <w:ind w:left="993"/>
      </w:pPr>
      <w:r w:rsidRPr="005B57EC">
        <w:fldChar w:fldCharType="begin" w:dirty="true"/>
      </w:r>
      <w:r w:rsidRPr="002A677E">
        <w:instrText xml:space="preserve"> seq paragraphs </w:instrText>
      </w:r>
      <w:r w:rsidRPr="005B57EC">
        <w:fldChar w:fldCharType="separate"/>
      </w:r>
      <w:r w:rsidRPr="002A677E">
        <w:t>193</w:t>
      </w:r>
      <w:r w:rsidRPr="005B57EC">
        <w:fldChar w:fldCharType="end"/>
      </w:r>
      <w:r>
        <w:t xml:space="preserve">.</w:t>
      </w:r>
      <w:r>
        <w:tab/>
      </w:r>
      <w:r>
        <w:t xml:space="preserve"> </w:t>
      </w:r>
      <w:r>
        <w:t xml:space="preserve">Az 575/2013/EU rendelet szerinti tőkekövetelmények kiszámításához használt kitettségi osztályok „államháztartások” partnerszektorhoz való hozzárendelésekor az e végrehajtási rendelet V. mellékletének 3. részében található 2. táblázatot („Sztenderd módszer”) és a 3. táblázatot („Belső minősítésen alapuló módszer”) kell figyelembe venni.</w:t>
      </w:r>
      <w:r>
        <w:t xml:space="preserve"> </w:t>
      </w:r>
    </w:p>
    <w:p w14:paraId="7BF9F4A1" w14:textId="3878F16A" w:rsidR="00BD16F2" w:rsidRPr="002A677E" w:rsidRDefault="00BD16F2" w:rsidP="00BD16F2">
      <w:pPr>
        <w:pStyle w:val="InstructionsText2"/>
        <w:numPr>
          <w:ilvl w:val="0"/>
          <w:numId w:val="0"/>
        </w:numPr>
        <w:ind w:left="993"/>
      </w:pPr>
      <w:r w:rsidRPr="005B57EC">
        <w:fldChar w:fldCharType="begin" w:dirty="true"/>
      </w:r>
      <w:r w:rsidRPr="002A677E">
        <w:instrText xml:space="preserve"> seq paragraphs </w:instrText>
      </w:r>
      <w:r w:rsidRPr="005B57EC">
        <w:fldChar w:fldCharType="separate"/>
      </w:r>
      <w:r w:rsidRPr="002A677E">
        <w:t>194</w:t>
      </w:r>
      <w:r w:rsidRPr="005B57EC">
        <w:fldChar w:fldCharType="end"/>
      </w:r>
      <w:r>
        <w:t xml:space="preserve">.</w:t>
      </w:r>
      <w:r>
        <w:t xml:space="preserve"> </w:t>
      </w:r>
      <w:r>
        <w:t xml:space="preserve">Az adatokat a teljes aggregált kitettségre (azaz valamennyi olyan ország „összesen” adatára, ahol a banknak kormányzatokkal szembeni kitettsége van) és a partner székhelye szerint országonként kell jelenteni, a közvetlen hitelfelvevővel szembeni kitettségek alapján.</w:t>
      </w:r>
      <w:r>
        <w:t xml:space="preserve"> </w:t>
      </w:r>
    </w:p>
    <w:p w14:paraId="3F2AB0FC" w14:textId="12D22EC0" w:rsidR="00BD16F2" w:rsidRPr="002A677E" w:rsidRDefault="00BD16F2" w:rsidP="00BD16F2">
      <w:pPr>
        <w:pStyle w:val="InstructionsText2"/>
        <w:numPr>
          <w:ilvl w:val="0"/>
          <w:numId w:val="0"/>
        </w:numPr>
        <w:ind w:left="993"/>
      </w:pPr>
      <w:r w:rsidRPr="005B57EC">
        <w:fldChar w:fldCharType="begin" w:dirty="true"/>
      </w:r>
      <w:r w:rsidRPr="002A677E">
        <w:instrText xml:space="preserve"> seq paragraphs </w:instrText>
      </w:r>
      <w:r w:rsidRPr="005B57EC">
        <w:fldChar w:fldCharType="separate"/>
      </w:r>
      <w:r w:rsidRPr="002A677E">
        <w:t>195</w:t>
      </w:r>
      <w:r w:rsidRPr="005B57EC">
        <w:fldChar w:fldCharType="end"/>
      </w:r>
      <w:r>
        <w:t xml:space="preserve">.</w:t>
      </w:r>
      <w:r>
        <w:tab/>
      </w:r>
      <w:r>
        <w:t xml:space="preserve"> </w:t>
      </w:r>
      <w:r>
        <w:t xml:space="preserve">A kitettségek kitettségi osztályokba vagy joghatóságokba sorolása során nem kell figyelembe venni sem a hitelkockázat-mérséklési módszereket, sem különösen a helyettesítési hatásokat.</w:t>
      </w:r>
      <w:r>
        <w:t xml:space="preserve"> </w:t>
      </w:r>
      <w:r>
        <w:t xml:space="preserve">Ugyanakkor az egyes kitettségi osztályokba és joghatóságokba sorolt kitettségértékek és kockázattal súlyozott kitettségértékek kiszámítása során figyelembe kell venni a hitelkockázat-mérséklési módszerek előfordulását és a helyettesítési hatásokat.</w:t>
      </w:r>
      <w:r>
        <w:t xml:space="preserve"> </w:t>
      </w:r>
    </w:p>
    <w:p w14:paraId="63D48DFC" w14:textId="24583AEB" w:rsidR="00BD16F2" w:rsidRPr="002A677E" w:rsidRDefault="00BD16F2" w:rsidP="00BD16F2">
      <w:pPr>
        <w:pStyle w:val="InstructionsText2"/>
        <w:numPr>
          <w:ilvl w:val="0"/>
          <w:numId w:val="0"/>
        </w:numPr>
        <w:ind w:left="993"/>
      </w:pPr>
      <w:r w:rsidRPr="005B57EC">
        <w:fldChar w:fldCharType="begin" w:dirty="true"/>
      </w:r>
      <w:r w:rsidRPr="002A677E">
        <w:instrText xml:space="preserve"> seq paragraphs </w:instrText>
      </w:r>
      <w:r w:rsidRPr="005B57EC">
        <w:fldChar w:fldCharType="separate"/>
      </w:r>
      <w:r w:rsidRPr="002A677E">
        <w:t>196</w:t>
      </w:r>
      <w:r w:rsidRPr="005B57EC">
        <w:fldChar w:fldCharType="end"/>
      </w:r>
      <w:r>
        <w:t xml:space="preserve">.</w:t>
      </w:r>
      <w:r>
        <w:tab/>
      </w:r>
      <w:r>
        <w:t xml:space="preserve"> </w:t>
      </w:r>
      <w:r>
        <w:t xml:space="preserve">Az államháztartásokkal szembeni kitettségekre vonatkozó információkat a közvetlen partner székhelye szerinti minden olyan joghatóság esetében, amely nem az adatszolgáltató intézmény belföldi joghatósága, csak az e végrehajtási rendelet 6. cikke 3) pontjának alpontjában meghatározott küszöbértékek meghaladása esetén kell jelenteni.</w:t>
      </w:r>
    </w:p>
    <w:p w14:paraId="6C57DF9A" w14:textId="77777777" w:rsidR="00BD16F2" w:rsidRPr="002A677E" w:rsidRDefault="00BD16F2" w:rsidP="00BD16F2">
      <w:pPr>
        <w:pStyle w:val="Instructionsberschrift2"/>
        <w:numPr>
          <w:ilvl w:val="0"/>
          <w:numId w:val="0"/>
        </w:numPr>
        <w:rPr>
          <w:sz w:val="24"/>
          <w:rFonts w:ascii="Times New Roman" w:hAnsi="Times New Roman" w:cs="Times New Roman"/>
        </w:rPr>
      </w:pPr>
      <w:bookmarkStart w:id="5" w:name="_Toc367202009"/>
      <w:bookmarkStart w:id="6" w:name="_Toc473561057"/>
      <w:bookmarkStart w:id="7" w:name="_Toc151714524"/>
      <w:r>
        <w:rPr>
          <w:sz w:val="24"/>
          <w:u w:val="none"/>
          <w:rFonts w:ascii="Times New Roman" w:hAnsi="Times New Roman"/>
        </w:rPr>
        <w:t xml:space="preserve">7.2.</w:t>
      </w:r>
      <w:r>
        <w:rPr>
          <w:sz w:val="24"/>
          <w:u w:val="none"/>
          <w:rFonts w:ascii="Times New Roman" w:hAnsi="Times New Roman"/>
        </w:rPr>
        <w:tab/>
      </w:r>
      <w:r>
        <w:rPr>
          <w:sz w:val="24"/>
          <w:rFonts w:ascii="Times New Roman" w:hAnsi="Times New Roman"/>
        </w:rPr>
        <w:t xml:space="preserve">Az államháztartásokkal szembeni kitettségek tábla alkalmazási köre</w:t>
      </w:r>
      <w:bookmarkEnd w:id="5"/>
      <w:bookmarkEnd w:id="6"/>
      <w:bookmarkEnd w:id="7"/>
    </w:p>
    <w:p w14:paraId="0229F5BC" w14:textId="67D90191" w:rsidR="00BD16F2" w:rsidRPr="002A677E" w:rsidRDefault="00BD16F2" w:rsidP="00BD16F2">
      <w:pPr>
        <w:pStyle w:val="InstructionsText2"/>
        <w:numPr>
          <w:ilvl w:val="0"/>
          <w:numId w:val="0"/>
        </w:numPr>
        <w:ind w:left="993"/>
      </w:pPr>
      <w:r w:rsidRPr="005B57EC">
        <w:fldChar w:fldCharType="begin" w:dirty="true"/>
      </w:r>
      <w:r w:rsidRPr="002A677E">
        <w:instrText xml:space="preserve"> seq paragraphs </w:instrText>
      </w:r>
      <w:r w:rsidRPr="005B57EC">
        <w:fldChar w:fldCharType="separate"/>
      </w:r>
      <w:r w:rsidRPr="002A677E">
        <w:t>197</w:t>
      </w:r>
      <w:r w:rsidRPr="005B57EC">
        <w:fldChar w:fldCharType="end"/>
      </w:r>
      <w:r>
        <w:t xml:space="preserve">.</w:t>
      </w:r>
      <w:r>
        <w:tab/>
      </w:r>
      <w:r>
        <w:t xml:space="preserve"> </w:t>
      </w:r>
      <w:r>
        <w:t xml:space="preserve">A GOV táblában egyaránt fel kell tüntetni a banki és a kereskedési könyvben szereplő, államháztartásokkal szembeni mérlegen belüli, mérlegen kívüli és származtatott közvetlen kitettségeket.</w:t>
      </w:r>
      <w:r>
        <w:t xml:space="preserve"> </w:t>
      </w:r>
      <w:r>
        <w:t xml:space="preserve">Tájékoztató adatként jelenteni kell továbbá az államháztartásokkal szembeni kitettségekre eladott hitelderivatívák formáját öltő közvetett kitettségeket.</w:t>
      </w:r>
    </w:p>
    <w:p w14:paraId="1EC4D83C" w14:textId="376B0B1B" w:rsidR="00BD16F2" w:rsidRPr="002A677E" w:rsidRDefault="00BD16F2" w:rsidP="00BD16F2">
      <w:pPr>
        <w:pStyle w:val="InstructionsText2"/>
        <w:numPr>
          <w:ilvl w:val="0"/>
          <w:numId w:val="0"/>
        </w:numPr>
        <w:ind w:left="993"/>
      </w:pPr>
      <w:r w:rsidRPr="005B57EC">
        <w:fldChar w:fldCharType="begin" w:dirty="true"/>
      </w:r>
      <w:r w:rsidRPr="002A677E">
        <w:instrText xml:space="preserve"> seq paragraphs </w:instrText>
      </w:r>
      <w:r w:rsidRPr="005B57EC">
        <w:fldChar w:fldCharType="separate"/>
      </w:r>
      <w:r w:rsidRPr="002A677E">
        <w:t>198</w:t>
      </w:r>
      <w:r w:rsidRPr="005B57EC">
        <w:fldChar w:fldCharType="end"/>
      </w:r>
      <w:r>
        <w:t xml:space="preserve">.</w:t>
      </w:r>
      <w:r>
        <w:tab/>
      </w:r>
      <w:r>
        <w:t xml:space="preserve"> </w:t>
      </w:r>
      <w:r>
        <w:t xml:space="preserve">Valamely kitettség akkor tekintendő közvetlen kitettségnek, ha a közvetlen partner az „államháztartások” fogalommeghatározása alá tartozik, az e végrehajtási rendelet V. melléklete 42. bekezdésének b) pontjában említettek szerint.</w:t>
      </w:r>
      <w:r>
        <w:t xml:space="preserve"> </w:t>
      </w:r>
    </w:p>
    <w:p w14:paraId="00A82C5A" w14:textId="7F0E5E44" w:rsidR="00BD16F2" w:rsidRPr="002A677E" w:rsidRDefault="00BD16F2" w:rsidP="00BD16F2">
      <w:pPr>
        <w:pStyle w:val="InstructionsText2"/>
        <w:numPr>
          <w:ilvl w:val="0"/>
          <w:numId w:val="0"/>
        </w:numPr>
        <w:ind w:left="993"/>
      </w:pPr>
      <w:r w:rsidRPr="005B57EC">
        <w:fldChar w:fldCharType="begin" w:dirty="true"/>
      </w:r>
      <w:r w:rsidRPr="002A677E">
        <w:instrText xml:space="preserve"> seq paragraphs </w:instrText>
      </w:r>
      <w:r w:rsidRPr="005B57EC">
        <w:fldChar w:fldCharType="separate"/>
      </w:r>
      <w:r w:rsidRPr="002A677E">
        <w:t>199</w:t>
      </w:r>
      <w:r w:rsidRPr="005B57EC">
        <w:fldChar w:fldCharType="end"/>
      </w:r>
      <w:r>
        <w:t xml:space="preserve">.</w:t>
      </w:r>
      <w:r>
        <w:tab/>
      </w:r>
      <w:r>
        <w:t xml:space="preserve"> </w:t>
      </w:r>
      <w:r>
        <w:t xml:space="preserve">A tábla két részre oszlik.</w:t>
      </w:r>
      <w:r>
        <w:t xml:space="preserve"> </w:t>
      </w:r>
      <w:r>
        <w:t xml:space="preserve">Az első részben a kitettségeket kockázat, szabályozási módszerek és kitettségi osztály szerinti bontásban kell bemutatni; a második részben a kitettségeket hátralévő futamidő szerinti bontásban kell feltüntetni.</w:t>
      </w:r>
    </w:p>
    <w:p w14:paraId="4EBA25CD" w14:textId="77777777" w:rsidR="00BD16F2" w:rsidRPr="002A677E" w:rsidRDefault="00BD16F2" w:rsidP="00BD16F2">
      <w:pPr>
        <w:pStyle w:val="Instructionsberschrift2"/>
        <w:numPr>
          <w:ilvl w:val="0"/>
          <w:numId w:val="0"/>
        </w:numPr>
        <w:rPr>
          <w:sz w:val="24"/>
          <w:rFonts w:ascii="Times New Roman" w:hAnsi="Times New Roman" w:cs="Times New Roman"/>
        </w:rPr>
      </w:pPr>
      <w:bookmarkStart w:id="8" w:name="_Toc473561058"/>
      <w:bookmarkStart w:id="9" w:name="_Toc151714525"/>
      <w:r>
        <w:rPr>
          <w:sz w:val="24"/>
          <w:u w:val="none"/>
          <w:rFonts w:ascii="Times New Roman" w:hAnsi="Times New Roman"/>
        </w:rPr>
        <w:t xml:space="preserve">7.3.</w:t>
      </w:r>
      <w:r>
        <w:rPr>
          <w:sz w:val="24"/>
          <w:u w:val="none"/>
          <w:rFonts w:ascii="Times New Roman" w:hAnsi="Times New Roman"/>
        </w:rPr>
        <w:tab/>
      </w:r>
      <w:r>
        <w:rPr>
          <w:sz w:val="24"/>
          <w:rFonts w:ascii="Times New Roman" w:hAnsi="Times New Roman"/>
        </w:rPr>
        <w:t xml:space="preserve">A tábla egyes részeire vonatkozó útmutató</w:t>
      </w:r>
      <w:bookmarkEnd w:id="8"/>
      <w:bookmarkEnd w:id="9"/>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BD16F2" w:rsidRPr="002A677E" w14:paraId="3E45D987" w14:textId="77777777" w:rsidTr="00E07FE9">
        <w:tc>
          <w:tcPr>
            <w:tcW w:w="1188" w:type="dxa"/>
            <w:shd w:val="pct25" w:color="auto" w:fill="auto"/>
          </w:tcPr>
          <w:p w14:paraId="564910A6"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Oszlop</w:t>
            </w:r>
          </w:p>
          <w:p w14:paraId="4C109A2E" w14:textId="77777777" w:rsidR="00BD16F2" w:rsidRPr="002A677E" w:rsidRDefault="00BD16F2" w:rsidP="00E07FE9">
            <w:pPr>
              <w:spacing w:before="0" w:after="0"/>
              <w:ind w:left="33"/>
              <w:rPr>
                <w:rFonts w:ascii="Times New Roman" w:hAnsi="Times New Roman"/>
                <w:bCs/>
                <w:sz w:val="24"/>
                <w:lang w:eastAsia="de-DE"/>
              </w:rPr>
            </w:pPr>
          </w:p>
        </w:tc>
        <w:tc>
          <w:tcPr>
            <w:tcW w:w="8640" w:type="dxa"/>
            <w:shd w:val="pct25" w:color="auto" w:fill="auto"/>
          </w:tcPr>
          <w:p w14:paraId="33F7A370"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Útmutató</w:t>
            </w:r>
          </w:p>
        </w:tc>
      </w:tr>
      <w:tr w:rsidR="00BD16F2" w:rsidRPr="002A677E" w14:paraId="3DC0F33D" w14:textId="77777777" w:rsidTr="00E07FE9">
        <w:tc>
          <w:tcPr>
            <w:tcW w:w="1188" w:type="dxa"/>
            <w:tcBorders>
              <w:bottom w:val="single" w:sz="4" w:space="0" w:color="auto"/>
            </w:tcBorders>
          </w:tcPr>
          <w:p w14:paraId="18B6E1B8"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0010–0260</w:t>
            </w:r>
          </w:p>
        </w:tc>
        <w:tc>
          <w:tcPr>
            <w:tcW w:w="8640" w:type="dxa"/>
            <w:tcBorders>
              <w:bottom w:val="single" w:sz="4" w:space="0" w:color="auto"/>
            </w:tcBorders>
          </w:tcPr>
          <w:p w14:paraId="3AFE02DF" w14:textId="77777777" w:rsidR="00BD16F2" w:rsidRPr="002A677E" w:rsidRDefault="00BD16F2" w:rsidP="00E07FE9">
            <w:pPr>
              <w:spacing w:before="0" w:after="0"/>
              <w:ind w:left="33"/>
              <w:rPr>
                <w:b/>
                <w:bCs/>
                <w:sz w:val="24"/>
                <w:u w:val="single"/>
                <w:rFonts w:ascii="Times New Roman" w:hAnsi="Times New Roman"/>
              </w:rPr>
            </w:pPr>
            <w:r>
              <w:rPr>
                <w:b/>
                <w:sz w:val="24"/>
                <w:u w:val="single"/>
                <w:rFonts w:ascii="Times New Roman" w:hAnsi="Times New Roman"/>
              </w:rPr>
              <w:t xml:space="preserve">KÖZVETLEN KITETTSÉGEK</w:t>
            </w:r>
            <w:r>
              <w:rPr>
                <w:b/>
                <w:sz w:val="24"/>
                <w:u w:val="single"/>
                <w:rFonts w:ascii="Times New Roman" w:hAnsi="Times New Roman"/>
              </w:rPr>
              <w:t xml:space="preserve"> </w:t>
            </w:r>
          </w:p>
        </w:tc>
      </w:tr>
      <w:tr w:rsidR="00BD16F2" w:rsidRPr="002A677E" w14:paraId="1885F66F" w14:textId="77777777" w:rsidTr="00E07FE9">
        <w:tc>
          <w:tcPr>
            <w:tcW w:w="1188" w:type="dxa"/>
          </w:tcPr>
          <w:p w14:paraId="2E4036EA"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0010–0140</w:t>
            </w:r>
          </w:p>
        </w:tc>
        <w:tc>
          <w:tcPr>
            <w:tcW w:w="8640" w:type="dxa"/>
          </w:tcPr>
          <w:p w14:paraId="70877AFC" w14:textId="77777777" w:rsidR="00BD16F2" w:rsidRPr="002A677E" w:rsidRDefault="00BD16F2" w:rsidP="00E07FE9">
            <w:pPr>
              <w:spacing w:before="0" w:after="0"/>
              <w:ind w:left="33"/>
              <w:rPr>
                <w:b/>
                <w:bCs/>
                <w:sz w:val="24"/>
                <w:u w:val="single"/>
                <w:rFonts w:ascii="Times New Roman" w:hAnsi="Times New Roman"/>
              </w:rPr>
            </w:pPr>
            <w:r>
              <w:rPr>
                <w:b/>
                <w:sz w:val="24"/>
                <w:u w:val="single"/>
                <w:rFonts w:ascii="Times New Roman" w:hAnsi="Times New Roman"/>
              </w:rPr>
              <w:t xml:space="preserve">MÉRLEGEN BELÜLI KITETTSÉGEK</w:t>
            </w:r>
          </w:p>
        </w:tc>
      </w:tr>
      <w:tr w:rsidR="00BD16F2" w:rsidRPr="002A677E" w14:paraId="413E33AD" w14:textId="77777777" w:rsidTr="00E07FE9">
        <w:tc>
          <w:tcPr>
            <w:tcW w:w="1188" w:type="dxa"/>
          </w:tcPr>
          <w:p w14:paraId="664BAE8E"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0010</w:t>
            </w:r>
          </w:p>
        </w:tc>
        <w:tc>
          <w:tcPr>
            <w:tcW w:w="8640" w:type="dxa"/>
          </w:tcPr>
          <w:p w14:paraId="00745A34" w14:textId="77777777" w:rsidR="00BD16F2" w:rsidRPr="002A677E" w:rsidRDefault="00BD16F2" w:rsidP="00E07FE9">
            <w:pPr>
              <w:spacing w:before="0" w:after="0"/>
              <w:ind w:left="33"/>
              <w:rPr>
                <w:b/>
                <w:bCs/>
                <w:sz w:val="24"/>
                <w:u w:val="single"/>
                <w:rFonts w:ascii="Times New Roman" w:hAnsi="Times New Roman"/>
              </w:rPr>
            </w:pPr>
            <w:r>
              <w:rPr>
                <w:b/>
                <w:sz w:val="24"/>
                <w:u w:val="single"/>
                <w:rFonts w:ascii="Times New Roman" w:hAnsi="Times New Roman"/>
              </w:rPr>
              <w:t xml:space="preserve">Nem származtatott pénzügyi eszközök bruttó könyv szerinti értéke összesen</w:t>
            </w:r>
            <w:r>
              <w:rPr>
                <w:b/>
                <w:sz w:val="24"/>
                <w:u w:val="single"/>
                <w:rFonts w:ascii="Times New Roman" w:hAnsi="Times New Roman"/>
              </w:rPr>
              <w:t xml:space="preserve"> </w:t>
            </w:r>
          </w:p>
          <w:p w14:paraId="0AB51D7D" w14:textId="77777777" w:rsidR="00BD16F2" w:rsidRPr="002A677E" w:rsidRDefault="00BD16F2" w:rsidP="00E07FE9">
            <w:pPr>
              <w:spacing w:before="0" w:after="0"/>
              <w:ind w:left="33"/>
              <w:rPr>
                <w:rFonts w:ascii="Times New Roman" w:hAnsi="Times New Roman"/>
                <w:bCs/>
                <w:sz w:val="24"/>
                <w:lang w:eastAsia="de-DE"/>
              </w:rPr>
            </w:pPr>
          </w:p>
          <w:p w14:paraId="6138F869"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Az államháztartásokkal szembeni kitettségnek minősülő nem származtatott pénzügyi eszközök az e végrehajtási rendelet V. melléklete 1. részének 34. pontja szerint meghatározott bruttó könyv szerinti értékének aggregált értéke valamennyi IFRS szerinti és a 86/635/EGK tanácsi irányelv alapján kidolgozott nemzeti GAAP szerinti, az e végrehajtási rendelet V. melléklete 1. részének 15–22. pontjában meghatározott, a 0030–0120-as oszlopban felsorolt számviteli portfólió esetében.</w:t>
            </w:r>
            <w:r>
              <w:rPr>
                <w:sz w:val="24"/>
                <w:rFonts w:ascii="Times New Roman" w:hAnsi="Times New Roman"/>
              </w:rPr>
              <w:t xml:space="preserve"> </w:t>
            </w:r>
          </w:p>
          <w:p w14:paraId="619EBBBB" w14:textId="77777777" w:rsidR="00BD16F2" w:rsidRPr="002A677E" w:rsidRDefault="00BD16F2" w:rsidP="00E07FE9">
            <w:pPr>
              <w:spacing w:before="0" w:after="0"/>
              <w:ind w:left="33"/>
              <w:rPr>
                <w:rFonts w:ascii="Times New Roman" w:hAnsi="Times New Roman"/>
                <w:bCs/>
                <w:sz w:val="24"/>
                <w:lang w:eastAsia="de-DE"/>
              </w:rPr>
            </w:pPr>
          </w:p>
          <w:p w14:paraId="2194E687"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A prudens értékelési korrekciók nem csökkenthetik a valós értéken értékelt kereskedési és nem kereskedési célú kitettségek bruttó könyv szerinti értékét.</w:t>
            </w:r>
          </w:p>
          <w:p w14:paraId="685C8A9A" w14:textId="77777777" w:rsidR="00BD16F2" w:rsidRPr="002A677E" w:rsidRDefault="00BD16F2" w:rsidP="00E07FE9">
            <w:pPr>
              <w:spacing w:before="0" w:after="0"/>
              <w:rPr>
                <w:rFonts w:ascii="Times New Roman" w:hAnsi="Times New Roman"/>
                <w:bCs/>
                <w:sz w:val="24"/>
                <w:lang w:eastAsia="de-DE"/>
              </w:rPr>
            </w:pPr>
          </w:p>
        </w:tc>
      </w:tr>
      <w:tr w:rsidR="00BD16F2" w:rsidRPr="002A677E" w14:paraId="2044EE26" w14:textId="77777777" w:rsidTr="00E07FE9">
        <w:tc>
          <w:tcPr>
            <w:tcW w:w="1188" w:type="dxa"/>
          </w:tcPr>
          <w:p w14:paraId="0A5145BF"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0020</w:t>
            </w:r>
          </w:p>
        </w:tc>
        <w:tc>
          <w:tcPr>
            <w:tcW w:w="8640" w:type="dxa"/>
          </w:tcPr>
          <w:p w14:paraId="6AED7851" w14:textId="77777777" w:rsidR="00BD16F2" w:rsidRPr="002A677E" w:rsidRDefault="00BD16F2" w:rsidP="00E07FE9">
            <w:pPr>
              <w:spacing w:before="0" w:after="0"/>
              <w:ind w:left="33"/>
              <w:rPr>
                <w:b/>
                <w:bCs/>
                <w:sz w:val="24"/>
                <w:u w:val="single"/>
                <w:rFonts w:ascii="Times New Roman" w:hAnsi="Times New Roman"/>
              </w:rPr>
            </w:pPr>
            <w:r>
              <w:rPr>
                <w:b/>
                <w:sz w:val="24"/>
                <w:u w:val="single"/>
                <w:rFonts w:ascii="Times New Roman" w:hAnsi="Times New Roman"/>
              </w:rPr>
              <w:t xml:space="preserve">Nem származtatott pénzügyi eszközök könyv szerinti értéke összesen (a rövid pozíciók levonásával)</w:t>
            </w:r>
          </w:p>
          <w:p w14:paraId="332DA3A7" w14:textId="77777777" w:rsidR="00BD16F2" w:rsidRPr="002A677E" w:rsidRDefault="00BD16F2" w:rsidP="00E07FE9">
            <w:pPr>
              <w:spacing w:before="0" w:after="0"/>
              <w:ind w:left="33"/>
              <w:rPr>
                <w:rFonts w:ascii="Times New Roman" w:hAnsi="Times New Roman"/>
                <w:bCs/>
                <w:sz w:val="24"/>
                <w:lang w:eastAsia="de-DE"/>
              </w:rPr>
            </w:pPr>
          </w:p>
          <w:p w14:paraId="78EC0A9E"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Az államháztartásokkal szembeni kitettségnek minősülő nem származtatott pénzügyi eszközök az e végrehajtási rendelet V. melléklete 1. részének 27. pontjában említett könyv szerinti értékének a rövid pozíciók nélküli aggregált értéke valamennyi IFRS szerinti és a 86/635/EGK tanácsi irányelv alapján kidolgozott nemzeti GAAP szerinti, az e végrehajtási rendelet V. melléklete 1. részének 15–22. pontjában meghatározott, a 0030–0120-as oszlopban felsorolt számviteli portfólió esetében.</w:t>
            </w:r>
          </w:p>
          <w:p w14:paraId="12603E25" w14:textId="77777777" w:rsidR="00BD16F2" w:rsidRPr="002A677E" w:rsidRDefault="00BD16F2" w:rsidP="00E07FE9">
            <w:pPr>
              <w:spacing w:before="0" w:after="0"/>
              <w:ind w:left="33"/>
              <w:rPr>
                <w:rFonts w:ascii="Times New Roman" w:hAnsi="Times New Roman"/>
                <w:bCs/>
                <w:sz w:val="24"/>
                <w:lang w:eastAsia="de-DE"/>
              </w:rPr>
            </w:pPr>
          </w:p>
          <w:p w14:paraId="113CD6E7"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Amennyiben az intézmény ugyanazon hátralévő futamidőre és ugyanazon közvetlen partner vonatkozásában, ugyanazon pénznemben denominált rövid pozícióval rendelkezik, a rövid pozíció könyv szerinti értékét és a közvetlen pozíció könyv szerinti értékét nettósítani kell.</w:t>
            </w:r>
            <w:r>
              <w:rPr>
                <w:sz w:val="24"/>
                <w:rFonts w:ascii="Times New Roman" w:hAnsi="Times New Roman"/>
              </w:rPr>
              <w:t xml:space="preserve"> </w:t>
            </w:r>
            <w:r>
              <w:rPr>
                <w:sz w:val="24"/>
                <w:rFonts w:ascii="Times New Roman" w:hAnsi="Times New Roman"/>
              </w:rPr>
              <w:t xml:space="preserve">Amennyiben az így kapott érték negatív, a nettó értéket nullának kell tekinteni.</w:t>
            </w:r>
            <w:r>
              <w:rPr>
                <w:sz w:val="24"/>
                <w:rFonts w:ascii="Times New Roman" w:hAnsi="Times New Roman"/>
              </w:rPr>
              <w:t xml:space="preserve"> </w:t>
            </w:r>
            <w:r>
              <w:rPr>
                <w:sz w:val="24"/>
                <w:rFonts w:ascii="Times New Roman" w:hAnsi="Times New Roman"/>
              </w:rPr>
              <w:t xml:space="preserve">Amennyiben egy intézmény olyan rövid pozícióval rendelkezik, amelynek nincs egyező közvetlen pozíciója, ezen oszlop alkalmazásában a rövid pozíció összegét nullának kell tekinteni.</w:t>
            </w:r>
            <w:r>
              <w:rPr>
                <w:sz w:val="24"/>
                <w:rFonts w:ascii="Times New Roman" w:hAnsi="Times New Roman"/>
              </w:rPr>
              <w:t xml:space="preserve"> </w:t>
            </w:r>
          </w:p>
          <w:p w14:paraId="660D1E01" w14:textId="77777777" w:rsidR="00BD16F2" w:rsidRPr="002A677E" w:rsidDel="00FB1EBF" w:rsidRDefault="00BD16F2" w:rsidP="00E07FE9">
            <w:pPr>
              <w:spacing w:before="0" w:after="0"/>
              <w:ind w:left="33"/>
              <w:rPr>
                <w:rFonts w:ascii="Times New Roman" w:hAnsi="Times New Roman"/>
                <w:bCs/>
                <w:sz w:val="24"/>
                <w:lang w:eastAsia="de-DE"/>
              </w:rPr>
            </w:pPr>
          </w:p>
        </w:tc>
      </w:tr>
      <w:tr w:rsidR="00BD16F2" w:rsidRPr="002A677E" w14:paraId="29C0277B" w14:textId="77777777" w:rsidTr="00E07FE9">
        <w:tc>
          <w:tcPr>
            <w:tcW w:w="1188" w:type="dxa"/>
          </w:tcPr>
          <w:p w14:paraId="0F70DCDB"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0030–0120</w:t>
            </w:r>
          </w:p>
        </w:tc>
        <w:tc>
          <w:tcPr>
            <w:tcW w:w="8640" w:type="dxa"/>
          </w:tcPr>
          <w:p w14:paraId="77D5881C" w14:textId="77777777" w:rsidR="00BD16F2" w:rsidRPr="002A677E" w:rsidRDefault="00BD16F2" w:rsidP="00E07FE9">
            <w:pPr>
              <w:spacing w:before="0" w:after="0"/>
              <w:ind w:left="33"/>
              <w:rPr>
                <w:b/>
                <w:bCs/>
                <w:sz w:val="24"/>
                <w:u w:val="single"/>
                <w:rFonts w:ascii="Times New Roman" w:hAnsi="Times New Roman"/>
              </w:rPr>
            </w:pPr>
            <w:r>
              <w:rPr>
                <w:b/>
                <w:sz w:val="24"/>
                <w:u w:val="single"/>
                <w:rFonts w:ascii="Times New Roman" w:hAnsi="Times New Roman"/>
              </w:rPr>
              <w:t xml:space="preserve">NEM SZÁRMAZTATOTT PÉNZÜGYI ESZKÖZÖK SZÁMVITELI PORTFÓLIÓK SZERINT</w:t>
            </w:r>
          </w:p>
          <w:p w14:paraId="55D3901C" w14:textId="77777777" w:rsidR="00BD16F2" w:rsidRPr="002A677E" w:rsidRDefault="00BD16F2" w:rsidP="00E07FE9">
            <w:pPr>
              <w:spacing w:before="0" w:after="0"/>
              <w:ind w:left="33"/>
              <w:rPr>
                <w:rFonts w:ascii="Times New Roman" w:hAnsi="Times New Roman"/>
                <w:bCs/>
                <w:sz w:val="24"/>
                <w:lang w:eastAsia="de-DE"/>
              </w:rPr>
            </w:pPr>
          </w:p>
          <w:p w14:paraId="304C586A"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Az államháztartásokkal szembeni kitettségnek minősülő nem származtatott pénzügyi eszközök az e táblázat fenti sorában meghatározott könyv szerinti értékének aggregált értéke az alkalmazandó számviteli szabályozásnak megfelelő számviteli portfóliók szerint lebontva.</w:t>
            </w:r>
          </w:p>
          <w:p w14:paraId="7BE8B6F7" w14:textId="77777777" w:rsidR="00BD16F2" w:rsidRPr="002A677E" w:rsidDel="00FB1EBF" w:rsidRDefault="00BD16F2" w:rsidP="00E07FE9">
            <w:pPr>
              <w:spacing w:before="0" w:after="0"/>
              <w:ind w:left="33"/>
              <w:rPr>
                <w:rFonts w:ascii="Times New Roman" w:hAnsi="Times New Roman"/>
                <w:bCs/>
                <w:sz w:val="24"/>
                <w:lang w:eastAsia="de-DE"/>
              </w:rPr>
            </w:pPr>
          </w:p>
        </w:tc>
      </w:tr>
      <w:tr w:rsidR="00BD16F2" w:rsidRPr="002A677E" w14:paraId="4CB956EC" w14:textId="77777777" w:rsidTr="00E07FE9">
        <w:tc>
          <w:tcPr>
            <w:tcW w:w="1188" w:type="dxa"/>
          </w:tcPr>
          <w:p w14:paraId="4BB75600"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0030</w:t>
            </w:r>
          </w:p>
        </w:tc>
        <w:tc>
          <w:tcPr>
            <w:tcW w:w="8640" w:type="dxa"/>
          </w:tcPr>
          <w:p w14:paraId="536B204E" w14:textId="77777777" w:rsidR="00BD16F2" w:rsidRPr="002A677E" w:rsidRDefault="00BD16F2" w:rsidP="00E07FE9">
            <w:pPr>
              <w:spacing w:before="0" w:after="0"/>
              <w:ind w:left="33"/>
              <w:rPr>
                <w:bCs/>
                <w:sz w:val="24"/>
                <w:rFonts w:ascii="Times New Roman" w:hAnsi="Times New Roman"/>
              </w:rPr>
            </w:pPr>
            <w:r>
              <w:rPr>
                <w:b/>
                <w:sz w:val="24"/>
                <w:u w:val="single"/>
                <w:rFonts w:ascii="Times New Roman" w:hAnsi="Times New Roman"/>
              </w:rPr>
              <w:t xml:space="preserve">Kereskedési céllal tartott pénzügyi eszközök</w:t>
            </w:r>
          </w:p>
          <w:p w14:paraId="4FC3362A" w14:textId="77777777" w:rsidR="00BD16F2" w:rsidRPr="002A677E" w:rsidRDefault="00BD16F2" w:rsidP="00E07FE9">
            <w:pPr>
              <w:spacing w:before="0" w:after="0"/>
              <w:ind w:left="33"/>
              <w:rPr>
                <w:rFonts w:ascii="Times New Roman" w:hAnsi="Times New Roman"/>
                <w:bCs/>
                <w:sz w:val="24"/>
                <w:lang w:eastAsia="de-DE"/>
              </w:rPr>
            </w:pPr>
          </w:p>
          <w:p w14:paraId="0F01BD55"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IFRS 7.8 a) ii.;</w:t>
            </w:r>
            <w:r>
              <w:rPr>
                <w:sz w:val="24"/>
                <w:rFonts w:ascii="Times New Roman" w:hAnsi="Times New Roman"/>
              </w:rPr>
              <w:t xml:space="preserve"> </w:t>
            </w:r>
            <w:r>
              <w:rPr>
                <w:sz w:val="24"/>
                <w:rFonts w:ascii="Times New Roman" w:hAnsi="Times New Roman"/>
              </w:rPr>
              <w:t xml:space="preserve">IFRS 9 A. függelék</w:t>
            </w:r>
          </w:p>
          <w:p w14:paraId="50C911B6" w14:textId="77777777" w:rsidR="00BD16F2" w:rsidRPr="002A677E" w:rsidDel="00FB1EBF" w:rsidRDefault="00BD16F2" w:rsidP="00E07FE9">
            <w:pPr>
              <w:spacing w:before="0" w:after="0"/>
              <w:ind w:left="33"/>
              <w:rPr>
                <w:rFonts w:ascii="Times New Roman" w:hAnsi="Times New Roman"/>
                <w:bCs/>
                <w:sz w:val="24"/>
                <w:lang w:eastAsia="de-DE"/>
              </w:rPr>
            </w:pPr>
          </w:p>
        </w:tc>
      </w:tr>
      <w:tr w:rsidR="00BD16F2" w:rsidRPr="002A677E" w14:paraId="2CBFCB6F" w14:textId="77777777" w:rsidTr="00E07FE9">
        <w:tc>
          <w:tcPr>
            <w:tcW w:w="1188" w:type="dxa"/>
          </w:tcPr>
          <w:p w14:paraId="7D487379"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0040</w:t>
            </w:r>
          </w:p>
        </w:tc>
        <w:tc>
          <w:tcPr>
            <w:tcW w:w="8640" w:type="dxa"/>
          </w:tcPr>
          <w:p w14:paraId="5F82DDB2" w14:textId="77777777" w:rsidR="00BD16F2" w:rsidRPr="002A677E" w:rsidRDefault="00BD16F2" w:rsidP="00E07FE9">
            <w:pPr>
              <w:spacing w:before="0" w:after="0"/>
              <w:ind w:left="33"/>
              <w:rPr>
                <w:b/>
                <w:bCs/>
                <w:sz w:val="24"/>
                <w:u w:val="single"/>
                <w:rFonts w:ascii="Times New Roman" w:hAnsi="Times New Roman"/>
              </w:rPr>
            </w:pPr>
            <w:r>
              <w:rPr>
                <w:b/>
                <w:sz w:val="24"/>
                <w:u w:val="single"/>
                <w:rFonts w:ascii="Times New Roman" w:hAnsi="Times New Roman"/>
              </w:rPr>
              <w:t xml:space="preserve">Kereskedési célú pénzügyi eszközök</w:t>
            </w:r>
          </w:p>
          <w:p w14:paraId="3A7FCF81" w14:textId="77777777" w:rsidR="00BD16F2" w:rsidRPr="002A677E" w:rsidRDefault="00BD16F2" w:rsidP="00E07FE9">
            <w:pPr>
              <w:spacing w:before="0" w:after="0"/>
              <w:ind w:left="33"/>
              <w:rPr>
                <w:rFonts w:ascii="Times New Roman" w:hAnsi="Times New Roman"/>
                <w:bCs/>
                <w:sz w:val="24"/>
                <w:lang w:eastAsia="de-DE"/>
              </w:rPr>
            </w:pPr>
          </w:p>
          <w:p w14:paraId="54485989"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A 86/635/EGK tanácsi irányelv 32. és 33. cikke,</w:t>
            </w:r>
            <w:r>
              <w:rPr>
                <w:sz w:val="24"/>
                <w:rFonts w:ascii="Times New Roman" w:hAnsi="Times New Roman"/>
              </w:rPr>
              <w:t xml:space="preserve"> </w:t>
            </w:r>
            <w:r>
              <w:rPr>
                <w:sz w:val="24"/>
                <w:rFonts w:ascii="Times New Roman" w:hAnsi="Times New Roman"/>
              </w:rPr>
              <w:t xml:space="preserve">e végrehajtási rendelet V. melléklete 1. részének 16. pontja,</w:t>
            </w:r>
            <w:r>
              <w:rPr>
                <w:sz w:val="24"/>
                <w:rFonts w:ascii="Times New Roman" w:hAnsi="Times New Roman"/>
              </w:rPr>
              <w:t xml:space="preserve"> </w:t>
            </w:r>
            <w:r>
              <w:rPr>
                <w:sz w:val="24"/>
                <w:rFonts w:ascii="Times New Roman" w:hAnsi="Times New Roman"/>
              </w:rPr>
              <w:t xml:space="preserve">a 2013/34/EU irányelv 8. cikke (1) bekezdésének a) pontja.</w:t>
            </w:r>
          </w:p>
          <w:p w14:paraId="769FB628" w14:textId="77777777" w:rsidR="00BD16F2" w:rsidRPr="002A677E" w:rsidRDefault="00BD16F2" w:rsidP="00E07FE9">
            <w:pPr>
              <w:spacing w:before="0" w:after="0"/>
              <w:ind w:left="33"/>
              <w:rPr>
                <w:rFonts w:ascii="Times New Roman" w:hAnsi="Times New Roman"/>
                <w:bCs/>
                <w:sz w:val="24"/>
                <w:lang w:eastAsia="de-DE"/>
              </w:rPr>
            </w:pPr>
          </w:p>
          <w:p w14:paraId="681C111E"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Csak az általánosan elfogadott nemzeti számviteli elvek (GAAP) hatálya alá tartozó intézmények által jelentendő.</w:t>
            </w:r>
          </w:p>
          <w:p w14:paraId="17C99E04" w14:textId="77777777" w:rsidR="00BD16F2" w:rsidRPr="002A677E" w:rsidDel="00FB1EBF" w:rsidRDefault="00BD16F2" w:rsidP="00E07FE9">
            <w:pPr>
              <w:spacing w:before="0" w:after="0"/>
              <w:ind w:left="33"/>
              <w:rPr>
                <w:rFonts w:ascii="Times New Roman" w:hAnsi="Times New Roman"/>
                <w:bCs/>
                <w:sz w:val="24"/>
                <w:lang w:eastAsia="de-DE"/>
              </w:rPr>
            </w:pPr>
          </w:p>
        </w:tc>
      </w:tr>
      <w:tr w:rsidR="00BD16F2" w:rsidRPr="002A677E" w14:paraId="22CC2036" w14:textId="77777777" w:rsidTr="00E07FE9">
        <w:tc>
          <w:tcPr>
            <w:tcW w:w="1188" w:type="dxa"/>
          </w:tcPr>
          <w:p w14:paraId="54EC1BD8"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0050</w:t>
            </w:r>
          </w:p>
        </w:tc>
        <w:tc>
          <w:tcPr>
            <w:tcW w:w="8640" w:type="dxa"/>
          </w:tcPr>
          <w:p w14:paraId="00F501FE" w14:textId="77777777" w:rsidR="00BD16F2" w:rsidRPr="002A677E" w:rsidRDefault="00BD16F2" w:rsidP="00E07FE9">
            <w:pPr>
              <w:spacing w:before="0" w:after="0"/>
              <w:ind w:left="33"/>
              <w:rPr>
                <w:b/>
                <w:bCs/>
                <w:sz w:val="24"/>
                <w:u w:val="single"/>
                <w:rFonts w:ascii="Times New Roman" w:hAnsi="Times New Roman"/>
              </w:rPr>
            </w:pPr>
            <w:r>
              <w:rPr>
                <w:b/>
                <w:sz w:val="24"/>
                <w:u w:val="single"/>
                <w:rFonts w:ascii="Times New Roman" w:hAnsi="Times New Roman"/>
              </w:rPr>
              <w:t xml:space="preserve">Kötelezően az eredménnyel szemben valós értéken értékelt, nem kereskedési célú pénzügyi eszközök</w:t>
            </w:r>
          </w:p>
          <w:p w14:paraId="525A1C8D" w14:textId="77777777" w:rsidR="00BD16F2" w:rsidRPr="002A677E" w:rsidRDefault="00BD16F2" w:rsidP="00E07FE9">
            <w:pPr>
              <w:spacing w:before="0" w:after="0"/>
              <w:ind w:left="33"/>
              <w:rPr>
                <w:rFonts w:ascii="Times New Roman" w:hAnsi="Times New Roman"/>
                <w:bCs/>
                <w:sz w:val="24"/>
                <w:lang w:eastAsia="de-DE"/>
              </w:rPr>
            </w:pPr>
          </w:p>
          <w:p w14:paraId="66063EAA"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IFRS 7.8 a) ii.;</w:t>
            </w:r>
            <w:r>
              <w:rPr>
                <w:sz w:val="24"/>
                <w:rFonts w:ascii="Times New Roman" w:hAnsi="Times New Roman"/>
              </w:rPr>
              <w:t xml:space="preserve"> </w:t>
            </w:r>
            <w:r>
              <w:rPr>
                <w:sz w:val="24"/>
                <w:rFonts w:ascii="Times New Roman" w:hAnsi="Times New Roman"/>
              </w:rPr>
              <w:t xml:space="preserve">IFRS 9.4.1.4</w:t>
            </w:r>
          </w:p>
          <w:p w14:paraId="189EE537"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00ABA4B2" w14:textId="77777777" w:rsidTr="00E07FE9">
        <w:tc>
          <w:tcPr>
            <w:tcW w:w="1188" w:type="dxa"/>
          </w:tcPr>
          <w:p w14:paraId="0BFC780F"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0060</w:t>
            </w:r>
          </w:p>
        </w:tc>
        <w:tc>
          <w:tcPr>
            <w:tcW w:w="8640" w:type="dxa"/>
          </w:tcPr>
          <w:p w14:paraId="6F969304" w14:textId="77777777" w:rsidR="00BD16F2" w:rsidRPr="002A677E" w:rsidRDefault="00BD16F2" w:rsidP="00E07FE9">
            <w:pPr>
              <w:spacing w:before="0" w:after="0"/>
              <w:ind w:left="33"/>
              <w:rPr>
                <w:b/>
                <w:bCs/>
                <w:sz w:val="24"/>
                <w:u w:val="single"/>
                <w:rFonts w:ascii="Times New Roman" w:hAnsi="Times New Roman"/>
              </w:rPr>
            </w:pPr>
            <w:r>
              <w:rPr>
                <w:b/>
                <w:sz w:val="24"/>
                <w:u w:val="single"/>
                <w:rFonts w:ascii="Times New Roman" w:hAnsi="Times New Roman"/>
              </w:rPr>
              <w:t xml:space="preserve">Az eredménnyel szemben valós értéken értékeltnek megjelölt pénzügyi eszközök</w:t>
            </w:r>
          </w:p>
          <w:p w14:paraId="7E92E9CC" w14:textId="77777777" w:rsidR="00BD16F2" w:rsidRPr="002A677E" w:rsidRDefault="00BD16F2" w:rsidP="00E07FE9">
            <w:pPr>
              <w:spacing w:before="0" w:after="0"/>
              <w:ind w:left="33"/>
              <w:rPr>
                <w:rFonts w:ascii="Times New Roman" w:hAnsi="Times New Roman"/>
                <w:bCs/>
                <w:sz w:val="24"/>
                <w:lang w:eastAsia="de-DE"/>
              </w:rPr>
            </w:pPr>
          </w:p>
          <w:p w14:paraId="6520464C"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IFRS 7.8 a) i.;</w:t>
            </w:r>
            <w:r>
              <w:rPr>
                <w:sz w:val="24"/>
                <w:rFonts w:ascii="Times New Roman" w:hAnsi="Times New Roman"/>
              </w:rPr>
              <w:t xml:space="preserve"> </w:t>
            </w:r>
            <w:r>
              <w:rPr>
                <w:sz w:val="24"/>
                <w:rFonts w:ascii="Times New Roman" w:hAnsi="Times New Roman"/>
              </w:rPr>
              <w:t xml:space="preserve">IFRS 9.4.1.5, a 2013/34/EU irányelv 8. cikke (1) bekezdésének a) pontja és 8. cikkének (6) bekezdése</w:t>
            </w:r>
          </w:p>
          <w:p w14:paraId="2235AFF2"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7BF23D09" w14:textId="77777777" w:rsidTr="00E07FE9">
        <w:tc>
          <w:tcPr>
            <w:tcW w:w="1188" w:type="dxa"/>
          </w:tcPr>
          <w:p w14:paraId="53D9E29B"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0070</w:t>
            </w:r>
          </w:p>
        </w:tc>
        <w:tc>
          <w:tcPr>
            <w:tcW w:w="8640" w:type="dxa"/>
          </w:tcPr>
          <w:p w14:paraId="68D73903" w14:textId="77777777" w:rsidR="00BD16F2" w:rsidRPr="002A677E" w:rsidRDefault="00BD16F2" w:rsidP="00E07FE9">
            <w:pPr>
              <w:spacing w:before="0" w:after="0"/>
              <w:ind w:left="33"/>
              <w:rPr>
                <w:b/>
                <w:bCs/>
                <w:sz w:val="24"/>
                <w:u w:val="single"/>
                <w:rFonts w:ascii="Times New Roman" w:hAnsi="Times New Roman"/>
              </w:rPr>
            </w:pPr>
            <w:r>
              <w:rPr>
                <w:b/>
                <w:sz w:val="24"/>
                <w:u w:val="single"/>
                <w:rFonts w:ascii="Times New Roman" w:hAnsi="Times New Roman"/>
              </w:rPr>
              <w:t xml:space="preserve">Eredménnyel szemben valós értéken értékelt, nem kereskedési célú, nem származtatott pénzügyi eszközök</w:t>
            </w:r>
          </w:p>
          <w:p w14:paraId="23B31231" w14:textId="77777777" w:rsidR="00BD16F2" w:rsidRPr="002A677E" w:rsidRDefault="00BD16F2" w:rsidP="00E07FE9">
            <w:pPr>
              <w:spacing w:before="0" w:after="0"/>
              <w:ind w:left="33"/>
              <w:rPr>
                <w:rFonts w:ascii="Times New Roman" w:hAnsi="Times New Roman"/>
                <w:bCs/>
                <w:sz w:val="24"/>
                <w:lang w:eastAsia="de-DE"/>
              </w:rPr>
            </w:pPr>
          </w:p>
          <w:p w14:paraId="27CD9D12"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A 86/635/EGK tanácsi irányelv 36. cikkének (2) bekezdése,</w:t>
            </w:r>
            <w:r>
              <w:rPr>
                <w:sz w:val="24"/>
                <w:rFonts w:ascii="Times New Roman" w:hAnsi="Times New Roman"/>
              </w:rPr>
              <w:t xml:space="preserve"> </w:t>
            </w:r>
            <w:r>
              <w:rPr>
                <w:sz w:val="24"/>
                <w:rFonts w:ascii="Times New Roman" w:hAnsi="Times New Roman"/>
              </w:rPr>
              <w:t xml:space="preserve">a 2013/34/EU irányelv 8. cikke (1) bekezdésének a) pontja.</w:t>
            </w:r>
          </w:p>
          <w:p w14:paraId="160F8905" w14:textId="77777777" w:rsidR="00BD16F2" w:rsidRPr="002A677E" w:rsidRDefault="00BD16F2" w:rsidP="00E07FE9">
            <w:pPr>
              <w:spacing w:before="0" w:after="0"/>
              <w:ind w:left="33"/>
              <w:rPr>
                <w:rFonts w:ascii="Times New Roman" w:hAnsi="Times New Roman"/>
                <w:bCs/>
                <w:sz w:val="24"/>
                <w:lang w:eastAsia="de-DE"/>
              </w:rPr>
            </w:pPr>
          </w:p>
          <w:p w14:paraId="6D08313F"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Csak az általánosan elfogadott nemzeti számviteli elvek (GAAP) hatálya alá tartozó intézmények által jelentendő.</w:t>
            </w:r>
          </w:p>
          <w:p w14:paraId="6E563312"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73B60CBD" w14:textId="77777777" w:rsidTr="00E07FE9">
        <w:tc>
          <w:tcPr>
            <w:tcW w:w="1188" w:type="dxa"/>
          </w:tcPr>
          <w:p w14:paraId="171C7A15"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0080</w:t>
            </w:r>
          </w:p>
        </w:tc>
        <w:tc>
          <w:tcPr>
            <w:tcW w:w="8640" w:type="dxa"/>
          </w:tcPr>
          <w:p w14:paraId="3A843C30" w14:textId="77777777" w:rsidR="00BD16F2" w:rsidRPr="002A677E" w:rsidRDefault="00BD16F2" w:rsidP="00E07FE9">
            <w:pPr>
              <w:spacing w:before="0" w:after="0"/>
              <w:ind w:left="33"/>
              <w:rPr>
                <w:b/>
                <w:bCs/>
                <w:sz w:val="24"/>
                <w:u w:val="single"/>
                <w:rFonts w:ascii="Times New Roman" w:hAnsi="Times New Roman"/>
              </w:rPr>
            </w:pPr>
            <w:r>
              <w:rPr>
                <w:b/>
                <w:sz w:val="24"/>
                <w:u w:val="single"/>
                <w:rFonts w:ascii="Times New Roman" w:hAnsi="Times New Roman"/>
              </w:rPr>
              <w:t xml:space="preserve">Az egyéb átfogó jövedelemmel szemben valós értéken értékelt pénzügyi eszközök</w:t>
            </w:r>
          </w:p>
          <w:p w14:paraId="7E05DEFE" w14:textId="77777777" w:rsidR="00BD16F2" w:rsidRPr="002A677E" w:rsidRDefault="00BD16F2" w:rsidP="00E07FE9">
            <w:pPr>
              <w:spacing w:before="0" w:after="0"/>
              <w:ind w:left="33"/>
              <w:rPr>
                <w:rFonts w:ascii="Times New Roman" w:hAnsi="Times New Roman"/>
                <w:bCs/>
                <w:sz w:val="24"/>
                <w:lang w:eastAsia="de-DE"/>
              </w:rPr>
            </w:pPr>
          </w:p>
          <w:p w14:paraId="4248A325"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IFRS 7.8 d);</w:t>
            </w:r>
            <w:r>
              <w:rPr>
                <w:sz w:val="24"/>
                <w:rFonts w:ascii="Times New Roman" w:hAnsi="Times New Roman"/>
              </w:rPr>
              <w:t xml:space="preserve"> </w:t>
            </w:r>
            <w:r>
              <w:rPr>
                <w:sz w:val="24"/>
                <w:rFonts w:ascii="Times New Roman" w:hAnsi="Times New Roman"/>
              </w:rPr>
              <w:t xml:space="preserve">IFRS 9.4.1.2A</w:t>
            </w:r>
          </w:p>
          <w:p w14:paraId="77A7996E" w14:textId="77777777" w:rsidR="00BD16F2" w:rsidRPr="002A677E" w:rsidRDefault="00BD16F2" w:rsidP="00E07FE9">
            <w:pPr>
              <w:spacing w:before="0" w:after="0"/>
              <w:ind w:left="33"/>
              <w:rPr>
                <w:rFonts w:ascii="Times New Roman" w:hAnsi="Times New Roman"/>
                <w:b/>
                <w:bCs/>
                <w:sz w:val="24"/>
                <w:lang w:eastAsia="de-DE"/>
              </w:rPr>
            </w:pPr>
          </w:p>
        </w:tc>
      </w:tr>
      <w:tr w:rsidR="00BD16F2" w:rsidRPr="002A677E" w14:paraId="3D4CCA12" w14:textId="77777777" w:rsidTr="00E07FE9">
        <w:tc>
          <w:tcPr>
            <w:tcW w:w="1188" w:type="dxa"/>
          </w:tcPr>
          <w:p w14:paraId="2A13B190"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0090</w:t>
            </w:r>
          </w:p>
        </w:tc>
        <w:tc>
          <w:tcPr>
            <w:tcW w:w="8640" w:type="dxa"/>
          </w:tcPr>
          <w:p w14:paraId="508FA160" w14:textId="77777777" w:rsidR="00BD16F2" w:rsidRPr="002A677E" w:rsidRDefault="00BD16F2" w:rsidP="00E07FE9">
            <w:pPr>
              <w:spacing w:before="0" w:after="0"/>
              <w:ind w:left="33"/>
              <w:rPr>
                <w:b/>
                <w:bCs/>
                <w:sz w:val="24"/>
                <w:u w:val="single"/>
                <w:rFonts w:ascii="Times New Roman" w:hAnsi="Times New Roman"/>
              </w:rPr>
            </w:pPr>
            <w:r>
              <w:rPr>
                <w:b/>
                <w:sz w:val="24"/>
                <w:u w:val="single"/>
                <w:rFonts w:ascii="Times New Roman" w:hAnsi="Times New Roman"/>
              </w:rPr>
              <w:t xml:space="preserve">A saját tőkével szemben valós értéken értékelt, nem kereskedési célú, nem származtatott pénzügyi eszközök</w:t>
            </w:r>
          </w:p>
          <w:p w14:paraId="312EC554" w14:textId="77777777" w:rsidR="00BD16F2" w:rsidRPr="002A677E" w:rsidRDefault="00BD16F2" w:rsidP="00E07FE9">
            <w:pPr>
              <w:spacing w:before="0" w:after="0"/>
              <w:ind w:left="33"/>
              <w:rPr>
                <w:rFonts w:ascii="Times New Roman" w:hAnsi="Times New Roman"/>
                <w:bCs/>
                <w:sz w:val="24"/>
                <w:lang w:eastAsia="de-DE"/>
              </w:rPr>
            </w:pPr>
          </w:p>
          <w:p w14:paraId="6A54FF1B"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A 2013/34/EU irányelv 8. cikke (1) bekezdésének a) pontja, valamint 8. cikkének (8) bekezdése.</w:t>
            </w:r>
          </w:p>
          <w:p w14:paraId="59CB959C" w14:textId="77777777" w:rsidR="00BD16F2" w:rsidRPr="002A677E" w:rsidRDefault="00BD16F2" w:rsidP="00E07FE9">
            <w:pPr>
              <w:spacing w:before="0" w:after="0"/>
              <w:ind w:left="33"/>
              <w:rPr>
                <w:rFonts w:ascii="Times New Roman" w:hAnsi="Times New Roman"/>
                <w:bCs/>
                <w:sz w:val="24"/>
                <w:lang w:eastAsia="de-DE"/>
              </w:rPr>
            </w:pPr>
          </w:p>
          <w:p w14:paraId="7237639A"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Csak az általánosan elfogadott nemzeti számviteli elvek (GAAP) hatálya alá tartozó intézmények által jelentendő.</w:t>
            </w:r>
          </w:p>
          <w:p w14:paraId="51F4F44B"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62F74C49" w14:textId="77777777" w:rsidTr="00E07FE9">
        <w:tc>
          <w:tcPr>
            <w:tcW w:w="1188" w:type="dxa"/>
          </w:tcPr>
          <w:p w14:paraId="45F0F2CC"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0100</w:t>
            </w:r>
          </w:p>
        </w:tc>
        <w:tc>
          <w:tcPr>
            <w:tcW w:w="8640" w:type="dxa"/>
          </w:tcPr>
          <w:p w14:paraId="479F6948" w14:textId="77777777" w:rsidR="00BD16F2" w:rsidRPr="002A677E" w:rsidRDefault="00BD16F2" w:rsidP="00E07FE9">
            <w:pPr>
              <w:spacing w:before="0" w:after="0"/>
              <w:ind w:left="33"/>
              <w:rPr>
                <w:b/>
                <w:bCs/>
                <w:sz w:val="24"/>
                <w:u w:val="single"/>
                <w:rFonts w:ascii="Times New Roman" w:hAnsi="Times New Roman"/>
              </w:rPr>
            </w:pPr>
            <w:r>
              <w:rPr>
                <w:b/>
                <w:sz w:val="24"/>
                <w:u w:val="single"/>
                <w:rFonts w:ascii="Times New Roman" w:hAnsi="Times New Roman"/>
              </w:rPr>
              <w:t xml:space="preserve">Amortizált bekerülési értéken értékelt pénzügyi eszközök</w:t>
            </w:r>
          </w:p>
          <w:p w14:paraId="4996BB95" w14:textId="77777777" w:rsidR="00BD16F2" w:rsidRPr="002A677E" w:rsidRDefault="00BD16F2" w:rsidP="00E07FE9">
            <w:pPr>
              <w:spacing w:before="0" w:after="0"/>
              <w:ind w:left="33"/>
              <w:rPr>
                <w:rFonts w:ascii="Times New Roman" w:hAnsi="Times New Roman"/>
                <w:bCs/>
                <w:sz w:val="24"/>
                <w:lang w:eastAsia="de-DE"/>
              </w:rPr>
            </w:pPr>
          </w:p>
          <w:p w14:paraId="36A72775" w14:textId="77777777" w:rsidR="00BD16F2" w:rsidRPr="002A677E" w:rsidDel="00501397" w:rsidRDefault="00BD16F2" w:rsidP="00E07FE9">
            <w:pPr>
              <w:spacing w:before="0" w:after="0"/>
              <w:ind w:left="33"/>
              <w:rPr>
                <w:b/>
                <w:bCs/>
                <w:sz w:val="24"/>
                <w:u w:val="single"/>
                <w:rFonts w:ascii="Times New Roman" w:hAnsi="Times New Roman"/>
              </w:rPr>
            </w:pPr>
            <w:r>
              <w:rPr>
                <w:sz w:val="24"/>
                <w:rFonts w:ascii="Times New Roman" w:hAnsi="Times New Roman"/>
              </w:rPr>
              <w:t xml:space="preserve">IFRS 7.8 f);</w:t>
            </w:r>
            <w:r>
              <w:rPr>
                <w:sz w:val="24"/>
                <w:rFonts w:ascii="Times New Roman" w:hAnsi="Times New Roman"/>
              </w:rPr>
              <w:t xml:space="preserve"> </w:t>
            </w:r>
            <w:r>
              <w:rPr>
                <w:sz w:val="24"/>
                <w:rFonts w:ascii="Times New Roman" w:hAnsi="Times New Roman"/>
              </w:rPr>
              <w:t xml:space="preserve">IFRS 9.4.1.2;</w:t>
            </w:r>
            <w:r>
              <w:rPr>
                <w:sz w:val="24"/>
                <w:rFonts w:ascii="Times New Roman" w:hAnsi="Times New Roman"/>
              </w:rPr>
              <w:t xml:space="preserve"> </w:t>
            </w:r>
            <w:r>
              <w:rPr>
                <w:sz w:val="24"/>
                <w:rFonts w:ascii="Times New Roman" w:hAnsi="Times New Roman"/>
              </w:rPr>
              <w:t xml:space="preserve">e végrehajtási rendelet V. melléklete 1. részének 15. pontja</w:t>
            </w:r>
          </w:p>
          <w:p w14:paraId="45A195A9"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6390405B" w14:textId="77777777" w:rsidTr="00E07FE9">
        <w:tc>
          <w:tcPr>
            <w:tcW w:w="1188" w:type="dxa"/>
          </w:tcPr>
          <w:p w14:paraId="443668D5"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0110</w:t>
            </w:r>
          </w:p>
        </w:tc>
        <w:tc>
          <w:tcPr>
            <w:tcW w:w="8640" w:type="dxa"/>
          </w:tcPr>
          <w:p w14:paraId="766084D3" w14:textId="77777777" w:rsidR="00BD16F2" w:rsidRPr="002A677E" w:rsidRDefault="00BD16F2" w:rsidP="00E07FE9">
            <w:pPr>
              <w:spacing w:before="0" w:after="0"/>
              <w:ind w:left="33"/>
              <w:rPr>
                <w:b/>
                <w:bCs/>
                <w:sz w:val="24"/>
                <w:u w:val="single"/>
                <w:rFonts w:ascii="Times New Roman" w:hAnsi="Times New Roman"/>
              </w:rPr>
            </w:pPr>
            <w:r>
              <w:rPr>
                <w:b/>
                <w:sz w:val="24"/>
                <w:u w:val="single"/>
                <w:rFonts w:ascii="Times New Roman" w:hAnsi="Times New Roman"/>
              </w:rPr>
              <w:t xml:space="preserve">Bekerülésiérték-módszerrel értékelt nem kereskedési célú, nem származtatott pénzügyi eszközök</w:t>
            </w:r>
          </w:p>
          <w:p w14:paraId="6FD47D7F" w14:textId="77777777" w:rsidR="00BD16F2" w:rsidRPr="002A677E" w:rsidRDefault="00BD16F2" w:rsidP="00E07FE9">
            <w:pPr>
              <w:spacing w:before="0" w:after="0"/>
              <w:ind w:left="33"/>
              <w:rPr>
                <w:rFonts w:ascii="Times New Roman" w:hAnsi="Times New Roman"/>
                <w:bCs/>
                <w:sz w:val="24"/>
                <w:lang w:eastAsia="de-DE"/>
              </w:rPr>
            </w:pPr>
          </w:p>
          <w:p w14:paraId="45DF723D"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A 86/635/EGK tanácsi irányelv 35. cikke,</w:t>
            </w:r>
            <w:r>
              <w:rPr>
                <w:sz w:val="24"/>
                <w:rFonts w:ascii="Times New Roman" w:hAnsi="Times New Roman"/>
              </w:rPr>
              <w:t xml:space="preserve"> </w:t>
            </w:r>
            <w:r>
              <w:rPr>
                <w:sz w:val="24"/>
                <w:rFonts w:ascii="Times New Roman" w:hAnsi="Times New Roman"/>
              </w:rPr>
              <w:t xml:space="preserve">a 2013/34/EU irányelv 6. cikke (1) bekezdésének i) pontja, valamint 8. cikkének (2) bekezdése,</w:t>
            </w:r>
            <w:r>
              <w:rPr>
                <w:sz w:val="24"/>
                <w:rFonts w:ascii="Times New Roman" w:hAnsi="Times New Roman"/>
              </w:rPr>
              <w:t xml:space="preserve"> </w:t>
            </w:r>
            <w:r>
              <w:rPr>
                <w:sz w:val="24"/>
                <w:rFonts w:ascii="Times New Roman" w:hAnsi="Times New Roman"/>
              </w:rPr>
              <w:t xml:space="preserve">e végrehajtási rendelet V. melléklete 1. részének 16. pontja</w:t>
            </w:r>
          </w:p>
          <w:p w14:paraId="282E66CD" w14:textId="77777777" w:rsidR="00BD16F2" w:rsidRPr="002A677E" w:rsidRDefault="00BD16F2" w:rsidP="00E07FE9">
            <w:pPr>
              <w:spacing w:before="0" w:after="0"/>
              <w:ind w:left="33"/>
              <w:rPr>
                <w:rFonts w:ascii="Times New Roman" w:hAnsi="Times New Roman"/>
                <w:bCs/>
                <w:sz w:val="24"/>
                <w:lang w:eastAsia="de-DE"/>
              </w:rPr>
            </w:pPr>
          </w:p>
          <w:p w14:paraId="172A9BBE"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Csak az általánosan elfogadott nemzeti számviteli elvek (GAAP) hatálya alá tartozó intézmények által jelentendő.</w:t>
            </w:r>
          </w:p>
          <w:p w14:paraId="58A5969F"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5B948604" w14:textId="77777777" w:rsidTr="00E07FE9">
        <w:tc>
          <w:tcPr>
            <w:tcW w:w="1188" w:type="dxa"/>
          </w:tcPr>
          <w:p w14:paraId="3001C0CC"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0120</w:t>
            </w:r>
          </w:p>
        </w:tc>
        <w:tc>
          <w:tcPr>
            <w:tcW w:w="8640" w:type="dxa"/>
          </w:tcPr>
          <w:p w14:paraId="4E4E0E80" w14:textId="77777777" w:rsidR="00BD16F2" w:rsidRPr="002A677E" w:rsidRDefault="00BD16F2" w:rsidP="00E07FE9">
            <w:pPr>
              <w:spacing w:before="0" w:after="0"/>
              <w:ind w:left="33"/>
              <w:rPr>
                <w:b/>
                <w:bCs/>
                <w:sz w:val="24"/>
                <w:u w:val="single"/>
                <w:rFonts w:ascii="Times New Roman" w:hAnsi="Times New Roman"/>
              </w:rPr>
            </w:pPr>
            <w:r>
              <w:rPr>
                <w:b/>
                <w:sz w:val="24"/>
                <w:u w:val="single"/>
                <w:rFonts w:ascii="Times New Roman" w:hAnsi="Times New Roman"/>
              </w:rPr>
              <w:t xml:space="preserve">Egyéb nem kereskedési célú, nem származtatott pénzügyi eszközök</w:t>
            </w:r>
          </w:p>
          <w:p w14:paraId="238F2DC7" w14:textId="77777777" w:rsidR="00BD16F2" w:rsidRPr="002A677E" w:rsidRDefault="00BD16F2" w:rsidP="00E07FE9">
            <w:pPr>
              <w:spacing w:before="0" w:after="0"/>
              <w:ind w:left="33"/>
              <w:rPr>
                <w:rFonts w:ascii="Times New Roman" w:hAnsi="Times New Roman"/>
                <w:bCs/>
                <w:sz w:val="24"/>
                <w:lang w:eastAsia="de-DE"/>
              </w:rPr>
            </w:pPr>
          </w:p>
          <w:p w14:paraId="46DBE6A3"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A 86/635/EGK tanácsi irányelv 37. cikke,</w:t>
            </w:r>
            <w:r>
              <w:rPr>
                <w:sz w:val="24"/>
                <w:rFonts w:ascii="Times New Roman" w:hAnsi="Times New Roman"/>
              </w:rPr>
              <w:t xml:space="preserve"> </w:t>
            </w:r>
            <w:r>
              <w:rPr>
                <w:sz w:val="24"/>
                <w:rFonts w:ascii="Times New Roman" w:hAnsi="Times New Roman"/>
              </w:rPr>
              <w:t xml:space="preserve">a 2013/34/EU irányelv 12. cikkének (7) bekezdése,</w:t>
            </w:r>
            <w:r>
              <w:rPr>
                <w:sz w:val="24"/>
                <w:rFonts w:ascii="Times New Roman" w:hAnsi="Times New Roman"/>
              </w:rPr>
              <w:t xml:space="preserve"> </w:t>
            </w:r>
            <w:r>
              <w:rPr>
                <w:sz w:val="24"/>
                <w:rFonts w:ascii="Times New Roman" w:hAnsi="Times New Roman"/>
              </w:rPr>
              <w:t xml:space="preserve">e végrehajtási rendelet V. melléklete 1. részének 16. pontja</w:t>
            </w:r>
          </w:p>
          <w:p w14:paraId="7D2BCFA8" w14:textId="77777777" w:rsidR="00BD16F2" w:rsidRPr="002A677E" w:rsidRDefault="00BD16F2" w:rsidP="00E07FE9">
            <w:pPr>
              <w:spacing w:before="0" w:after="0"/>
              <w:ind w:left="33"/>
              <w:rPr>
                <w:rFonts w:ascii="Times New Roman" w:hAnsi="Times New Roman"/>
                <w:bCs/>
                <w:sz w:val="24"/>
                <w:lang w:eastAsia="de-DE"/>
              </w:rPr>
            </w:pPr>
          </w:p>
          <w:p w14:paraId="14CA5512"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Csak az általánosan elfogadott nemzeti számviteli elvek (GAAP) hatálya alá tartozó intézmények által jelentendő.</w:t>
            </w:r>
          </w:p>
          <w:p w14:paraId="312E62E4"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17C8E3AA" w14:textId="77777777" w:rsidTr="00E07FE9">
        <w:tc>
          <w:tcPr>
            <w:tcW w:w="1188" w:type="dxa"/>
          </w:tcPr>
          <w:p w14:paraId="6BE62257"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0130</w:t>
            </w:r>
          </w:p>
        </w:tc>
        <w:tc>
          <w:tcPr>
            <w:tcW w:w="8640" w:type="dxa"/>
          </w:tcPr>
          <w:p w14:paraId="76C04A1B" w14:textId="77777777" w:rsidR="00BD16F2" w:rsidRPr="002A677E" w:rsidRDefault="00BD16F2" w:rsidP="00E07FE9">
            <w:pPr>
              <w:spacing w:before="0" w:after="0"/>
              <w:ind w:left="33"/>
              <w:rPr>
                <w:b/>
                <w:bCs/>
                <w:sz w:val="24"/>
                <w:u w:val="single"/>
                <w:rFonts w:ascii="Times New Roman" w:hAnsi="Times New Roman"/>
              </w:rPr>
            </w:pPr>
            <w:r>
              <w:rPr>
                <w:b/>
                <w:sz w:val="24"/>
                <w:u w:val="single"/>
                <w:rFonts w:ascii="Times New Roman" w:hAnsi="Times New Roman"/>
              </w:rPr>
              <w:t xml:space="preserve">Rövid pozíciók</w:t>
            </w:r>
          </w:p>
          <w:p w14:paraId="49E7DA3B" w14:textId="77777777" w:rsidR="00BD16F2" w:rsidRPr="002A677E" w:rsidRDefault="00BD16F2" w:rsidP="00E07FE9">
            <w:pPr>
              <w:spacing w:before="0" w:after="0"/>
              <w:ind w:left="33"/>
              <w:rPr>
                <w:rFonts w:ascii="Times New Roman" w:hAnsi="Times New Roman"/>
                <w:bCs/>
                <w:sz w:val="24"/>
                <w:lang w:eastAsia="de-DE"/>
              </w:rPr>
            </w:pPr>
          </w:p>
          <w:p w14:paraId="5EABDCFA"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Az IFRS 9 BA.7 bekezdésének b) pontjában meghatározott azon rövid pozíciók könyv szerinti értéke, ahol a közvetlen partner államháztartás az e melléklet 155–160. pontjában meghatározottaknak megfelelően.</w:t>
            </w:r>
          </w:p>
          <w:p w14:paraId="024950F8" w14:textId="77777777" w:rsidR="00BD16F2" w:rsidRPr="002A677E" w:rsidRDefault="00BD16F2" w:rsidP="00E07FE9">
            <w:pPr>
              <w:spacing w:before="0" w:after="0"/>
              <w:ind w:left="33"/>
              <w:rPr>
                <w:rFonts w:ascii="Times New Roman" w:hAnsi="Times New Roman"/>
                <w:bCs/>
                <w:sz w:val="24"/>
                <w:lang w:eastAsia="de-DE"/>
              </w:rPr>
            </w:pPr>
          </w:p>
          <w:p w14:paraId="51B3EE05"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Rövid pozíció akkor keletkezik, ha az intézmény fordított visszavásárlási hitelek keretében szerzett vagy értékpapírkölcsön-ügylet keretében kölcsönvett értékpapírokat ad el.</w:t>
            </w:r>
          </w:p>
          <w:p w14:paraId="7EBF0AEF" w14:textId="77777777" w:rsidR="00BD16F2" w:rsidRPr="002A677E" w:rsidRDefault="00BD16F2" w:rsidP="00E07FE9">
            <w:pPr>
              <w:spacing w:before="0" w:after="0"/>
              <w:ind w:left="33"/>
              <w:rPr>
                <w:rFonts w:ascii="Times New Roman" w:hAnsi="Times New Roman"/>
                <w:bCs/>
                <w:sz w:val="24"/>
                <w:lang w:eastAsia="de-DE"/>
              </w:rPr>
            </w:pPr>
          </w:p>
          <w:p w14:paraId="021370DC"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A könyv szerinti érték a rövid pozíció valós értéke.</w:t>
            </w:r>
          </w:p>
          <w:p w14:paraId="3EDD491E" w14:textId="77777777" w:rsidR="00BD16F2" w:rsidRPr="002A677E" w:rsidRDefault="00BD16F2" w:rsidP="00E07FE9">
            <w:pPr>
              <w:spacing w:before="0" w:after="0"/>
              <w:ind w:left="33"/>
              <w:rPr>
                <w:rFonts w:ascii="Times New Roman" w:hAnsi="Times New Roman"/>
                <w:bCs/>
                <w:sz w:val="24"/>
                <w:lang w:eastAsia="de-DE"/>
              </w:rPr>
            </w:pPr>
          </w:p>
          <w:p w14:paraId="4A4AC949"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A rövid pozíciókat a 0170–0230-as sorban felsorolt hátralévő futamidő szerinti, valamint közvetlen partner szerinti bontásban kell jelenteni.</w:t>
            </w:r>
            <w:r>
              <w:rPr>
                <w:sz w:val="24"/>
                <w:rFonts w:ascii="Times New Roman" w:hAnsi="Times New Roman"/>
              </w:rPr>
              <w:t xml:space="preserve"> </w:t>
            </w:r>
          </w:p>
          <w:p w14:paraId="3218C7A4" w14:textId="77777777" w:rsidR="00BD16F2" w:rsidRPr="002A677E" w:rsidRDefault="00BD16F2" w:rsidP="00E07FE9">
            <w:pPr>
              <w:spacing w:before="0" w:after="0"/>
              <w:ind w:left="33"/>
              <w:rPr>
                <w:rFonts w:ascii="Times New Roman" w:hAnsi="Times New Roman"/>
                <w:bCs/>
                <w:sz w:val="24"/>
                <w:lang w:eastAsia="de-DE"/>
              </w:rPr>
            </w:pPr>
          </w:p>
          <w:p w14:paraId="7BAFBB69"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Az ebben az oszlopban feltüntetett rövid pozíciók a 0020-as oszlopban feltüntetett nettó pozíció megállapításához nettósíthatók az azonos hátralevő futamidővel és közvetlen partnerrel rendelkező, ugyanabban a pénznemben denominált, a 0030-0120-as oszlopban feltüntetett pozíciókkal.</w:t>
            </w:r>
          </w:p>
          <w:p w14:paraId="1FB5AD5F"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310B3391" w14:textId="77777777" w:rsidTr="00E07FE9">
        <w:tc>
          <w:tcPr>
            <w:tcW w:w="1188" w:type="dxa"/>
          </w:tcPr>
          <w:p w14:paraId="10D2B58C" w14:textId="77777777" w:rsidR="00BD16F2" w:rsidRPr="002A677E" w:rsidDel="00E97A51" w:rsidRDefault="00BD16F2" w:rsidP="00E07FE9">
            <w:pPr>
              <w:spacing w:before="0" w:after="0"/>
              <w:ind w:left="33"/>
              <w:rPr>
                <w:bCs/>
                <w:sz w:val="24"/>
                <w:rFonts w:ascii="Times New Roman" w:hAnsi="Times New Roman"/>
              </w:rPr>
            </w:pPr>
            <w:r>
              <w:rPr>
                <w:sz w:val="24"/>
                <w:rFonts w:ascii="Times New Roman" w:hAnsi="Times New Roman"/>
              </w:rPr>
              <w:t xml:space="preserve">0140</w:t>
            </w:r>
          </w:p>
        </w:tc>
        <w:tc>
          <w:tcPr>
            <w:tcW w:w="8640" w:type="dxa"/>
          </w:tcPr>
          <w:p w14:paraId="7E8B6597" w14:textId="77777777" w:rsidR="00BD16F2" w:rsidRPr="002A677E" w:rsidRDefault="00BD16F2" w:rsidP="00E07FE9">
            <w:pPr>
              <w:spacing w:before="0" w:after="0"/>
              <w:ind w:left="33"/>
              <w:rPr>
                <w:b/>
                <w:bCs/>
                <w:sz w:val="24"/>
                <w:u w:val="single"/>
                <w:rFonts w:ascii="Times New Roman" w:hAnsi="Times New Roman"/>
              </w:rPr>
            </w:pPr>
            <w:r>
              <w:rPr>
                <w:b/>
                <w:sz w:val="24"/>
                <w:u w:val="single"/>
                <w:rFonts w:ascii="Times New Roman" w:hAnsi="Times New Roman"/>
              </w:rPr>
              <w:t xml:space="preserve">Ebből:</w:t>
            </w:r>
            <w:r>
              <w:rPr>
                <w:b/>
                <w:sz w:val="24"/>
                <w:u w:val="single"/>
                <w:rFonts w:ascii="Times New Roman" w:hAnsi="Times New Roman"/>
              </w:rPr>
              <w:t xml:space="preserve"> </w:t>
            </w:r>
            <w:r>
              <w:rPr>
                <w:b/>
                <w:sz w:val="24"/>
                <w:u w:val="single"/>
                <w:rFonts w:ascii="Times New Roman" w:hAnsi="Times New Roman"/>
              </w:rPr>
              <w:t xml:space="preserve">kereskedési céllal tartott vagy kereskedési célú pénzügyi eszközként besorolt, fordított visszavásárlási hitelekből származó rövid pozíciók</w:t>
            </w:r>
          </w:p>
          <w:p w14:paraId="44C558BA" w14:textId="77777777" w:rsidR="00BD16F2" w:rsidRPr="002A677E" w:rsidRDefault="00BD16F2" w:rsidP="00E07FE9">
            <w:pPr>
              <w:spacing w:before="0" w:after="0"/>
              <w:ind w:left="33"/>
              <w:rPr>
                <w:rFonts w:ascii="Times New Roman" w:hAnsi="Times New Roman"/>
                <w:bCs/>
                <w:sz w:val="24"/>
                <w:lang w:eastAsia="de-DE"/>
              </w:rPr>
            </w:pPr>
          </w:p>
          <w:p w14:paraId="61E9AF9C"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Az IFRS 9 BA.7 bekezdése b) pontjában meghatározott azon kereskedési céllal tartott vagy kereskedési célú pénzügyi eszközök számviteli portfóliójába (0030-as és 0040-es oszlop) besorolt rövid pozíciók könyv szerinti értéke, amelyek visszavásárlási hitelek keretében szerzett értékpapírok intézmény általi eladásával keletkeztek, ahol az említett értékpapírok esetében a közvetlen partner államháztartás.</w:t>
            </w:r>
          </w:p>
          <w:p w14:paraId="5D02DDEB" w14:textId="77777777" w:rsidR="00BD16F2" w:rsidRPr="002A677E" w:rsidRDefault="00BD16F2" w:rsidP="00E07FE9">
            <w:pPr>
              <w:spacing w:before="0" w:after="0"/>
              <w:ind w:left="33"/>
              <w:rPr>
                <w:rFonts w:ascii="Times New Roman" w:hAnsi="Times New Roman"/>
                <w:b/>
                <w:bCs/>
                <w:sz w:val="24"/>
                <w:u w:val="single"/>
                <w:lang w:eastAsia="de-DE"/>
              </w:rPr>
            </w:pPr>
          </w:p>
          <w:p w14:paraId="52086FF0"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Az értékpapírkölcsön-ügylet keretében kölcsönvett értékpapírok eladásával keletkező rövid pozíciók nem szerepelhetnek ebben az oszlopban.</w:t>
            </w:r>
            <w:r>
              <w:rPr>
                <w:sz w:val="24"/>
                <w:rFonts w:ascii="Times New Roman" w:hAnsi="Times New Roman"/>
              </w:rPr>
              <w:t xml:space="preserve"> </w:t>
            </w:r>
          </w:p>
          <w:p w14:paraId="28BB35C9" w14:textId="77777777" w:rsidR="00BD16F2" w:rsidRPr="002A677E" w:rsidDel="00E97A51" w:rsidRDefault="00BD16F2" w:rsidP="00E07FE9">
            <w:pPr>
              <w:spacing w:before="0" w:after="0"/>
              <w:ind w:left="33"/>
              <w:rPr>
                <w:rFonts w:ascii="Times New Roman" w:hAnsi="Times New Roman"/>
                <w:b/>
                <w:bCs/>
                <w:sz w:val="24"/>
                <w:u w:val="single"/>
                <w:lang w:eastAsia="de-DE"/>
              </w:rPr>
            </w:pPr>
          </w:p>
        </w:tc>
      </w:tr>
      <w:tr w:rsidR="00BD16F2" w:rsidRPr="002A677E" w:rsidDel="004A25FD" w14:paraId="116E41A1" w14:textId="77777777" w:rsidTr="00E07FE9">
        <w:tc>
          <w:tcPr>
            <w:tcW w:w="1188" w:type="dxa"/>
          </w:tcPr>
          <w:p w14:paraId="15C60976" w14:textId="77777777" w:rsidR="00BD16F2" w:rsidRPr="002A677E" w:rsidDel="004A25FD" w:rsidRDefault="00BD16F2" w:rsidP="00E07FE9">
            <w:pPr>
              <w:spacing w:before="0" w:after="0"/>
              <w:ind w:left="33"/>
              <w:rPr>
                <w:bCs/>
                <w:sz w:val="24"/>
                <w:rFonts w:ascii="Times New Roman" w:hAnsi="Times New Roman"/>
              </w:rPr>
            </w:pPr>
            <w:r>
              <w:rPr>
                <w:sz w:val="24"/>
                <w:rFonts w:ascii="Times New Roman" w:hAnsi="Times New Roman"/>
              </w:rPr>
              <w:t xml:space="preserve">0150</w:t>
            </w:r>
          </w:p>
        </w:tc>
        <w:tc>
          <w:tcPr>
            <w:tcW w:w="8640" w:type="dxa"/>
          </w:tcPr>
          <w:p w14:paraId="6965A7CA" w14:textId="77777777" w:rsidR="00BD16F2" w:rsidRPr="002A677E" w:rsidRDefault="00BD16F2" w:rsidP="00E07FE9">
            <w:pPr>
              <w:spacing w:before="0" w:after="0"/>
              <w:ind w:left="33"/>
              <w:rPr>
                <w:b/>
                <w:bCs/>
                <w:sz w:val="24"/>
                <w:u w:val="single"/>
                <w:rFonts w:ascii="Times New Roman" w:hAnsi="Times New Roman"/>
              </w:rPr>
            </w:pPr>
            <w:r>
              <w:rPr>
                <w:b/>
                <w:sz w:val="24"/>
                <w:u w:val="single"/>
                <w:rFonts w:ascii="Times New Roman" w:hAnsi="Times New Roman"/>
              </w:rPr>
              <w:t xml:space="preserve">Halmozott értékvesztés</w:t>
            </w:r>
          </w:p>
          <w:p w14:paraId="7BE2EBDC" w14:textId="77777777" w:rsidR="00BD16F2" w:rsidRPr="002A677E" w:rsidRDefault="00BD16F2" w:rsidP="00E07FE9">
            <w:pPr>
              <w:spacing w:before="0" w:after="0"/>
              <w:ind w:left="33"/>
              <w:rPr>
                <w:rFonts w:ascii="Times New Roman" w:hAnsi="Times New Roman"/>
                <w:b/>
                <w:bCs/>
                <w:sz w:val="24"/>
                <w:u w:val="single"/>
                <w:lang w:eastAsia="de-DE"/>
              </w:rPr>
            </w:pPr>
          </w:p>
          <w:p w14:paraId="4B7F6450"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A 0080–0120-as oszlopban jelentett nem származtatott pénzügyi eszközökkel kapcsolatos összes halmozott értékvesztés (e végrehajtási rendelet V. melléklete 2. részének 70. és 71. pontja).</w:t>
            </w:r>
          </w:p>
          <w:p w14:paraId="7138219C" w14:textId="77777777" w:rsidR="00BD16F2" w:rsidRPr="002A677E" w:rsidDel="004A25FD" w:rsidRDefault="00BD16F2" w:rsidP="00E07FE9">
            <w:pPr>
              <w:spacing w:before="0" w:after="0"/>
              <w:ind w:left="33"/>
              <w:rPr>
                <w:rFonts w:ascii="Times New Roman" w:hAnsi="Times New Roman"/>
                <w:bCs/>
                <w:sz w:val="24"/>
                <w:lang w:eastAsia="de-DE"/>
              </w:rPr>
            </w:pPr>
          </w:p>
        </w:tc>
      </w:tr>
      <w:tr w:rsidR="00BD16F2" w:rsidRPr="002A677E" w14:paraId="207DBEB5" w14:textId="77777777" w:rsidTr="00E07FE9">
        <w:tc>
          <w:tcPr>
            <w:tcW w:w="1188" w:type="dxa"/>
          </w:tcPr>
          <w:p w14:paraId="4DD87CF4"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0160</w:t>
            </w:r>
          </w:p>
        </w:tc>
        <w:tc>
          <w:tcPr>
            <w:tcW w:w="8640" w:type="dxa"/>
          </w:tcPr>
          <w:p w14:paraId="053E70B7" w14:textId="77777777" w:rsidR="00BD16F2" w:rsidRPr="002A677E" w:rsidRDefault="00BD16F2" w:rsidP="00E07FE9">
            <w:pPr>
              <w:spacing w:before="0" w:after="0"/>
              <w:ind w:left="33"/>
              <w:rPr>
                <w:b/>
                <w:bCs/>
                <w:sz w:val="24"/>
                <w:u w:val="single"/>
                <w:rFonts w:ascii="Times New Roman" w:hAnsi="Times New Roman"/>
              </w:rPr>
            </w:pPr>
            <w:r>
              <w:rPr>
                <w:b/>
                <w:sz w:val="24"/>
                <w:u w:val="single"/>
                <w:rFonts w:ascii="Times New Roman" w:hAnsi="Times New Roman"/>
              </w:rPr>
              <w:t xml:space="preserve">Halmozott értékvesztés – ebből:</w:t>
            </w:r>
            <w:r>
              <w:rPr>
                <w:b/>
                <w:sz w:val="24"/>
                <w:u w:val="single"/>
                <w:rFonts w:ascii="Times New Roman" w:hAnsi="Times New Roman"/>
              </w:rPr>
              <w:t xml:space="preserve"> </w:t>
            </w:r>
            <w:r>
              <w:rPr>
                <w:b/>
                <w:sz w:val="24"/>
                <w:u w:val="single"/>
                <w:rFonts w:ascii="Times New Roman" w:hAnsi="Times New Roman"/>
              </w:rPr>
              <w:t xml:space="preserve">egyéb átfogó jövedelemmel szemben valós értéken értékelt pénzügyi eszközökből vagy saját tőkével szemben valós értéken értékelt, nem kereskedési célú, nem származtatott pénzügyi eszközökből</w:t>
            </w:r>
          </w:p>
          <w:p w14:paraId="4776C850" w14:textId="77777777" w:rsidR="00BD16F2" w:rsidRPr="002A677E" w:rsidRDefault="00BD16F2" w:rsidP="00E07FE9">
            <w:pPr>
              <w:spacing w:before="0" w:after="0"/>
              <w:ind w:left="33"/>
              <w:rPr>
                <w:rFonts w:ascii="Times New Roman" w:hAnsi="Times New Roman"/>
                <w:b/>
                <w:bCs/>
                <w:sz w:val="24"/>
                <w:u w:val="single"/>
                <w:lang w:eastAsia="de-DE"/>
              </w:rPr>
            </w:pPr>
          </w:p>
          <w:p w14:paraId="32EF88DE"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A 0080–0090-es oszlopban jelentett nem származtatott pénzügyi eszközökkel kapcsolatos összes halmozott értékvesztés.</w:t>
            </w:r>
            <w:r>
              <w:rPr>
                <w:sz w:val="24"/>
                <w:rFonts w:ascii="Times New Roman" w:hAnsi="Times New Roman"/>
              </w:rPr>
              <w:t xml:space="preserve"> </w:t>
            </w:r>
          </w:p>
          <w:p w14:paraId="2A628464"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rsidDel="004A25FD" w14:paraId="37982893" w14:textId="77777777" w:rsidTr="00E07FE9">
        <w:tc>
          <w:tcPr>
            <w:tcW w:w="1188" w:type="dxa"/>
          </w:tcPr>
          <w:p w14:paraId="1309D915" w14:textId="77777777" w:rsidR="00BD16F2" w:rsidRPr="002A677E" w:rsidDel="004A25FD" w:rsidRDefault="00BD16F2" w:rsidP="00E07FE9">
            <w:pPr>
              <w:spacing w:before="0" w:after="0"/>
              <w:ind w:left="33"/>
              <w:rPr>
                <w:bCs/>
                <w:sz w:val="24"/>
                <w:rFonts w:ascii="Times New Roman" w:hAnsi="Times New Roman"/>
              </w:rPr>
            </w:pPr>
            <w:r>
              <w:rPr>
                <w:sz w:val="24"/>
                <w:rFonts w:ascii="Times New Roman" w:hAnsi="Times New Roman"/>
              </w:rPr>
              <w:t xml:space="preserve">0170</w:t>
            </w:r>
          </w:p>
        </w:tc>
        <w:tc>
          <w:tcPr>
            <w:tcW w:w="8640" w:type="dxa"/>
          </w:tcPr>
          <w:p w14:paraId="7BD9BE5C" w14:textId="77777777" w:rsidR="00BD16F2" w:rsidRPr="002A677E" w:rsidRDefault="00BD16F2" w:rsidP="00E07FE9">
            <w:pPr>
              <w:spacing w:before="0" w:after="0"/>
              <w:ind w:left="33"/>
              <w:rPr>
                <w:b/>
                <w:bCs/>
                <w:sz w:val="24"/>
                <w:u w:val="single"/>
                <w:rFonts w:ascii="Times New Roman" w:hAnsi="Times New Roman"/>
              </w:rPr>
            </w:pPr>
            <w:r>
              <w:rPr>
                <w:b/>
                <w:sz w:val="24"/>
                <w:u w:val="single"/>
                <w:rFonts w:ascii="Times New Roman" w:hAnsi="Times New Roman"/>
              </w:rPr>
              <w:t xml:space="preserve">A hitelkockázat változásából származó negatív valósérték-változás halmozott összege</w:t>
            </w:r>
            <w:r>
              <w:rPr>
                <w:b/>
                <w:sz w:val="24"/>
                <w:u w:val="single"/>
                <w:rFonts w:ascii="Times New Roman" w:hAnsi="Times New Roman"/>
              </w:rPr>
              <w:t xml:space="preserve"> </w:t>
            </w:r>
          </w:p>
          <w:p w14:paraId="6B68D76A" w14:textId="77777777" w:rsidR="00BD16F2" w:rsidRPr="002A677E" w:rsidRDefault="00BD16F2" w:rsidP="00E07FE9">
            <w:pPr>
              <w:spacing w:before="0" w:after="0"/>
              <w:ind w:left="33"/>
              <w:rPr>
                <w:rFonts w:ascii="Times New Roman" w:hAnsi="Times New Roman"/>
                <w:b/>
                <w:bCs/>
                <w:sz w:val="24"/>
                <w:u w:val="single"/>
                <w:lang w:eastAsia="de-DE"/>
              </w:rPr>
            </w:pPr>
          </w:p>
          <w:p w14:paraId="301CF16C"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A 0050-es, 0060-as, 0070-es, 0080-as és 0090-es oszlopban jelentett pozíciókhoz kapcsolódó, hitelkockázat-változásból származó negatív valósérték-változás halmozott összege (e végrehajtási rendelet V. melléklete 2. részének 69. pontja).</w:t>
            </w:r>
          </w:p>
          <w:p w14:paraId="61669612" w14:textId="77777777" w:rsidR="00BD16F2" w:rsidRPr="002A677E" w:rsidDel="004A25FD" w:rsidRDefault="00BD16F2" w:rsidP="00E07FE9">
            <w:pPr>
              <w:spacing w:before="0" w:after="0"/>
              <w:ind w:left="33"/>
              <w:rPr>
                <w:rFonts w:ascii="Times New Roman" w:hAnsi="Times New Roman"/>
                <w:bCs/>
                <w:sz w:val="24"/>
                <w:lang w:eastAsia="de-DE"/>
              </w:rPr>
            </w:pPr>
          </w:p>
        </w:tc>
      </w:tr>
      <w:tr w:rsidR="00BD16F2" w:rsidRPr="002A677E" w14:paraId="0273A3BB" w14:textId="77777777" w:rsidTr="00E07FE9">
        <w:tc>
          <w:tcPr>
            <w:tcW w:w="1188" w:type="dxa"/>
          </w:tcPr>
          <w:p w14:paraId="635968CA"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0180</w:t>
            </w:r>
          </w:p>
        </w:tc>
        <w:tc>
          <w:tcPr>
            <w:tcW w:w="8640" w:type="dxa"/>
          </w:tcPr>
          <w:p w14:paraId="781601F8" w14:textId="77777777" w:rsidR="00BD16F2" w:rsidRPr="002A677E" w:rsidRDefault="00BD16F2" w:rsidP="00E07FE9">
            <w:pPr>
              <w:spacing w:before="0" w:after="0"/>
              <w:ind w:left="33"/>
              <w:rPr>
                <w:b/>
                <w:bCs/>
                <w:sz w:val="24"/>
                <w:u w:val="single"/>
                <w:rFonts w:ascii="Times New Roman" w:hAnsi="Times New Roman"/>
              </w:rPr>
            </w:pPr>
            <w:r>
              <w:rPr>
                <w:b/>
                <w:sz w:val="24"/>
                <w:u w:val="single"/>
                <w:rFonts w:ascii="Times New Roman" w:hAnsi="Times New Roman"/>
              </w:rPr>
              <w:t xml:space="preserve">A hitelkockázat változásából származó negatív valósérték-változás halmozott összege – ebből:</w:t>
            </w:r>
            <w:r>
              <w:rPr>
                <w:b/>
                <w:sz w:val="24"/>
                <w:u w:val="single"/>
                <w:rFonts w:ascii="Times New Roman" w:hAnsi="Times New Roman"/>
              </w:rPr>
              <w:t xml:space="preserve"> </w:t>
            </w:r>
            <w:r>
              <w:rPr>
                <w:b/>
                <w:sz w:val="24"/>
                <w:u w:val="single"/>
                <w:rFonts w:ascii="Times New Roman" w:hAnsi="Times New Roman"/>
              </w:rPr>
              <w:t xml:space="preserve">kötelezően az eredménnyel szemben valós értéken értékelt, nem kereskedési célú pénzügyi eszközökből, az eredménnyel szemben valós értéken értékeltnek megjelölt pénzügyi eszközökből vagy eredménnyel szemben valós értéken értékelt nem kereskedési célú pénzügyi eszközökből</w:t>
            </w:r>
          </w:p>
          <w:p w14:paraId="7F567935" w14:textId="77777777" w:rsidR="00BD16F2" w:rsidRPr="002A677E" w:rsidRDefault="00BD16F2" w:rsidP="00E07FE9">
            <w:pPr>
              <w:spacing w:before="0" w:after="0"/>
              <w:ind w:left="33"/>
              <w:rPr>
                <w:rFonts w:ascii="Times New Roman" w:hAnsi="Times New Roman"/>
                <w:bCs/>
                <w:sz w:val="24"/>
                <w:lang w:eastAsia="de-DE"/>
              </w:rPr>
            </w:pPr>
          </w:p>
          <w:p w14:paraId="3374D8AC"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A 0050-es, 0060-as és 0070-es oszlopban jelentett pozíciókhoz kapcsolódó, hitelkockázat-változásból származó negatív valósérték-változás halmozott összege.</w:t>
            </w:r>
          </w:p>
          <w:p w14:paraId="24A9000C" w14:textId="77777777" w:rsidR="00BD16F2" w:rsidRPr="002A677E" w:rsidRDefault="00BD16F2" w:rsidP="00E07FE9">
            <w:pPr>
              <w:spacing w:before="0" w:after="0"/>
              <w:ind w:left="33"/>
              <w:rPr>
                <w:bCs/>
                <w:sz w:val="24"/>
                <w:rFonts w:ascii="Times New Roman" w:hAnsi="Times New Roman"/>
              </w:rPr>
            </w:pPr>
            <w:r>
              <w:rPr>
                <w:b/>
                <w:sz w:val="24"/>
                <w:u w:val="single"/>
                <w:rFonts w:ascii="Times New Roman" w:hAnsi="Times New Roman"/>
              </w:rPr>
              <w:t xml:space="preserve"> </w:t>
            </w:r>
          </w:p>
        </w:tc>
      </w:tr>
      <w:tr w:rsidR="00BD16F2" w:rsidRPr="002A677E" w14:paraId="500AF04F" w14:textId="77777777" w:rsidTr="00E07FE9">
        <w:tc>
          <w:tcPr>
            <w:tcW w:w="1188" w:type="dxa"/>
          </w:tcPr>
          <w:p w14:paraId="295CE878"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0190</w:t>
            </w:r>
          </w:p>
        </w:tc>
        <w:tc>
          <w:tcPr>
            <w:tcW w:w="8640" w:type="dxa"/>
          </w:tcPr>
          <w:p w14:paraId="6C4F0B86" w14:textId="77777777" w:rsidR="00BD16F2" w:rsidRPr="002A677E" w:rsidRDefault="00BD16F2" w:rsidP="00E07FE9">
            <w:pPr>
              <w:spacing w:before="0" w:after="0"/>
              <w:ind w:left="33"/>
              <w:rPr>
                <w:b/>
                <w:bCs/>
                <w:sz w:val="24"/>
                <w:u w:val="single"/>
                <w:rFonts w:ascii="Times New Roman" w:hAnsi="Times New Roman"/>
              </w:rPr>
            </w:pPr>
            <w:r>
              <w:rPr>
                <w:b/>
                <w:sz w:val="24"/>
                <w:u w:val="single"/>
                <w:rFonts w:ascii="Times New Roman" w:hAnsi="Times New Roman"/>
              </w:rPr>
              <w:t xml:space="preserve">A hitelkockázat változásából származó negatív valósérték-változás halmozott összege – ebből:</w:t>
            </w:r>
            <w:r>
              <w:rPr>
                <w:b/>
                <w:sz w:val="24"/>
                <w:u w:val="single"/>
                <w:rFonts w:ascii="Times New Roman" w:hAnsi="Times New Roman"/>
              </w:rPr>
              <w:t xml:space="preserve"> </w:t>
            </w:r>
            <w:r>
              <w:rPr>
                <w:b/>
                <w:sz w:val="24"/>
                <w:u w:val="single"/>
                <w:rFonts w:ascii="Times New Roman" w:hAnsi="Times New Roman"/>
              </w:rPr>
              <w:t xml:space="preserve">egyéb átfogó jövedelemmel szemben valós értéken értékelt pénzügyi eszközökből vagy saját tőkével szemben valós értéken értékelt, nem kereskedési célú, nem származtatott pénzügyi eszközökből</w:t>
            </w:r>
          </w:p>
          <w:p w14:paraId="2F7A12E9" w14:textId="77777777" w:rsidR="00BD16F2" w:rsidRPr="002A677E" w:rsidRDefault="00BD16F2" w:rsidP="00E07FE9">
            <w:pPr>
              <w:spacing w:before="0" w:after="0"/>
              <w:ind w:left="33"/>
              <w:rPr>
                <w:rFonts w:ascii="Times New Roman" w:hAnsi="Times New Roman"/>
                <w:bCs/>
                <w:sz w:val="24"/>
                <w:lang w:eastAsia="de-DE"/>
              </w:rPr>
            </w:pPr>
          </w:p>
          <w:p w14:paraId="7934389A"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A 0080–0090-es oszlopban jelentett pozíciókhoz kapcsolódó, hitelkockázat-változásból származó negatív valósérték-változás halmozott összege.</w:t>
            </w:r>
          </w:p>
          <w:p w14:paraId="636C627B"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7162555E" w14:textId="77777777" w:rsidTr="00E07FE9">
        <w:tc>
          <w:tcPr>
            <w:tcW w:w="1188" w:type="dxa"/>
          </w:tcPr>
          <w:p w14:paraId="4EB1E88E"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0200–0230</w:t>
            </w:r>
          </w:p>
        </w:tc>
        <w:tc>
          <w:tcPr>
            <w:tcW w:w="8640" w:type="dxa"/>
          </w:tcPr>
          <w:p w14:paraId="1A3371F8" w14:textId="77777777" w:rsidR="00BD16F2" w:rsidRPr="002A677E" w:rsidRDefault="00BD16F2" w:rsidP="00E07FE9">
            <w:pPr>
              <w:spacing w:before="0" w:after="0"/>
              <w:ind w:left="33"/>
              <w:rPr>
                <w:b/>
                <w:bCs/>
                <w:sz w:val="24"/>
                <w:u w:val="single"/>
                <w:rFonts w:ascii="Times New Roman" w:hAnsi="Times New Roman"/>
              </w:rPr>
            </w:pPr>
            <w:r>
              <w:rPr>
                <w:b/>
                <w:sz w:val="24"/>
                <w:u w:val="single"/>
                <w:rFonts w:ascii="Times New Roman" w:hAnsi="Times New Roman"/>
              </w:rPr>
              <w:t xml:space="preserve">SZÁRMAZTATOTT ÜGYLETEK</w:t>
            </w:r>
          </w:p>
          <w:p w14:paraId="42A7FD87" w14:textId="77777777" w:rsidR="00BD16F2" w:rsidRPr="002A677E" w:rsidRDefault="00BD16F2" w:rsidP="00E07FE9">
            <w:pPr>
              <w:spacing w:before="0" w:after="0"/>
              <w:ind w:left="33"/>
              <w:rPr>
                <w:rFonts w:ascii="Times New Roman" w:hAnsi="Times New Roman"/>
                <w:b/>
                <w:bCs/>
                <w:sz w:val="24"/>
                <w:u w:val="single"/>
                <w:lang w:eastAsia="de-DE"/>
              </w:rPr>
            </w:pPr>
          </w:p>
          <w:p w14:paraId="41B5F3FE"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A közvetlen származtatott pozíciókat a 0200–0230-as oszlopban kell jelenteni.</w:t>
            </w:r>
          </w:p>
          <w:p w14:paraId="7C5E29D7" w14:textId="77777777" w:rsidR="00BD16F2" w:rsidRPr="002A677E" w:rsidRDefault="00BD16F2" w:rsidP="00E07FE9">
            <w:pPr>
              <w:spacing w:before="0" w:after="0"/>
              <w:ind w:left="33"/>
              <w:rPr>
                <w:rFonts w:ascii="Times New Roman" w:hAnsi="Times New Roman"/>
                <w:b/>
                <w:bCs/>
                <w:sz w:val="24"/>
                <w:u w:val="single"/>
                <w:lang w:eastAsia="de-DE"/>
              </w:rPr>
            </w:pPr>
          </w:p>
          <w:p w14:paraId="437823C0"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Azon származtatott ügyletekkel kapcsolatban, amelyekre partnerkockázati és piaci kockázati tőkekövetelmény egyaránt vonatkozik, lásd a sorokra vonatkozó útmutatót.</w:t>
            </w:r>
          </w:p>
          <w:p w14:paraId="73006652"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44164F01" w14:textId="77777777" w:rsidTr="00E07FE9">
        <w:tc>
          <w:tcPr>
            <w:tcW w:w="1188" w:type="dxa"/>
          </w:tcPr>
          <w:p w14:paraId="6471E178"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0200–0210</w:t>
            </w:r>
          </w:p>
        </w:tc>
        <w:tc>
          <w:tcPr>
            <w:tcW w:w="8640" w:type="dxa"/>
          </w:tcPr>
          <w:p w14:paraId="7FE3AF34" w14:textId="77777777" w:rsidR="00BD16F2" w:rsidRPr="002A677E" w:rsidRDefault="00BD16F2" w:rsidP="00E07FE9">
            <w:pPr>
              <w:spacing w:before="0" w:after="0"/>
              <w:ind w:left="33"/>
              <w:rPr>
                <w:b/>
                <w:bCs/>
                <w:sz w:val="24"/>
                <w:u w:val="single"/>
                <w:rFonts w:ascii="Times New Roman" w:hAnsi="Times New Roman"/>
              </w:rPr>
            </w:pPr>
            <w:r>
              <w:rPr>
                <w:b/>
                <w:sz w:val="24"/>
                <w:u w:val="single"/>
                <w:rFonts w:ascii="Times New Roman" w:hAnsi="Times New Roman"/>
              </w:rPr>
              <w:t xml:space="preserve">Származtatott ügyletek pozitív valós értékkel</w:t>
            </w:r>
          </w:p>
          <w:p w14:paraId="5CC54C55" w14:textId="77777777" w:rsidR="00BD16F2" w:rsidRPr="002A677E" w:rsidRDefault="00BD16F2" w:rsidP="00E07FE9">
            <w:pPr>
              <w:spacing w:before="0" w:after="0"/>
              <w:ind w:left="33"/>
              <w:rPr>
                <w:rFonts w:ascii="Times New Roman" w:hAnsi="Times New Roman"/>
                <w:bCs/>
                <w:sz w:val="24"/>
                <w:lang w:eastAsia="de-DE"/>
              </w:rPr>
            </w:pPr>
          </w:p>
          <w:p w14:paraId="180E4F32"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Államháztartással mint partnerrel szembeni, az adatszolgáltatás időpontjában az intézmény számára pozitív valós értékkel rendelkező származtatott eszközök, függetlenül attól, hogy azokat minősített fedezeti kapcsolatban használják, vagy a kereskedési céllal tartott vagy kereskedési célú eszközök portfóliójába sorolják az IFRS, illetve a 86/635/EGK tanácsi irányelv alapján kidolgozott nemzeti GAAP szerint.</w:t>
            </w:r>
            <w:r>
              <w:rPr>
                <w:sz w:val="24"/>
                <w:rFonts w:ascii="Times New Roman" w:hAnsi="Times New Roman"/>
              </w:rPr>
              <w:t xml:space="preserve"> </w:t>
            </w:r>
          </w:p>
          <w:p w14:paraId="7800DD5E" w14:textId="77777777" w:rsidR="00BD16F2" w:rsidRPr="002A677E" w:rsidRDefault="00BD16F2" w:rsidP="00E07FE9">
            <w:pPr>
              <w:spacing w:before="0" w:after="0"/>
              <w:ind w:left="33"/>
              <w:rPr>
                <w:rFonts w:ascii="Times New Roman" w:hAnsi="Times New Roman"/>
                <w:bCs/>
                <w:sz w:val="24"/>
                <w:lang w:eastAsia="de-DE"/>
              </w:rPr>
            </w:pPr>
          </w:p>
          <w:p w14:paraId="543965CB"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A gazdasági fedezeti ügyletekhez használt származtatott eszközöket akkor kell itt jelenteni, ha azokat a kereskedési célú vagy a kereskedési céllal tartott eszközök számviteli portfóliójába sorolták (az e végrehajtási rendelet V. melléklete 2. részének 120., 124., 125. és 137–140. pontja).</w:t>
            </w:r>
          </w:p>
          <w:p w14:paraId="39030652"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203987C2" w14:textId="77777777" w:rsidTr="00E07FE9">
        <w:tc>
          <w:tcPr>
            <w:tcW w:w="1188" w:type="dxa"/>
          </w:tcPr>
          <w:p w14:paraId="26E1C3B0"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0200</w:t>
            </w:r>
          </w:p>
        </w:tc>
        <w:tc>
          <w:tcPr>
            <w:tcW w:w="8640" w:type="dxa"/>
          </w:tcPr>
          <w:p w14:paraId="3E1D071C" w14:textId="77777777" w:rsidR="00BD16F2" w:rsidRPr="002A677E" w:rsidRDefault="00BD16F2" w:rsidP="00E07FE9">
            <w:pPr>
              <w:spacing w:before="0" w:after="0"/>
              <w:ind w:left="33"/>
              <w:rPr>
                <w:b/>
                <w:bCs/>
                <w:sz w:val="24"/>
                <w:u w:val="single"/>
                <w:rFonts w:ascii="Times New Roman" w:hAnsi="Times New Roman"/>
              </w:rPr>
            </w:pPr>
            <w:r>
              <w:rPr>
                <w:b/>
                <w:sz w:val="24"/>
                <w:u w:val="single"/>
                <w:rFonts w:ascii="Times New Roman" w:hAnsi="Times New Roman"/>
              </w:rPr>
              <w:t xml:space="preserve">Származtatott ügyletek pozitív valós értékkel:</w:t>
            </w:r>
            <w:r>
              <w:rPr>
                <w:b/>
                <w:sz w:val="24"/>
                <w:u w:val="single"/>
                <w:rFonts w:ascii="Times New Roman" w:hAnsi="Times New Roman"/>
              </w:rPr>
              <w:t xml:space="preserve"> </w:t>
            </w:r>
            <w:r>
              <w:rPr>
                <w:b/>
                <w:sz w:val="24"/>
                <w:u w:val="single"/>
                <w:rFonts w:ascii="Times New Roman" w:hAnsi="Times New Roman"/>
              </w:rPr>
              <w:t xml:space="preserve">Könyv szerinti érték</w:t>
            </w:r>
            <w:r>
              <w:rPr>
                <w:b/>
                <w:sz w:val="24"/>
                <w:u w:val="single"/>
                <w:rFonts w:ascii="Times New Roman" w:hAnsi="Times New Roman"/>
              </w:rPr>
              <w:t xml:space="preserve"> </w:t>
            </w:r>
          </w:p>
          <w:p w14:paraId="7AA6A4A5" w14:textId="77777777" w:rsidR="00BD16F2" w:rsidRPr="002A677E" w:rsidRDefault="00BD16F2" w:rsidP="00E07FE9">
            <w:pPr>
              <w:spacing w:before="0" w:after="0"/>
              <w:ind w:left="33"/>
              <w:rPr>
                <w:rFonts w:ascii="Times New Roman" w:hAnsi="Times New Roman"/>
                <w:bCs/>
                <w:sz w:val="24"/>
                <w:lang w:eastAsia="de-DE"/>
              </w:rPr>
            </w:pPr>
          </w:p>
          <w:p w14:paraId="66074839"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A pénzügyi eszközként elszámolt származtatott ügyletek könyv szerinti értéke az adatszolgáltatási vonatkozási időpontban.</w:t>
            </w:r>
            <w:r>
              <w:rPr>
                <w:sz w:val="24"/>
                <w:rFonts w:ascii="Times New Roman" w:hAnsi="Times New Roman"/>
              </w:rPr>
              <w:t xml:space="preserve"> </w:t>
            </w:r>
          </w:p>
          <w:p w14:paraId="406A9D55" w14:textId="77777777" w:rsidR="00BD16F2" w:rsidRPr="002A677E" w:rsidRDefault="00BD16F2" w:rsidP="00E07FE9">
            <w:pPr>
              <w:spacing w:before="0" w:after="0"/>
              <w:ind w:left="33"/>
              <w:rPr>
                <w:rFonts w:ascii="Times New Roman" w:hAnsi="Times New Roman"/>
                <w:bCs/>
                <w:sz w:val="24"/>
                <w:lang w:eastAsia="de-DE"/>
              </w:rPr>
            </w:pPr>
          </w:p>
          <w:p w14:paraId="55228B90"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A 86/635/EGK tanácsi irányelv alapján kidolgozott nemzeti GAAP szerinti elszámolás esetén az ezekben az oszlopokban jelentendő származtatott ügyletek közé a bekerülési értéken vagy a bekerülési vagy piaci ár közül az alacsonyabb értéken értékelt, a kereskedési portfólióba tartozó vagy a fedezeti instrumentumként megjelölt származtatott eszközöket kell sorolni.</w:t>
            </w:r>
            <w:r>
              <w:rPr>
                <w:sz w:val="24"/>
                <w:rFonts w:ascii="Times New Roman" w:hAnsi="Times New Roman"/>
              </w:rPr>
              <w:t xml:space="preserve"> </w:t>
            </w:r>
          </w:p>
          <w:p w14:paraId="2950EA4E"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64EEFF86" w14:textId="77777777" w:rsidTr="00E07FE9">
        <w:tc>
          <w:tcPr>
            <w:tcW w:w="1188" w:type="dxa"/>
          </w:tcPr>
          <w:p w14:paraId="5A19D3A6"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0210</w:t>
            </w:r>
          </w:p>
        </w:tc>
        <w:tc>
          <w:tcPr>
            <w:tcW w:w="8640" w:type="dxa"/>
          </w:tcPr>
          <w:p w14:paraId="2BD96DA9" w14:textId="77777777" w:rsidR="00BD16F2" w:rsidRPr="002A677E" w:rsidRDefault="00BD16F2" w:rsidP="00E07FE9">
            <w:pPr>
              <w:spacing w:before="0" w:after="0"/>
              <w:ind w:left="33"/>
              <w:rPr>
                <w:b/>
                <w:bCs/>
                <w:sz w:val="24"/>
                <w:u w:val="single"/>
                <w:rFonts w:ascii="Times New Roman" w:hAnsi="Times New Roman"/>
              </w:rPr>
            </w:pPr>
            <w:r>
              <w:rPr>
                <w:b/>
                <w:sz w:val="24"/>
                <w:u w:val="single"/>
                <w:rFonts w:ascii="Times New Roman" w:hAnsi="Times New Roman"/>
              </w:rPr>
              <w:t xml:space="preserve">Származtatott ügyletek pozitív valós értékkel:</w:t>
            </w:r>
            <w:r>
              <w:rPr>
                <w:b/>
                <w:sz w:val="24"/>
                <w:u w:val="single"/>
                <w:rFonts w:ascii="Times New Roman" w:hAnsi="Times New Roman"/>
              </w:rPr>
              <w:t xml:space="preserve"> </w:t>
            </w:r>
            <w:r>
              <w:rPr>
                <w:b/>
                <w:sz w:val="24"/>
                <w:u w:val="single"/>
                <w:rFonts w:ascii="Times New Roman" w:hAnsi="Times New Roman"/>
              </w:rPr>
              <w:t xml:space="preserve">Névleges összeg</w:t>
            </w:r>
          </w:p>
          <w:p w14:paraId="4F50A484" w14:textId="77777777" w:rsidR="00BD16F2" w:rsidRPr="002A677E" w:rsidRDefault="00BD16F2" w:rsidP="00E07FE9">
            <w:pPr>
              <w:spacing w:before="0" w:after="0"/>
              <w:ind w:left="33"/>
              <w:rPr>
                <w:rFonts w:ascii="Times New Roman" w:hAnsi="Times New Roman"/>
                <w:bCs/>
                <w:sz w:val="24"/>
                <w:lang w:eastAsia="de-DE"/>
              </w:rPr>
            </w:pPr>
          </w:p>
          <w:p w14:paraId="63C437AA"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Az IFRS szerinti és a 86/635/EGK tanácsi irányelv alapján kidolgozott nemzeti GAAP szerinti elszámolás esetén a megkötött, de az adatszolgáltatási vonatkozási időpontban még nem elszámolt azon származtatott ügyletek e végrehajtási rendelet V. melléklete 2. részének 133–135. pontja szerinti névleges összege, amelyek esetében a partner az e melléklet 191–196. pontjában meghatározott államháztartás, amennyiben a származtatott ügylet valós értéke az adatszolgáltatási vonatkozási időpontban az intézmény számára pozitív.</w:t>
            </w:r>
          </w:p>
          <w:p w14:paraId="79985B2E"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7ED8172B" w14:textId="77777777" w:rsidTr="00E07FE9">
        <w:tc>
          <w:tcPr>
            <w:tcW w:w="1188" w:type="dxa"/>
          </w:tcPr>
          <w:p w14:paraId="3FCDB5C9"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0220–0230</w:t>
            </w:r>
          </w:p>
        </w:tc>
        <w:tc>
          <w:tcPr>
            <w:tcW w:w="8640" w:type="dxa"/>
          </w:tcPr>
          <w:p w14:paraId="51C3AE65" w14:textId="77777777" w:rsidR="00BD16F2" w:rsidRPr="002A677E" w:rsidRDefault="00BD16F2" w:rsidP="00E07FE9">
            <w:pPr>
              <w:spacing w:before="0" w:after="0"/>
              <w:ind w:left="33"/>
              <w:rPr>
                <w:b/>
                <w:bCs/>
                <w:sz w:val="24"/>
                <w:u w:val="single"/>
                <w:rFonts w:ascii="Times New Roman" w:hAnsi="Times New Roman"/>
              </w:rPr>
            </w:pPr>
            <w:r>
              <w:rPr>
                <w:b/>
                <w:sz w:val="24"/>
                <w:u w:val="single"/>
                <w:rFonts w:ascii="Times New Roman" w:hAnsi="Times New Roman"/>
              </w:rPr>
              <w:t xml:space="preserve">Származtatott ügyletek negatív valós értékkel</w:t>
            </w:r>
          </w:p>
          <w:p w14:paraId="5B063261" w14:textId="77777777" w:rsidR="00BD16F2" w:rsidRPr="002A677E" w:rsidDel="00501397" w:rsidRDefault="00BD16F2" w:rsidP="00E07FE9">
            <w:pPr>
              <w:spacing w:before="0" w:after="0"/>
              <w:ind w:left="33"/>
              <w:rPr>
                <w:rFonts w:ascii="Times New Roman" w:hAnsi="Times New Roman"/>
                <w:bCs/>
                <w:sz w:val="24"/>
                <w:lang w:eastAsia="de-DE"/>
              </w:rPr>
            </w:pPr>
          </w:p>
          <w:p w14:paraId="17C79D57"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Államháztartással mint partnerrel szembeni, az adatszolgáltatási vonatkozási időpontban az intézmény számára negatív valós értékkel rendelkező származtatott eszközök, függetlenül attól, hogy azokat minősített fedezeti kapcsolatban használják, vagy a kereskedési céllal tartott vagy kereskedési célú eszközök portfóliójába sorolják az IFRS szerint, illetve a 86/635/EGK tanácsi irányelv alapján kidolgozott nemzeti GAAP szerint.</w:t>
            </w:r>
            <w:r>
              <w:rPr>
                <w:sz w:val="24"/>
                <w:rFonts w:ascii="Times New Roman" w:hAnsi="Times New Roman"/>
              </w:rPr>
              <w:t xml:space="preserve"> </w:t>
            </w:r>
          </w:p>
          <w:p w14:paraId="5FEBCDDF" w14:textId="77777777" w:rsidR="00BD16F2" w:rsidRPr="002A677E" w:rsidRDefault="00BD16F2" w:rsidP="00E07FE9">
            <w:pPr>
              <w:spacing w:before="0" w:after="0"/>
              <w:ind w:left="33"/>
              <w:rPr>
                <w:rFonts w:ascii="Times New Roman" w:hAnsi="Times New Roman"/>
                <w:bCs/>
                <w:sz w:val="24"/>
                <w:lang w:eastAsia="de-DE"/>
              </w:rPr>
            </w:pPr>
          </w:p>
          <w:p w14:paraId="7445D7D9"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A gazdasági fedezeti ügyletekhez használt származtatott eszközöket akkor kell itt jelenteni, ha azokat a kereskedési célú vagy a kereskedési céllal tartott eszközök számviteli portfóliójába sorolták (az e végrehajtási rendelet V. melléklete 2. részének 120., 124., 125. és 137–140. pontja).</w:t>
            </w:r>
          </w:p>
          <w:p w14:paraId="367698FE"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0ADAA22F" w14:textId="77777777" w:rsidTr="00E07FE9">
        <w:tc>
          <w:tcPr>
            <w:tcW w:w="1188" w:type="dxa"/>
          </w:tcPr>
          <w:p w14:paraId="42FDD717"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0220</w:t>
            </w:r>
          </w:p>
        </w:tc>
        <w:tc>
          <w:tcPr>
            <w:tcW w:w="8640" w:type="dxa"/>
          </w:tcPr>
          <w:p w14:paraId="1F315A9C" w14:textId="77777777" w:rsidR="00BD16F2" w:rsidRPr="002A677E" w:rsidRDefault="00BD16F2" w:rsidP="00E07FE9">
            <w:pPr>
              <w:spacing w:before="0" w:after="0"/>
              <w:ind w:left="33"/>
              <w:rPr>
                <w:b/>
                <w:bCs/>
                <w:sz w:val="24"/>
                <w:u w:val="single"/>
                <w:rFonts w:ascii="Times New Roman" w:hAnsi="Times New Roman"/>
              </w:rPr>
            </w:pPr>
            <w:r>
              <w:rPr>
                <w:b/>
                <w:sz w:val="24"/>
                <w:u w:val="single"/>
                <w:rFonts w:ascii="Times New Roman" w:hAnsi="Times New Roman"/>
              </w:rPr>
              <w:t xml:space="preserve">Származtatott ügyletek negatív valós értékkel:</w:t>
            </w:r>
            <w:r>
              <w:rPr>
                <w:b/>
                <w:sz w:val="24"/>
                <w:u w:val="single"/>
                <w:rFonts w:ascii="Times New Roman" w:hAnsi="Times New Roman"/>
              </w:rPr>
              <w:t xml:space="preserve"> </w:t>
            </w:r>
            <w:r>
              <w:rPr>
                <w:b/>
                <w:sz w:val="24"/>
                <w:u w:val="single"/>
                <w:rFonts w:ascii="Times New Roman" w:hAnsi="Times New Roman"/>
              </w:rPr>
              <w:t xml:space="preserve">Könyv szerinti érték</w:t>
            </w:r>
            <w:r>
              <w:rPr>
                <w:b/>
                <w:sz w:val="24"/>
                <w:u w:val="single"/>
                <w:rFonts w:ascii="Times New Roman" w:hAnsi="Times New Roman"/>
              </w:rPr>
              <w:t xml:space="preserve"> </w:t>
            </w:r>
          </w:p>
          <w:p w14:paraId="436DD090" w14:textId="77777777" w:rsidR="00BD16F2" w:rsidRPr="002A677E" w:rsidRDefault="00BD16F2" w:rsidP="00E07FE9">
            <w:pPr>
              <w:spacing w:before="0" w:after="0"/>
              <w:ind w:left="33"/>
              <w:rPr>
                <w:rFonts w:ascii="Times New Roman" w:hAnsi="Times New Roman"/>
                <w:bCs/>
                <w:sz w:val="24"/>
                <w:lang w:eastAsia="de-DE"/>
              </w:rPr>
            </w:pPr>
          </w:p>
          <w:p w14:paraId="66E6FF80"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A pénzügyi kötelezettségként elszámolt származtatott ügyletek könyv szerinti értéke az adatszolgáltatási vonatkozási időpontban.</w:t>
            </w:r>
            <w:r>
              <w:rPr>
                <w:sz w:val="24"/>
                <w:rFonts w:ascii="Times New Roman" w:hAnsi="Times New Roman"/>
              </w:rPr>
              <w:t xml:space="preserve"> </w:t>
            </w:r>
          </w:p>
          <w:p w14:paraId="46E4AD83" w14:textId="77777777" w:rsidR="00BD16F2" w:rsidRPr="002A677E" w:rsidRDefault="00BD16F2" w:rsidP="00E07FE9">
            <w:pPr>
              <w:spacing w:before="0" w:after="0"/>
              <w:ind w:left="33"/>
              <w:rPr>
                <w:rFonts w:ascii="Times New Roman" w:hAnsi="Times New Roman"/>
                <w:bCs/>
                <w:sz w:val="24"/>
                <w:lang w:eastAsia="de-DE"/>
              </w:rPr>
            </w:pPr>
          </w:p>
          <w:p w14:paraId="4DE15687"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A 86/635/EGK tanácsi irányelv alapján kidolgozott nemzeti GAAP szerinti elszámolás esetén az ezekben az oszlopokban jelentendő származtatott ügyletek közé a bekerülési értéken vagy a bekerülési vagy piaci ár közül az alacsonyabb értéken értékelt, a kereskedési portfólióba tartozó vagy a fedezeti instrumentumként megjelölt származtatott eszközöket kell sorolni.</w:t>
            </w:r>
            <w:r>
              <w:rPr>
                <w:sz w:val="24"/>
                <w:rFonts w:ascii="Times New Roman" w:hAnsi="Times New Roman"/>
              </w:rPr>
              <w:t xml:space="preserve"> </w:t>
            </w:r>
          </w:p>
          <w:p w14:paraId="58C14E03"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7D9D4E1E" w14:textId="77777777" w:rsidTr="00E07FE9">
        <w:tc>
          <w:tcPr>
            <w:tcW w:w="1188" w:type="dxa"/>
          </w:tcPr>
          <w:p w14:paraId="008C976E"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0230</w:t>
            </w:r>
          </w:p>
        </w:tc>
        <w:tc>
          <w:tcPr>
            <w:tcW w:w="8640" w:type="dxa"/>
          </w:tcPr>
          <w:p w14:paraId="2C9A0CD6" w14:textId="77777777" w:rsidR="00BD16F2" w:rsidRPr="002A677E" w:rsidRDefault="00BD16F2" w:rsidP="00E07FE9">
            <w:pPr>
              <w:spacing w:before="0" w:after="0"/>
              <w:rPr>
                <w:b/>
                <w:bCs/>
                <w:sz w:val="24"/>
                <w:u w:val="single"/>
                <w:rFonts w:ascii="Times New Roman" w:hAnsi="Times New Roman"/>
              </w:rPr>
            </w:pPr>
            <w:r>
              <w:rPr>
                <w:b/>
                <w:sz w:val="24"/>
                <w:u w:val="single"/>
                <w:rFonts w:ascii="Times New Roman" w:hAnsi="Times New Roman"/>
              </w:rPr>
              <w:t xml:space="preserve">Származtatott ügyletek negatív valós értékkel:</w:t>
            </w:r>
            <w:r>
              <w:rPr>
                <w:b/>
                <w:sz w:val="24"/>
                <w:u w:val="single"/>
                <w:rFonts w:ascii="Times New Roman" w:hAnsi="Times New Roman"/>
              </w:rPr>
              <w:t xml:space="preserve"> </w:t>
            </w:r>
            <w:r>
              <w:rPr>
                <w:b/>
                <w:sz w:val="24"/>
                <w:u w:val="single"/>
                <w:rFonts w:ascii="Times New Roman" w:hAnsi="Times New Roman"/>
              </w:rPr>
              <w:t xml:space="preserve">Névleges összeg</w:t>
            </w:r>
          </w:p>
          <w:p w14:paraId="2CEB3839" w14:textId="77777777" w:rsidR="00BD16F2" w:rsidRPr="002A677E" w:rsidRDefault="00BD16F2" w:rsidP="00E07FE9">
            <w:pPr>
              <w:spacing w:before="0" w:after="0"/>
              <w:ind w:left="33"/>
              <w:rPr>
                <w:rFonts w:ascii="Times New Roman" w:hAnsi="Times New Roman"/>
                <w:b/>
                <w:bCs/>
                <w:sz w:val="24"/>
                <w:u w:val="single"/>
                <w:lang w:eastAsia="de-DE"/>
              </w:rPr>
            </w:pPr>
          </w:p>
          <w:p w14:paraId="56D8B6D0"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Az IFRS szerinti és a 86/635/EGK tanácsi irányelv alapján kidolgozott nemzeti GAAP szerinti elszámolás esetén a megkötött, de a vonatkozási időpontban még nem elszámolt azon származtatott ügyletek e végrehajtási rendelet V. melléklete 2. részének 133–135. pontja szerinti névleges összege, amelyek esetében a partner az e melléklet 191–196. pontjában meghatározott államháztartás, amennyiben a származtatott ügylet valós értéke az adatszolgáltatási vonatkozási időpontban az intézmény számára negatív.</w:t>
            </w:r>
          </w:p>
          <w:p w14:paraId="52EA326C"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3D6F0C0B" w14:textId="77777777" w:rsidTr="00E07FE9">
        <w:tc>
          <w:tcPr>
            <w:tcW w:w="1188" w:type="dxa"/>
          </w:tcPr>
          <w:p w14:paraId="16CAE2E4"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0240–0260</w:t>
            </w:r>
          </w:p>
        </w:tc>
        <w:tc>
          <w:tcPr>
            <w:tcW w:w="8640" w:type="dxa"/>
          </w:tcPr>
          <w:p w14:paraId="006F0066" w14:textId="77777777" w:rsidR="00BD16F2" w:rsidRPr="002A677E" w:rsidRDefault="00BD16F2" w:rsidP="00E07FE9">
            <w:pPr>
              <w:spacing w:before="0" w:after="0"/>
              <w:ind w:left="33"/>
              <w:rPr>
                <w:b/>
                <w:bCs/>
                <w:sz w:val="24"/>
                <w:u w:val="single"/>
                <w:rFonts w:ascii="Times New Roman" w:hAnsi="Times New Roman"/>
              </w:rPr>
            </w:pPr>
            <w:r>
              <w:rPr>
                <w:b/>
                <w:sz w:val="24"/>
                <w:u w:val="single"/>
                <w:rFonts w:ascii="Times New Roman" w:hAnsi="Times New Roman"/>
              </w:rPr>
              <w:t xml:space="preserve">MÉRLEGEN KÍVÜLI KITETTSÉGEK</w:t>
            </w:r>
          </w:p>
        </w:tc>
      </w:tr>
      <w:tr w:rsidR="00BD16F2" w:rsidRPr="002A677E" w14:paraId="3F090DAF" w14:textId="77777777" w:rsidTr="00E07FE9">
        <w:tc>
          <w:tcPr>
            <w:tcW w:w="1188" w:type="dxa"/>
          </w:tcPr>
          <w:p w14:paraId="682DC44F"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0240</w:t>
            </w:r>
          </w:p>
        </w:tc>
        <w:tc>
          <w:tcPr>
            <w:tcW w:w="8640" w:type="dxa"/>
          </w:tcPr>
          <w:p w14:paraId="3ED0E67D" w14:textId="77777777" w:rsidR="00BD16F2" w:rsidRPr="002A677E" w:rsidRDefault="00BD16F2" w:rsidP="00E07FE9">
            <w:pPr>
              <w:spacing w:before="0" w:after="0"/>
              <w:ind w:left="33"/>
              <w:rPr>
                <w:b/>
                <w:bCs/>
                <w:sz w:val="24"/>
                <w:u w:val="single"/>
                <w:rFonts w:ascii="Times New Roman" w:hAnsi="Times New Roman"/>
              </w:rPr>
            </w:pPr>
            <w:r>
              <w:rPr>
                <w:b/>
                <w:sz w:val="24"/>
                <w:u w:val="single"/>
                <w:rFonts w:ascii="Times New Roman" w:hAnsi="Times New Roman"/>
              </w:rPr>
              <w:t xml:space="preserve">Névleges összeg</w:t>
            </w:r>
          </w:p>
          <w:p w14:paraId="6F271071" w14:textId="77777777" w:rsidR="00BD16F2" w:rsidRPr="002A677E" w:rsidRDefault="00BD16F2" w:rsidP="00E07FE9">
            <w:pPr>
              <w:spacing w:before="0" w:after="0"/>
              <w:ind w:left="33"/>
              <w:rPr>
                <w:rFonts w:ascii="Times New Roman" w:hAnsi="Times New Roman"/>
                <w:bCs/>
                <w:sz w:val="24"/>
                <w:lang w:eastAsia="de-DE"/>
              </w:rPr>
            </w:pPr>
          </w:p>
          <w:p w14:paraId="48AEA062"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Amennyiben a mérlegen kívüli tétel esetében a közvetlen partner az e melléklet 155–160. pontja szerinti államháztartás, az IFRS szerint és a 86/635/EGK tanácsi irányelv alapján kidolgozott nemzeti GAAP szerint nem származtatott ügyletnek minősülő elkötelezettségek és pénzügyi garanciák névleges összege (e végrehajtási rendelet V. melléklete 2. részének 102–119. pontja).</w:t>
            </w:r>
          </w:p>
          <w:p w14:paraId="6E4BA7A4" w14:textId="77777777" w:rsidR="00BD16F2" w:rsidRPr="002A677E" w:rsidRDefault="00BD16F2" w:rsidP="00E07FE9">
            <w:pPr>
              <w:spacing w:before="0" w:after="0"/>
              <w:ind w:left="33"/>
              <w:rPr>
                <w:rFonts w:ascii="Times New Roman" w:hAnsi="Times New Roman"/>
                <w:bCs/>
                <w:sz w:val="24"/>
                <w:lang w:eastAsia="de-DE"/>
              </w:rPr>
            </w:pPr>
          </w:p>
          <w:p w14:paraId="676B28D3" w14:textId="77777777" w:rsidR="00BD16F2" w:rsidRPr="002A677E" w:rsidDel="00501397" w:rsidRDefault="00BD16F2" w:rsidP="00E07FE9">
            <w:pPr>
              <w:spacing w:before="0" w:after="0"/>
              <w:ind w:left="33"/>
              <w:rPr>
                <w:b/>
                <w:bCs/>
                <w:sz w:val="24"/>
                <w:u w:val="single"/>
                <w:rFonts w:ascii="Times New Roman" w:hAnsi="Times New Roman"/>
              </w:rPr>
            </w:pPr>
            <w:r>
              <w:rPr>
                <w:sz w:val="24"/>
                <w:rFonts w:ascii="Times New Roman" w:hAnsi="Times New Roman"/>
              </w:rPr>
              <w:t xml:space="preserve">E végrehajtási rendelet V. melléklete 2. részének 43–44. pontja értelmében az államháztartás közvetlen partner:</w:t>
            </w:r>
            <w:r>
              <w:rPr>
                <w:sz w:val="24"/>
                <w:rFonts w:ascii="Times New Roman" w:hAnsi="Times New Roman"/>
              </w:rPr>
              <w:t xml:space="preserve"> </w:t>
            </w:r>
            <w:r>
              <w:rPr>
                <w:sz w:val="24"/>
                <w:rFonts w:ascii="Times New Roman" w:hAnsi="Times New Roman"/>
              </w:rPr>
              <w:t xml:space="preserve">a) adott pénzügyi garancia vonatkozásában akkor, ha a garantált hitelviszonyt megtestesítő instrumentum közvetlen partnere; és b) adott hitelnyújtási elkötelezettségek és az egyéb adott elkötelezettségek vonatkozásában akkor, ha az a fél, amelynek a hitelkockázatát az adatszolgáltató intézmény viseli.</w:t>
            </w:r>
            <w:r>
              <w:rPr>
                <w:sz w:val="24"/>
                <w:rFonts w:ascii="Times New Roman" w:hAnsi="Times New Roman"/>
              </w:rPr>
              <w:t xml:space="preserve"> </w:t>
            </w:r>
          </w:p>
          <w:p w14:paraId="150A1660"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1326667D" w14:textId="77777777" w:rsidTr="00E07FE9">
        <w:tc>
          <w:tcPr>
            <w:tcW w:w="1188" w:type="dxa"/>
          </w:tcPr>
          <w:p w14:paraId="595EBDE0"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0250</w:t>
            </w:r>
          </w:p>
        </w:tc>
        <w:tc>
          <w:tcPr>
            <w:tcW w:w="8640" w:type="dxa"/>
          </w:tcPr>
          <w:p w14:paraId="22A72945" w14:textId="77777777" w:rsidR="00BD16F2" w:rsidRPr="002A677E" w:rsidRDefault="00BD16F2" w:rsidP="00E07FE9">
            <w:pPr>
              <w:spacing w:before="0" w:after="0"/>
              <w:ind w:left="33"/>
              <w:rPr>
                <w:b/>
                <w:bCs/>
                <w:sz w:val="24"/>
                <w:u w:val="single"/>
                <w:rFonts w:ascii="Times New Roman" w:hAnsi="Times New Roman"/>
              </w:rPr>
            </w:pPr>
            <w:r>
              <w:rPr>
                <w:b/>
                <w:sz w:val="24"/>
                <w:u w:val="single"/>
                <w:rFonts w:ascii="Times New Roman" w:hAnsi="Times New Roman"/>
              </w:rPr>
              <w:t xml:space="preserve">Céltartalékok</w:t>
            </w:r>
          </w:p>
          <w:p w14:paraId="01E70F51" w14:textId="77777777" w:rsidR="00BD16F2" w:rsidRPr="002A677E" w:rsidRDefault="00BD16F2" w:rsidP="00E07FE9">
            <w:pPr>
              <w:spacing w:before="0" w:after="0"/>
              <w:ind w:left="33"/>
              <w:rPr>
                <w:rFonts w:ascii="Times New Roman" w:hAnsi="Times New Roman"/>
                <w:bCs/>
                <w:sz w:val="24"/>
                <w:lang w:eastAsia="de-DE"/>
              </w:rPr>
            </w:pPr>
          </w:p>
          <w:p w14:paraId="18434256"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A 86/635/EGK tanácsi irányelv 4. cikkének „Kötelezettségek” 6.c) pontja és a 4. cikk szerinti „Mérlegen kívüli tételek”, 27. cikkének (11) bekezdése, 28. cikkének (8) bekezdése és 33. cikke;</w:t>
            </w:r>
            <w:r>
              <w:rPr>
                <w:sz w:val="24"/>
                <w:rFonts w:ascii="Times New Roman" w:hAnsi="Times New Roman"/>
              </w:rPr>
              <w:t xml:space="preserve"> </w:t>
            </w:r>
            <w:r>
              <w:rPr>
                <w:sz w:val="24"/>
                <w:rFonts w:ascii="Times New Roman" w:hAnsi="Times New Roman"/>
              </w:rPr>
              <w:t xml:space="preserve">IFRS 9.4.2.1 c) ii., d) ii., 9.5.5.20; IAS 37, IFRS 4, e végrehajtási rendelet V. melléklete 2. részének 11. pontja.</w:t>
            </w:r>
          </w:p>
          <w:p w14:paraId="6754A1A7" w14:textId="77777777" w:rsidR="00BD16F2" w:rsidRPr="002A677E" w:rsidRDefault="00BD16F2" w:rsidP="00E07FE9">
            <w:pPr>
              <w:spacing w:before="0" w:after="0"/>
              <w:ind w:left="33"/>
              <w:rPr>
                <w:rFonts w:ascii="Times New Roman" w:hAnsi="Times New Roman"/>
                <w:bCs/>
                <w:sz w:val="24"/>
                <w:lang w:eastAsia="de-DE"/>
              </w:rPr>
            </w:pPr>
          </w:p>
          <w:p w14:paraId="34CA6E4B"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Az értékelés módjától függetlenül valamennyi mérlegen kívüli kitettségre képzett céltartalék, kivéve az IFRS 9 szerint az eredménnyel szemben valós értéken értékelt kitettségekre képzett céltartalékokat.</w:t>
            </w:r>
          </w:p>
          <w:p w14:paraId="54F5F8EE" w14:textId="77777777" w:rsidR="00BD16F2" w:rsidRPr="002A677E" w:rsidRDefault="00BD16F2" w:rsidP="00E07FE9">
            <w:pPr>
              <w:spacing w:before="0" w:after="0"/>
              <w:ind w:left="33"/>
              <w:rPr>
                <w:rFonts w:ascii="Times New Roman" w:hAnsi="Times New Roman"/>
                <w:bCs/>
                <w:sz w:val="24"/>
                <w:lang w:eastAsia="de-DE"/>
              </w:rPr>
            </w:pPr>
          </w:p>
          <w:p w14:paraId="7B5B9973"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Az IFRS szerinti elszámolás esetén az adott hitelnyújtási elkötelezettségekre elszámolt értékvesztést a 150-es oszlopban kell jelenteni, ha az intézmény nem képes külön azonosítani a hitelviszonyt megtestesítő instrumentum lehívott és le nem hívott összegéhez kapcsolódó várható hitelezési veszteséget.</w:t>
            </w:r>
            <w:r>
              <w:rPr>
                <w:sz w:val="24"/>
                <w:rFonts w:ascii="Times New Roman" w:hAnsi="Times New Roman"/>
              </w:rPr>
              <w:t xml:space="preserve"> </w:t>
            </w:r>
            <w:r>
              <w:rPr>
                <w:sz w:val="24"/>
                <w:rFonts w:ascii="Times New Roman" w:hAnsi="Times New Roman"/>
              </w:rPr>
              <w:t xml:space="preserve">Amennyiben az adott pénzügyi eszközre vonatkozó várható együttes hitelezési veszteség meghaladja az eszköz hitelkomponensének bruttó könyv szerinti értékét, a várható hitelezési veszteség fennmaradó egyenlegét a 0250-es oszlopban kell jelenteni céltartalékként.</w:t>
            </w:r>
          </w:p>
          <w:p w14:paraId="041ACC90"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5A83ECAE" w14:textId="77777777" w:rsidTr="00E07FE9">
        <w:tc>
          <w:tcPr>
            <w:tcW w:w="1188" w:type="dxa"/>
          </w:tcPr>
          <w:p w14:paraId="43368966"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0260</w:t>
            </w:r>
          </w:p>
        </w:tc>
        <w:tc>
          <w:tcPr>
            <w:tcW w:w="8640" w:type="dxa"/>
          </w:tcPr>
          <w:p w14:paraId="1E41EC8B" w14:textId="77777777" w:rsidR="00BD16F2" w:rsidRPr="002A677E" w:rsidRDefault="00BD16F2" w:rsidP="00E07FE9">
            <w:pPr>
              <w:spacing w:before="0" w:after="0"/>
              <w:ind w:left="33"/>
              <w:rPr>
                <w:b/>
                <w:bCs/>
                <w:sz w:val="24"/>
                <w:u w:val="single"/>
                <w:rFonts w:ascii="Times New Roman" w:hAnsi="Times New Roman"/>
              </w:rPr>
            </w:pPr>
            <w:r>
              <w:rPr>
                <w:b/>
                <w:sz w:val="24"/>
                <w:u w:val="single"/>
                <w:rFonts w:ascii="Times New Roman" w:hAnsi="Times New Roman"/>
              </w:rPr>
              <w:t xml:space="preserve">A hitelkockázat változásából származó negatív valósérték-változás halmozott összege</w:t>
            </w:r>
            <w:r>
              <w:rPr>
                <w:b/>
                <w:sz w:val="24"/>
                <w:u w:val="single"/>
                <w:rFonts w:ascii="Times New Roman" w:hAnsi="Times New Roman"/>
              </w:rPr>
              <w:t xml:space="preserve"> </w:t>
            </w:r>
          </w:p>
          <w:p w14:paraId="621C45D8" w14:textId="77777777" w:rsidR="00BD16F2" w:rsidRPr="002A677E" w:rsidRDefault="00BD16F2" w:rsidP="00E07FE9">
            <w:pPr>
              <w:spacing w:before="0" w:after="0"/>
              <w:ind w:left="33"/>
              <w:rPr>
                <w:rFonts w:ascii="Times New Roman" w:hAnsi="Times New Roman"/>
                <w:b/>
                <w:bCs/>
                <w:sz w:val="24"/>
                <w:u w:val="single"/>
                <w:lang w:eastAsia="de-DE"/>
              </w:rPr>
            </w:pPr>
          </w:p>
          <w:p w14:paraId="71B055E5"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Az IFRS 9 szerint az eredménnyel szemben valós értéken értékelt mérlegen kívüli tételek esetében a hitelkockázat változásából származó negatív valósérték-változás halmozott összege (e végrehajtási rendelet V. melléklete 2. részének 110. pontja).</w:t>
            </w:r>
          </w:p>
          <w:p w14:paraId="14DC17A6" w14:textId="77777777" w:rsidR="00BD16F2" w:rsidRPr="002A677E" w:rsidRDefault="00BD16F2" w:rsidP="00E07FE9">
            <w:pPr>
              <w:spacing w:before="0" w:after="0"/>
              <w:ind w:left="33"/>
              <w:rPr>
                <w:b/>
                <w:bCs/>
                <w:sz w:val="24"/>
                <w:u w:val="single"/>
                <w:rFonts w:ascii="Times New Roman" w:hAnsi="Times New Roman"/>
              </w:rPr>
            </w:pPr>
            <w:r>
              <w:rPr>
                <w:sz w:val="24"/>
                <w:u w:val="single"/>
                <w:rFonts w:ascii="Times New Roman" w:hAnsi="Times New Roman"/>
              </w:rPr>
              <w:t xml:space="preserve"> </w:t>
            </w:r>
          </w:p>
        </w:tc>
      </w:tr>
      <w:tr w:rsidR="00BD16F2" w:rsidRPr="002A677E" w14:paraId="4127DE12" w14:textId="77777777" w:rsidTr="00E07FE9">
        <w:tc>
          <w:tcPr>
            <w:tcW w:w="1188" w:type="dxa"/>
            <w:tcBorders>
              <w:top w:val="single" w:sz="4" w:space="0" w:color="auto"/>
              <w:left w:val="single" w:sz="4" w:space="0" w:color="auto"/>
              <w:bottom w:val="single" w:sz="4" w:space="0" w:color="auto"/>
              <w:right w:val="single" w:sz="4" w:space="0" w:color="auto"/>
            </w:tcBorders>
            <w:shd w:val="clear" w:color="auto" w:fill="auto"/>
          </w:tcPr>
          <w:p w14:paraId="121BC3F4" w14:textId="77777777" w:rsidR="00BD16F2" w:rsidRPr="002A677E" w:rsidDel="008D1680" w:rsidRDefault="00BD16F2" w:rsidP="00E07FE9">
            <w:pPr>
              <w:spacing w:before="0" w:after="0"/>
              <w:ind w:left="33"/>
              <w:rPr>
                <w:bCs/>
                <w:sz w:val="24"/>
                <w:rFonts w:ascii="Times New Roman" w:hAnsi="Times New Roman"/>
              </w:rPr>
            </w:pPr>
            <w:r>
              <w:rPr>
                <w:sz w:val="24"/>
                <w:rFonts w:ascii="Times New Roman" w:hAnsi="Times New Roman"/>
              </w:rPr>
              <w:t xml:space="preserve">0270–280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4E391AF7" w14:textId="77777777" w:rsidR="00BD16F2" w:rsidRPr="002A677E" w:rsidRDefault="00BD16F2" w:rsidP="00E07FE9">
            <w:pPr>
              <w:spacing w:before="0" w:after="0"/>
              <w:ind w:left="33"/>
              <w:rPr>
                <w:b/>
                <w:bCs/>
                <w:sz w:val="24"/>
                <w:u w:val="single"/>
                <w:rFonts w:ascii="Times New Roman" w:hAnsi="Times New Roman"/>
              </w:rPr>
            </w:pPr>
            <w:r>
              <w:rPr>
                <w:b/>
                <w:sz w:val="24"/>
                <w:u w:val="single"/>
                <w:rFonts w:ascii="Times New Roman" w:hAnsi="Times New Roman"/>
              </w:rPr>
              <w:t xml:space="preserve">Tájékoztató adat:</w:t>
            </w:r>
            <w:r>
              <w:rPr>
                <w:b/>
                <w:sz w:val="24"/>
                <w:u w:val="single"/>
                <w:rFonts w:ascii="Times New Roman" w:hAnsi="Times New Roman"/>
              </w:rPr>
              <w:t xml:space="preserve"> </w:t>
            </w:r>
            <w:r>
              <w:rPr>
                <w:b/>
                <w:sz w:val="24"/>
                <w:u w:val="single"/>
                <w:rFonts w:ascii="Times New Roman" w:hAnsi="Times New Roman"/>
              </w:rPr>
              <w:t xml:space="preserve">államháztartásokkal szembeni kitettségekre értékesített hitelderivatívák</w:t>
            </w:r>
          </w:p>
          <w:p w14:paraId="7FCC5FD3" w14:textId="77777777" w:rsidR="00BD16F2" w:rsidRPr="002A677E" w:rsidRDefault="00BD16F2" w:rsidP="00E07FE9">
            <w:pPr>
              <w:spacing w:before="0" w:after="0"/>
              <w:ind w:left="33"/>
              <w:rPr>
                <w:rFonts w:ascii="Times New Roman" w:hAnsi="Times New Roman"/>
                <w:b/>
                <w:bCs/>
                <w:sz w:val="24"/>
                <w:u w:val="single"/>
                <w:lang w:eastAsia="de-DE"/>
              </w:rPr>
            </w:pPr>
          </w:p>
          <w:p w14:paraId="5E8529A5"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Itt azokat a pénzügyi garanciák fogalmába (V. melléklet 2. részének 58. pontja) nem sorolható hitelderivatívákat kell jelenteni, amelyeket az intézmény nem államháztartási partnerekkel kötött, és amelyek referenciakitettsége államháztartás.</w:t>
            </w:r>
          </w:p>
          <w:p w14:paraId="359B92DB" w14:textId="77777777" w:rsidR="00BD16F2" w:rsidRPr="002A677E" w:rsidRDefault="00BD16F2" w:rsidP="00E07FE9">
            <w:pPr>
              <w:spacing w:before="0" w:after="0"/>
              <w:ind w:left="33"/>
              <w:rPr>
                <w:rFonts w:ascii="Times New Roman" w:hAnsi="Times New Roman"/>
                <w:bCs/>
                <w:sz w:val="24"/>
                <w:lang w:eastAsia="de-DE"/>
              </w:rPr>
            </w:pPr>
          </w:p>
          <w:p w14:paraId="2C5DB553"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Ezeket az oszlopokat nem kell jelenteni kockázat, szabályozási módszer és kitettségi osztály szerinti bontásban (0020–0160).</w:t>
            </w:r>
          </w:p>
          <w:p w14:paraId="2201FBDC"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7CC37A20" w14:textId="77777777" w:rsidTr="00E07FE9">
        <w:tc>
          <w:tcPr>
            <w:tcW w:w="1188" w:type="dxa"/>
            <w:tcBorders>
              <w:top w:val="single" w:sz="4" w:space="0" w:color="auto"/>
              <w:left w:val="single" w:sz="4" w:space="0" w:color="auto"/>
              <w:bottom w:val="single" w:sz="4" w:space="0" w:color="auto"/>
              <w:right w:val="single" w:sz="4" w:space="0" w:color="auto"/>
            </w:tcBorders>
            <w:shd w:val="clear" w:color="auto" w:fill="auto"/>
          </w:tcPr>
          <w:p w14:paraId="317F2664" w14:textId="77777777" w:rsidR="00BD16F2" w:rsidRPr="002A677E" w:rsidDel="008D1680" w:rsidRDefault="00BD16F2" w:rsidP="00E07FE9">
            <w:pPr>
              <w:spacing w:before="0" w:after="0"/>
              <w:ind w:left="33"/>
              <w:rPr>
                <w:bCs/>
                <w:sz w:val="24"/>
                <w:rFonts w:ascii="Times New Roman" w:hAnsi="Times New Roman"/>
              </w:rPr>
            </w:pPr>
            <w:r>
              <w:rPr>
                <w:sz w:val="24"/>
                <w:rFonts w:ascii="Times New Roman" w:hAnsi="Times New Roman"/>
              </w:rPr>
              <w:t xml:space="preserve">0270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75F09999" w14:textId="77777777" w:rsidR="00BD16F2" w:rsidRPr="002A677E" w:rsidRDefault="00BD16F2" w:rsidP="00E07FE9">
            <w:pPr>
              <w:spacing w:before="0" w:after="0"/>
              <w:ind w:left="33"/>
              <w:rPr>
                <w:b/>
                <w:bCs/>
                <w:sz w:val="24"/>
                <w:u w:val="single"/>
                <w:rFonts w:ascii="Times New Roman" w:hAnsi="Times New Roman"/>
              </w:rPr>
            </w:pPr>
            <w:r>
              <w:rPr>
                <w:b/>
                <w:sz w:val="24"/>
                <w:u w:val="single"/>
                <w:rFonts w:ascii="Times New Roman" w:hAnsi="Times New Roman"/>
              </w:rPr>
              <w:t xml:space="preserve">Származtatott ügyletek pozitív valós értékkel – könyv szerinti érték</w:t>
            </w:r>
          </w:p>
          <w:p w14:paraId="2A418988" w14:textId="77777777" w:rsidR="00BD16F2" w:rsidRPr="002A677E" w:rsidRDefault="00BD16F2" w:rsidP="00E07FE9">
            <w:pPr>
              <w:spacing w:before="0" w:after="0"/>
              <w:ind w:left="33"/>
              <w:rPr>
                <w:rFonts w:ascii="Times New Roman" w:hAnsi="Times New Roman"/>
                <w:b/>
                <w:bCs/>
                <w:sz w:val="24"/>
                <w:u w:val="single"/>
                <w:lang w:eastAsia="de-DE"/>
              </w:rPr>
            </w:pPr>
          </w:p>
          <w:p w14:paraId="2F45DF21"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Az államháztartásokkal szembeni kitettségekre értékesített, az adatszolgáltatási vonatkozási időpontban az intézmény számára pozitív valós értékkel rendelkező hitelderivatívák összesített könyv szerinti értéke prudens értékelési korrekciók nélkül.</w:t>
            </w:r>
          </w:p>
          <w:p w14:paraId="268DBBB9" w14:textId="77777777" w:rsidR="00BD16F2" w:rsidRPr="002A677E" w:rsidRDefault="00BD16F2" w:rsidP="00E07FE9">
            <w:pPr>
              <w:spacing w:before="0" w:after="0"/>
              <w:ind w:left="33"/>
              <w:rPr>
                <w:rFonts w:ascii="Times New Roman" w:hAnsi="Times New Roman"/>
                <w:bCs/>
                <w:sz w:val="24"/>
                <w:lang w:eastAsia="de-DE"/>
              </w:rPr>
            </w:pPr>
          </w:p>
          <w:p w14:paraId="26676DAB"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Az IFRS szerint elszámolt származtatott ügyletek esetében az ezen oszlopban jelentendő érték a pénzügyi eszközök közé sorolt derivatívák könyv szerinti értéke az adatszolgáltatás időpontjában.</w:t>
            </w:r>
          </w:p>
          <w:p w14:paraId="68E6FB35" w14:textId="77777777" w:rsidR="00BD16F2" w:rsidRPr="002A677E" w:rsidRDefault="00BD16F2" w:rsidP="00E07FE9">
            <w:pPr>
              <w:spacing w:before="0" w:after="0"/>
              <w:ind w:left="33"/>
              <w:rPr>
                <w:rFonts w:ascii="Times New Roman" w:hAnsi="Times New Roman"/>
                <w:bCs/>
                <w:sz w:val="24"/>
                <w:lang w:eastAsia="de-DE"/>
              </w:rPr>
            </w:pPr>
          </w:p>
          <w:p w14:paraId="0040020A"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A 86/635/EGK tanácsi irányelv alapján kidolgozott nemzeti GAAP szerint elszámolt származtatott ügyletek esetében az ezen oszlopban jelentendő érték a pozitív valós értékkel rendelkező derivatívák valós értéke az adatszolgáltatási vonatkozási időpontban, az elszámolás módjától függetlenül.</w:t>
            </w:r>
          </w:p>
          <w:p w14:paraId="329AEEAF"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24EE2BDC" w14:textId="77777777" w:rsidTr="00E07FE9">
        <w:tc>
          <w:tcPr>
            <w:tcW w:w="1188" w:type="dxa"/>
            <w:tcBorders>
              <w:top w:val="single" w:sz="4" w:space="0" w:color="auto"/>
              <w:left w:val="single" w:sz="4" w:space="0" w:color="auto"/>
              <w:bottom w:val="single" w:sz="4" w:space="0" w:color="auto"/>
              <w:right w:val="single" w:sz="4" w:space="0" w:color="auto"/>
            </w:tcBorders>
            <w:shd w:val="clear" w:color="auto" w:fill="auto"/>
          </w:tcPr>
          <w:p w14:paraId="723121F2" w14:textId="77777777" w:rsidR="00BD16F2" w:rsidRPr="002A677E" w:rsidDel="008D1680" w:rsidRDefault="00BD16F2" w:rsidP="00E07FE9">
            <w:pPr>
              <w:spacing w:before="0" w:after="0"/>
              <w:ind w:left="33"/>
              <w:rPr>
                <w:bCs/>
                <w:sz w:val="24"/>
                <w:rFonts w:ascii="Times New Roman" w:hAnsi="Times New Roman"/>
              </w:rPr>
            </w:pPr>
            <w:r>
              <w:rPr>
                <w:sz w:val="24"/>
                <w:rFonts w:ascii="Times New Roman" w:hAnsi="Times New Roman"/>
              </w:rPr>
              <w:t xml:space="preserve">0280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61F038B9" w14:textId="77777777" w:rsidR="00BD16F2" w:rsidRPr="002A677E" w:rsidRDefault="00BD16F2" w:rsidP="00E07FE9">
            <w:pPr>
              <w:spacing w:before="0" w:after="0"/>
              <w:ind w:left="33"/>
              <w:rPr>
                <w:b/>
                <w:bCs/>
                <w:sz w:val="24"/>
                <w:u w:val="single"/>
                <w:rFonts w:ascii="Times New Roman" w:hAnsi="Times New Roman"/>
              </w:rPr>
            </w:pPr>
            <w:r>
              <w:rPr>
                <w:b/>
                <w:sz w:val="24"/>
                <w:u w:val="single"/>
                <w:rFonts w:ascii="Times New Roman" w:hAnsi="Times New Roman"/>
              </w:rPr>
              <w:t xml:space="preserve">Származtatott ügyletek negatív valós értékkel – könyv szerinti érték</w:t>
            </w:r>
          </w:p>
          <w:p w14:paraId="57BCFC21" w14:textId="77777777" w:rsidR="00BD16F2" w:rsidRPr="002A677E" w:rsidRDefault="00BD16F2" w:rsidP="00E07FE9">
            <w:pPr>
              <w:spacing w:before="0" w:after="0"/>
              <w:ind w:left="33"/>
              <w:rPr>
                <w:rFonts w:ascii="Times New Roman" w:hAnsi="Times New Roman"/>
                <w:b/>
                <w:bCs/>
                <w:sz w:val="24"/>
                <w:u w:val="single"/>
                <w:lang w:eastAsia="de-DE"/>
              </w:rPr>
            </w:pPr>
          </w:p>
          <w:p w14:paraId="08215F8C"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Az államháztartásokkal szembeni kitettségekre értékesített, az adatszolgáltatási vonatkozási időpontban az intézmény számára negatív valós értékkel rendelkező hitelderivatívák összesített könyv szerinti értéke prudens értékelési korrekciók nélkül.</w:t>
            </w:r>
          </w:p>
          <w:p w14:paraId="035B445F" w14:textId="77777777" w:rsidR="00BD16F2" w:rsidRPr="002A677E" w:rsidRDefault="00BD16F2" w:rsidP="00E07FE9">
            <w:pPr>
              <w:spacing w:before="0" w:after="0"/>
              <w:ind w:left="33"/>
              <w:rPr>
                <w:rFonts w:ascii="Times New Roman" w:hAnsi="Times New Roman"/>
                <w:bCs/>
                <w:sz w:val="24"/>
                <w:lang w:eastAsia="de-DE"/>
              </w:rPr>
            </w:pPr>
          </w:p>
          <w:p w14:paraId="5F5AA110"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Az IFRS szerint elszámolt származtatott ügyletek esetében az ezen oszlopban jelentendő érték a pénzügyi kötelezettségek közé sorolt derivatívák könyv szerinti értéke az adatszolgáltatás időpontjában.</w:t>
            </w:r>
            <w:r>
              <w:rPr>
                <w:sz w:val="24"/>
                <w:rFonts w:ascii="Times New Roman" w:hAnsi="Times New Roman"/>
              </w:rPr>
              <w:t xml:space="preserve"> </w:t>
            </w:r>
          </w:p>
          <w:p w14:paraId="32E1D7A0" w14:textId="77777777" w:rsidR="00BD16F2" w:rsidRPr="002A677E" w:rsidRDefault="00BD16F2" w:rsidP="00E07FE9">
            <w:pPr>
              <w:spacing w:before="0" w:after="0"/>
              <w:ind w:left="33"/>
              <w:rPr>
                <w:rFonts w:ascii="Times New Roman" w:hAnsi="Times New Roman"/>
                <w:bCs/>
                <w:sz w:val="24"/>
                <w:lang w:eastAsia="de-DE"/>
              </w:rPr>
            </w:pPr>
          </w:p>
          <w:p w14:paraId="1D19F5C9" w14:textId="77777777" w:rsidR="00BD16F2" w:rsidRPr="002A677E" w:rsidRDefault="00BD16F2" w:rsidP="00E07FE9">
            <w:pPr>
              <w:spacing w:before="0" w:after="0"/>
              <w:ind w:left="33"/>
              <w:rPr>
                <w:b/>
                <w:bCs/>
                <w:sz w:val="24"/>
                <w:u w:val="single"/>
                <w:rFonts w:ascii="Times New Roman" w:hAnsi="Times New Roman"/>
              </w:rPr>
            </w:pPr>
            <w:r>
              <w:rPr>
                <w:sz w:val="24"/>
                <w:rFonts w:ascii="Times New Roman" w:hAnsi="Times New Roman"/>
              </w:rPr>
              <w:t xml:space="preserve">A 86/635/EGK tanácsi irányelv alapján kidolgozott nemzeti GAAP szerint elszámolt származtatott ügyletek esetében az ezen oszlopban jelentendő érték a negatív valós értékkel rendelkező derivatívák valós értéke az adatszolgáltatási vonatkozási időpontban, az elszámolás módjától függetlenül.</w:t>
            </w:r>
            <w:r>
              <w:rPr>
                <w:sz w:val="24"/>
                <w:b/>
                <w:u w:val="single"/>
                <w:rFonts w:ascii="Times New Roman" w:hAnsi="Times New Roman"/>
              </w:rPr>
              <w:t xml:space="preserve"> </w:t>
            </w:r>
          </w:p>
          <w:p w14:paraId="07F6DFA3"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65CC9729" w14:textId="77777777" w:rsidTr="00E07FE9">
        <w:tc>
          <w:tcPr>
            <w:tcW w:w="1188" w:type="dxa"/>
            <w:tcBorders>
              <w:top w:val="single" w:sz="4" w:space="0" w:color="auto"/>
              <w:left w:val="single" w:sz="4" w:space="0" w:color="auto"/>
              <w:bottom w:val="single" w:sz="4" w:space="0" w:color="auto"/>
              <w:right w:val="single" w:sz="4" w:space="0" w:color="auto"/>
            </w:tcBorders>
            <w:shd w:val="clear" w:color="auto" w:fill="auto"/>
          </w:tcPr>
          <w:p w14:paraId="601560E0" w14:textId="77777777" w:rsidR="00BD16F2" w:rsidRPr="002A677E" w:rsidDel="008D1680" w:rsidRDefault="00BD16F2" w:rsidP="00E07FE9">
            <w:pPr>
              <w:spacing w:before="0" w:after="0"/>
              <w:ind w:left="33"/>
              <w:rPr>
                <w:bCs/>
                <w:sz w:val="24"/>
                <w:rFonts w:ascii="Times New Roman" w:hAnsi="Times New Roman"/>
              </w:rPr>
            </w:pPr>
            <w:r>
              <w:rPr>
                <w:sz w:val="24"/>
                <w:rFonts w:ascii="Times New Roman" w:hAnsi="Times New Roman"/>
              </w:rPr>
              <w:t xml:space="preserve">0290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2F3255EE" w14:textId="77777777" w:rsidR="00BD16F2" w:rsidRPr="002A677E" w:rsidRDefault="00BD16F2" w:rsidP="00E07FE9">
            <w:pPr>
              <w:spacing w:before="0" w:after="0"/>
              <w:ind w:left="33"/>
              <w:rPr>
                <w:b/>
                <w:bCs/>
                <w:sz w:val="24"/>
                <w:u w:val="single"/>
                <w:rFonts w:ascii="Times New Roman" w:hAnsi="Times New Roman"/>
              </w:rPr>
            </w:pPr>
            <w:r>
              <w:rPr>
                <w:b/>
                <w:sz w:val="24"/>
                <w:u w:val="single"/>
                <w:rFonts w:ascii="Times New Roman" w:hAnsi="Times New Roman"/>
              </w:rPr>
              <w:t xml:space="preserve">Kitettségérték</w:t>
            </w:r>
          </w:p>
          <w:p w14:paraId="39175C29" w14:textId="77777777" w:rsidR="00BD16F2" w:rsidRPr="002A677E" w:rsidRDefault="00BD16F2" w:rsidP="00E07FE9">
            <w:pPr>
              <w:spacing w:before="0" w:after="0"/>
              <w:ind w:left="33"/>
              <w:rPr>
                <w:rFonts w:ascii="Times New Roman" w:hAnsi="Times New Roman"/>
                <w:b/>
                <w:bCs/>
                <w:sz w:val="24"/>
                <w:u w:val="single"/>
                <w:lang w:eastAsia="de-DE"/>
              </w:rPr>
            </w:pPr>
          </w:p>
          <w:p w14:paraId="50375C6C"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A hitelkockázati módszerek alapján értékelt kitettségek kitettségértéke.</w:t>
            </w:r>
          </w:p>
          <w:p w14:paraId="76E178AB" w14:textId="77777777" w:rsidR="00BD16F2" w:rsidRPr="002A677E" w:rsidRDefault="00BD16F2" w:rsidP="00E07FE9">
            <w:pPr>
              <w:spacing w:before="0" w:after="0"/>
              <w:ind w:left="33"/>
              <w:rPr>
                <w:rFonts w:ascii="Times New Roman" w:hAnsi="Times New Roman"/>
                <w:bCs/>
                <w:sz w:val="24"/>
                <w:lang w:eastAsia="de-DE"/>
              </w:rPr>
            </w:pPr>
          </w:p>
          <w:p w14:paraId="42DF255E"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A sztenderd módszer szerint értékelt kitettségek esetében:</w:t>
            </w:r>
            <w:r>
              <w:rPr>
                <w:sz w:val="24"/>
                <w:rFonts w:ascii="Times New Roman" w:hAnsi="Times New Roman"/>
              </w:rPr>
              <w:t xml:space="preserve"> </w:t>
            </w:r>
            <w:r>
              <w:rPr>
                <w:sz w:val="24"/>
                <w:rFonts w:ascii="Times New Roman" w:hAnsi="Times New Roman"/>
              </w:rPr>
              <w:t xml:space="preserve">lásd az 575/2013/EU rendelet 111. cikkét.</w:t>
            </w:r>
            <w:r>
              <w:rPr>
                <w:sz w:val="24"/>
                <w:rFonts w:ascii="Times New Roman" w:hAnsi="Times New Roman"/>
              </w:rPr>
              <w:t xml:space="preserve"> </w:t>
            </w:r>
            <w:r>
              <w:rPr>
                <w:sz w:val="24"/>
                <w:rFonts w:ascii="Times New Roman" w:hAnsi="Times New Roman"/>
              </w:rPr>
              <w:t xml:space="preserve">A belső minősítésen alapuló módszer szerint értékelt kitettségek esetében:</w:t>
            </w:r>
            <w:r>
              <w:rPr>
                <w:sz w:val="24"/>
                <w:rFonts w:ascii="Times New Roman" w:hAnsi="Times New Roman"/>
              </w:rPr>
              <w:t xml:space="preserve"> </w:t>
            </w:r>
            <w:r>
              <w:rPr>
                <w:sz w:val="24"/>
                <w:rFonts w:ascii="Times New Roman" w:hAnsi="Times New Roman"/>
              </w:rPr>
              <w:t xml:space="preserve">lásd az 575/2013/EU rendelet 166. cikkét és 230. cikke (1) bekezdésének második mondatát.</w:t>
            </w:r>
          </w:p>
          <w:p w14:paraId="05A95AB3" w14:textId="77777777" w:rsidR="00BD16F2" w:rsidRPr="002A677E" w:rsidRDefault="00BD16F2" w:rsidP="00E07FE9">
            <w:pPr>
              <w:spacing w:before="0" w:after="0"/>
              <w:ind w:left="33"/>
              <w:rPr>
                <w:rFonts w:ascii="Times New Roman" w:hAnsi="Times New Roman"/>
                <w:bCs/>
                <w:sz w:val="24"/>
                <w:lang w:eastAsia="de-DE"/>
              </w:rPr>
            </w:pPr>
          </w:p>
          <w:p w14:paraId="4D092672"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Azon származtatott ügyletekkel kapcsolatban, amelyekre partnerkockázati és piaci kockázati tőkekövetelmény egyaránt vonatkozik, lásd a sorokra vonatkozó útmutatót.</w:t>
            </w:r>
          </w:p>
          <w:p w14:paraId="7314BDB3" w14:textId="77777777" w:rsidR="00BD16F2" w:rsidRPr="002A677E" w:rsidRDefault="00BD16F2" w:rsidP="00E07FE9">
            <w:pPr>
              <w:spacing w:before="0" w:after="0"/>
              <w:ind w:left="33"/>
              <w:rPr>
                <w:rFonts w:ascii="Times New Roman" w:hAnsi="Times New Roman"/>
                <w:bCs/>
                <w:sz w:val="24"/>
                <w:lang w:eastAsia="de-DE"/>
              </w:rPr>
            </w:pPr>
          </w:p>
          <w:p w14:paraId="7DBE7781"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A 0270-es és 0280-as oszlopban feltüntetett kitettségeket ezen oszlop alkalmazásában nem kell figyelembe venni, mivel az ebben az oszlopban szereplő érték kizárólag a közvetlen kitettségeken alapul.</w:t>
            </w:r>
            <w:r>
              <w:rPr>
                <w:sz w:val="24"/>
                <w:rFonts w:ascii="Times New Roman" w:hAnsi="Times New Roman"/>
              </w:rPr>
              <w:t xml:space="preserve"> </w:t>
            </w:r>
          </w:p>
          <w:p w14:paraId="0EFB9D42"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01A4C273" w14:textId="77777777" w:rsidTr="00E07FE9">
        <w:tc>
          <w:tcPr>
            <w:tcW w:w="1188" w:type="dxa"/>
            <w:tcBorders>
              <w:top w:val="single" w:sz="4" w:space="0" w:color="auto"/>
              <w:left w:val="single" w:sz="4" w:space="0" w:color="auto"/>
              <w:bottom w:val="single" w:sz="4" w:space="0" w:color="auto"/>
              <w:right w:val="single" w:sz="4" w:space="0" w:color="auto"/>
            </w:tcBorders>
            <w:shd w:val="clear" w:color="auto" w:fill="auto"/>
          </w:tcPr>
          <w:p w14:paraId="74CFE3D9"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0300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6664E182" w14:textId="77777777" w:rsidR="00BD16F2" w:rsidRPr="002A677E" w:rsidRDefault="00BD16F2" w:rsidP="00E07FE9">
            <w:pPr>
              <w:spacing w:before="0" w:after="0"/>
              <w:ind w:left="33"/>
              <w:rPr>
                <w:b/>
                <w:bCs/>
                <w:sz w:val="24"/>
                <w:u w:val="single"/>
                <w:rFonts w:ascii="Times New Roman" w:hAnsi="Times New Roman"/>
              </w:rPr>
            </w:pPr>
            <w:r>
              <w:rPr>
                <w:b/>
                <w:sz w:val="24"/>
                <w:u w:val="single"/>
                <w:rFonts w:ascii="Times New Roman" w:hAnsi="Times New Roman"/>
              </w:rPr>
              <w:t xml:space="preserve">Kockázattal súlyozott kitettségérték</w:t>
            </w:r>
            <w:r>
              <w:rPr>
                <w:b/>
                <w:sz w:val="24"/>
                <w:u w:val="single"/>
                <w:rFonts w:ascii="Times New Roman" w:hAnsi="Times New Roman"/>
              </w:rPr>
              <w:t xml:space="preserve"> </w:t>
            </w:r>
          </w:p>
          <w:p w14:paraId="472C24CC" w14:textId="77777777" w:rsidR="00BD16F2" w:rsidRPr="002A677E" w:rsidRDefault="00BD16F2" w:rsidP="00E07FE9">
            <w:pPr>
              <w:spacing w:before="0" w:after="0"/>
              <w:ind w:left="33"/>
              <w:rPr>
                <w:rFonts w:ascii="Times New Roman" w:hAnsi="Times New Roman"/>
                <w:b/>
                <w:bCs/>
                <w:sz w:val="24"/>
                <w:u w:val="single"/>
                <w:lang w:eastAsia="de-DE"/>
              </w:rPr>
            </w:pPr>
          </w:p>
          <w:p w14:paraId="038C8785"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A hitelkockázati módszerek alapján értékelt kitettségek kockázattal súlyozott kitettségértéke.</w:t>
            </w:r>
            <w:r>
              <w:rPr>
                <w:sz w:val="24"/>
                <w:rFonts w:ascii="Times New Roman" w:hAnsi="Times New Roman"/>
              </w:rPr>
              <w:t xml:space="preserve"> </w:t>
            </w:r>
          </w:p>
          <w:p w14:paraId="4137B1E3" w14:textId="77777777" w:rsidR="00BD16F2" w:rsidRPr="002A677E" w:rsidRDefault="00BD16F2" w:rsidP="00E07FE9">
            <w:pPr>
              <w:spacing w:before="0" w:after="0"/>
              <w:ind w:left="33"/>
              <w:rPr>
                <w:rFonts w:ascii="Times New Roman" w:hAnsi="Times New Roman"/>
                <w:bCs/>
                <w:sz w:val="24"/>
                <w:lang w:eastAsia="de-DE"/>
              </w:rPr>
            </w:pPr>
          </w:p>
          <w:p w14:paraId="10B030A1"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A sztenderd módszer szerint értékelt kitettségek esetében:</w:t>
            </w:r>
            <w:r>
              <w:rPr>
                <w:sz w:val="24"/>
                <w:rFonts w:ascii="Times New Roman" w:hAnsi="Times New Roman"/>
              </w:rPr>
              <w:t xml:space="preserve"> </w:t>
            </w:r>
            <w:r>
              <w:rPr>
                <w:sz w:val="24"/>
                <w:rFonts w:ascii="Times New Roman" w:hAnsi="Times New Roman"/>
              </w:rPr>
              <w:t xml:space="preserve">lásd az 575/2013/EU rendelet 113. cikkének (1)–(5) bekezdését.</w:t>
            </w:r>
            <w:r>
              <w:rPr>
                <w:sz w:val="24"/>
                <w:rFonts w:ascii="Times New Roman" w:hAnsi="Times New Roman"/>
              </w:rPr>
              <w:t xml:space="preserve"> </w:t>
            </w:r>
            <w:r>
              <w:rPr>
                <w:sz w:val="24"/>
                <w:rFonts w:ascii="Times New Roman" w:hAnsi="Times New Roman"/>
              </w:rPr>
              <w:t xml:space="preserve">A belső minősítésen alapuló módszer szerint értékelt kitettségek esetében:</w:t>
            </w:r>
            <w:r>
              <w:rPr>
                <w:sz w:val="24"/>
                <w:rFonts w:ascii="Times New Roman" w:hAnsi="Times New Roman"/>
              </w:rPr>
              <w:t xml:space="preserve"> </w:t>
            </w:r>
            <w:r>
              <w:rPr>
                <w:sz w:val="24"/>
                <w:rFonts w:ascii="Times New Roman" w:hAnsi="Times New Roman"/>
              </w:rPr>
              <w:t xml:space="preserve">lásd az 575/2013/EU rendelet 153. cikkének (1) és (3) bekezdését.</w:t>
            </w:r>
          </w:p>
          <w:p w14:paraId="524637D3" w14:textId="77777777" w:rsidR="00BD16F2" w:rsidRPr="002A677E" w:rsidRDefault="00BD16F2" w:rsidP="00E07FE9">
            <w:pPr>
              <w:spacing w:before="0" w:after="0"/>
              <w:ind w:left="33"/>
              <w:rPr>
                <w:rFonts w:ascii="Times New Roman" w:hAnsi="Times New Roman"/>
                <w:bCs/>
                <w:sz w:val="24"/>
                <w:lang w:eastAsia="de-DE"/>
              </w:rPr>
            </w:pPr>
          </w:p>
          <w:p w14:paraId="6AD8815A"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Az 575/2013/EU rendelet 271. cikkének hatálya alá tartozó azon közvetlen kitettségek adatszolgáltatásával kapcsolatban, amelyekre partnerkockázati és piaci kockázati szavatolótőke-követelmény egyaránt vonatkozik, lásd a sorokra vonatkozó útmutatót.</w:t>
            </w:r>
          </w:p>
          <w:p w14:paraId="0EE74286" w14:textId="77777777" w:rsidR="00BD16F2" w:rsidRPr="002A677E" w:rsidRDefault="00BD16F2" w:rsidP="00E07FE9">
            <w:pPr>
              <w:spacing w:before="0" w:after="0"/>
              <w:ind w:left="33"/>
              <w:rPr>
                <w:rFonts w:ascii="Times New Roman" w:hAnsi="Times New Roman"/>
                <w:bCs/>
                <w:sz w:val="24"/>
                <w:lang w:eastAsia="de-DE"/>
              </w:rPr>
            </w:pPr>
          </w:p>
          <w:p w14:paraId="58EFC6A6" w14:textId="77777777" w:rsidR="00BD16F2" w:rsidRPr="002A677E" w:rsidRDefault="00BD16F2" w:rsidP="00E07FE9">
            <w:pPr>
              <w:spacing w:before="0" w:after="0"/>
              <w:ind w:left="33"/>
              <w:rPr>
                <w:b/>
                <w:bCs/>
                <w:sz w:val="24"/>
                <w:u w:val="single"/>
                <w:rFonts w:ascii="Times New Roman" w:hAnsi="Times New Roman"/>
              </w:rPr>
            </w:pPr>
            <w:r>
              <w:rPr>
                <w:sz w:val="24"/>
                <w:rFonts w:ascii="Times New Roman" w:hAnsi="Times New Roman"/>
              </w:rPr>
              <w:t xml:space="preserve">A 0270-es és 0280-as oszlopban feltüntetett kitettségeket ezen oszlop alkalmazásában nem kell figyelembe venni, mivel az ebben az oszlopban szereplő érték kizárólag a közvetlen kitettségeken alapul.</w:t>
            </w:r>
            <w:r>
              <w:rPr>
                <w:sz w:val="24"/>
                <w:rFonts w:ascii="Times New Roman" w:hAnsi="Times New Roman"/>
              </w:rPr>
              <w:t xml:space="preserve"> </w:t>
            </w:r>
          </w:p>
        </w:tc>
      </w:tr>
    </w:tbl>
    <w:p w14:paraId="28C457B9" w14:textId="77777777" w:rsidR="00BD16F2" w:rsidRPr="002A677E" w:rsidRDefault="00BD16F2" w:rsidP="00BD16F2">
      <w:pPr>
        <w:spacing w:before="0" w:after="0"/>
        <w:ind w:left="33"/>
        <w:rPr>
          <w:rFonts w:ascii="Times New Roman" w:hAnsi="Times New Roman"/>
          <w:bCs/>
          <w:sz w:val="24"/>
          <w:lang w:eastAsia="de-DE"/>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701"/>
      </w:tblGrid>
      <w:tr w:rsidR="00BD16F2" w:rsidRPr="002A677E" w14:paraId="5EC8FE92" w14:textId="77777777" w:rsidTr="00E07FE9">
        <w:tc>
          <w:tcPr>
            <w:tcW w:w="1188" w:type="dxa"/>
            <w:shd w:val="clear" w:color="auto" w:fill="CCCCCC"/>
          </w:tcPr>
          <w:p w14:paraId="0F66128D"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Sorok</w:t>
            </w:r>
          </w:p>
        </w:tc>
        <w:tc>
          <w:tcPr>
            <w:tcW w:w="8701" w:type="dxa"/>
            <w:shd w:val="clear" w:color="auto" w:fill="CCCCCC"/>
          </w:tcPr>
          <w:p w14:paraId="59E26EFE"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Útmutató</w:t>
            </w:r>
          </w:p>
        </w:tc>
      </w:tr>
      <w:tr w:rsidR="00BD16F2" w:rsidRPr="002A677E" w14:paraId="78A169A5" w14:textId="77777777" w:rsidTr="00E07FE9">
        <w:tc>
          <w:tcPr>
            <w:tcW w:w="9889" w:type="dxa"/>
            <w:gridSpan w:val="2"/>
          </w:tcPr>
          <w:p w14:paraId="5FDB0599" w14:textId="77777777" w:rsidR="00BD16F2" w:rsidRPr="002A677E" w:rsidRDefault="00BD16F2" w:rsidP="00E07FE9">
            <w:pPr>
              <w:spacing w:before="0" w:after="0"/>
              <w:ind w:left="33"/>
              <w:rPr>
                <w:b/>
                <w:bCs/>
                <w:sz w:val="24"/>
                <w:u w:val="single"/>
                <w:rFonts w:ascii="Times New Roman" w:hAnsi="Times New Roman"/>
              </w:rPr>
            </w:pPr>
            <w:r>
              <w:rPr>
                <w:b/>
                <w:sz w:val="24"/>
                <w:u w:val="single"/>
                <w:rFonts w:ascii="Times New Roman" w:hAnsi="Times New Roman"/>
              </w:rPr>
              <w:t xml:space="preserve">KITETTSÉGEK SZABÁLYOZÁSI MÓDSZER SZERINTI BONTÁSA</w:t>
            </w:r>
          </w:p>
          <w:p w14:paraId="7072A143"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123D6E82" w14:textId="77777777" w:rsidTr="00E07FE9">
        <w:tc>
          <w:tcPr>
            <w:tcW w:w="1188" w:type="dxa"/>
            <w:shd w:val="clear" w:color="auto" w:fill="auto"/>
          </w:tcPr>
          <w:p w14:paraId="635EC4C4"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0010</w:t>
            </w:r>
          </w:p>
        </w:tc>
        <w:tc>
          <w:tcPr>
            <w:tcW w:w="8701" w:type="dxa"/>
            <w:shd w:val="clear" w:color="auto" w:fill="auto"/>
          </w:tcPr>
          <w:p w14:paraId="45AF8DB6" w14:textId="77777777" w:rsidR="00BD16F2" w:rsidRPr="002A677E" w:rsidRDefault="00BD16F2" w:rsidP="00E07FE9">
            <w:pPr>
              <w:spacing w:before="0" w:after="0"/>
              <w:ind w:left="33"/>
              <w:rPr>
                <w:b/>
                <w:bCs/>
                <w:sz w:val="24"/>
                <w:u w:val="single"/>
                <w:rFonts w:ascii="Times New Roman" w:hAnsi="Times New Roman"/>
              </w:rPr>
            </w:pPr>
            <w:r>
              <w:rPr>
                <w:b/>
                <w:sz w:val="24"/>
                <w:u w:val="single"/>
                <w:rFonts w:ascii="Times New Roman" w:hAnsi="Times New Roman"/>
              </w:rPr>
              <w:t xml:space="preserve">Teljes kitettség</w:t>
            </w:r>
          </w:p>
          <w:p w14:paraId="7ADC5847" w14:textId="77777777" w:rsidR="00BD16F2" w:rsidRPr="002A677E" w:rsidRDefault="00BD16F2" w:rsidP="00E07FE9">
            <w:pPr>
              <w:spacing w:before="0" w:after="0"/>
              <w:ind w:left="33"/>
              <w:rPr>
                <w:rFonts w:ascii="Times New Roman" w:hAnsi="Times New Roman"/>
                <w:b/>
                <w:bCs/>
                <w:sz w:val="24"/>
                <w:u w:val="single"/>
                <w:lang w:eastAsia="de-DE"/>
              </w:rPr>
            </w:pPr>
          </w:p>
          <w:p w14:paraId="7233A1D6"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Az e melléklet 191–196. pontjában meghatározott államháztartásokkal szembeni összes kitettség.</w:t>
            </w:r>
          </w:p>
          <w:p w14:paraId="41D48D4C"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5468D2EA" w14:textId="77777777" w:rsidTr="00E07FE9">
        <w:tc>
          <w:tcPr>
            <w:tcW w:w="1188" w:type="dxa"/>
          </w:tcPr>
          <w:p w14:paraId="59C53928"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0020–0155</w:t>
            </w:r>
          </w:p>
        </w:tc>
        <w:tc>
          <w:tcPr>
            <w:tcW w:w="8701" w:type="dxa"/>
          </w:tcPr>
          <w:p w14:paraId="7E2E9BC1" w14:textId="77777777" w:rsidR="00BD16F2" w:rsidRPr="002A677E" w:rsidRDefault="00BD16F2" w:rsidP="00E07FE9">
            <w:pPr>
              <w:spacing w:before="0" w:after="0"/>
              <w:ind w:left="33"/>
              <w:rPr>
                <w:bCs/>
                <w:sz w:val="24"/>
                <w:rFonts w:ascii="Times New Roman" w:hAnsi="Times New Roman"/>
              </w:rPr>
            </w:pPr>
            <w:r>
              <w:rPr>
                <w:b/>
                <w:sz w:val="24"/>
                <w:u w:val="single"/>
                <w:rFonts w:ascii="Times New Roman" w:hAnsi="Times New Roman"/>
              </w:rPr>
              <w:t xml:space="preserve">Kitettségek a hitelkockázati módszerek alapján</w:t>
            </w:r>
          </w:p>
          <w:p w14:paraId="5D1A2E5A" w14:textId="77777777" w:rsidR="00BD16F2" w:rsidRPr="002A677E" w:rsidRDefault="00BD16F2" w:rsidP="00E07FE9">
            <w:pPr>
              <w:spacing w:before="0" w:after="0"/>
              <w:ind w:left="33"/>
              <w:rPr>
                <w:rFonts w:ascii="Times New Roman" w:hAnsi="Times New Roman"/>
                <w:bCs/>
                <w:sz w:val="24"/>
                <w:lang w:eastAsia="de-DE"/>
              </w:rPr>
            </w:pPr>
          </w:p>
          <w:p w14:paraId="50711A9F"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Az államháztartásokkal szembeni, az 575/2013/EU rendelet harmadik részének II. címe szerint kockázattal súlyozott összes kitettség.</w:t>
            </w:r>
            <w:r>
              <w:rPr>
                <w:sz w:val="24"/>
                <w:rFonts w:ascii="Times New Roman" w:hAnsi="Times New Roman"/>
              </w:rPr>
              <w:t xml:space="preserve"> </w:t>
            </w:r>
            <w:r>
              <w:rPr>
                <w:sz w:val="24"/>
                <w:rFonts w:ascii="Times New Roman" w:hAnsi="Times New Roman"/>
              </w:rPr>
              <w:t xml:space="preserve">A hitelkockázati módszerek alapján értékelt kitettségek közé tartoznak a partnerkockázati tőkekövetelmények hatálya alá tartozó kereskedési könyvi és nem kereskedési könyvi kitettségek.</w:t>
            </w:r>
            <w:r>
              <w:rPr>
                <w:sz w:val="24"/>
                <w:rFonts w:ascii="Times New Roman" w:hAnsi="Times New Roman"/>
              </w:rPr>
              <w:t xml:space="preserve"> </w:t>
            </w:r>
          </w:p>
          <w:p w14:paraId="1E171D21" w14:textId="77777777" w:rsidR="00BD16F2" w:rsidRPr="002A677E" w:rsidRDefault="00BD16F2" w:rsidP="00E07FE9">
            <w:pPr>
              <w:spacing w:before="0" w:after="0"/>
              <w:ind w:left="33"/>
              <w:rPr>
                <w:rFonts w:ascii="Times New Roman" w:hAnsi="Times New Roman"/>
                <w:bCs/>
                <w:sz w:val="24"/>
                <w:lang w:eastAsia="de-DE"/>
              </w:rPr>
            </w:pPr>
          </w:p>
          <w:p w14:paraId="77C54CE2"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Az 575/2013/EU rendelet 271. cikkének hatálya alá tartozó azon közvetlen kitettségeket, amelyekre partnerkockázati és piaci kockázati szavatolótőke-követelmény egyaránt vonatkozik, a hitelkockázati sorokban (0020–0155) és a piaci kockázati sorban (0160) egyaránt meg kell adni:</w:t>
            </w:r>
            <w:r>
              <w:rPr>
                <w:sz w:val="24"/>
                <w:rFonts w:ascii="Times New Roman" w:hAnsi="Times New Roman"/>
              </w:rPr>
              <w:t xml:space="preserve"> </w:t>
            </w:r>
            <w:r>
              <w:rPr>
                <w:sz w:val="24"/>
                <w:rFonts w:ascii="Times New Roman" w:hAnsi="Times New Roman"/>
              </w:rPr>
              <w:t xml:space="preserve">a partnerkockázatból származó kitettségértéket a hitelkockázati sorokban, míg a piaci kockázatból származó kitettségértéket a piaci kockázati sorban kell jelenteni.</w:t>
            </w:r>
          </w:p>
          <w:p w14:paraId="67236865"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53F4D72F" w14:textId="77777777" w:rsidTr="00E07FE9">
        <w:tc>
          <w:tcPr>
            <w:tcW w:w="1188" w:type="dxa"/>
          </w:tcPr>
          <w:p w14:paraId="54704E3F"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0030</w:t>
            </w:r>
          </w:p>
        </w:tc>
        <w:tc>
          <w:tcPr>
            <w:tcW w:w="8701" w:type="dxa"/>
          </w:tcPr>
          <w:p w14:paraId="7376AEA9" w14:textId="77777777" w:rsidR="00BD16F2" w:rsidRPr="002A677E" w:rsidRDefault="00BD16F2" w:rsidP="00E07FE9">
            <w:pPr>
              <w:spacing w:before="0" w:after="0"/>
              <w:ind w:left="33"/>
              <w:rPr>
                <w:b/>
                <w:bCs/>
                <w:sz w:val="24"/>
                <w:u w:val="single"/>
                <w:rFonts w:ascii="Times New Roman" w:hAnsi="Times New Roman"/>
              </w:rPr>
            </w:pPr>
            <w:r>
              <w:rPr>
                <w:b/>
                <w:sz w:val="24"/>
                <w:u w:val="single"/>
                <w:rFonts w:ascii="Times New Roman" w:hAnsi="Times New Roman"/>
              </w:rPr>
              <w:t xml:space="preserve">Sztenderd módszer</w:t>
            </w:r>
          </w:p>
          <w:p w14:paraId="2B177930" w14:textId="77777777" w:rsidR="00BD16F2" w:rsidRPr="002A677E" w:rsidRDefault="00BD16F2" w:rsidP="00E07FE9">
            <w:pPr>
              <w:spacing w:before="0" w:after="0"/>
              <w:ind w:left="33"/>
              <w:rPr>
                <w:rFonts w:ascii="Times New Roman" w:hAnsi="Times New Roman"/>
                <w:bCs/>
                <w:sz w:val="24"/>
                <w:lang w:eastAsia="de-DE"/>
              </w:rPr>
            </w:pPr>
          </w:p>
          <w:p w14:paraId="3E910094"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Az 575/2013/EU rendelet harmadik része II. címének 2. fejezete szerint kockázattal súlyozott államháztartással szembeni kitettségek, ideértve azokat a nem kereskedési könyvi kitettségeket is, amelyek említett fejezet szerinti kockázati súlyozása a partnerkockázattal is számol.</w:t>
            </w:r>
          </w:p>
          <w:p w14:paraId="5BCFF4F2"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242D2A5D" w14:textId="77777777" w:rsidTr="00E07FE9">
        <w:tc>
          <w:tcPr>
            <w:tcW w:w="1188" w:type="dxa"/>
          </w:tcPr>
          <w:p w14:paraId="72EFF5CC"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0040</w:t>
            </w:r>
          </w:p>
        </w:tc>
        <w:tc>
          <w:tcPr>
            <w:tcW w:w="8701" w:type="dxa"/>
          </w:tcPr>
          <w:p w14:paraId="7AB57723" w14:textId="77777777" w:rsidR="00BD16F2" w:rsidRPr="002A677E" w:rsidRDefault="00BD16F2" w:rsidP="00E07FE9">
            <w:pPr>
              <w:spacing w:before="0" w:after="0"/>
              <w:ind w:left="33"/>
              <w:rPr>
                <w:b/>
                <w:bCs/>
                <w:sz w:val="24"/>
                <w:u w:val="single"/>
                <w:rFonts w:ascii="Times New Roman" w:hAnsi="Times New Roman"/>
              </w:rPr>
            </w:pPr>
            <w:r>
              <w:rPr>
                <w:b/>
                <w:sz w:val="24"/>
                <w:u w:val="single"/>
                <w:rFonts w:ascii="Times New Roman" w:hAnsi="Times New Roman"/>
              </w:rPr>
              <w:t xml:space="preserve">Központi kormányzatok</w:t>
            </w:r>
          </w:p>
          <w:p w14:paraId="1EA86670" w14:textId="77777777" w:rsidR="00BD16F2" w:rsidRPr="002A677E" w:rsidRDefault="00BD16F2" w:rsidP="00E07FE9">
            <w:pPr>
              <w:spacing w:before="0" w:after="0"/>
              <w:ind w:left="33"/>
              <w:rPr>
                <w:rFonts w:ascii="Times New Roman" w:hAnsi="Times New Roman"/>
                <w:bCs/>
                <w:sz w:val="24"/>
                <w:lang w:eastAsia="de-DE"/>
              </w:rPr>
            </w:pPr>
          </w:p>
          <w:p w14:paraId="3D6E9FBE"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Az államháztartások központi kormányzati alrendszereivel szembeni kitettségek.</w:t>
            </w:r>
            <w:r>
              <w:rPr>
                <w:sz w:val="24"/>
                <w:rFonts w:ascii="Times New Roman" w:hAnsi="Times New Roman"/>
              </w:rPr>
              <w:t xml:space="preserve"> </w:t>
            </w:r>
            <w:r>
              <w:rPr>
                <w:sz w:val="24"/>
                <w:rFonts w:ascii="Times New Roman" w:hAnsi="Times New Roman"/>
              </w:rPr>
              <w:t xml:space="preserve">Ezeket a kitettségeket a C 07.00 tábla útmutatójának értelmében az 575/2013/EU rendelet 112. és 114. cikkének megfelelően a „központi kormányzatok és központi bankok” kitettségi osztályba kell sorolni. Nem alkalmazandók ugyanakkor azok az előírások, amelyek az államháztartással szembeni kitettségek más kitettségi osztályokban történő, helyettesítési hatásokkal járó hitelkockázat-mérséklési technikáknak a kitettségre való alkalmazása miatti átsorolására vonatkoznak.</w:t>
            </w:r>
          </w:p>
          <w:p w14:paraId="57F319AF"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61B3D5FC" w14:textId="77777777" w:rsidTr="00E07FE9">
        <w:tc>
          <w:tcPr>
            <w:tcW w:w="1188" w:type="dxa"/>
          </w:tcPr>
          <w:p w14:paraId="73BEF8D0"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0050</w:t>
            </w:r>
          </w:p>
        </w:tc>
        <w:tc>
          <w:tcPr>
            <w:tcW w:w="8701" w:type="dxa"/>
          </w:tcPr>
          <w:p w14:paraId="005C4B43" w14:textId="77777777" w:rsidR="00BD16F2" w:rsidRPr="002A677E" w:rsidRDefault="00BD16F2" w:rsidP="00E07FE9">
            <w:pPr>
              <w:spacing w:before="0" w:after="0"/>
              <w:ind w:left="33"/>
              <w:rPr>
                <w:b/>
                <w:bCs/>
                <w:sz w:val="24"/>
                <w:u w:val="single"/>
                <w:rFonts w:ascii="Times New Roman" w:hAnsi="Times New Roman"/>
              </w:rPr>
            </w:pPr>
            <w:r>
              <w:rPr>
                <w:b/>
                <w:sz w:val="24"/>
                <w:u w:val="single"/>
                <w:rFonts w:ascii="Times New Roman" w:hAnsi="Times New Roman"/>
              </w:rPr>
              <w:t xml:space="preserve">Regionális kormányzatok vagy helyi hatóságok</w:t>
            </w:r>
          </w:p>
          <w:p w14:paraId="6FBFFB04" w14:textId="77777777" w:rsidR="00BD16F2" w:rsidRPr="002A677E" w:rsidRDefault="00BD16F2" w:rsidP="00E07FE9">
            <w:pPr>
              <w:spacing w:before="0" w:after="0"/>
              <w:ind w:left="33"/>
              <w:rPr>
                <w:rFonts w:ascii="Times New Roman" w:hAnsi="Times New Roman"/>
                <w:bCs/>
                <w:sz w:val="24"/>
                <w:lang w:eastAsia="de-DE"/>
              </w:rPr>
            </w:pPr>
          </w:p>
          <w:p w14:paraId="330DB2B4"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Az államháztartások regionális kormányzati vagy helyi hatósági alrendszereivel szembeni kitettségek.</w:t>
            </w:r>
            <w:r>
              <w:rPr>
                <w:sz w:val="24"/>
                <w:rFonts w:ascii="Times New Roman" w:hAnsi="Times New Roman"/>
              </w:rPr>
              <w:t xml:space="preserve"> </w:t>
            </w:r>
            <w:r>
              <w:rPr>
                <w:sz w:val="24"/>
                <w:rFonts w:ascii="Times New Roman" w:hAnsi="Times New Roman"/>
              </w:rPr>
              <w:t xml:space="preserve">Ezeket a kitettségeket a C 07.00 tábla útmutatójának értelmében az 575/2013/EU rendelet 112. és 115. cikkének megfelelően a „regionális kormányzatok vagy helyi hatóságok” kitettségi osztályba kell sorolni. Nem alkalmazandók ugyanakkor azok az előírások, amelyek az államháztartással szembeni kitettségek más kitettségi osztályokban történő, helyettesítési hatásokkal járó hitelkockázat-mérséklési technikáknak a kitettségre való alkalmazása miatti átsorolására vonatkoznak.</w:t>
            </w:r>
          </w:p>
          <w:p w14:paraId="2F8D7AFC"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2EDA648E" w14:textId="77777777" w:rsidTr="00E07FE9">
        <w:tc>
          <w:tcPr>
            <w:tcW w:w="1188" w:type="dxa"/>
          </w:tcPr>
          <w:p w14:paraId="4B25067A"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0060</w:t>
            </w:r>
          </w:p>
        </w:tc>
        <w:tc>
          <w:tcPr>
            <w:tcW w:w="8701" w:type="dxa"/>
          </w:tcPr>
          <w:p w14:paraId="66765FAB" w14:textId="77777777" w:rsidR="00BD16F2" w:rsidRPr="002A677E" w:rsidRDefault="00BD16F2" w:rsidP="00E07FE9">
            <w:pPr>
              <w:spacing w:before="0" w:after="0"/>
              <w:ind w:left="33"/>
              <w:rPr>
                <w:b/>
                <w:bCs/>
                <w:sz w:val="24"/>
                <w:u w:val="single"/>
                <w:rFonts w:ascii="Times New Roman" w:hAnsi="Times New Roman"/>
              </w:rPr>
            </w:pPr>
            <w:r>
              <w:rPr>
                <w:b/>
                <w:sz w:val="24"/>
                <w:u w:val="single"/>
                <w:rFonts w:ascii="Times New Roman" w:hAnsi="Times New Roman"/>
              </w:rPr>
              <w:t xml:space="preserve">Közszektorbeli intézmények</w:t>
            </w:r>
          </w:p>
          <w:p w14:paraId="66410BCB" w14:textId="77777777" w:rsidR="00BD16F2" w:rsidRPr="002A677E" w:rsidRDefault="00BD16F2" w:rsidP="00E07FE9">
            <w:pPr>
              <w:spacing w:before="0" w:after="0"/>
              <w:ind w:left="33"/>
              <w:rPr>
                <w:rFonts w:ascii="Times New Roman" w:hAnsi="Times New Roman"/>
                <w:bCs/>
                <w:sz w:val="24"/>
                <w:lang w:eastAsia="de-DE"/>
              </w:rPr>
            </w:pPr>
          </w:p>
          <w:p w14:paraId="686E616E"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Az államháztartások közszektorbeli intézményi alrendszerével szembeni kitettségek.</w:t>
            </w:r>
            <w:r>
              <w:rPr>
                <w:sz w:val="24"/>
                <w:rFonts w:ascii="Times New Roman" w:hAnsi="Times New Roman"/>
              </w:rPr>
              <w:t xml:space="preserve"> </w:t>
            </w:r>
            <w:r>
              <w:rPr>
                <w:sz w:val="24"/>
                <w:rFonts w:ascii="Times New Roman" w:hAnsi="Times New Roman"/>
              </w:rPr>
              <w:t xml:space="preserve">Ezeket a kitettségeket a C 07.00 tábla útmutatójának értelmében az 575/2013/EU rendelet 112. és 116. cikkének megfelelően a „közszektorbeli intézmények” kitettségi osztályba kell sorolni. Nem alkalmazandók ugyanakkor azok az előírások, amelyek az államháztartási kitettségek más kitettségi osztályokban történő, helyettesítési hatásokkal járó hitelkockázat-mérséklési technikáknak a kitettségre való alkalmazása miatti átsorolására vonatkoznak.</w:t>
            </w:r>
          </w:p>
          <w:p w14:paraId="6D9CAE5F"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5BEA94BC" w14:textId="77777777" w:rsidTr="00E07FE9">
        <w:tc>
          <w:tcPr>
            <w:tcW w:w="1188" w:type="dxa"/>
          </w:tcPr>
          <w:p w14:paraId="0B5060C0"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0070</w:t>
            </w:r>
          </w:p>
        </w:tc>
        <w:tc>
          <w:tcPr>
            <w:tcW w:w="8701" w:type="dxa"/>
          </w:tcPr>
          <w:p w14:paraId="259C4BF7" w14:textId="77777777" w:rsidR="00BD16F2" w:rsidRPr="002A677E" w:rsidRDefault="00BD16F2" w:rsidP="00E07FE9">
            <w:pPr>
              <w:spacing w:before="0" w:after="0"/>
              <w:ind w:left="33"/>
              <w:rPr>
                <w:b/>
                <w:bCs/>
                <w:sz w:val="24"/>
                <w:u w:val="single"/>
                <w:rFonts w:ascii="Times New Roman" w:hAnsi="Times New Roman"/>
              </w:rPr>
            </w:pPr>
            <w:r>
              <w:rPr>
                <w:b/>
                <w:sz w:val="24"/>
                <w:u w:val="single"/>
                <w:rFonts w:ascii="Times New Roman" w:hAnsi="Times New Roman"/>
              </w:rPr>
              <w:t xml:space="preserve">Nemzetközi szervezetek</w:t>
            </w:r>
          </w:p>
          <w:p w14:paraId="781B0EA1" w14:textId="77777777" w:rsidR="00BD16F2" w:rsidRPr="002A677E" w:rsidRDefault="00BD16F2" w:rsidP="00E07FE9">
            <w:pPr>
              <w:spacing w:before="0" w:after="0"/>
              <w:ind w:left="33"/>
              <w:rPr>
                <w:rFonts w:ascii="Times New Roman" w:hAnsi="Times New Roman"/>
                <w:bCs/>
                <w:sz w:val="24"/>
                <w:lang w:eastAsia="de-DE"/>
              </w:rPr>
            </w:pPr>
          </w:p>
          <w:p w14:paraId="410D36C4"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Az államháztartásokhoz sorolt nemzetközi szervezetekkel szembeni kitettségek.</w:t>
            </w:r>
            <w:r>
              <w:rPr>
                <w:sz w:val="24"/>
                <w:rFonts w:ascii="Times New Roman" w:hAnsi="Times New Roman"/>
              </w:rPr>
              <w:t xml:space="preserve"> </w:t>
            </w:r>
            <w:r>
              <w:rPr>
                <w:sz w:val="24"/>
                <w:rFonts w:ascii="Times New Roman" w:hAnsi="Times New Roman"/>
              </w:rPr>
              <w:t xml:space="preserve">Ezeket a kitettségeket a C 07.00 tábla útmutatójának értelmében az 575/2013/EU rendelet 112. és 118. cikkének megfelelően a „nemzetközi szervezetek” kitettségi osztályba kell sorolni. Nem alkalmazandók ugyanakkor azok az előírások, amelyek az államháztartással szembeni kitettségek más kitettségi osztályokban történő, helyettesítési hatásokkal járó hitelkockázat-mérséklési technikáknak a kitettségre való alkalmazása miatti átsorolására vonatkoznak.</w:t>
            </w:r>
          </w:p>
          <w:p w14:paraId="32FAD5D8"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0865678B" w14:textId="77777777" w:rsidTr="00E07FE9">
        <w:tc>
          <w:tcPr>
            <w:tcW w:w="1188" w:type="dxa"/>
          </w:tcPr>
          <w:p w14:paraId="5158E542"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0075</w:t>
            </w:r>
          </w:p>
        </w:tc>
        <w:tc>
          <w:tcPr>
            <w:tcW w:w="8701" w:type="dxa"/>
          </w:tcPr>
          <w:p w14:paraId="5A600392" w14:textId="77777777" w:rsidR="00BD16F2" w:rsidRPr="002A677E" w:rsidRDefault="00BD16F2" w:rsidP="00E07FE9">
            <w:pPr>
              <w:spacing w:before="0" w:after="0"/>
              <w:ind w:left="33"/>
              <w:rPr>
                <w:b/>
                <w:bCs/>
                <w:sz w:val="24"/>
                <w:u w:val="single"/>
                <w:rFonts w:ascii="Times New Roman" w:hAnsi="Times New Roman"/>
              </w:rPr>
            </w:pPr>
            <w:r>
              <w:rPr>
                <w:b/>
                <w:sz w:val="24"/>
                <w:u w:val="single"/>
                <w:rFonts w:ascii="Times New Roman" w:hAnsi="Times New Roman"/>
              </w:rPr>
              <w:t xml:space="preserve">Államháztartásokkal szembeni egyéb kitettségek a sztenderd módszer szerint</w:t>
            </w:r>
          </w:p>
          <w:p w14:paraId="3075D5C7" w14:textId="77777777" w:rsidR="00BD16F2" w:rsidRPr="002A677E" w:rsidRDefault="00BD16F2" w:rsidP="00E07FE9">
            <w:pPr>
              <w:spacing w:before="0" w:after="0"/>
              <w:ind w:left="33"/>
              <w:rPr>
                <w:rFonts w:ascii="Times New Roman" w:hAnsi="Times New Roman"/>
                <w:bCs/>
                <w:sz w:val="24"/>
                <w:lang w:eastAsia="de-DE"/>
              </w:rPr>
            </w:pPr>
          </w:p>
          <w:p w14:paraId="3396EFB0"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A fenti 0040–0070-es sorban szereplőktől eltérő államháztartással szembeni kitettségek, amelyeket az 575/2013/EU rendelet 112. cikkével összhangban a szavatolótőke-követelmény kiszámítása céljából az SA kitettségi osztályokba kell sorolni.</w:t>
            </w:r>
          </w:p>
          <w:p w14:paraId="4075F5D9"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1B53F043" w14:textId="77777777" w:rsidTr="00E07FE9">
        <w:tc>
          <w:tcPr>
            <w:tcW w:w="1188" w:type="dxa"/>
          </w:tcPr>
          <w:p w14:paraId="3541ED94"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0080</w:t>
            </w:r>
          </w:p>
        </w:tc>
        <w:tc>
          <w:tcPr>
            <w:tcW w:w="8701" w:type="dxa"/>
          </w:tcPr>
          <w:p w14:paraId="3D441571" w14:textId="77777777" w:rsidR="00BD16F2" w:rsidRPr="002A677E" w:rsidRDefault="00BD16F2" w:rsidP="00E07FE9">
            <w:pPr>
              <w:spacing w:before="0" w:after="0"/>
              <w:ind w:left="33"/>
              <w:rPr>
                <w:b/>
                <w:bCs/>
                <w:sz w:val="24"/>
                <w:u w:val="single"/>
                <w:rFonts w:ascii="Times New Roman" w:hAnsi="Times New Roman"/>
              </w:rPr>
            </w:pPr>
            <w:r>
              <w:rPr>
                <w:b/>
                <w:sz w:val="24"/>
                <w:u w:val="single"/>
                <w:rFonts w:ascii="Times New Roman" w:hAnsi="Times New Roman"/>
              </w:rPr>
              <w:t xml:space="preserve">IRB módszer</w:t>
            </w:r>
          </w:p>
          <w:p w14:paraId="77F75F3F" w14:textId="77777777" w:rsidR="00BD16F2" w:rsidRPr="002A677E" w:rsidRDefault="00BD16F2" w:rsidP="00E07FE9">
            <w:pPr>
              <w:spacing w:before="0" w:after="0"/>
              <w:ind w:left="33"/>
              <w:rPr>
                <w:rFonts w:ascii="Times New Roman" w:hAnsi="Times New Roman"/>
                <w:bCs/>
                <w:sz w:val="24"/>
                <w:lang w:eastAsia="de-DE"/>
              </w:rPr>
            </w:pPr>
          </w:p>
          <w:p w14:paraId="680DF3DD"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Az 575/2013/EU rendelet harmadik része II. címének 3. fejezete szerint kockázattal súlyozott államháztartással szembeni kitettségek, ideértve azokat a nem kereskedési könyvi kitettségeket is, amelyek említett fejezet szerinti kockázati súlyozása a partnerkockázattal is számol.</w:t>
            </w:r>
          </w:p>
          <w:p w14:paraId="7A514869"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181223B8" w14:textId="77777777" w:rsidTr="00E07FE9">
        <w:tc>
          <w:tcPr>
            <w:tcW w:w="1188" w:type="dxa"/>
          </w:tcPr>
          <w:p w14:paraId="7E350796"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0090</w:t>
            </w:r>
          </w:p>
        </w:tc>
        <w:tc>
          <w:tcPr>
            <w:tcW w:w="8701" w:type="dxa"/>
          </w:tcPr>
          <w:p w14:paraId="5371101C" w14:textId="77777777" w:rsidR="00BD16F2" w:rsidRPr="002A677E" w:rsidRDefault="00BD16F2" w:rsidP="00E07FE9">
            <w:pPr>
              <w:spacing w:before="0" w:after="0"/>
              <w:ind w:left="33"/>
              <w:rPr>
                <w:b/>
                <w:bCs/>
                <w:sz w:val="24"/>
                <w:u w:val="single"/>
                <w:rFonts w:ascii="Times New Roman" w:hAnsi="Times New Roman"/>
              </w:rPr>
            </w:pPr>
            <w:r>
              <w:rPr>
                <w:b/>
                <w:sz w:val="24"/>
                <w:u w:val="single"/>
                <w:rFonts w:ascii="Times New Roman" w:hAnsi="Times New Roman"/>
              </w:rPr>
              <w:t xml:space="preserve">Központi kormányzatok</w:t>
            </w:r>
          </w:p>
          <w:p w14:paraId="3383DD83" w14:textId="77777777" w:rsidR="00BD16F2" w:rsidRPr="002A677E" w:rsidRDefault="00BD16F2" w:rsidP="00E07FE9">
            <w:pPr>
              <w:spacing w:before="0" w:after="0"/>
              <w:ind w:left="33"/>
              <w:rPr>
                <w:rFonts w:ascii="Times New Roman" w:hAnsi="Times New Roman"/>
                <w:bCs/>
                <w:sz w:val="24"/>
                <w:lang w:eastAsia="de-DE"/>
              </w:rPr>
            </w:pPr>
          </w:p>
          <w:p w14:paraId="64D5AE2C"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Az államháztartások központi kormányzati alrendszereivel szembeni azon kitettségek, amelyeket a C 08.01 és C 08.02 tábla útmutatójának értelmében az 575/2013/EU rendelet 147. cikke (3) bekezdése a) pontjának megfelelően a „központi kormányzatok és központi bankok” kitettségi osztályba kell sorolni. Nem alkalmazandók ugyanakkor azok az előírások, amelyek az államháztartással szembeni kitettségek más kitettségi osztályokban történő, helyettesítési hatásokkal járó hitelkockázat-mérséklési technikáknak a kitettségre való alkalmazása miatti átsorolására vonatkoznak.</w:t>
            </w:r>
          </w:p>
          <w:p w14:paraId="7487C80A"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0EAF83A7" w14:textId="77777777" w:rsidTr="00E07FE9">
        <w:tc>
          <w:tcPr>
            <w:tcW w:w="1188" w:type="dxa"/>
          </w:tcPr>
          <w:p w14:paraId="0AF0F588"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0100</w:t>
            </w:r>
          </w:p>
        </w:tc>
        <w:tc>
          <w:tcPr>
            <w:tcW w:w="8701" w:type="dxa"/>
          </w:tcPr>
          <w:p w14:paraId="590811E9" w14:textId="77777777" w:rsidR="00BD16F2" w:rsidRPr="002A677E" w:rsidRDefault="00BD16F2" w:rsidP="00E07FE9">
            <w:pPr>
              <w:spacing w:before="0" w:after="0"/>
              <w:ind w:left="33"/>
              <w:rPr>
                <w:b/>
                <w:bCs/>
                <w:sz w:val="24"/>
                <w:u w:val="single"/>
                <w:rFonts w:ascii="Times New Roman" w:hAnsi="Times New Roman"/>
              </w:rPr>
            </w:pPr>
            <w:r>
              <w:rPr>
                <w:b/>
                <w:sz w:val="24"/>
                <w:u w:val="single"/>
                <w:rFonts w:ascii="Times New Roman" w:hAnsi="Times New Roman"/>
              </w:rPr>
              <w:t xml:space="preserve">Regionális kormányzatok vagy helyi hatóságok [Központi kormányzatok és központi bankok]</w:t>
            </w:r>
          </w:p>
          <w:p w14:paraId="25A3F7A1" w14:textId="77777777" w:rsidR="00BD16F2" w:rsidRPr="002A677E" w:rsidRDefault="00BD16F2" w:rsidP="00E07FE9">
            <w:pPr>
              <w:spacing w:before="0" w:after="0"/>
              <w:ind w:left="33"/>
              <w:rPr>
                <w:rFonts w:ascii="Times New Roman" w:hAnsi="Times New Roman"/>
                <w:bCs/>
                <w:sz w:val="24"/>
                <w:lang w:eastAsia="de-DE"/>
              </w:rPr>
            </w:pPr>
          </w:p>
          <w:p w14:paraId="1E5FA91E" w14:textId="0BE4C425"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Az államháztartások regionális kormányzati vagy helyi hatósági alrendszereivel szembeni azon kitettségek, amelyeket a C 08.01 és C 08.02 tábla útmutatójának értelmében az 575/2013/EU rendelet 147. cikke (3a) bekezdésének megfelelően a „központi kormányzatok és központi bankok” kitettségi osztályba kell sorolni. Nem alkalmazandók ugyanakkor azok az előírások, amelyek az államháztartással szembeni kitettségek más kitettségi osztályokban történő, helyettesítési hatásokkal járó hitelkockázat-mérséklési technikáknak a kitettségre való alkalmazása miatti átsorolására vonatkoznak.</w:t>
            </w:r>
          </w:p>
          <w:p w14:paraId="56E79E44"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7C485D34" w14:textId="77777777" w:rsidTr="00E07FE9">
        <w:tc>
          <w:tcPr>
            <w:tcW w:w="1188" w:type="dxa"/>
          </w:tcPr>
          <w:p w14:paraId="7E5A5530"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0110</w:t>
            </w:r>
          </w:p>
        </w:tc>
        <w:tc>
          <w:tcPr>
            <w:tcW w:w="8701" w:type="dxa"/>
          </w:tcPr>
          <w:p w14:paraId="6A830321" w14:textId="624574DD" w:rsidR="00BD16F2" w:rsidRPr="002A677E" w:rsidRDefault="00BD16F2" w:rsidP="00E07FE9">
            <w:pPr>
              <w:spacing w:before="0" w:after="0"/>
              <w:ind w:left="33"/>
              <w:rPr>
                <w:b/>
                <w:bCs/>
                <w:sz w:val="24"/>
                <w:u w:val="single"/>
                <w:rFonts w:ascii="Times New Roman" w:hAnsi="Times New Roman"/>
              </w:rPr>
            </w:pPr>
            <w:r>
              <w:rPr>
                <w:b/>
                <w:sz w:val="24"/>
                <w:u w:val="single"/>
                <w:rFonts w:ascii="Times New Roman" w:hAnsi="Times New Roman"/>
              </w:rPr>
              <w:t xml:space="preserve">Regionális kormányzatok vagy helyi hatóságok</w:t>
            </w:r>
            <w:r>
              <w:rPr>
                <w:b/>
                <w:sz w:val="24"/>
                <w:u w:val="single"/>
                <w:rFonts w:ascii="Times New Roman" w:hAnsi="Times New Roman"/>
              </w:rPr>
              <w:t xml:space="preserve"> </w:t>
            </w:r>
          </w:p>
          <w:p w14:paraId="3F1BEA05" w14:textId="77777777" w:rsidR="00BD16F2" w:rsidRPr="002A677E" w:rsidRDefault="00BD16F2" w:rsidP="00E07FE9">
            <w:pPr>
              <w:spacing w:before="0" w:after="0"/>
              <w:ind w:left="33"/>
              <w:rPr>
                <w:rFonts w:ascii="Times New Roman" w:hAnsi="Times New Roman"/>
                <w:bCs/>
                <w:sz w:val="24"/>
                <w:lang w:eastAsia="de-DE"/>
              </w:rPr>
            </w:pPr>
          </w:p>
          <w:p w14:paraId="2CEDA446" w14:textId="14C13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A regionális kormányzatokkal vagy helyi hatóságokkal szembeni azon kitettségek, amelyeket a C 08.01 és C 08.02 tábla útmutatójának értelmében az 575/2013/EU rendelet 147. cikke (2) bekezdése a1) pontja i. alpontjának megfelelően a „regionális kormányzatok és helyi hatóságok” kitettségi osztályba kell sorolni. Nem alkalmazandók ugyanakkor azok az előírások, amelyek az államháztartással szembeni kitettségek más kitettségi osztályokban történő, helyettesítési hatásokkal járó hitelkockázat-mérséklési technikáknak a kitettségre való alkalmazása miatti átsorolására vonatkoznak.</w:t>
            </w:r>
          </w:p>
          <w:p w14:paraId="33C3DED5"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0A29152B" w14:textId="77777777" w:rsidTr="00E07FE9">
        <w:tc>
          <w:tcPr>
            <w:tcW w:w="1188" w:type="dxa"/>
          </w:tcPr>
          <w:p w14:paraId="7F2C8D32"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0120</w:t>
            </w:r>
          </w:p>
        </w:tc>
        <w:tc>
          <w:tcPr>
            <w:tcW w:w="8701" w:type="dxa"/>
          </w:tcPr>
          <w:p w14:paraId="6B31BA5C" w14:textId="77777777" w:rsidR="00BD16F2" w:rsidRPr="002A677E" w:rsidRDefault="00BD16F2" w:rsidP="00E07FE9">
            <w:pPr>
              <w:spacing w:before="0" w:after="0"/>
              <w:ind w:left="33"/>
              <w:rPr>
                <w:b/>
                <w:bCs/>
                <w:sz w:val="24"/>
                <w:u w:val="single"/>
                <w:rFonts w:ascii="Times New Roman" w:hAnsi="Times New Roman"/>
              </w:rPr>
            </w:pPr>
            <w:r>
              <w:rPr>
                <w:b/>
                <w:sz w:val="24"/>
                <w:u w:val="single"/>
                <w:rFonts w:ascii="Times New Roman" w:hAnsi="Times New Roman"/>
              </w:rPr>
              <w:t xml:space="preserve">Közszektorbeli intézmények [Központi kormányzatok és központi bankok]</w:t>
            </w:r>
          </w:p>
          <w:p w14:paraId="6DC75DB8" w14:textId="77777777" w:rsidR="00BD16F2" w:rsidRPr="002A677E" w:rsidRDefault="00BD16F2" w:rsidP="00E07FE9">
            <w:pPr>
              <w:spacing w:before="0" w:after="0"/>
              <w:ind w:left="33"/>
              <w:rPr>
                <w:rFonts w:ascii="Times New Roman" w:hAnsi="Times New Roman"/>
                <w:bCs/>
                <w:sz w:val="24"/>
                <w:lang w:eastAsia="de-DE"/>
              </w:rPr>
            </w:pPr>
          </w:p>
          <w:p w14:paraId="14635741" w14:textId="2A2CB536"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Az államháztartásokhoz sorolt, az 575/2013/EU rendelet 4. cikkének 8. pontja szerinti közszektorbeli intézményekkel szembeni azon kitettségek, amelyeket a C 08.01 és C 08.02 tábla útmutatójának értelmében az említett rendelet 147. cikke (3a) bekezdésének megfelelően a „központi kormányzatok és központi bankok” kitettségi osztályba kell sorolni. Nem alkalmazandók ugyanakkor azok az előírások, amelyek az államháztartással szembeni kitettségek más kitettségi osztályokban történő, helyettesítési hatásokkal járó hitelkockázat-mérséklési technikáknak a kitettségre való alkalmazása miatti átsorolására vonatkoznak.</w:t>
            </w:r>
          </w:p>
          <w:p w14:paraId="42171262"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3E3401D5" w14:textId="77777777" w:rsidTr="00E07FE9">
        <w:tc>
          <w:tcPr>
            <w:tcW w:w="1188" w:type="dxa"/>
          </w:tcPr>
          <w:p w14:paraId="651DC4BF"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0130</w:t>
            </w:r>
          </w:p>
        </w:tc>
        <w:tc>
          <w:tcPr>
            <w:tcW w:w="8701" w:type="dxa"/>
          </w:tcPr>
          <w:p w14:paraId="4211C115" w14:textId="1030AFC3" w:rsidR="00BD16F2" w:rsidRPr="002A677E" w:rsidRDefault="00BD16F2" w:rsidP="00E07FE9">
            <w:pPr>
              <w:spacing w:before="0" w:after="0"/>
              <w:ind w:left="33"/>
              <w:rPr>
                <w:b/>
                <w:bCs/>
                <w:sz w:val="24"/>
                <w:u w:val="single"/>
                <w:rFonts w:ascii="Times New Roman" w:hAnsi="Times New Roman"/>
              </w:rPr>
            </w:pPr>
            <w:r>
              <w:rPr>
                <w:b/>
                <w:sz w:val="24"/>
                <w:u w:val="single"/>
                <w:rFonts w:ascii="Times New Roman" w:hAnsi="Times New Roman"/>
              </w:rPr>
              <w:t xml:space="preserve">Közszektorbeli intézmények</w:t>
            </w:r>
            <w:r>
              <w:rPr>
                <w:b/>
                <w:sz w:val="24"/>
                <w:u w:val="single"/>
                <w:rFonts w:ascii="Times New Roman" w:hAnsi="Times New Roman"/>
              </w:rPr>
              <w:t xml:space="preserve"> </w:t>
            </w:r>
          </w:p>
          <w:p w14:paraId="3E291979" w14:textId="77777777" w:rsidR="00BD16F2" w:rsidRPr="002A677E" w:rsidRDefault="00BD16F2" w:rsidP="00E07FE9">
            <w:pPr>
              <w:spacing w:before="0" w:after="0"/>
              <w:ind w:left="33"/>
              <w:rPr>
                <w:rFonts w:ascii="Times New Roman" w:hAnsi="Times New Roman"/>
                <w:bCs/>
                <w:sz w:val="24"/>
                <w:lang w:eastAsia="de-DE"/>
              </w:rPr>
            </w:pPr>
          </w:p>
          <w:p w14:paraId="49C2FE70" w14:textId="0264C9F0"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Az 575/2013/EU rendelet 4. cikkének 8. pontja szerinti közszektorbeli intézményekkel szembeni azon kitettségek, amelyeket a C 08.01 és C 08.02 tábla útmutatójának értelmében az említett rendelet 147. cikke (2) bekezdése a1) pontja ii. alpontjának megfelelően a „közszektorbeli intézmények” kitettségi osztályba kell sorolni. Nem alkalmazandók ugyanakkor azok az előírások, amelyek az államháztartással szembeni kitettségek más kitettségi osztályokban történő, helyettesítési hatásokkal járó hitelkockázat-mérséklési technikáknak a kitettségre való alkalmazása miatti átsorolására vonatkoznak.</w:t>
            </w:r>
          </w:p>
          <w:p w14:paraId="58A7F377"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288128A9" w14:textId="77777777" w:rsidTr="00E07FE9">
        <w:tc>
          <w:tcPr>
            <w:tcW w:w="1188" w:type="dxa"/>
          </w:tcPr>
          <w:p w14:paraId="6C372DE8" w14:textId="77777777" w:rsidR="00BD16F2" w:rsidRPr="002A677E" w:rsidDel="00C211CB" w:rsidRDefault="00BD16F2" w:rsidP="00E07FE9">
            <w:pPr>
              <w:spacing w:before="0" w:after="0"/>
              <w:ind w:left="33"/>
              <w:rPr>
                <w:bCs/>
                <w:sz w:val="24"/>
                <w:rFonts w:ascii="Times New Roman" w:hAnsi="Times New Roman"/>
              </w:rPr>
            </w:pPr>
            <w:r>
              <w:rPr>
                <w:sz w:val="24"/>
                <w:rFonts w:ascii="Times New Roman" w:hAnsi="Times New Roman"/>
              </w:rPr>
              <w:t xml:space="preserve">0140</w:t>
            </w:r>
          </w:p>
        </w:tc>
        <w:tc>
          <w:tcPr>
            <w:tcW w:w="8701" w:type="dxa"/>
          </w:tcPr>
          <w:p w14:paraId="1BE8FBD8" w14:textId="77777777" w:rsidR="00BD16F2" w:rsidRPr="002A677E" w:rsidRDefault="00BD16F2" w:rsidP="00E07FE9">
            <w:pPr>
              <w:spacing w:before="0" w:after="0"/>
              <w:ind w:left="33"/>
              <w:rPr>
                <w:b/>
                <w:bCs/>
                <w:sz w:val="24"/>
                <w:u w:val="single"/>
                <w:rFonts w:ascii="Times New Roman" w:hAnsi="Times New Roman"/>
              </w:rPr>
            </w:pPr>
            <w:r>
              <w:rPr>
                <w:b/>
                <w:sz w:val="24"/>
                <w:u w:val="single"/>
                <w:rFonts w:ascii="Times New Roman" w:hAnsi="Times New Roman"/>
              </w:rPr>
              <w:t xml:space="preserve">Nemzetközi szervezetek [Központi kormányzatok és központi bankok]</w:t>
            </w:r>
          </w:p>
          <w:p w14:paraId="541249EF" w14:textId="77777777" w:rsidR="00BD16F2" w:rsidRPr="002A677E" w:rsidRDefault="00BD16F2" w:rsidP="00E07FE9">
            <w:pPr>
              <w:spacing w:before="0" w:after="0"/>
              <w:ind w:left="33"/>
              <w:rPr>
                <w:rFonts w:ascii="Times New Roman" w:hAnsi="Times New Roman"/>
                <w:bCs/>
                <w:sz w:val="24"/>
                <w:lang w:eastAsia="de-DE"/>
              </w:rPr>
            </w:pPr>
          </w:p>
          <w:p w14:paraId="5CAB4611"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Az államháztartásokhoz sorolt nemzetközi szervezetekkel szembeni azon kitettségek, amelyeket a C 08.01 és C 08.02 tábla útmutatójának értelmében az 575/2013/EU rendelet 147. cikke (3) bekezdése c) pontjának megfelelően a „központi kormányzatok és központi bankok” kitettségi osztályba kell sorolni. Nem alkalmazandók ugyanakkor azok az előírások, amelyek az államháztartással szembeni kitettségek más kitettségi osztályokban történő, helyettesítési hatásokkal járó hitelkockázat-mérséklési technikáknak a kitettségre való alkalmazása miatti átsorolására vonatkoznak.</w:t>
            </w:r>
          </w:p>
          <w:p w14:paraId="31ABD7C3"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4923F409" w14:textId="77777777" w:rsidTr="00E07FE9">
        <w:tc>
          <w:tcPr>
            <w:tcW w:w="1188" w:type="dxa"/>
          </w:tcPr>
          <w:p w14:paraId="7E01A68B"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0155</w:t>
            </w:r>
          </w:p>
        </w:tc>
        <w:tc>
          <w:tcPr>
            <w:tcW w:w="8701" w:type="dxa"/>
          </w:tcPr>
          <w:p w14:paraId="205F29D2" w14:textId="77777777" w:rsidR="00BD16F2" w:rsidRPr="002A677E" w:rsidRDefault="00BD16F2" w:rsidP="00E07FE9">
            <w:pPr>
              <w:spacing w:before="0" w:after="0"/>
              <w:ind w:left="33"/>
              <w:rPr>
                <w:b/>
                <w:bCs/>
                <w:sz w:val="24"/>
                <w:u w:val="single"/>
                <w:rFonts w:ascii="Times New Roman" w:hAnsi="Times New Roman"/>
              </w:rPr>
            </w:pPr>
            <w:r>
              <w:rPr>
                <w:b/>
                <w:sz w:val="24"/>
                <w:u w:val="single"/>
                <w:rFonts w:ascii="Times New Roman" w:hAnsi="Times New Roman"/>
              </w:rPr>
              <w:t xml:space="preserve">Államháztartásokkal szembeni egyéb kitettségek az IRB módszer szerint</w:t>
            </w:r>
          </w:p>
          <w:p w14:paraId="7DD4128F" w14:textId="77777777" w:rsidR="00BD16F2" w:rsidRPr="002A677E" w:rsidRDefault="00BD16F2" w:rsidP="00E07FE9">
            <w:pPr>
              <w:spacing w:before="0" w:after="0"/>
              <w:ind w:left="33"/>
              <w:rPr>
                <w:rFonts w:ascii="Times New Roman" w:hAnsi="Times New Roman"/>
                <w:bCs/>
                <w:sz w:val="24"/>
                <w:lang w:eastAsia="de-DE"/>
              </w:rPr>
            </w:pPr>
          </w:p>
          <w:p w14:paraId="4BD8FDC5"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A fenti 0090–0140-es sorban szereplőktől eltérő, államháztartásokkal szembeni kitettségek, amelyeket az 575/2013/EU rendelet 147. cikkével összhangban a szavatolótőke-követelmény kiszámítása céljából az IRB kitettségi osztályokba kell sorolni.</w:t>
            </w:r>
          </w:p>
          <w:p w14:paraId="5E8C584A"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131E9AE8" w14:textId="77777777" w:rsidTr="00E07FE9">
        <w:tc>
          <w:tcPr>
            <w:tcW w:w="1188" w:type="dxa"/>
          </w:tcPr>
          <w:p w14:paraId="0355DF5B"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0160</w:t>
            </w:r>
          </w:p>
        </w:tc>
        <w:tc>
          <w:tcPr>
            <w:tcW w:w="8701" w:type="dxa"/>
          </w:tcPr>
          <w:p w14:paraId="1066509F" w14:textId="77777777" w:rsidR="00BD16F2" w:rsidRPr="002A677E" w:rsidRDefault="00BD16F2" w:rsidP="00E07FE9">
            <w:pPr>
              <w:spacing w:before="0" w:after="0"/>
              <w:ind w:left="33"/>
              <w:rPr>
                <w:b/>
                <w:bCs/>
                <w:sz w:val="24"/>
                <w:u w:val="single"/>
                <w:rFonts w:ascii="Times New Roman" w:hAnsi="Times New Roman"/>
              </w:rPr>
            </w:pPr>
            <w:r>
              <w:rPr>
                <w:b/>
                <w:sz w:val="24"/>
                <w:u w:val="single"/>
                <w:rFonts w:ascii="Times New Roman" w:hAnsi="Times New Roman"/>
              </w:rPr>
              <w:t xml:space="preserve">Kitettségek a piaci kockázati módszer alapján</w:t>
            </w:r>
          </w:p>
          <w:p w14:paraId="402F9DD5" w14:textId="77777777" w:rsidR="00BD16F2" w:rsidRPr="002A677E" w:rsidRDefault="00BD16F2" w:rsidP="00E07FE9">
            <w:pPr>
              <w:spacing w:before="0" w:after="0"/>
              <w:ind w:left="33"/>
              <w:rPr>
                <w:rFonts w:ascii="Times New Roman" w:hAnsi="Times New Roman"/>
                <w:bCs/>
                <w:sz w:val="24"/>
                <w:lang w:eastAsia="de-DE"/>
              </w:rPr>
            </w:pPr>
          </w:p>
          <w:p w14:paraId="7DC6C573"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Ez a sor azokat a pozíciókat tartalmazza, amelyekre az 575/2013/EU rendelet harmadik része IV. címében meghatározott alábbi szavatolótőke-követelmények egyikét számítják ki:</w:t>
            </w:r>
          </w:p>
          <w:p w14:paraId="4D91BB25" w14:textId="77777777" w:rsidR="00BD16F2" w:rsidRPr="002A677E" w:rsidRDefault="00BD16F2" w:rsidP="00BD16F2">
            <w:pPr>
              <w:pStyle w:val="ListParagraph"/>
              <w:numPr>
                <w:ilvl w:val="0"/>
                <w:numId w:val="19"/>
              </w:numPr>
              <w:contextualSpacing w:val="0"/>
              <w:rPr>
                <w:bCs/>
                <w:sz w:val="24"/>
                <w:rFonts w:ascii="Times New Roman" w:hAnsi="Times New Roman"/>
              </w:rPr>
            </w:pPr>
            <w:r>
              <w:rPr>
                <w:sz w:val="24"/>
                <w:rFonts w:ascii="Times New Roman" w:hAnsi="Times New Roman"/>
              </w:rPr>
              <w:t xml:space="preserve">pozíciókockázathoz kapcsolódó szavatolótőke-követelmény az 575/2013/EU rendelet 326. cikke szerint;</w:t>
            </w:r>
          </w:p>
          <w:p w14:paraId="6AC569B5" w14:textId="6FA3AEB0" w:rsidR="00BD16F2" w:rsidRPr="000059B8" w:rsidRDefault="00BD16F2" w:rsidP="00BD16F2">
            <w:pPr>
              <w:pStyle w:val="ListParagraph"/>
              <w:numPr>
                <w:ilvl w:val="0"/>
                <w:numId w:val="19"/>
              </w:numPr>
              <w:contextualSpacing w:val="0"/>
            </w:pPr>
            <w:r>
              <w:rPr>
                <w:sz w:val="24"/>
                <w:rFonts w:ascii="Times New Roman" w:hAnsi="Times New Roman"/>
              </w:rPr>
              <w:t xml:space="preserve">egyedi vagy általános kockázathoz kapcsolódó szavatolótőke-követelmény az említett rendelet harmadik része IV. címének 5. fejezete szerint;</w:t>
            </w:r>
          </w:p>
          <w:p w14:paraId="32753AD8" w14:textId="77777777" w:rsidR="00BD16F2" w:rsidRPr="008735B6" w:rsidRDefault="00BD16F2" w:rsidP="00BD16F2">
            <w:pPr>
              <w:pStyle w:val="ListParagraph"/>
              <w:numPr>
                <w:ilvl w:val="0"/>
                <w:numId w:val="19"/>
              </w:numPr>
              <w:contextualSpacing w:val="0"/>
            </w:pPr>
            <w:r>
              <w:rPr>
                <w:sz w:val="24"/>
                <w:rFonts w:ascii="Times New Roman" w:hAnsi="Times New Roman"/>
              </w:rPr>
              <w:t xml:space="preserve">hitelfelár-kockázathoz vagy nemteljesítési kockázathoz kapcsolódó szavatolótőke-követelmény az említett rendelet harmadik része IV. címének 1a. fejezete szerint;</w:t>
            </w:r>
            <w:r>
              <w:rPr>
                <w:sz w:val="24"/>
                <w:rFonts w:ascii="Times New Roman" w:hAnsi="Times New Roman"/>
              </w:rPr>
              <w:t xml:space="preserve"> </w:t>
            </w:r>
          </w:p>
          <w:p w14:paraId="565F2E22" w14:textId="77777777" w:rsidR="00BD16F2" w:rsidRPr="002A677E" w:rsidRDefault="00BD16F2" w:rsidP="00BD16F2">
            <w:pPr>
              <w:pStyle w:val="ListParagraph"/>
              <w:numPr>
                <w:ilvl w:val="0"/>
                <w:numId w:val="19"/>
              </w:numPr>
              <w:contextualSpacing w:val="0"/>
            </w:pPr>
            <w:r>
              <w:rPr>
                <w:sz w:val="24"/>
                <w:rFonts w:ascii="Times New Roman" w:hAnsi="Times New Roman"/>
              </w:rPr>
              <w:t xml:space="preserve">az említett rendelet harmadik része IV. címének 1a. fejezete szerint számított szavatolótőke-követelmény, ha a pozíciót a hitelfelár-kockázat tág kockázatitényező-kategóriájába tartozó vagy az intézmény nemteljesítési kockázatra vonatkozó belső modelljében szereplő kockázati tényezők érintik.</w:t>
            </w:r>
          </w:p>
          <w:p w14:paraId="1C79BB00"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Az 575/2013/EU rendelet 271. cikkének hatálya alá tartozó azon közvetlen kitettségeket, amelyekre partnerkockázati és piaci kockázati szavatolótőke-követelmény egyaránt vonatkozik, a hitelkockázati sorokban (0020–0155) és a piaci kockázati sorban (0160) egyaránt meg kell adni:</w:t>
            </w:r>
            <w:r>
              <w:rPr>
                <w:sz w:val="24"/>
                <w:rFonts w:ascii="Times New Roman" w:hAnsi="Times New Roman"/>
              </w:rPr>
              <w:t xml:space="preserve"> </w:t>
            </w:r>
            <w:r>
              <w:rPr>
                <w:sz w:val="24"/>
                <w:rFonts w:ascii="Times New Roman" w:hAnsi="Times New Roman"/>
              </w:rPr>
              <w:t xml:space="preserve">a partnerkockázatból származó kitettségértéket a hitelkockázati sorokban, míg a piaci kockázatból származó kitettségértéket a piaci kockázati sorban kell jelenteni.</w:t>
            </w:r>
          </w:p>
          <w:p w14:paraId="0507B104"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02CFB1FE" w14:textId="77777777" w:rsidTr="00E07FE9">
        <w:tc>
          <w:tcPr>
            <w:tcW w:w="1188" w:type="dxa"/>
          </w:tcPr>
          <w:p w14:paraId="18296F74"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0170–0230</w:t>
            </w:r>
          </w:p>
        </w:tc>
        <w:tc>
          <w:tcPr>
            <w:tcW w:w="8701" w:type="dxa"/>
          </w:tcPr>
          <w:p w14:paraId="08A57F53" w14:textId="77777777" w:rsidR="00BD16F2" w:rsidRPr="002A677E" w:rsidRDefault="00BD16F2" w:rsidP="00E07FE9">
            <w:pPr>
              <w:spacing w:before="0" w:after="0"/>
              <w:ind w:left="33"/>
              <w:rPr>
                <w:b/>
                <w:bCs/>
                <w:sz w:val="24"/>
                <w:rFonts w:ascii="Times New Roman" w:hAnsi="Times New Roman"/>
              </w:rPr>
            </w:pPr>
            <w:r>
              <w:rPr>
                <w:b/>
                <w:sz w:val="24"/>
                <w:rFonts w:ascii="Times New Roman" w:hAnsi="Times New Roman"/>
              </w:rPr>
              <w:t xml:space="preserve">KITETTSÉGEK HÁTRALÉVŐ FUTAMIDŐ SZERINTI BONTÁSA</w:t>
            </w:r>
          </w:p>
          <w:p w14:paraId="50123FE2" w14:textId="77777777" w:rsidR="00BD16F2" w:rsidRPr="002A677E" w:rsidRDefault="00BD16F2" w:rsidP="00E07FE9">
            <w:pPr>
              <w:spacing w:before="0" w:after="0"/>
              <w:ind w:left="33"/>
              <w:rPr>
                <w:rFonts w:ascii="Times New Roman" w:hAnsi="Times New Roman"/>
                <w:bCs/>
                <w:sz w:val="24"/>
                <w:lang w:eastAsia="de-DE"/>
              </w:rPr>
            </w:pPr>
          </w:p>
          <w:p w14:paraId="6729ABCC"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A hátralévő futamidő az összes pozíció esetében a szerződéses lejárati nap és az adatszolgáltatási vonatkozási időpont közötti napok száma.</w:t>
            </w:r>
          </w:p>
          <w:p w14:paraId="44B0A420" w14:textId="77777777" w:rsidR="00BD16F2" w:rsidRPr="002A677E" w:rsidRDefault="00BD16F2" w:rsidP="00E07FE9">
            <w:pPr>
              <w:spacing w:before="0" w:after="0"/>
              <w:ind w:left="33"/>
              <w:rPr>
                <w:rFonts w:ascii="Times New Roman" w:hAnsi="Times New Roman"/>
                <w:bCs/>
                <w:sz w:val="24"/>
                <w:lang w:eastAsia="de-DE"/>
              </w:rPr>
            </w:pPr>
          </w:p>
          <w:p w14:paraId="4795327F"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Az államháztartásokkal szembeni kitettségeket hátralévő futamidő szerinti bontásban a következő szegmensekbe kell sorolni:</w:t>
            </w:r>
          </w:p>
          <w:p w14:paraId="41BF07EE" w14:textId="77777777" w:rsidR="00BD16F2" w:rsidRPr="002A677E" w:rsidRDefault="00BD16F2" w:rsidP="00E07FE9">
            <w:pPr>
              <w:spacing w:before="0" w:after="0"/>
              <w:ind w:left="33"/>
              <w:rPr>
                <w:rFonts w:ascii="Times New Roman" w:hAnsi="Times New Roman"/>
                <w:bCs/>
                <w:sz w:val="24"/>
                <w:lang w:eastAsia="de-DE"/>
              </w:rPr>
            </w:pPr>
          </w:p>
          <w:p w14:paraId="58A00E79" w14:textId="77777777" w:rsidR="00BD16F2" w:rsidRPr="002A677E" w:rsidRDefault="00BD16F2" w:rsidP="00E07FE9">
            <w:pPr>
              <w:spacing w:before="0" w:after="0"/>
              <w:ind w:left="808" w:hanging="360"/>
              <w:rPr>
                <w:bCs/>
                <w:sz w:val="24"/>
                <w:rFonts w:ascii="Times New Roman" w:hAnsi="Times New Roman"/>
              </w:rPr>
            </w:pPr>
            <w:r>
              <w:rPr>
                <w:sz w:val="24"/>
                <w:rFonts w:ascii="Symbol" w:hAnsi="Symbol"/>
              </w:rPr>
              <w:t xml:space="preserve"></w:t>
            </w:r>
            <w:r>
              <w:rPr>
                <w:sz w:val="24"/>
                <w:rFonts w:ascii="Symbol" w:hAnsi="Symbol"/>
              </w:rPr>
              <w:tab/>
            </w:r>
            <w:r>
              <w:rPr>
                <w:sz w:val="24"/>
                <w:b/>
                <w:rFonts w:ascii="Times New Roman" w:hAnsi="Times New Roman"/>
              </w:rPr>
              <w:t xml:space="preserve">[ 0 – 3 HÓNAP ]</w:t>
            </w:r>
            <w:r>
              <w:rPr>
                <w:sz w:val="24"/>
                <w:rFonts w:ascii="Times New Roman" w:hAnsi="Times New Roman"/>
              </w:rPr>
              <w:t xml:space="preserve"> :</w:t>
            </w:r>
            <w:r>
              <w:rPr>
                <w:sz w:val="24"/>
                <w:rFonts w:ascii="Times New Roman" w:hAnsi="Times New Roman"/>
              </w:rPr>
              <w:t xml:space="preserve"> </w:t>
            </w:r>
            <w:r>
              <w:rPr>
                <w:sz w:val="24"/>
                <w:rFonts w:ascii="Times New Roman" w:hAnsi="Times New Roman"/>
              </w:rPr>
              <w:t xml:space="preserve">90 napnál kevesebb;</w:t>
            </w:r>
          </w:p>
          <w:p w14:paraId="0F583012" w14:textId="77777777" w:rsidR="00BD16F2" w:rsidRPr="002A677E" w:rsidRDefault="00BD16F2" w:rsidP="00E07FE9">
            <w:pPr>
              <w:spacing w:before="0" w:after="0"/>
              <w:ind w:left="808" w:hanging="360"/>
              <w:rPr>
                <w:bCs/>
                <w:sz w:val="24"/>
                <w:rFonts w:ascii="Times New Roman" w:hAnsi="Times New Roman"/>
              </w:rPr>
            </w:pPr>
            <w:r>
              <w:rPr>
                <w:sz w:val="24"/>
                <w:rFonts w:ascii="Symbol" w:hAnsi="Symbol"/>
              </w:rPr>
              <w:t xml:space="preserve"></w:t>
            </w:r>
            <w:r>
              <w:rPr>
                <w:sz w:val="24"/>
                <w:rFonts w:ascii="Symbol" w:hAnsi="Symbol"/>
              </w:rPr>
              <w:tab/>
            </w:r>
            <w:r>
              <w:rPr>
                <w:sz w:val="24"/>
                <w:b/>
                <w:rFonts w:ascii="Times New Roman" w:hAnsi="Times New Roman"/>
              </w:rPr>
              <w:t xml:space="preserve">[ 3 HÓNAP – 1 ÉV ]</w:t>
            </w:r>
            <w:r>
              <w:rPr>
                <w:sz w:val="24"/>
                <w:rFonts w:ascii="Times New Roman" w:hAnsi="Times New Roman"/>
              </w:rPr>
              <w:t xml:space="preserve"> :</w:t>
            </w:r>
            <w:r>
              <w:rPr>
                <w:sz w:val="24"/>
                <w:rFonts w:ascii="Times New Roman" w:hAnsi="Times New Roman"/>
              </w:rPr>
              <w:t xml:space="preserve"> </w:t>
            </w:r>
            <w:r>
              <w:rPr>
                <w:sz w:val="24"/>
                <w:rFonts w:ascii="Times New Roman" w:hAnsi="Times New Roman"/>
              </w:rPr>
              <w:t xml:space="preserve">90 nap vagy több, de 365 napnál kevesebb;</w:t>
            </w:r>
          </w:p>
          <w:p w14:paraId="4538DC89" w14:textId="77777777" w:rsidR="00BD16F2" w:rsidRPr="002A677E" w:rsidRDefault="00BD16F2" w:rsidP="00E07FE9">
            <w:pPr>
              <w:spacing w:before="0" w:after="0"/>
              <w:ind w:left="808" w:hanging="360"/>
              <w:rPr>
                <w:bCs/>
                <w:sz w:val="24"/>
                <w:rFonts w:ascii="Times New Roman" w:hAnsi="Times New Roman"/>
              </w:rPr>
            </w:pPr>
            <w:r>
              <w:rPr>
                <w:sz w:val="24"/>
                <w:rFonts w:ascii="Symbol" w:hAnsi="Symbol"/>
              </w:rPr>
              <w:t xml:space="preserve"></w:t>
            </w:r>
            <w:r>
              <w:rPr>
                <w:sz w:val="24"/>
                <w:rFonts w:ascii="Symbol" w:hAnsi="Symbol"/>
              </w:rPr>
              <w:tab/>
            </w:r>
            <w:r>
              <w:rPr>
                <w:sz w:val="24"/>
                <w:b/>
                <w:rFonts w:ascii="Times New Roman" w:hAnsi="Times New Roman"/>
              </w:rPr>
              <w:t xml:space="preserve">[ 1 ÉV – 2 ÉV ]</w:t>
            </w:r>
            <w:r>
              <w:rPr>
                <w:sz w:val="24"/>
                <w:rFonts w:ascii="Times New Roman" w:hAnsi="Times New Roman"/>
              </w:rPr>
              <w:t xml:space="preserve"> :</w:t>
            </w:r>
            <w:r>
              <w:rPr>
                <w:sz w:val="24"/>
                <w:rFonts w:ascii="Times New Roman" w:hAnsi="Times New Roman"/>
              </w:rPr>
              <w:t xml:space="preserve"> </w:t>
            </w:r>
            <w:r>
              <w:rPr>
                <w:sz w:val="24"/>
                <w:rFonts w:ascii="Times New Roman" w:hAnsi="Times New Roman"/>
              </w:rPr>
              <w:t xml:space="preserve">365 nap vagy több, de 730 napnál kevesebb;</w:t>
            </w:r>
          </w:p>
          <w:p w14:paraId="31713DE0" w14:textId="77777777" w:rsidR="00BD16F2" w:rsidRPr="002A677E" w:rsidRDefault="00BD16F2" w:rsidP="00E07FE9">
            <w:pPr>
              <w:spacing w:before="0" w:after="0"/>
              <w:ind w:left="808" w:hanging="360"/>
              <w:rPr>
                <w:bCs/>
                <w:sz w:val="24"/>
                <w:rFonts w:ascii="Times New Roman" w:hAnsi="Times New Roman"/>
              </w:rPr>
            </w:pPr>
            <w:r>
              <w:rPr>
                <w:sz w:val="24"/>
                <w:rFonts w:ascii="Symbol" w:hAnsi="Symbol"/>
              </w:rPr>
              <w:t xml:space="preserve"></w:t>
            </w:r>
            <w:r>
              <w:rPr>
                <w:sz w:val="24"/>
                <w:rFonts w:ascii="Symbol" w:hAnsi="Symbol"/>
              </w:rPr>
              <w:tab/>
            </w:r>
            <w:r>
              <w:rPr>
                <w:sz w:val="24"/>
                <w:b/>
                <w:rFonts w:ascii="Times New Roman" w:hAnsi="Times New Roman"/>
              </w:rPr>
              <w:t xml:space="preserve">[ 2 ÉV – 3 ÉV ]</w:t>
            </w:r>
            <w:r>
              <w:rPr>
                <w:sz w:val="24"/>
                <w:rFonts w:ascii="Times New Roman" w:hAnsi="Times New Roman"/>
              </w:rPr>
              <w:t xml:space="preserve"> :</w:t>
            </w:r>
            <w:r>
              <w:rPr>
                <w:sz w:val="24"/>
                <w:rFonts w:ascii="Times New Roman" w:hAnsi="Times New Roman"/>
              </w:rPr>
              <w:t xml:space="preserve"> </w:t>
            </w:r>
            <w:r>
              <w:rPr>
                <w:sz w:val="24"/>
                <w:rFonts w:ascii="Times New Roman" w:hAnsi="Times New Roman"/>
              </w:rPr>
              <w:t xml:space="preserve">730 nap vagy több, de 1 095 napnál kevesebb;</w:t>
            </w:r>
          </w:p>
          <w:p w14:paraId="605F8680" w14:textId="77777777" w:rsidR="00BD16F2" w:rsidRPr="002A677E" w:rsidRDefault="00BD16F2" w:rsidP="00E07FE9">
            <w:pPr>
              <w:spacing w:before="0" w:after="0"/>
              <w:ind w:left="808" w:hanging="360"/>
              <w:rPr>
                <w:bCs/>
                <w:sz w:val="24"/>
                <w:rFonts w:ascii="Times New Roman" w:hAnsi="Times New Roman"/>
              </w:rPr>
            </w:pPr>
            <w:r>
              <w:rPr>
                <w:sz w:val="24"/>
                <w:rFonts w:ascii="Symbol" w:hAnsi="Symbol"/>
              </w:rPr>
              <w:t xml:space="preserve"></w:t>
            </w:r>
            <w:r>
              <w:rPr>
                <w:sz w:val="24"/>
                <w:rFonts w:ascii="Symbol" w:hAnsi="Symbol"/>
              </w:rPr>
              <w:tab/>
            </w:r>
            <w:r>
              <w:rPr>
                <w:sz w:val="24"/>
                <w:b/>
                <w:rFonts w:ascii="Times New Roman" w:hAnsi="Times New Roman"/>
              </w:rPr>
              <w:t xml:space="preserve">[ 3 ÉV – 5 ÉV ]</w:t>
            </w:r>
            <w:r>
              <w:rPr>
                <w:sz w:val="24"/>
                <w:rFonts w:ascii="Times New Roman" w:hAnsi="Times New Roman"/>
              </w:rPr>
              <w:t xml:space="preserve"> :</w:t>
            </w:r>
            <w:r>
              <w:rPr>
                <w:sz w:val="24"/>
                <w:rFonts w:ascii="Times New Roman" w:hAnsi="Times New Roman"/>
              </w:rPr>
              <w:t xml:space="preserve"> </w:t>
            </w:r>
            <w:r>
              <w:rPr>
                <w:sz w:val="24"/>
                <w:rFonts w:ascii="Times New Roman" w:hAnsi="Times New Roman"/>
              </w:rPr>
              <w:t xml:space="preserve">1 095 nap vagy több, de 1 825 napnál kevesebb;</w:t>
            </w:r>
          </w:p>
          <w:p w14:paraId="4BB7CB52" w14:textId="77777777" w:rsidR="00BD16F2" w:rsidRPr="002A677E" w:rsidRDefault="00BD16F2" w:rsidP="00E07FE9">
            <w:pPr>
              <w:spacing w:before="0" w:after="0"/>
              <w:ind w:left="808" w:hanging="360"/>
              <w:rPr>
                <w:bCs/>
                <w:sz w:val="24"/>
                <w:rFonts w:ascii="Times New Roman" w:hAnsi="Times New Roman"/>
              </w:rPr>
            </w:pPr>
            <w:r>
              <w:rPr>
                <w:sz w:val="24"/>
                <w:rFonts w:ascii="Symbol" w:hAnsi="Symbol"/>
              </w:rPr>
              <w:t xml:space="preserve"></w:t>
            </w:r>
            <w:r>
              <w:rPr>
                <w:sz w:val="24"/>
                <w:rFonts w:ascii="Symbol" w:hAnsi="Symbol"/>
              </w:rPr>
              <w:tab/>
            </w:r>
            <w:r>
              <w:rPr>
                <w:sz w:val="24"/>
                <w:b/>
                <w:rFonts w:ascii="Times New Roman" w:hAnsi="Times New Roman"/>
              </w:rPr>
              <w:t xml:space="preserve">[ 5 ÉV – 10 ÉV ]</w:t>
            </w:r>
            <w:r>
              <w:rPr>
                <w:sz w:val="24"/>
                <w:rFonts w:ascii="Times New Roman" w:hAnsi="Times New Roman"/>
              </w:rPr>
              <w:t xml:space="preserve"> :</w:t>
            </w:r>
            <w:r>
              <w:rPr>
                <w:sz w:val="24"/>
                <w:rFonts w:ascii="Times New Roman" w:hAnsi="Times New Roman"/>
              </w:rPr>
              <w:t xml:space="preserve"> </w:t>
            </w:r>
            <w:r>
              <w:rPr>
                <w:sz w:val="24"/>
                <w:rFonts w:ascii="Times New Roman" w:hAnsi="Times New Roman"/>
              </w:rPr>
              <w:t xml:space="preserve">1 825 nap vagy több, de 3 650 napnál kevesebb;</w:t>
            </w:r>
          </w:p>
          <w:p w14:paraId="64FFD510" w14:textId="77777777" w:rsidR="00BD16F2" w:rsidRPr="002A677E" w:rsidRDefault="00BD16F2" w:rsidP="00E07FE9">
            <w:pPr>
              <w:spacing w:before="0" w:after="0"/>
              <w:ind w:left="808" w:hanging="360"/>
              <w:rPr>
                <w:bCs/>
                <w:sz w:val="24"/>
                <w:rFonts w:ascii="Times New Roman" w:hAnsi="Times New Roman"/>
              </w:rPr>
            </w:pPr>
            <w:r>
              <w:rPr>
                <w:sz w:val="24"/>
                <w:rFonts w:ascii="Symbol" w:hAnsi="Symbol"/>
              </w:rPr>
              <w:t xml:space="preserve"></w:t>
            </w:r>
            <w:r>
              <w:rPr>
                <w:sz w:val="24"/>
                <w:rFonts w:ascii="Symbol" w:hAnsi="Symbol"/>
              </w:rPr>
              <w:tab/>
            </w:r>
            <w:r>
              <w:rPr>
                <w:sz w:val="24"/>
                <w:b/>
                <w:rFonts w:ascii="Times New Roman" w:hAnsi="Times New Roman"/>
              </w:rPr>
              <w:t xml:space="preserve">[10 ÉV – hosszabb ]</w:t>
            </w:r>
            <w:r>
              <w:rPr>
                <w:sz w:val="24"/>
                <w:rFonts w:ascii="Times New Roman" w:hAnsi="Times New Roman"/>
              </w:rPr>
              <w:t xml:space="preserve"> :</w:t>
            </w:r>
            <w:r>
              <w:rPr>
                <w:sz w:val="24"/>
                <w:rFonts w:ascii="Times New Roman" w:hAnsi="Times New Roman"/>
              </w:rPr>
              <w:t xml:space="preserve"> </w:t>
            </w:r>
            <w:r>
              <w:rPr>
                <w:sz w:val="24"/>
                <w:rFonts w:ascii="Times New Roman" w:hAnsi="Times New Roman"/>
              </w:rPr>
              <w:t xml:space="preserve">3 650 nap vagy több.</w:t>
            </w:r>
          </w:p>
          <w:p w14:paraId="459DC391" w14:textId="77777777" w:rsidR="00BD16F2" w:rsidRPr="002A677E" w:rsidRDefault="00BD16F2" w:rsidP="00E07FE9">
            <w:pPr>
              <w:spacing w:before="0" w:after="0"/>
              <w:ind w:left="808" w:hanging="360"/>
              <w:rPr>
                <w:rFonts w:ascii="Times New Roman" w:hAnsi="Times New Roman"/>
                <w:bCs/>
                <w:sz w:val="24"/>
                <w:lang w:eastAsia="de-DE"/>
              </w:rPr>
            </w:pPr>
          </w:p>
          <w:p w14:paraId="50647C13" w14:textId="77777777" w:rsidR="00BD16F2" w:rsidRPr="002A677E" w:rsidRDefault="00BD16F2" w:rsidP="00E07FE9">
            <w:pPr>
              <w:spacing w:before="0" w:after="0"/>
              <w:rPr>
                <w:bCs/>
                <w:sz w:val="24"/>
                <w:rFonts w:ascii="Times New Roman" w:hAnsi="Times New Roman"/>
              </w:rPr>
            </w:pPr>
            <w:r>
              <w:rPr>
                <w:sz w:val="24"/>
                <w:rFonts w:ascii="Times New Roman" w:hAnsi="Times New Roman"/>
              </w:rPr>
              <w:t xml:space="preserve">Amennyiben a szerződés szerinti lejárati időpont korábbi, mint az adatszolgáltatási vonatkozási időpont (azaz az adatszolgáltatási vonatkozási időpont és a lejárati időpont közötti különbség negatív érték), a kitettséget a [0–3 HÓNAP] kategóriába kell sorolni.</w:t>
            </w:r>
          </w:p>
          <w:p w14:paraId="39F8BC0B" w14:textId="77777777" w:rsidR="00BD16F2" w:rsidRPr="002A677E" w:rsidRDefault="00BD16F2" w:rsidP="00E07FE9">
            <w:pPr>
              <w:spacing w:before="0" w:after="0"/>
              <w:rPr>
                <w:rFonts w:ascii="Times New Roman" w:hAnsi="Times New Roman"/>
                <w:bCs/>
                <w:sz w:val="24"/>
                <w:lang w:eastAsia="de-DE"/>
              </w:rPr>
            </w:pPr>
          </w:p>
          <w:p w14:paraId="1652D55B"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A hátralévő futamidővel nem rendelkező kitettségeket a felmondási idejük vagy a lejáratra vonatkozó egyéb szerződéses utalások alapján kell hozzárendelni a hátralévő futamidő szerinti kategóriához.</w:t>
            </w:r>
            <w:r>
              <w:rPr>
                <w:sz w:val="24"/>
                <w:rFonts w:ascii="Times New Roman" w:hAnsi="Times New Roman"/>
              </w:rPr>
              <w:t xml:space="preserve"> </w:t>
            </w:r>
            <w:r>
              <w:rPr>
                <w:sz w:val="24"/>
                <w:rFonts w:ascii="Times New Roman" w:hAnsi="Times New Roman"/>
              </w:rPr>
              <w:t xml:space="preserve">Ha nincs előre meghatározott felmondási idő vagy a lejáratra vonatkozó egyéb szerződéses utalás, a kitettségeket a [10 ÉV – hosszabb] csoportba kell sorolni.</w:t>
            </w:r>
          </w:p>
        </w:tc>
      </w:tr>
    </w:tbl>
    <w:p w14:paraId="74EC1E02" w14:textId="77777777" w:rsidR="00BD16F2" w:rsidRPr="002A677E" w:rsidRDefault="00BD16F2" w:rsidP="00BD16F2">
      <w:pPr>
        <w:spacing w:after="0"/>
        <w:rPr>
          <w:rStyle w:val="InstructionsTabelleText"/>
          <w:rFonts w:ascii="Times New Roman" w:hAnsi="Times New Roman"/>
          <w:sz w:val="24"/>
        </w:rPr>
      </w:pPr>
    </w:p>
    <w:p w14:paraId="2EAB6BA9" w14:textId="77777777" w:rsidR="00BD16F2" w:rsidRDefault="00BD16F2"/>
    <w:p w14:paraId="2871FFE7" w14:textId="77777777" w:rsidR="00BD16F2" w:rsidRDefault="00BD16F2"/>
    <w:sectPr w:rsidR="00BD16F2">
      <w:headerReference w:type="even" r:id="rId10"/>
      <w:headerReference w:type="default" r:id="rId11"/>
      <w:head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05CCD63" w14:textId="77777777" w:rsidR="00BD16F2" w:rsidRDefault="00BD16F2" w:rsidP="00BD16F2">
      <w:pPr>
        <w:spacing w:before="0" w:after="0"/>
      </w:pPr>
      <w:r>
        <w:separator/>
      </w:r>
    </w:p>
  </w:endnote>
  <w:endnote w:type="continuationSeparator" w:id="0">
    <w:p w14:paraId="3440A2E8" w14:textId="77777777" w:rsidR="00BD16F2" w:rsidRDefault="00BD16F2" w:rsidP="00BD16F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B182513" w14:textId="77777777" w:rsidR="00BD16F2" w:rsidRDefault="00BD16F2" w:rsidP="00BD16F2">
      <w:pPr>
        <w:spacing w:before="0" w:after="0"/>
      </w:pPr>
      <w:r>
        <w:separator/>
      </w:r>
    </w:p>
  </w:footnote>
  <w:footnote w:type="continuationSeparator" w:id="0">
    <w:p w14:paraId="1717FC61" w14:textId="77777777" w:rsidR="00BD16F2" w:rsidRDefault="00BD16F2" w:rsidP="00BD16F2">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69A95A" w14:textId="6AF3BF07" w:rsidR="00BD16F2" w:rsidRDefault="00BD16F2">
    <w:pPr>
      <w:pStyle w:val="Header"/>
    </w:pPr>
    <w:r>
      <mc:AlternateContent>
        <mc:Choice Requires="wps">
          <w:drawing>
            <wp:anchor distT="0" distB="0" distL="0" distR="0" simplePos="0" relativeHeight="251659264" behindDoc="0" locked="0" layoutInCell="1" allowOverlap="1" wp14:anchorId="23F45FF0" wp14:editId="4B2C6ABA">
              <wp:simplePos x="635" y="635"/>
              <wp:positionH relativeFrom="page">
                <wp:align>left</wp:align>
              </wp:positionH>
              <wp:positionV relativeFrom="page">
                <wp:align>top</wp:align>
              </wp:positionV>
              <wp:extent cx="443865" cy="443865"/>
              <wp:effectExtent l="0" t="0" r="3175" b="4445"/>
              <wp:wrapNone/>
              <wp:docPr id="443840396" name="Text Box 2" descr="EBH – szokásos felhasználásra">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7C787B2" w14:textId="1CAD9F84" w:rsidR="00BD16F2" w:rsidRPr="00BD16F2" w:rsidRDefault="00BD16F2" w:rsidP="00BD16F2">
                          <w:pPr>
                            <w:spacing w:after="0"/>
                            <w:rPr>
                              <w:noProof/>
                              <w:color w:val="000000"/>
                              <w:sz w:val="24"/>
                              <w:rFonts w:ascii="Calibri" w:eastAsia="Calibri" w:hAnsi="Calibri" w:cs="Calibri"/>
                            </w:rPr>
                          </w:pPr>
                          <w:r>
                            <w:rPr>
                              <w:color w:val="000000"/>
                              <w:sz w:val="24"/>
                              <w:rFonts w:ascii="Calibri" w:hAnsi="Calibri"/>
                            </w:rPr>
                            <w:t xml:space="preserve">EBH – szokásos felhasználásra</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23F45FF0" id="_x0000_t202" coordsize="21600,21600" o:spt="202" path="m,l,21600r21600,l21600,xe">
              <v:stroke joinstyle="miter"/>
              <v:path gradientshapeok="t" o:connecttype="rect"/>
            </v:shapetype>
            <v:shape id="Text Box 2" o:spid="_x0000_s1026" type="#_x0000_t202" alt="Title:  - Description: EBH – szokásos felhasználásra"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57C787B2" w14:textId="1CAD9F84" w:rsidR="00BD16F2" w:rsidRPr="00BD16F2" w:rsidRDefault="00BD16F2" w:rsidP="00BD16F2">
                    <w:pPr>
                      <w:spacing w:after="0"/>
                      <w:rPr>
                        <w:noProof/>
                        <w:color w:val="000000"/>
                        <w:sz w:val="24"/>
                        <w:rFonts w:ascii="Calibri" w:eastAsia="Calibri" w:hAnsi="Calibri" w:cs="Calibri"/>
                      </w:rPr>
                    </w:pPr>
                    <w:r>
                      <w:rPr>
                        <w:color w:val="000000"/>
                        <w:sz w:val="24"/>
                        <w:rFonts w:ascii="Calibri" w:hAnsi="Calibri"/>
                      </w:rPr>
                      <w:t xml:space="preserve">EBH – szokásos felhasználásra</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6B9F67" w14:textId="6AACFABF" w:rsidR="00BD16F2" w:rsidRDefault="00BD16F2">
    <w:pPr>
      <w:pStyle w:val="Header"/>
    </w:pPr>
    <w:r>
      <mc:AlternateContent>
        <mc:Choice Requires="wps">
          <w:drawing>
            <wp:anchor distT="0" distB="0" distL="0" distR="0" simplePos="0" relativeHeight="251660288" behindDoc="0" locked="0" layoutInCell="1" allowOverlap="1" wp14:anchorId="091C5592" wp14:editId="3DFB3BCB">
              <wp:simplePos x="914400" y="447675"/>
              <wp:positionH relativeFrom="page">
                <wp:align>left</wp:align>
              </wp:positionH>
              <wp:positionV relativeFrom="page">
                <wp:align>top</wp:align>
              </wp:positionV>
              <wp:extent cx="443865" cy="443865"/>
              <wp:effectExtent l="0" t="0" r="3175" b="4445"/>
              <wp:wrapNone/>
              <wp:docPr id="1766617029" name="Text Box 3" descr="EBH – szokásos felhasználásra">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CE23C26" w14:textId="6E2A5638" w:rsidR="00BD16F2" w:rsidRPr="00BD16F2" w:rsidRDefault="00BD16F2" w:rsidP="00BD16F2">
                          <w:pPr>
                            <w:spacing w:after="0"/>
                            <w:rPr>
                              <w:noProof/>
                              <w:color w:val="000000"/>
                              <w:sz w:val="24"/>
                              <w:rFonts w:ascii="Calibri" w:eastAsia="Calibri" w:hAnsi="Calibri" w:cs="Calibri"/>
                            </w:rPr>
                          </w:pPr>
                          <w:r>
                            <w:rPr>
                              <w:color w:val="000000"/>
                              <w:sz w:val="24"/>
                              <w:rFonts w:ascii="Calibri" w:hAnsi="Calibri"/>
                            </w:rPr>
                            <w:t xml:space="preserve">EBH – szokásos felhasználásra</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91C5592" id="_x0000_t202" coordsize="21600,21600" o:spt="202" path="m,l,21600r21600,l21600,xe">
              <v:stroke joinstyle="miter"/>
              <v:path gradientshapeok="t" o:connecttype="rect"/>
            </v:shapetype>
            <v:shape id="Text Box 3" o:spid="_x0000_s1027" type="#_x0000_t202" alt="Title:  - Description: EBH – szokásos felhasználásra"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5CE23C26" w14:textId="6E2A5638" w:rsidR="00BD16F2" w:rsidRPr="00BD16F2" w:rsidRDefault="00BD16F2" w:rsidP="00BD16F2">
                    <w:pPr>
                      <w:spacing w:after="0"/>
                      <w:rPr>
                        <w:noProof/>
                        <w:color w:val="000000"/>
                        <w:sz w:val="24"/>
                        <w:rFonts w:ascii="Calibri" w:eastAsia="Calibri" w:hAnsi="Calibri" w:cs="Calibri"/>
                      </w:rPr>
                    </w:pPr>
                    <w:r>
                      <w:rPr>
                        <w:color w:val="000000"/>
                        <w:sz w:val="24"/>
                        <w:rFonts w:ascii="Calibri" w:hAnsi="Calibri"/>
                      </w:rPr>
                      <w:t xml:space="preserve">EBH – szokásos felhasználásra</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1FBAF6" w14:textId="6E2DFCB8" w:rsidR="00BD16F2" w:rsidRDefault="00BD16F2">
    <w:pPr>
      <w:pStyle w:val="Header"/>
    </w:pPr>
    <w:r>
      <mc:AlternateContent>
        <mc:Choice Requires="wps">
          <w:drawing>
            <wp:anchor distT="0" distB="0" distL="0" distR="0" simplePos="0" relativeHeight="251658240" behindDoc="0" locked="0" layoutInCell="1" allowOverlap="1" wp14:anchorId="75451B99" wp14:editId="1844A30B">
              <wp:simplePos x="635" y="635"/>
              <wp:positionH relativeFrom="page">
                <wp:align>left</wp:align>
              </wp:positionH>
              <wp:positionV relativeFrom="page">
                <wp:align>top</wp:align>
              </wp:positionV>
              <wp:extent cx="443865" cy="443865"/>
              <wp:effectExtent l="0" t="0" r="3175" b="4445"/>
              <wp:wrapNone/>
              <wp:docPr id="318204340" name="Text Box 1" descr="EBH – szokásos felhasználásra">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E3F1759" w14:textId="756F627B" w:rsidR="00BD16F2" w:rsidRPr="00BD16F2" w:rsidRDefault="00BD16F2" w:rsidP="00BD16F2">
                          <w:pPr>
                            <w:spacing w:after="0"/>
                            <w:rPr>
                              <w:noProof/>
                              <w:color w:val="000000"/>
                              <w:sz w:val="24"/>
                              <w:rFonts w:ascii="Calibri" w:eastAsia="Calibri" w:hAnsi="Calibri" w:cs="Calibri"/>
                            </w:rPr>
                          </w:pPr>
                          <w:r>
                            <w:rPr>
                              <w:color w:val="000000"/>
                              <w:sz w:val="24"/>
                              <w:rFonts w:ascii="Calibri" w:hAnsi="Calibri"/>
                            </w:rPr>
                            <w:t xml:space="preserve">EBH – szokásos felhasználásra</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75451B99" id="_x0000_t202" coordsize="21600,21600" o:spt="202" path="m,l,21600r21600,l21600,xe">
              <v:stroke joinstyle="miter"/>
              <v:path gradientshapeok="t" o:connecttype="rect"/>
            </v:shapetype>
            <v:shape id="Text Box 1" o:spid="_x0000_s1028" type="#_x0000_t202" alt="Title:  - Description: EBH – szokásos felhasználásra"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1E3F1759" w14:textId="756F627B" w:rsidR="00BD16F2" w:rsidRPr="00BD16F2" w:rsidRDefault="00BD16F2" w:rsidP="00BD16F2">
                    <w:pPr>
                      <w:spacing w:after="0"/>
                      <w:rPr>
                        <w:noProof/>
                        <w:color w:val="000000"/>
                        <w:sz w:val="24"/>
                        <w:rFonts w:ascii="Calibri" w:eastAsia="Calibri" w:hAnsi="Calibri" w:cs="Calibri"/>
                      </w:rPr>
                    </w:pPr>
                    <w:r>
                      <w:rPr>
                        <w:color w:val="000000"/>
                        <w:sz w:val="24"/>
                        <w:rFonts w:ascii="Calibri" w:hAnsi="Calibri"/>
                      </w:rPr>
                      <w:t xml:space="preserve">EBH – szokásos felhasználásra</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5"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6"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8"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9"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0"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2"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EB95802"/>
    <w:multiLevelType w:val="multilevel"/>
    <w:tmpl w:val="0407001D"/>
    <w:styleLink w:val="Formatvorlage3"/>
    <w:lvl w:ilvl="0">
      <w:start w:val="1"/>
      <w:numFmt w:val="none"/>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5"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6"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18"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19"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1"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2"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23"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4"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6"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4FC3CAD"/>
    <w:multiLevelType w:val="hybridMultilevel"/>
    <w:tmpl w:val="9508F1A0"/>
    <w:lvl w:ilvl="0" w:tplc="F96AEA86">
      <w:start w:val="1"/>
      <w:numFmt w:val="bullet"/>
      <w:lvlText w:val="-"/>
      <w:lvlJc w:val="left"/>
      <w:pPr>
        <w:ind w:left="360" w:hanging="360"/>
      </w:pPr>
      <w:rPr>
        <w:rFonts w:ascii="Verdana" w:eastAsia="Times New Roman" w:hAnsi="Verdana"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1505776359">
    <w:abstractNumId w:val="3"/>
  </w:num>
  <w:num w:numId="2" w16cid:durableId="1733112609">
    <w:abstractNumId w:val="18"/>
  </w:num>
  <w:num w:numId="3" w16cid:durableId="286200695">
    <w:abstractNumId w:val="26"/>
  </w:num>
  <w:num w:numId="4" w16cid:durableId="487287975">
    <w:abstractNumId w:val="13"/>
  </w:num>
  <w:num w:numId="5" w16cid:durableId="1754350949">
    <w:abstractNumId w:val="21"/>
  </w:num>
  <w:num w:numId="6" w16cid:durableId="1507597667">
    <w:abstractNumId w:val="11"/>
  </w:num>
  <w:num w:numId="7" w16cid:durableId="139271283">
    <w:abstractNumId w:val="25"/>
  </w:num>
  <w:num w:numId="8" w16cid:durableId="763764270">
    <w:abstractNumId w:val="5"/>
  </w:num>
  <w:num w:numId="9" w16cid:durableId="1561986968">
    <w:abstractNumId w:val="19"/>
  </w:num>
  <w:num w:numId="10" w16cid:durableId="1349260748">
    <w:abstractNumId w:val="9"/>
  </w:num>
  <w:num w:numId="11" w16cid:durableId="1097991330">
    <w:abstractNumId w:val="15"/>
  </w:num>
  <w:num w:numId="12" w16cid:durableId="858469680">
    <w:abstractNumId w:val="6"/>
  </w:num>
  <w:num w:numId="13" w16cid:durableId="1485394352">
    <w:abstractNumId w:val="20"/>
  </w:num>
  <w:num w:numId="14" w16cid:durableId="881021889">
    <w:abstractNumId w:val="17"/>
  </w:num>
  <w:num w:numId="15" w16cid:durableId="1923681300">
    <w:abstractNumId w:val="8"/>
  </w:num>
  <w:num w:numId="16" w16cid:durableId="211188018">
    <w:abstractNumId w:val="14"/>
  </w:num>
  <w:num w:numId="17" w16cid:durableId="1615165847">
    <w:abstractNumId w:val="22"/>
  </w:num>
  <w:num w:numId="18" w16cid:durableId="429467310">
    <w:abstractNumId w:val="4"/>
  </w:num>
  <w:num w:numId="19" w16cid:durableId="1418819944">
    <w:abstractNumId w:val="27"/>
  </w:num>
  <w:num w:numId="20" w16cid:durableId="1079792157">
    <w:abstractNumId w:val="12"/>
  </w:num>
  <w:num w:numId="21" w16cid:durableId="1333265662">
    <w:abstractNumId w:val="2"/>
  </w:num>
  <w:num w:numId="22" w16cid:durableId="737484550">
    <w:abstractNumId w:val="10"/>
  </w:num>
  <w:num w:numId="23" w16cid:durableId="309210531">
    <w:abstractNumId w:val="24"/>
  </w:num>
  <w:num w:numId="24" w16cid:durableId="166527561">
    <w:abstractNumId w:val="1"/>
  </w:num>
  <w:num w:numId="25" w16cid:durableId="1544101633">
    <w:abstractNumId w:val="23"/>
  </w:num>
  <w:num w:numId="26" w16cid:durableId="44380249">
    <w:abstractNumId w:val="16"/>
  </w:num>
  <w:num w:numId="27" w16cid:durableId="1838038624">
    <w:abstractNumId w:val="0"/>
  </w:num>
  <w:num w:numId="28" w16cid:durableId="1856265522">
    <w:abstractNumId w:val="7"/>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BD16F2"/>
    <w:rsid w:val="00017443"/>
    <w:rsid w:val="00023C1E"/>
    <w:rsid w:val="004E7B6F"/>
    <w:rsid w:val="00631623"/>
    <w:rsid w:val="00701E4C"/>
    <w:rsid w:val="00816CE5"/>
    <w:rsid w:val="00855551"/>
    <w:rsid w:val="00A6002C"/>
    <w:rsid w:val="00B71F25"/>
    <w:rsid w:val="00BD16F2"/>
    <w:rsid w:val="00E96819"/>
    <w:rsid w:val="00EC5F08"/>
    <w:rsid w:val="00ED4C8C"/>
    <w:rsid w:val="00EE5719"/>
    <w:rsid w:val="00EE75F2"/>
    <w:rsid w:val="00EF07A1"/>
    <w:rsid w:val="00F10B9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2FF09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hu-H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D16F2"/>
    <w:pPr>
      <w:spacing w:before="120" w:after="120" w:line="240" w:lineRule="auto"/>
      <w:jc w:val="both"/>
    </w:pPr>
    <w:rPr>
      <w:rFonts w:ascii="Verdana" w:eastAsia="Times New Roman" w:hAnsi="Verdana" w:cs="Times New Roman"/>
      <w:kern w:val="0"/>
      <w:sz w:val="20"/>
      <w:szCs w:val="24"/>
      <w14:ligatures w14:val="none"/>
    </w:rPr>
  </w:style>
  <w:style w:type="paragraph" w:styleId="Heading1">
    <w:name w:val="heading 1"/>
    <w:aliases w:val="Cover title white"/>
    <w:basedOn w:val="Normal"/>
    <w:next w:val="Normal"/>
    <w:link w:val="Heading1Char"/>
    <w:qFormat/>
    <w:rsid w:val="00BD16F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9"/>
    <w:unhideWhenUsed/>
    <w:qFormat/>
    <w:rsid w:val="00BD16F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aliases w:val="Title 2"/>
    <w:basedOn w:val="Normal"/>
    <w:next w:val="Normal"/>
    <w:link w:val="Heading3Char"/>
    <w:uiPriority w:val="99"/>
    <w:unhideWhenUsed/>
    <w:qFormat/>
    <w:rsid w:val="00BD16F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9"/>
    <w:unhideWhenUsed/>
    <w:qFormat/>
    <w:rsid w:val="00BD16F2"/>
    <w:pPr>
      <w:keepNext/>
      <w:keepLines/>
      <w:spacing w:before="80" w:after="40"/>
      <w:outlineLvl w:val="3"/>
    </w:pPr>
    <w:rPr>
      <w:rFonts w:eastAsiaTheme="majorEastAsia" w:cstheme="majorBidi"/>
      <w:i/>
      <w:iCs/>
      <w:color w:val="0F4761" w:themeColor="accent1" w:themeShade="BF"/>
    </w:rPr>
  </w:style>
  <w:style w:type="paragraph" w:styleId="Heading5">
    <w:name w:val="heading 5"/>
    <w:aliases w:val="Cover subtitle white"/>
    <w:basedOn w:val="Normal"/>
    <w:next w:val="Normal"/>
    <w:link w:val="Heading5Char"/>
    <w:uiPriority w:val="1"/>
    <w:unhideWhenUsed/>
    <w:qFormat/>
    <w:rsid w:val="00BD16F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nhideWhenUsed/>
    <w:qFormat/>
    <w:rsid w:val="00BD16F2"/>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nhideWhenUsed/>
    <w:qFormat/>
    <w:rsid w:val="00BD16F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nhideWhenUsed/>
    <w:qFormat/>
    <w:rsid w:val="00BD16F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nhideWhenUsed/>
    <w:qFormat/>
    <w:rsid w:val="00BD16F2"/>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rsid w:val="00BD16F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9"/>
    <w:rsid w:val="00BD16F2"/>
    <w:rPr>
      <w:rFonts w:asciiTheme="majorHAnsi" w:eastAsiaTheme="majorEastAsia" w:hAnsiTheme="majorHAnsi" w:cstheme="majorBidi"/>
      <w:color w:val="0F4761" w:themeColor="accent1" w:themeShade="BF"/>
      <w:sz w:val="32"/>
      <w:szCs w:val="32"/>
    </w:rPr>
  </w:style>
  <w:style w:type="character" w:customStyle="1" w:styleId="Heading3Char">
    <w:name w:val="Heading 3 Char"/>
    <w:aliases w:val="Title 2 Char"/>
    <w:basedOn w:val="DefaultParagraphFont"/>
    <w:link w:val="Heading3"/>
    <w:uiPriority w:val="99"/>
    <w:rsid w:val="00BD16F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9"/>
    <w:rsid w:val="00BD16F2"/>
    <w:rPr>
      <w:rFonts w:eastAsiaTheme="majorEastAsia" w:cstheme="majorBidi"/>
      <w:i/>
      <w:iCs/>
      <w:color w:val="0F4761" w:themeColor="accent1" w:themeShade="BF"/>
    </w:rPr>
  </w:style>
  <w:style w:type="character" w:customStyle="1" w:styleId="Heading5Char">
    <w:name w:val="Heading 5 Char"/>
    <w:aliases w:val="Cover subtitle white Char"/>
    <w:basedOn w:val="DefaultParagraphFont"/>
    <w:link w:val="Heading5"/>
    <w:uiPriority w:val="1"/>
    <w:rsid w:val="00BD16F2"/>
    <w:rPr>
      <w:rFonts w:eastAsiaTheme="majorEastAsia" w:cstheme="majorBidi"/>
      <w:color w:val="0F4761" w:themeColor="accent1" w:themeShade="BF"/>
    </w:rPr>
  </w:style>
  <w:style w:type="character" w:customStyle="1" w:styleId="Heading6Char">
    <w:name w:val="Heading 6 Char"/>
    <w:basedOn w:val="DefaultParagraphFont"/>
    <w:link w:val="Heading6"/>
    <w:semiHidden/>
    <w:rsid w:val="00BD16F2"/>
    <w:rPr>
      <w:rFonts w:eastAsiaTheme="majorEastAsia" w:cstheme="majorBidi"/>
      <w:i/>
      <w:iCs/>
      <w:color w:val="595959" w:themeColor="text1" w:themeTint="A6"/>
    </w:rPr>
  </w:style>
  <w:style w:type="character" w:customStyle="1" w:styleId="Heading7Char">
    <w:name w:val="Heading 7 Char"/>
    <w:basedOn w:val="DefaultParagraphFont"/>
    <w:link w:val="Heading7"/>
    <w:semiHidden/>
    <w:rsid w:val="00BD16F2"/>
    <w:rPr>
      <w:rFonts w:eastAsiaTheme="majorEastAsia" w:cstheme="majorBidi"/>
      <w:color w:val="595959" w:themeColor="text1" w:themeTint="A6"/>
    </w:rPr>
  </w:style>
  <w:style w:type="character" w:customStyle="1" w:styleId="Heading8Char">
    <w:name w:val="Heading 8 Char"/>
    <w:basedOn w:val="DefaultParagraphFont"/>
    <w:link w:val="Heading8"/>
    <w:semiHidden/>
    <w:rsid w:val="00BD16F2"/>
    <w:rPr>
      <w:rFonts w:eastAsiaTheme="majorEastAsia" w:cstheme="majorBidi"/>
      <w:i/>
      <w:iCs/>
      <w:color w:val="272727" w:themeColor="text1" w:themeTint="D8"/>
    </w:rPr>
  </w:style>
  <w:style w:type="character" w:customStyle="1" w:styleId="Heading9Char">
    <w:name w:val="Heading 9 Char"/>
    <w:basedOn w:val="DefaultParagraphFont"/>
    <w:link w:val="Heading9"/>
    <w:semiHidden/>
    <w:rsid w:val="00BD16F2"/>
    <w:rPr>
      <w:rFonts w:eastAsiaTheme="majorEastAsia" w:cstheme="majorBidi"/>
      <w:color w:val="272727" w:themeColor="text1" w:themeTint="D8"/>
    </w:rPr>
  </w:style>
  <w:style w:type="paragraph" w:styleId="Title">
    <w:name w:val="Title"/>
    <w:basedOn w:val="Normal"/>
    <w:next w:val="Normal"/>
    <w:link w:val="TitleChar"/>
    <w:qFormat/>
    <w:rsid w:val="00BD16F2"/>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BD16F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D16F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D16F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D16F2"/>
    <w:pPr>
      <w:spacing w:before="160"/>
      <w:jc w:val="center"/>
    </w:pPr>
    <w:rPr>
      <w:i/>
      <w:iCs/>
      <w:color w:val="404040" w:themeColor="text1" w:themeTint="BF"/>
    </w:rPr>
  </w:style>
  <w:style w:type="character" w:customStyle="1" w:styleId="QuoteChar">
    <w:name w:val="Quote Char"/>
    <w:basedOn w:val="DefaultParagraphFont"/>
    <w:link w:val="Quote"/>
    <w:uiPriority w:val="29"/>
    <w:rsid w:val="00BD16F2"/>
    <w:rPr>
      <w:i/>
      <w:iCs/>
      <w:color w:val="404040" w:themeColor="text1" w:themeTint="BF"/>
    </w:rPr>
  </w:style>
  <w:style w:type="paragraph" w:styleId="ListParagraph">
    <w:name w:val="List Paragraph"/>
    <w:basedOn w:val="Normal"/>
    <w:link w:val="ListParagraphChar"/>
    <w:uiPriority w:val="34"/>
    <w:qFormat/>
    <w:rsid w:val="00BD16F2"/>
    <w:pPr>
      <w:ind w:left="720"/>
      <w:contextualSpacing/>
    </w:pPr>
  </w:style>
  <w:style w:type="character" w:styleId="IntenseEmphasis">
    <w:name w:val="Intense Emphasis"/>
    <w:basedOn w:val="DefaultParagraphFont"/>
    <w:uiPriority w:val="21"/>
    <w:qFormat/>
    <w:rsid w:val="00BD16F2"/>
    <w:rPr>
      <w:i/>
      <w:iCs/>
      <w:color w:val="0F4761" w:themeColor="accent1" w:themeShade="BF"/>
    </w:rPr>
  </w:style>
  <w:style w:type="paragraph" w:styleId="IntenseQuote">
    <w:name w:val="Intense Quote"/>
    <w:basedOn w:val="Normal"/>
    <w:next w:val="Normal"/>
    <w:link w:val="IntenseQuoteChar"/>
    <w:uiPriority w:val="30"/>
    <w:qFormat/>
    <w:rsid w:val="00BD16F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D16F2"/>
    <w:rPr>
      <w:i/>
      <w:iCs/>
      <w:color w:val="0F4761" w:themeColor="accent1" w:themeShade="BF"/>
    </w:rPr>
  </w:style>
  <w:style w:type="character" w:styleId="IntenseReference">
    <w:name w:val="Intense Reference"/>
    <w:basedOn w:val="DefaultParagraphFont"/>
    <w:uiPriority w:val="32"/>
    <w:qFormat/>
    <w:rsid w:val="00BD16F2"/>
    <w:rPr>
      <w:b/>
      <w:bCs/>
      <w:smallCaps/>
      <w:color w:val="0F4761" w:themeColor="accent1" w:themeShade="BF"/>
      <w:spacing w:val="5"/>
    </w:rPr>
  </w:style>
  <w:style w:type="paragraph" w:styleId="TableofFigures">
    <w:name w:val="table of figures"/>
    <w:basedOn w:val="Normal"/>
    <w:next w:val="Normal"/>
    <w:qFormat/>
    <w:rsid w:val="00BD16F2"/>
    <w:pPr>
      <w:ind w:left="440" w:hanging="440"/>
    </w:pPr>
  </w:style>
  <w:style w:type="paragraph" w:customStyle="1" w:styleId="Aufzhlungszeichen1">
    <w:name w:val="Aufzählungszeichen1"/>
    <w:basedOn w:val="Normal"/>
    <w:uiPriority w:val="1"/>
    <w:qFormat/>
    <w:rsid w:val="00BD16F2"/>
    <w:pPr>
      <w:numPr>
        <w:numId w:val="1"/>
      </w:numPr>
      <w:spacing w:line="240" w:lineRule="exact"/>
    </w:pPr>
  </w:style>
  <w:style w:type="paragraph" w:customStyle="1" w:styleId="Aufzhlungszeichen2">
    <w:name w:val="Aufzählungszeichen2"/>
    <w:basedOn w:val="Normal"/>
    <w:uiPriority w:val="1"/>
    <w:qFormat/>
    <w:rsid w:val="00BD16F2"/>
    <w:pPr>
      <w:numPr>
        <w:numId w:val="2"/>
      </w:numPr>
      <w:spacing w:line="240" w:lineRule="exact"/>
    </w:pPr>
  </w:style>
  <w:style w:type="paragraph" w:customStyle="1" w:styleId="Aufzhlungszeichen3">
    <w:name w:val="Aufzählungszeichen3"/>
    <w:basedOn w:val="Normal"/>
    <w:uiPriority w:val="1"/>
    <w:qFormat/>
    <w:rsid w:val="00BD16F2"/>
    <w:pPr>
      <w:numPr>
        <w:numId w:val="3"/>
      </w:numPr>
      <w:spacing w:line="240" w:lineRule="exact"/>
    </w:pPr>
  </w:style>
  <w:style w:type="paragraph" w:customStyle="1" w:styleId="Aufzhlungszeichen4">
    <w:name w:val="Aufzählungszeichen4"/>
    <w:basedOn w:val="Normal"/>
    <w:uiPriority w:val="1"/>
    <w:qFormat/>
    <w:rsid w:val="00BD16F2"/>
    <w:pPr>
      <w:numPr>
        <w:numId w:val="4"/>
      </w:numPr>
      <w:spacing w:line="240" w:lineRule="exact"/>
    </w:pPr>
  </w:style>
  <w:style w:type="paragraph" w:styleId="FootnoteText">
    <w:name w:val="footnote text"/>
    <w:basedOn w:val="Normal"/>
    <w:link w:val="FootnoteTextChar"/>
    <w:qFormat/>
    <w:rsid w:val="00BD16F2"/>
    <w:pPr>
      <w:spacing w:line="180" w:lineRule="exact"/>
      <w:ind w:left="142" w:hanging="142"/>
    </w:pPr>
    <w:rPr>
      <w:rFonts w:ascii="Arial" w:eastAsia="Arial" w:hAnsi="Arial"/>
      <w:sz w:val="16"/>
      <w:szCs w:val="16"/>
      <w:lang w:val="hu-HU" w:eastAsia="de-DE"/>
    </w:rPr>
  </w:style>
  <w:style w:type="character" w:customStyle="1" w:styleId="FootnoteTextChar">
    <w:name w:val="Footnote Text Char"/>
    <w:basedOn w:val="DefaultParagraphFont"/>
    <w:link w:val="FootnoteText"/>
    <w:rsid w:val="00BD16F2"/>
    <w:rPr>
      <w:rFonts w:ascii="Arial" w:eastAsia="Arial" w:hAnsi="Arial" w:cs="Times New Roman"/>
      <w:kern w:val="0"/>
      <w:sz w:val="16"/>
      <w:szCs w:val="16"/>
      <w:lang w:val="hu-HU" w:eastAsia="de-DE"/>
      <w14:ligatures w14:val="non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BD16F2"/>
    <w:rPr>
      <w:rFonts w:ascii="Arial" w:hAnsi="Arial" w:cs="Times New Roman"/>
      <w:kern w:val="0"/>
      <w:position w:val="4"/>
      <w:sz w:val="12"/>
      <w:szCs w:val="12"/>
      <w:vertAlign w:val="baseline"/>
    </w:rPr>
  </w:style>
  <w:style w:type="paragraph" w:styleId="Footer">
    <w:name w:val="footer"/>
    <w:basedOn w:val="Normal"/>
    <w:link w:val="FooterChar"/>
    <w:uiPriority w:val="99"/>
    <w:rsid w:val="00BD16F2"/>
    <w:pPr>
      <w:tabs>
        <w:tab w:val="center" w:pos="4536"/>
        <w:tab w:val="right" w:pos="9072"/>
      </w:tabs>
    </w:pPr>
    <w:rPr>
      <w:rFonts w:ascii="Arial" w:eastAsia="Arial" w:hAnsi="Arial"/>
      <w:sz w:val="14"/>
      <w:szCs w:val="14"/>
      <w:lang w:val="hu-HU" w:eastAsia="de-DE"/>
    </w:rPr>
  </w:style>
  <w:style w:type="character" w:customStyle="1" w:styleId="FooterChar">
    <w:name w:val="Footer Char"/>
    <w:basedOn w:val="DefaultParagraphFont"/>
    <w:link w:val="Footer"/>
    <w:uiPriority w:val="99"/>
    <w:rsid w:val="00BD16F2"/>
    <w:rPr>
      <w:rFonts w:ascii="Arial" w:eastAsia="Arial" w:hAnsi="Arial" w:cs="Times New Roman"/>
      <w:kern w:val="0"/>
      <w:sz w:val="14"/>
      <w:szCs w:val="14"/>
      <w:lang w:val="hu-HU" w:eastAsia="de-DE"/>
      <w14:ligatures w14:val="none"/>
    </w:rPr>
  </w:style>
  <w:style w:type="paragraph" w:customStyle="1" w:styleId="GliederungmitAufzhlung">
    <w:name w:val="Gliederung mit Aufzählung"/>
    <w:basedOn w:val="Normal"/>
    <w:uiPriority w:val="1"/>
    <w:qFormat/>
    <w:rsid w:val="00BD16F2"/>
    <w:pPr>
      <w:numPr>
        <w:numId w:val="7"/>
      </w:numPr>
      <w:spacing w:line="312" w:lineRule="auto"/>
    </w:pPr>
  </w:style>
  <w:style w:type="paragraph" w:customStyle="1" w:styleId="GliederungmitNummerierung">
    <w:name w:val="Gliederung mit Nummerierung"/>
    <w:basedOn w:val="Normal"/>
    <w:uiPriority w:val="1"/>
    <w:qFormat/>
    <w:rsid w:val="00BD16F2"/>
    <w:pPr>
      <w:numPr>
        <w:numId w:val="8"/>
      </w:numPr>
      <w:spacing w:line="312" w:lineRule="auto"/>
    </w:pPr>
  </w:style>
  <w:style w:type="paragraph" w:customStyle="1" w:styleId="HngEinrckung1">
    <w:name w:val="Häng. Einrückung1"/>
    <w:basedOn w:val="Normal"/>
    <w:uiPriority w:val="1"/>
    <w:qFormat/>
    <w:rsid w:val="00BD16F2"/>
    <w:pPr>
      <w:spacing w:line="312" w:lineRule="auto"/>
      <w:ind w:left="567" w:hanging="567"/>
    </w:pPr>
  </w:style>
  <w:style w:type="paragraph" w:customStyle="1" w:styleId="HngEinrckung2">
    <w:name w:val="Häng. Einrückung2"/>
    <w:basedOn w:val="Normal"/>
    <w:uiPriority w:val="1"/>
    <w:qFormat/>
    <w:rsid w:val="00BD16F2"/>
    <w:pPr>
      <w:spacing w:line="312" w:lineRule="auto"/>
      <w:ind w:left="1134" w:hanging="567"/>
    </w:pPr>
  </w:style>
  <w:style w:type="paragraph" w:customStyle="1" w:styleId="HngEinrckung3">
    <w:name w:val="Häng. Einrückung3"/>
    <w:basedOn w:val="Normal"/>
    <w:uiPriority w:val="1"/>
    <w:qFormat/>
    <w:rsid w:val="00BD16F2"/>
    <w:pPr>
      <w:spacing w:line="312" w:lineRule="auto"/>
      <w:ind w:left="1701" w:hanging="567"/>
    </w:pPr>
  </w:style>
  <w:style w:type="character" w:styleId="Hyperlink">
    <w:name w:val="Hyperlink"/>
    <w:uiPriority w:val="99"/>
    <w:rsid w:val="00BD16F2"/>
    <w:rPr>
      <w:rFonts w:cs="Times New Roman"/>
      <w:color w:val="0000FF"/>
      <w:u w:val="single"/>
    </w:rPr>
  </w:style>
  <w:style w:type="paragraph" w:styleId="Header">
    <w:name w:val="header"/>
    <w:basedOn w:val="Normal"/>
    <w:link w:val="HeaderChar"/>
    <w:uiPriority w:val="99"/>
    <w:rsid w:val="00BD16F2"/>
    <w:pPr>
      <w:tabs>
        <w:tab w:val="center" w:pos="4536"/>
        <w:tab w:val="right" w:pos="9072"/>
      </w:tabs>
    </w:pPr>
    <w:rPr>
      <w:rFonts w:ascii="Arial" w:eastAsia="Arial" w:hAnsi="Arial"/>
      <w:szCs w:val="20"/>
      <w:lang w:val="hu-HU" w:eastAsia="de-DE"/>
    </w:rPr>
  </w:style>
  <w:style w:type="character" w:customStyle="1" w:styleId="HeaderChar">
    <w:name w:val="Header Char"/>
    <w:basedOn w:val="DefaultParagraphFont"/>
    <w:link w:val="Header"/>
    <w:uiPriority w:val="99"/>
    <w:rsid w:val="00BD16F2"/>
    <w:rPr>
      <w:rFonts w:ascii="Arial" w:eastAsia="Arial" w:hAnsi="Arial" w:cs="Times New Roman"/>
      <w:kern w:val="0"/>
      <w:sz w:val="20"/>
      <w:szCs w:val="20"/>
      <w:lang w:val="hu-HU" w:eastAsia="de-DE"/>
      <w14:ligatures w14:val="none"/>
    </w:rPr>
  </w:style>
  <w:style w:type="paragraph" w:customStyle="1" w:styleId="Marginalspalte">
    <w:name w:val="Marginalspalte"/>
    <w:basedOn w:val="Normal"/>
    <w:uiPriority w:val="1"/>
    <w:qFormat/>
    <w:rsid w:val="00BD16F2"/>
    <w:pPr>
      <w:framePr w:w="851" w:h="851" w:hSpace="284" w:wrap="around" w:vAnchor="text" w:hAnchor="page" w:y="1"/>
    </w:pPr>
    <w:rPr>
      <w:i/>
      <w:szCs w:val="22"/>
    </w:rPr>
  </w:style>
  <w:style w:type="paragraph" w:customStyle="1" w:styleId="Nummerierungsart1">
    <w:name w:val="Nummerierungsart1"/>
    <w:basedOn w:val="Normal"/>
    <w:uiPriority w:val="1"/>
    <w:qFormat/>
    <w:rsid w:val="00BD16F2"/>
    <w:pPr>
      <w:numPr>
        <w:numId w:val="9"/>
      </w:numPr>
    </w:pPr>
  </w:style>
  <w:style w:type="paragraph" w:customStyle="1" w:styleId="Nummerierungsart2">
    <w:name w:val="Nummerierungsart2"/>
    <w:basedOn w:val="Normal"/>
    <w:uiPriority w:val="1"/>
    <w:qFormat/>
    <w:rsid w:val="00BD16F2"/>
    <w:pPr>
      <w:numPr>
        <w:numId w:val="10"/>
      </w:numPr>
    </w:pPr>
  </w:style>
  <w:style w:type="paragraph" w:customStyle="1" w:styleId="Nummerierungsart3">
    <w:name w:val="Nummerierungsart3"/>
    <w:basedOn w:val="Normal"/>
    <w:uiPriority w:val="1"/>
    <w:qFormat/>
    <w:rsid w:val="00BD16F2"/>
    <w:pPr>
      <w:numPr>
        <w:numId w:val="11"/>
      </w:numPr>
    </w:pPr>
  </w:style>
  <w:style w:type="paragraph" w:customStyle="1" w:styleId="Nummerierungsart4">
    <w:name w:val="Nummerierungsart4"/>
    <w:basedOn w:val="Normal"/>
    <w:uiPriority w:val="1"/>
    <w:qFormat/>
    <w:rsid w:val="00BD16F2"/>
    <w:pPr>
      <w:numPr>
        <w:numId w:val="12"/>
      </w:numPr>
    </w:pPr>
  </w:style>
  <w:style w:type="character" w:styleId="PageNumber">
    <w:name w:val="page number"/>
    <w:uiPriority w:val="99"/>
    <w:rsid w:val="00BD16F2"/>
    <w:rPr>
      <w:rFonts w:ascii="Arial" w:hAnsi="Arial" w:cs="Times New Roman"/>
      <w:sz w:val="22"/>
    </w:rPr>
  </w:style>
  <w:style w:type="character" w:customStyle="1" w:styleId="Heading3Char1">
    <w:name w:val="Heading 3 Char1"/>
    <w:aliases w:val="Title 2 Char1"/>
    <w:uiPriority w:val="99"/>
    <w:locked/>
    <w:rsid w:val="00BD16F2"/>
    <w:rPr>
      <w:rFonts w:ascii="Arial" w:hAnsi="Arial" w:cs="Times New Roman"/>
      <w:b/>
      <w:sz w:val="20"/>
      <w:szCs w:val="20"/>
      <w:lang w:eastAsia="de-DE"/>
    </w:rPr>
  </w:style>
  <w:style w:type="paragraph" w:styleId="TOC1">
    <w:name w:val="toc 1"/>
    <w:basedOn w:val="Normal"/>
    <w:next w:val="Normal"/>
    <w:autoRedefine/>
    <w:uiPriority w:val="39"/>
    <w:qFormat/>
    <w:rsid w:val="00BD16F2"/>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BD16F2"/>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BD16F2"/>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BD16F2"/>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BD16F2"/>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BD16F2"/>
    <w:pPr>
      <w:tabs>
        <w:tab w:val="left" w:pos="2058"/>
        <w:tab w:val="right" w:leader="dot" w:pos="9071"/>
      </w:tabs>
      <w:ind w:left="1134" w:hanging="1134"/>
    </w:pPr>
    <w:rPr>
      <w:noProof/>
      <w:sz w:val="16"/>
    </w:rPr>
  </w:style>
  <w:style w:type="paragraph" w:styleId="TOC7">
    <w:name w:val="toc 7"/>
    <w:basedOn w:val="Normal"/>
    <w:next w:val="Normal"/>
    <w:autoRedefine/>
    <w:uiPriority w:val="39"/>
    <w:rsid w:val="00BD16F2"/>
    <w:pPr>
      <w:tabs>
        <w:tab w:val="right" w:leader="dot" w:pos="9071"/>
      </w:tabs>
      <w:ind w:left="1134" w:hanging="1134"/>
    </w:pPr>
    <w:rPr>
      <w:sz w:val="16"/>
    </w:rPr>
  </w:style>
  <w:style w:type="paragraph" w:styleId="TOC8">
    <w:name w:val="toc 8"/>
    <w:basedOn w:val="Normal"/>
    <w:next w:val="Normal"/>
    <w:autoRedefine/>
    <w:uiPriority w:val="39"/>
    <w:rsid w:val="00BD16F2"/>
    <w:pPr>
      <w:tabs>
        <w:tab w:val="left" w:pos="2758"/>
        <w:tab w:val="right" w:leader="dot" w:pos="9071"/>
      </w:tabs>
      <w:ind w:left="1361" w:hanging="1361"/>
    </w:pPr>
    <w:rPr>
      <w:noProof/>
      <w:sz w:val="16"/>
    </w:rPr>
  </w:style>
  <w:style w:type="paragraph" w:styleId="TOC9">
    <w:name w:val="toc 9"/>
    <w:basedOn w:val="Normal"/>
    <w:next w:val="Normal"/>
    <w:autoRedefine/>
    <w:uiPriority w:val="39"/>
    <w:rsid w:val="00BD16F2"/>
    <w:pPr>
      <w:tabs>
        <w:tab w:val="right" w:leader="dot" w:pos="9071"/>
      </w:tabs>
      <w:ind w:left="1361" w:hanging="1361"/>
    </w:pPr>
    <w:rPr>
      <w:sz w:val="16"/>
    </w:rPr>
  </w:style>
  <w:style w:type="paragraph" w:styleId="TOCHeading">
    <w:name w:val="TOC Heading"/>
    <w:basedOn w:val="Heading1"/>
    <w:next w:val="Normal"/>
    <w:uiPriority w:val="39"/>
    <w:qFormat/>
    <w:rsid w:val="00BD16F2"/>
    <w:pPr>
      <w:autoSpaceDE w:val="0"/>
      <w:autoSpaceDN w:val="0"/>
      <w:adjustRightInd w:val="0"/>
      <w:spacing w:before="480" w:after="0" w:line="311" w:lineRule="auto"/>
      <w:outlineLvl w:val="9"/>
    </w:pPr>
    <w:rPr>
      <w:rFonts w:ascii="Arial" w:eastAsia="Arial" w:hAnsi="Arial" w:cs="Times New Roman"/>
      <w:b/>
      <w:bCs/>
      <w:color w:val="4B67A3"/>
      <w:sz w:val="20"/>
      <w:szCs w:val="28"/>
      <w:u w:val="single"/>
      <w:lang w:eastAsia="x-none"/>
    </w:rPr>
  </w:style>
  <w:style w:type="paragraph" w:styleId="EndnoteText">
    <w:name w:val="endnote text"/>
    <w:basedOn w:val="Normal"/>
    <w:link w:val="EndnoteTextChar"/>
    <w:uiPriority w:val="1"/>
    <w:rsid w:val="00BD16F2"/>
    <w:pPr>
      <w:spacing w:line="180" w:lineRule="exact"/>
      <w:ind w:left="142" w:hanging="142"/>
    </w:pPr>
    <w:rPr>
      <w:rFonts w:ascii="Arial" w:eastAsia="Arial" w:hAnsi="Arial"/>
      <w:szCs w:val="20"/>
      <w:lang w:val="hu-HU" w:eastAsia="de-DE"/>
    </w:rPr>
  </w:style>
  <w:style w:type="character" w:customStyle="1" w:styleId="EndnoteTextChar">
    <w:name w:val="Endnote Text Char"/>
    <w:basedOn w:val="DefaultParagraphFont"/>
    <w:link w:val="EndnoteText"/>
    <w:uiPriority w:val="1"/>
    <w:rsid w:val="00BD16F2"/>
    <w:rPr>
      <w:rFonts w:ascii="Arial" w:eastAsia="Arial" w:hAnsi="Arial" w:cs="Times New Roman"/>
      <w:kern w:val="0"/>
      <w:sz w:val="20"/>
      <w:szCs w:val="20"/>
      <w:lang w:val="hu-HU" w:eastAsia="de-DE"/>
      <w14:ligatures w14:val="none"/>
    </w:rPr>
  </w:style>
  <w:style w:type="character" w:styleId="EndnoteReference">
    <w:name w:val="endnote reference"/>
    <w:uiPriority w:val="1"/>
    <w:rsid w:val="00BD16F2"/>
    <w:rPr>
      <w:rFonts w:ascii="Arial" w:hAnsi="Arial" w:cs="Times New Roman"/>
      <w:color w:val="auto"/>
      <w:position w:val="4"/>
      <w:sz w:val="12"/>
      <w:vertAlign w:val="baseline"/>
    </w:rPr>
  </w:style>
  <w:style w:type="paragraph" w:customStyle="1" w:styleId="Ballontekst">
    <w:name w:val="Ballontekst"/>
    <w:basedOn w:val="Normal"/>
    <w:uiPriority w:val="99"/>
    <w:semiHidden/>
    <w:rsid w:val="00BD16F2"/>
    <w:rPr>
      <w:rFonts w:ascii="Tahoma" w:hAnsi="Tahoma" w:cs="Tahoma"/>
      <w:sz w:val="16"/>
      <w:szCs w:val="16"/>
    </w:rPr>
  </w:style>
  <w:style w:type="character" w:styleId="CommentReference">
    <w:name w:val="annotation reference"/>
    <w:uiPriority w:val="99"/>
    <w:rsid w:val="00BD16F2"/>
    <w:rPr>
      <w:rFonts w:cs="Times New Roman"/>
      <w:sz w:val="16"/>
      <w:szCs w:val="16"/>
    </w:rPr>
  </w:style>
  <w:style w:type="paragraph" w:styleId="CommentText">
    <w:name w:val="annotation text"/>
    <w:basedOn w:val="Normal"/>
    <w:link w:val="CommentTextChar"/>
    <w:uiPriority w:val="99"/>
    <w:rsid w:val="00BD16F2"/>
    <w:rPr>
      <w:rFonts w:eastAsia="Arial"/>
      <w:szCs w:val="20"/>
      <w:lang w:val="hu-HU" w:eastAsia="x-none"/>
    </w:rPr>
  </w:style>
  <w:style w:type="character" w:customStyle="1" w:styleId="CommentTextChar">
    <w:name w:val="Comment Text Char"/>
    <w:basedOn w:val="DefaultParagraphFont"/>
    <w:link w:val="CommentText"/>
    <w:uiPriority w:val="99"/>
    <w:rsid w:val="00BD16F2"/>
    <w:rPr>
      <w:rFonts w:ascii="Verdana" w:eastAsia="Arial" w:hAnsi="Verdana" w:cs="Times New Roman"/>
      <w:kern w:val="0"/>
      <w:sz w:val="20"/>
      <w:szCs w:val="20"/>
      <w:lang w:val="hu-HU" w:eastAsia="x-none"/>
      <w14:ligatures w14:val="none"/>
    </w:rPr>
  </w:style>
  <w:style w:type="paragraph" w:customStyle="1" w:styleId="Onderwerpvanopmerking">
    <w:name w:val="Onderwerp van opmerking"/>
    <w:basedOn w:val="CommentText"/>
    <w:next w:val="CommentText"/>
    <w:uiPriority w:val="99"/>
    <w:semiHidden/>
    <w:rsid w:val="00BD16F2"/>
    <w:rPr>
      <w:b/>
      <w:bCs/>
    </w:rPr>
  </w:style>
  <w:style w:type="character" w:styleId="FollowedHyperlink">
    <w:name w:val="FollowedHyperlink"/>
    <w:uiPriority w:val="99"/>
    <w:rsid w:val="00BD16F2"/>
    <w:rPr>
      <w:rFonts w:cs="Times New Roman"/>
      <w:color w:val="606420"/>
      <w:u w:val="single"/>
    </w:rPr>
  </w:style>
  <w:style w:type="paragraph" w:styleId="BalloonText">
    <w:name w:val="Balloon Text"/>
    <w:basedOn w:val="Normal"/>
    <w:link w:val="BalloonTextChar"/>
    <w:uiPriority w:val="99"/>
    <w:rsid w:val="00BD16F2"/>
    <w:rPr>
      <w:rFonts w:ascii="Tahoma" w:eastAsia="Arial" w:hAnsi="Tahoma"/>
      <w:sz w:val="16"/>
      <w:szCs w:val="16"/>
      <w:lang w:val="hu-HU" w:eastAsia="x-none"/>
    </w:rPr>
  </w:style>
  <w:style w:type="character" w:customStyle="1" w:styleId="BalloonTextChar">
    <w:name w:val="Balloon Text Char"/>
    <w:basedOn w:val="DefaultParagraphFont"/>
    <w:link w:val="BalloonText"/>
    <w:uiPriority w:val="99"/>
    <w:rsid w:val="00BD16F2"/>
    <w:rPr>
      <w:rFonts w:ascii="Tahoma" w:eastAsia="Arial" w:hAnsi="Tahoma" w:cs="Times New Roman"/>
      <w:kern w:val="0"/>
      <w:sz w:val="16"/>
      <w:szCs w:val="16"/>
      <w:lang w:val="hu-HU" w:eastAsia="x-none"/>
      <w14:ligatures w14:val="none"/>
    </w:rPr>
  </w:style>
  <w:style w:type="paragraph" w:styleId="CommentSubject">
    <w:name w:val="annotation subject"/>
    <w:basedOn w:val="CommentText"/>
    <w:next w:val="CommentText"/>
    <w:link w:val="CommentSubjectChar"/>
    <w:uiPriority w:val="99"/>
    <w:rsid w:val="00BD16F2"/>
    <w:rPr>
      <w:b/>
      <w:bCs/>
    </w:rPr>
  </w:style>
  <w:style w:type="character" w:customStyle="1" w:styleId="CommentSubjectChar">
    <w:name w:val="Comment Subject Char"/>
    <w:basedOn w:val="CommentTextChar"/>
    <w:link w:val="CommentSubject"/>
    <w:uiPriority w:val="99"/>
    <w:rsid w:val="00BD16F2"/>
    <w:rPr>
      <w:rFonts w:ascii="Verdana" w:eastAsia="Arial" w:hAnsi="Verdana" w:cs="Times New Roman"/>
      <w:b/>
      <w:bCs/>
      <w:kern w:val="0"/>
      <w:sz w:val="20"/>
      <w:szCs w:val="20"/>
      <w:lang w:val="hu-HU" w:eastAsia="x-none"/>
      <w14:ligatures w14:val="none"/>
    </w:rPr>
  </w:style>
  <w:style w:type="table" w:styleId="TableGrid">
    <w:name w:val="Table Grid"/>
    <w:aliases w:val="Tabla CUADROS"/>
    <w:basedOn w:val="TableNormal"/>
    <w:uiPriority w:val="59"/>
    <w:rsid w:val="00BD16F2"/>
    <w:pPr>
      <w:spacing w:after="0" w:line="240" w:lineRule="auto"/>
    </w:pPr>
    <w:rPr>
      <w:rFonts w:ascii="Times New Roman" w:eastAsia="Times New Roman" w:hAnsi="Times New Roman" w:cs="Times New Roman"/>
      <w:kern w:val="0"/>
      <w:sz w:val="20"/>
      <w:szCs w:val="20"/>
      <w:lang w:val="hu-HU" w:eastAsia="en-GB" w:bidi="ne-N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BD16F2"/>
    <w:pPr>
      <w:keepLines w:val="0"/>
      <w:spacing w:before="240" w:after="60"/>
      <w:ind w:left="360" w:hanging="360"/>
    </w:pPr>
    <w:rPr>
      <w:rFonts w:eastAsia="Times New Roman" w:cs="Times New Roman"/>
      <w:b/>
      <w:i w:val="0"/>
      <w:color w:val="auto"/>
      <w:szCs w:val="28"/>
      <w:u w:val="single"/>
    </w:rPr>
  </w:style>
  <w:style w:type="character" w:customStyle="1" w:styleId="Formatvorlageberschrift4Char">
    <w:name w:val="Formatvorlage Überschrift 4 Char"/>
    <w:link w:val="Formatvorlageberschrift4"/>
    <w:uiPriority w:val="99"/>
    <w:locked/>
    <w:rsid w:val="00BD16F2"/>
    <w:rPr>
      <w:rFonts w:ascii="Verdana" w:eastAsia="Times New Roman" w:hAnsi="Verdana" w:cs="Times New Roman"/>
      <w:b/>
      <w:iCs/>
      <w:kern w:val="0"/>
      <w:sz w:val="20"/>
      <w:szCs w:val="28"/>
      <w:u w:val="single"/>
      <w14:ligatures w14:val="none"/>
    </w:rPr>
  </w:style>
  <w:style w:type="paragraph" w:customStyle="1" w:styleId="Instructionsberschrift1">
    <w:name w:val="Instructions Überschrift 1"/>
    <w:basedOn w:val="Heading1"/>
    <w:rsid w:val="00BD16F2"/>
    <w:pPr>
      <w:keepLines w:val="0"/>
      <w:tabs>
        <w:tab w:val="num" w:pos="540"/>
      </w:tabs>
      <w:autoSpaceDE w:val="0"/>
      <w:autoSpaceDN w:val="0"/>
      <w:adjustRightInd w:val="0"/>
      <w:spacing w:before="240" w:after="0"/>
      <w:ind w:left="540" w:hanging="540"/>
    </w:pPr>
    <w:rPr>
      <w:rFonts w:ascii="Verdana" w:eastAsia="Arial" w:hAnsi="Verdana" w:cs="Times New Roman"/>
      <w:color w:val="auto"/>
      <w:kern w:val="32"/>
      <w:sz w:val="20"/>
      <w:szCs w:val="20"/>
      <w:u w:val="single"/>
      <w:lang w:eastAsia="x-none"/>
    </w:rPr>
  </w:style>
  <w:style w:type="paragraph" w:customStyle="1" w:styleId="Instructionsberschrift2">
    <w:name w:val="Instructions Überschrift 2"/>
    <w:basedOn w:val="Heading2"/>
    <w:rsid w:val="00BD16F2"/>
    <w:pPr>
      <w:keepLines w:val="0"/>
      <w:numPr>
        <w:numId w:val="13"/>
      </w:numPr>
      <w:spacing w:before="240" w:after="240"/>
    </w:pPr>
    <w:rPr>
      <w:rFonts w:ascii="Verdana" w:eastAsia="Arial" w:hAnsi="Verdana" w:cs="Arial"/>
      <w:color w:val="auto"/>
      <w:sz w:val="20"/>
      <w:szCs w:val="24"/>
      <w:u w:val="single"/>
      <w:lang w:val="hu-HU" w:eastAsia="x-none"/>
    </w:rPr>
  </w:style>
  <w:style w:type="paragraph" w:customStyle="1" w:styleId="Instructionsberschrift3">
    <w:name w:val="Instructions Überschrift 3"/>
    <w:basedOn w:val="Heading3"/>
    <w:link w:val="Instructionsberschrift3Zchn"/>
    <w:rsid w:val="00BD16F2"/>
    <w:pPr>
      <w:keepLines w:val="0"/>
      <w:numPr>
        <w:numId w:val="14"/>
      </w:numPr>
      <w:spacing w:before="240" w:after="60" w:line="360" w:lineRule="auto"/>
    </w:pPr>
    <w:rPr>
      <w:rFonts w:eastAsia="Times New Roman" w:cs="Times New Roman"/>
      <w:b/>
      <w:color w:val="auto"/>
      <w:sz w:val="20"/>
      <w:szCs w:val="26"/>
      <w:u w:val="single"/>
    </w:rPr>
  </w:style>
  <w:style w:type="character" w:customStyle="1" w:styleId="Instructionsberschrift3Zchn">
    <w:name w:val="Instructions Überschrift 3 Zchn"/>
    <w:link w:val="Instructionsberschrift3"/>
    <w:locked/>
    <w:rsid w:val="00BD16F2"/>
    <w:rPr>
      <w:rFonts w:ascii="Verdana" w:eastAsia="Times New Roman" w:hAnsi="Verdana" w:cs="Times New Roman"/>
      <w:b/>
      <w:kern w:val="0"/>
      <w:sz w:val="20"/>
      <w:szCs w:val="26"/>
      <w:u w:val="single"/>
      <w14:ligatures w14:val="none"/>
    </w:rPr>
  </w:style>
  <w:style w:type="paragraph" w:customStyle="1" w:styleId="Instructionsberschrift4">
    <w:name w:val="Instructions Überschrift 4"/>
    <w:basedOn w:val="Heading4"/>
    <w:next w:val="InstructionsText"/>
    <w:link w:val="Instructionsberschrift4Char"/>
    <w:uiPriority w:val="99"/>
    <w:rsid w:val="00BD16F2"/>
    <w:pPr>
      <w:keepLines w:val="0"/>
      <w:tabs>
        <w:tab w:val="left" w:pos="1520"/>
      </w:tabs>
      <w:autoSpaceDE w:val="0"/>
      <w:autoSpaceDN w:val="0"/>
      <w:adjustRightInd w:val="0"/>
      <w:spacing w:before="240" w:after="240"/>
      <w:ind w:left="970" w:hanging="970"/>
    </w:pPr>
    <w:rPr>
      <w:rFonts w:eastAsia="Times New Roman" w:cs="Times New Roman"/>
      <w:b/>
      <w:bCs/>
      <w:i w:val="0"/>
      <w:iCs w:val="0"/>
      <w:color w:val="auto"/>
      <w:u w:val="single"/>
    </w:rPr>
  </w:style>
  <w:style w:type="paragraph" w:customStyle="1" w:styleId="InstructionsText">
    <w:name w:val="Instructions Text"/>
    <w:basedOn w:val="Normal"/>
    <w:link w:val="InstructionsTextChar"/>
    <w:autoRedefine/>
    <w:rsid w:val="00BD16F2"/>
    <w:pPr>
      <w:spacing w:before="0"/>
      <w:ind w:left="36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BD16F2"/>
    <w:rPr>
      <w:rFonts w:ascii="Verdana" w:eastAsia="Times New Roman" w:hAnsi="Verdana" w:cs="Times New Roman"/>
      <w:b/>
      <w:bCs/>
      <w:kern w:val="0"/>
      <w:sz w:val="20"/>
      <w:szCs w:val="24"/>
      <w:u w:val="single"/>
      <w14:ligatures w14:val="none"/>
    </w:rPr>
  </w:style>
  <w:style w:type="character" w:customStyle="1" w:styleId="InstructionsTabelleberschrift">
    <w:name w:val="Instructions Tabelle Überschrift"/>
    <w:qFormat/>
    <w:rsid w:val="00BD16F2"/>
    <w:rPr>
      <w:rFonts w:ascii="Verdana" w:hAnsi="Verdana" w:cs="Times New Roman"/>
      <w:b/>
      <w:bCs/>
      <w:sz w:val="20"/>
      <w:u w:val="single"/>
    </w:rPr>
  </w:style>
  <w:style w:type="character" w:customStyle="1" w:styleId="InstructionsTabelleText">
    <w:name w:val="Instructions Tabelle Text"/>
    <w:rsid w:val="00BD16F2"/>
    <w:rPr>
      <w:rFonts w:ascii="Verdana" w:hAnsi="Verdana" w:cs="Times New Roman"/>
      <w:sz w:val="20"/>
    </w:rPr>
  </w:style>
  <w:style w:type="character" w:customStyle="1" w:styleId="FormatvorlageInstructionsTabelleText">
    <w:name w:val="Formatvorlage Instructions Tabelle Text"/>
    <w:uiPriority w:val="99"/>
    <w:qFormat/>
    <w:rsid w:val="00BD16F2"/>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BD16F2"/>
    <w:pPr>
      <w:ind w:left="0" w:firstLine="0"/>
    </w:pPr>
    <w:rPr>
      <w:szCs w:val="20"/>
    </w:rPr>
  </w:style>
  <w:style w:type="paragraph" w:customStyle="1" w:styleId="Texte2">
    <w:name w:val="Texte 2"/>
    <w:basedOn w:val="Normal"/>
    <w:uiPriority w:val="99"/>
    <w:rsid w:val="00BD16F2"/>
    <w:pPr>
      <w:spacing w:after="0"/>
      <w:ind w:left="567"/>
    </w:pPr>
    <w:rPr>
      <w:sz w:val="22"/>
      <w:szCs w:val="20"/>
      <w:lang w:eastAsia="fr-FR"/>
    </w:rPr>
  </w:style>
  <w:style w:type="paragraph" w:customStyle="1" w:styleId="Prrafodelista1">
    <w:name w:val="Párrafo de lista1"/>
    <w:basedOn w:val="Normal"/>
    <w:uiPriority w:val="99"/>
    <w:rsid w:val="00BD16F2"/>
    <w:pPr>
      <w:ind w:left="720"/>
    </w:pPr>
  </w:style>
  <w:style w:type="paragraph" w:customStyle="1" w:styleId="Prrafodelista2">
    <w:name w:val="Párrafo de lista2"/>
    <w:basedOn w:val="Normal"/>
    <w:uiPriority w:val="99"/>
    <w:rsid w:val="00BD16F2"/>
    <w:pPr>
      <w:ind w:left="708"/>
    </w:pPr>
  </w:style>
  <w:style w:type="paragraph" w:styleId="PlainText">
    <w:name w:val="Plain Text"/>
    <w:basedOn w:val="Normal"/>
    <w:link w:val="PlainTextChar"/>
    <w:uiPriority w:val="99"/>
    <w:rsid w:val="00BD16F2"/>
    <w:pPr>
      <w:spacing w:before="0" w:after="0"/>
      <w:jc w:val="left"/>
    </w:pPr>
    <w:rPr>
      <w:rFonts w:eastAsia="Arial"/>
      <w:szCs w:val="20"/>
      <w:lang w:val="hu-HU" w:eastAsia="es-ES_tradnl"/>
    </w:rPr>
  </w:style>
  <w:style w:type="character" w:customStyle="1" w:styleId="PlainTextChar">
    <w:name w:val="Plain Text Char"/>
    <w:basedOn w:val="DefaultParagraphFont"/>
    <w:link w:val="PlainText"/>
    <w:uiPriority w:val="99"/>
    <w:rsid w:val="00BD16F2"/>
    <w:rPr>
      <w:rFonts w:ascii="Verdana" w:eastAsia="Arial" w:hAnsi="Verdana" w:cs="Times New Roman"/>
      <w:kern w:val="0"/>
      <w:sz w:val="20"/>
      <w:szCs w:val="20"/>
      <w:lang w:val="hu-HU" w:eastAsia="es-ES_tradnl"/>
      <w14:ligatures w14:val="none"/>
    </w:rPr>
  </w:style>
  <w:style w:type="paragraph" w:customStyle="1" w:styleId="Listenabsatz1">
    <w:name w:val="Listenabsatz1"/>
    <w:basedOn w:val="Normal"/>
    <w:uiPriority w:val="99"/>
    <w:rsid w:val="00BD16F2"/>
    <w:pPr>
      <w:ind w:left="708"/>
    </w:pPr>
  </w:style>
  <w:style w:type="character" w:customStyle="1" w:styleId="InstructionsTextChar">
    <w:name w:val="Instructions Text Char"/>
    <w:link w:val="InstructionsText"/>
    <w:locked/>
    <w:rsid w:val="00BD16F2"/>
    <w:rPr>
      <w:rFonts w:ascii="Times New Roman" w:eastAsia="Times New Roman" w:hAnsi="Times New Roman" w:cs="Times New Roman"/>
      <w:kern w:val="0"/>
      <w:sz w:val="24"/>
      <w:szCs w:val="24"/>
      <w:lang w:eastAsia="de-DE"/>
      <w14:ligatures w14:val="none"/>
    </w:rPr>
  </w:style>
  <w:style w:type="paragraph" w:styleId="Revision">
    <w:name w:val="Revision"/>
    <w:hidden/>
    <w:uiPriority w:val="99"/>
    <w:semiHidden/>
    <w:rsid w:val="00BD16F2"/>
    <w:pPr>
      <w:spacing w:after="0" w:line="240" w:lineRule="auto"/>
    </w:pPr>
    <w:rPr>
      <w:rFonts w:ascii="Verdana" w:eastAsia="Times New Roman" w:hAnsi="Verdana" w:cs="Times New Roman"/>
      <w:kern w:val="0"/>
      <w:sz w:val="20"/>
      <w:szCs w:val="24"/>
      <w:lang w:val="hu-HU"/>
      <w14:ligatures w14:val="none"/>
    </w:rPr>
  </w:style>
  <w:style w:type="character" w:styleId="PlaceholderText">
    <w:name w:val="Placeholder Text"/>
    <w:uiPriority w:val="99"/>
    <w:semiHidden/>
    <w:rsid w:val="00BD16F2"/>
    <w:rPr>
      <w:rFonts w:cs="Times New Roman"/>
      <w:color w:val="808080"/>
    </w:rPr>
  </w:style>
  <w:style w:type="paragraph" w:customStyle="1" w:styleId="InstructionsText2">
    <w:name w:val="Instructions Text 2"/>
    <w:basedOn w:val="InstructionsText"/>
    <w:qFormat/>
    <w:rsid w:val="00BD16F2"/>
    <w:pPr>
      <w:numPr>
        <w:numId w:val="15"/>
      </w:numPr>
      <w:spacing w:after="240"/>
    </w:pPr>
  </w:style>
  <w:style w:type="character" w:customStyle="1" w:styleId="Instructionsberschrift3Char">
    <w:name w:val="Instructions Überschrift 3 Char"/>
    <w:locked/>
    <w:rsid w:val="00BD16F2"/>
    <w:rPr>
      <w:rFonts w:ascii="Verdana" w:hAnsi="Verdana" w:cs="Arial"/>
      <w:b/>
      <w:bCs/>
      <w:sz w:val="26"/>
      <w:szCs w:val="26"/>
      <w:u w:val="single"/>
      <w:lang w:val="hu-HU" w:eastAsia="en-US" w:bidi="ar-SA"/>
    </w:rPr>
  </w:style>
  <w:style w:type="paragraph" w:customStyle="1" w:styleId="CM4">
    <w:name w:val="CM4"/>
    <w:basedOn w:val="Normal"/>
    <w:next w:val="Normal"/>
    <w:uiPriority w:val="99"/>
    <w:rsid w:val="00BD16F2"/>
    <w:pPr>
      <w:autoSpaceDE w:val="0"/>
      <w:autoSpaceDN w:val="0"/>
      <w:adjustRightInd w:val="0"/>
      <w:spacing w:before="0" w:after="0"/>
      <w:jc w:val="left"/>
    </w:pPr>
    <w:rPr>
      <w:rFonts w:ascii="Times New Roman" w:eastAsia="Arial" w:hAnsi="Times New Roman"/>
      <w:sz w:val="24"/>
      <w:lang w:val="hu-HU"/>
    </w:rPr>
  </w:style>
  <w:style w:type="paragraph" w:styleId="DocumentMap">
    <w:name w:val="Document Map"/>
    <w:basedOn w:val="Normal"/>
    <w:link w:val="DocumentMapChar"/>
    <w:uiPriority w:val="99"/>
    <w:semiHidden/>
    <w:rsid w:val="00BD16F2"/>
    <w:pPr>
      <w:spacing w:before="0" w:after="0"/>
    </w:pPr>
    <w:rPr>
      <w:rFonts w:ascii="Tahoma" w:eastAsia="Arial" w:hAnsi="Tahoma"/>
      <w:sz w:val="16"/>
      <w:szCs w:val="16"/>
      <w:lang w:val="hu-HU" w:eastAsia="x-none"/>
    </w:rPr>
  </w:style>
  <w:style w:type="character" w:customStyle="1" w:styleId="DocumentMapChar">
    <w:name w:val="Document Map Char"/>
    <w:basedOn w:val="DefaultParagraphFont"/>
    <w:link w:val="DocumentMap"/>
    <w:uiPriority w:val="99"/>
    <w:semiHidden/>
    <w:rsid w:val="00BD16F2"/>
    <w:rPr>
      <w:rFonts w:ascii="Tahoma" w:eastAsia="Arial" w:hAnsi="Tahoma" w:cs="Times New Roman"/>
      <w:kern w:val="0"/>
      <w:sz w:val="16"/>
      <w:szCs w:val="16"/>
      <w:lang w:val="hu-HU" w:eastAsia="x-none"/>
      <w14:ligatures w14:val="none"/>
    </w:rPr>
  </w:style>
  <w:style w:type="paragraph" w:customStyle="1" w:styleId="Titrearticle">
    <w:name w:val="Titre article"/>
    <w:basedOn w:val="Normal"/>
    <w:next w:val="Normal"/>
    <w:rsid w:val="00BD16F2"/>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BD16F2"/>
    <w:pPr>
      <w:numPr>
        <w:numId w:val="18"/>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BD16F2"/>
    <w:rPr>
      <w:rFonts w:ascii="Times New Roman" w:eastAsia="Arial" w:hAnsi="Times New Roman" w:cs="Times New Roman"/>
      <w:kern w:val="0"/>
      <w:sz w:val="24"/>
      <w:szCs w:val="20"/>
      <w:lang w:eastAsia="en-GB"/>
      <w14:ligatures w14:val="none"/>
    </w:rPr>
  </w:style>
  <w:style w:type="character" w:customStyle="1" w:styleId="NumPar1Char">
    <w:name w:val="NumPar 1 Char"/>
    <w:link w:val="NumPar1"/>
    <w:uiPriority w:val="99"/>
    <w:locked/>
    <w:rsid w:val="00BD16F2"/>
    <w:rPr>
      <w:rFonts w:cs="Times New Roman"/>
      <w:sz w:val="24"/>
      <w:szCs w:val="24"/>
      <w:lang w:eastAsia="de-DE"/>
    </w:rPr>
  </w:style>
  <w:style w:type="paragraph" w:customStyle="1" w:styleId="NumPar1">
    <w:name w:val="NumPar 1"/>
    <w:basedOn w:val="Normal"/>
    <w:next w:val="Normal"/>
    <w:link w:val="NumPar1Char"/>
    <w:uiPriority w:val="99"/>
    <w:rsid w:val="00BD16F2"/>
    <w:pPr>
      <w:tabs>
        <w:tab w:val="num" w:pos="850"/>
      </w:tabs>
      <w:ind w:left="850" w:hanging="850"/>
    </w:pPr>
    <w:rPr>
      <w:rFonts w:asciiTheme="minorHAnsi" w:eastAsiaTheme="minorHAnsi" w:hAnsiTheme="minorHAnsi"/>
      <w:kern w:val="2"/>
      <w:sz w:val="24"/>
      <w:lang w:eastAsia="de-DE"/>
      <w14:ligatures w14:val="standardContextual"/>
    </w:rPr>
  </w:style>
  <w:style w:type="character" w:customStyle="1" w:styleId="Point1letterChar">
    <w:name w:val="Point 1 (letter) Char"/>
    <w:link w:val="Point1letter"/>
    <w:uiPriority w:val="99"/>
    <w:locked/>
    <w:rsid w:val="00BD16F2"/>
    <w:rPr>
      <w:rFonts w:cs="Times New Roman"/>
      <w:sz w:val="24"/>
      <w:szCs w:val="24"/>
    </w:rPr>
  </w:style>
  <w:style w:type="paragraph" w:customStyle="1" w:styleId="Point1letter">
    <w:name w:val="Point 1 (letter)"/>
    <w:basedOn w:val="Normal"/>
    <w:link w:val="Point1letterChar"/>
    <w:uiPriority w:val="99"/>
    <w:rsid w:val="00BD16F2"/>
    <w:pPr>
      <w:tabs>
        <w:tab w:val="num" w:pos="360"/>
      </w:tabs>
      <w:ind w:left="1417" w:hanging="567"/>
    </w:pPr>
    <w:rPr>
      <w:rFonts w:asciiTheme="minorHAnsi" w:eastAsiaTheme="minorHAnsi" w:hAnsiTheme="minorHAnsi"/>
      <w:kern w:val="2"/>
      <w:sz w:val="24"/>
      <w14:ligatures w14:val="standardContextual"/>
    </w:rPr>
  </w:style>
  <w:style w:type="numbering" w:customStyle="1" w:styleId="Formatvorlage2">
    <w:name w:val="Formatvorlage2"/>
    <w:uiPriority w:val="99"/>
    <w:rsid w:val="00BD16F2"/>
    <w:pPr>
      <w:numPr>
        <w:numId w:val="6"/>
      </w:numPr>
    </w:pPr>
  </w:style>
  <w:style w:type="numbering" w:customStyle="1" w:styleId="Formatvorlage3">
    <w:name w:val="Formatvorlage3"/>
    <w:uiPriority w:val="99"/>
    <w:rsid w:val="00BD16F2"/>
    <w:pPr>
      <w:numPr>
        <w:numId w:val="16"/>
      </w:numPr>
    </w:pPr>
  </w:style>
  <w:style w:type="numbering" w:customStyle="1" w:styleId="Formatvorlage1">
    <w:name w:val="Formatvorlage1"/>
    <w:uiPriority w:val="99"/>
    <w:rsid w:val="00BD16F2"/>
    <w:pPr>
      <w:numPr>
        <w:numId w:val="5"/>
      </w:numPr>
    </w:pPr>
  </w:style>
  <w:style w:type="numbering" w:customStyle="1" w:styleId="Formatvorlage4">
    <w:name w:val="Formatvorlage4"/>
    <w:uiPriority w:val="99"/>
    <w:rsid w:val="00BD16F2"/>
    <w:pPr>
      <w:numPr>
        <w:numId w:val="17"/>
      </w:numPr>
    </w:pPr>
  </w:style>
  <w:style w:type="paragraph" w:customStyle="1" w:styleId="ListParagraph1">
    <w:name w:val="List Paragraph1"/>
    <w:basedOn w:val="Normal"/>
    <w:uiPriority w:val="99"/>
    <w:qFormat/>
    <w:rsid w:val="00BD16F2"/>
    <w:pPr>
      <w:ind w:left="708"/>
    </w:pPr>
  </w:style>
  <w:style w:type="paragraph" w:customStyle="1" w:styleId="Anfhrungszeichen1">
    <w:name w:val="Anführungszeichen1"/>
    <w:basedOn w:val="Normal"/>
    <w:next w:val="Normal"/>
    <w:link w:val="AnfhrungszeichenZchn"/>
    <w:uiPriority w:val="29"/>
    <w:semiHidden/>
    <w:rsid w:val="00BD16F2"/>
    <w:rPr>
      <w:i/>
      <w:iCs/>
      <w:color w:val="000000"/>
    </w:rPr>
  </w:style>
  <w:style w:type="character" w:customStyle="1" w:styleId="AnfhrungszeichenZchn">
    <w:name w:val="Anführungszeichen Zchn"/>
    <w:link w:val="Anfhrungszeichen1"/>
    <w:uiPriority w:val="29"/>
    <w:semiHidden/>
    <w:rsid w:val="00BD16F2"/>
    <w:rPr>
      <w:rFonts w:ascii="Verdana" w:eastAsia="Times New Roman" w:hAnsi="Verdana" w:cs="Times New Roman"/>
      <w:i/>
      <w:iCs/>
      <w:color w:val="000000"/>
      <w:kern w:val="0"/>
      <w:sz w:val="20"/>
      <w:szCs w:val="24"/>
      <w14:ligatures w14:val="none"/>
    </w:rPr>
  </w:style>
  <w:style w:type="paragraph" w:customStyle="1" w:styleId="Inhaltsverzeichnisberschrift1">
    <w:name w:val="Inhaltsverzeichnisüberschrift1"/>
    <w:basedOn w:val="Heading1"/>
    <w:next w:val="Normal"/>
    <w:uiPriority w:val="39"/>
    <w:semiHidden/>
    <w:unhideWhenUsed/>
    <w:qFormat/>
    <w:rsid w:val="00BD16F2"/>
    <w:pPr>
      <w:autoSpaceDE w:val="0"/>
      <w:autoSpaceDN w:val="0"/>
      <w:adjustRightInd w:val="0"/>
      <w:spacing w:before="480" w:after="0" w:line="311" w:lineRule="auto"/>
      <w:outlineLvl w:val="9"/>
    </w:pPr>
    <w:rPr>
      <w:rFonts w:ascii="Arial" w:eastAsia="Arial" w:hAnsi="Arial" w:cs="Times New Roman"/>
      <w:b/>
      <w:bCs/>
      <w:color w:val="4B67A3"/>
      <w:sz w:val="20"/>
      <w:szCs w:val="28"/>
      <w:u w:val="single"/>
      <w:lang w:eastAsia="x-none"/>
    </w:rPr>
  </w:style>
  <w:style w:type="paragraph" w:customStyle="1" w:styleId="berarbeitung1">
    <w:name w:val="Überarbeitung1"/>
    <w:hidden/>
    <w:uiPriority w:val="99"/>
    <w:semiHidden/>
    <w:rsid w:val="00BD16F2"/>
    <w:pPr>
      <w:spacing w:after="0" w:line="240" w:lineRule="auto"/>
    </w:pPr>
    <w:rPr>
      <w:rFonts w:ascii="Verdana" w:eastAsia="Times New Roman" w:hAnsi="Verdana" w:cs="Times New Roman"/>
      <w:kern w:val="0"/>
      <w:sz w:val="20"/>
      <w:szCs w:val="24"/>
      <w:lang w:val="hu-HU"/>
      <w14:ligatures w14:val="none"/>
    </w:rPr>
  </w:style>
  <w:style w:type="paragraph" w:customStyle="1" w:styleId="Listenabsatz2">
    <w:name w:val="Listenabsatz2"/>
    <w:basedOn w:val="Normal"/>
    <w:uiPriority w:val="99"/>
    <w:qFormat/>
    <w:rsid w:val="00BD16F2"/>
    <w:pPr>
      <w:ind w:left="708"/>
    </w:pPr>
  </w:style>
  <w:style w:type="character" w:customStyle="1" w:styleId="Platzhaltertext1">
    <w:name w:val="Platzhaltertext1"/>
    <w:uiPriority w:val="99"/>
    <w:semiHidden/>
    <w:rsid w:val="00BD16F2"/>
    <w:rPr>
      <w:color w:val="808080"/>
    </w:rPr>
  </w:style>
  <w:style w:type="paragraph" w:customStyle="1" w:styleId="Default">
    <w:name w:val="Default"/>
    <w:rsid w:val="00BD16F2"/>
    <w:pPr>
      <w:autoSpaceDE w:val="0"/>
      <w:autoSpaceDN w:val="0"/>
      <w:adjustRightInd w:val="0"/>
      <w:spacing w:after="0" w:line="240" w:lineRule="auto"/>
    </w:pPr>
    <w:rPr>
      <w:rFonts w:ascii="Arial" w:eastAsia="Arial" w:hAnsi="Arial" w:cs="Arial"/>
      <w:color w:val="000000"/>
      <w:kern w:val="0"/>
      <w:sz w:val="24"/>
      <w:szCs w:val="24"/>
      <w:lang w:eastAsia="en-GB"/>
      <w14:ligatures w14:val="none"/>
    </w:rPr>
  </w:style>
  <w:style w:type="paragraph" w:customStyle="1" w:styleId="CM1">
    <w:name w:val="CM1"/>
    <w:basedOn w:val="Default"/>
    <w:next w:val="Default"/>
    <w:uiPriority w:val="99"/>
    <w:rsid w:val="00BD16F2"/>
    <w:rPr>
      <w:rFonts w:ascii="EU Albertina" w:hAnsi="EU Albertina" w:cs="Times New Roman"/>
      <w:color w:val="auto"/>
    </w:rPr>
  </w:style>
  <w:style w:type="paragraph" w:customStyle="1" w:styleId="CM3">
    <w:name w:val="CM3"/>
    <w:basedOn w:val="Default"/>
    <w:next w:val="Default"/>
    <w:uiPriority w:val="99"/>
    <w:rsid w:val="00BD16F2"/>
    <w:rPr>
      <w:rFonts w:ascii="EU Albertina" w:hAnsi="EU Albertina" w:cs="Times New Roman"/>
      <w:color w:val="auto"/>
    </w:rPr>
  </w:style>
  <w:style w:type="paragraph" w:styleId="NormalWeb">
    <w:name w:val="Normal (Web)"/>
    <w:basedOn w:val="Normal"/>
    <w:uiPriority w:val="99"/>
    <w:unhideWhenUsed/>
    <w:rsid w:val="00BD16F2"/>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rsid w:val="00BD16F2"/>
    <w:rPr>
      <w:i/>
      <w:iCs/>
    </w:rPr>
  </w:style>
  <w:style w:type="paragraph" w:customStyle="1" w:styleId="TableMainHeading">
    <w:name w:val="TableMainHeading"/>
    <w:basedOn w:val="Normal"/>
    <w:next w:val="Normal"/>
    <w:uiPriority w:val="99"/>
    <w:rsid w:val="00BD16F2"/>
    <w:pPr>
      <w:jc w:val="left"/>
    </w:pPr>
    <w:rPr>
      <w:rFonts w:ascii="Segoe UI" w:hAnsi="Segoe UI"/>
      <w:sz w:val="22"/>
      <w:szCs w:val="20"/>
    </w:rPr>
  </w:style>
  <w:style w:type="paragraph" w:customStyle="1" w:styleId="body">
    <w:name w:val="body"/>
    <w:qFormat/>
    <w:rsid w:val="00BD16F2"/>
    <w:pPr>
      <w:spacing w:before="240" w:after="120" w:line="276" w:lineRule="auto"/>
      <w:jc w:val="both"/>
    </w:pPr>
    <w:rPr>
      <w:rFonts w:eastAsiaTheme="minorEastAsia"/>
      <w:kern w:val="0"/>
      <w:szCs w:val="24"/>
      <w:lang w:val="hu-HU"/>
      <w14:ligatures w14:val="none"/>
    </w:rPr>
  </w:style>
  <w:style w:type="paragraph" w:customStyle="1" w:styleId="Applicationdirecte">
    <w:name w:val="Application directe"/>
    <w:basedOn w:val="Normal"/>
    <w:next w:val="Fait"/>
    <w:rsid w:val="00BD16F2"/>
    <w:pPr>
      <w:spacing w:before="480"/>
    </w:pPr>
    <w:rPr>
      <w:rFonts w:ascii="Times New Roman" w:hAnsi="Times New Roman"/>
      <w:sz w:val="24"/>
    </w:rPr>
  </w:style>
  <w:style w:type="paragraph" w:customStyle="1" w:styleId="Fait">
    <w:name w:val="Fait à"/>
    <w:basedOn w:val="Normal"/>
    <w:next w:val="Normal"/>
    <w:rsid w:val="00BD16F2"/>
    <w:pPr>
      <w:keepNext/>
      <w:spacing w:after="0"/>
    </w:pPr>
    <w:rPr>
      <w:rFonts w:ascii="Times New Roman" w:hAnsi="Times New Roman"/>
      <w:sz w:val="24"/>
    </w:rPr>
  </w:style>
  <w:style w:type="paragraph" w:customStyle="1" w:styleId="Numberedtilelevel1">
    <w:name w:val="Numbered tile level 1"/>
    <w:basedOn w:val="Titlelevel1"/>
    <w:qFormat/>
    <w:rsid w:val="00BD16F2"/>
    <w:pPr>
      <w:numPr>
        <w:numId w:val="25"/>
      </w:numPr>
    </w:pPr>
  </w:style>
  <w:style w:type="paragraph" w:customStyle="1" w:styleId="Numberedtitlelevel2">
    <w:name w:val="Numbered title level 2"/>
    <w:basedOn w:val="Titlelevel2"/>
    <w:next w:val="body"/>
    <w:qFormat/>
    <w:rsid w:val="00BD16F2"/>
    <w:pPr>
      <w:numPr>
        <w:ilvl w:val="1"/>
        <w:numId w:val="25"/>
      </w:numPr>
    </w:pPr>
  </w:style>
  <w:style w:type="paragraph" w:customStyle="1" w:styleId="Titlelevel2">
    <w:name w:val="Title level 2"/>
    <w:qFormat/>
    <w:rsid w:val="00BD16F2"/>
    <w:pPr>
      <w:spacing w:before="240" w:after="240" w:line="240" w:lineRule="auto"/>
    </w:pPr>
    <w:rPr>
      <w:rFonts w:asciiTheme="majorHAnsi" w:eastAsiaTheme="majorEastAsia" w:hAnsiTheme="majorHAnsi" w:cstheme="majorBidi"/>
      <w:bCs/>
      <w:color w:val="0E2841" w:themeColor="text2"/>
      <w:kern w:val="0"/>
      <w:sz w:val="32"/>
      <w:szCs w:val="24"/>
      <w:lang w:val="hu-HU"/>
      <w14:ligatures w14:val="none"/>
    </w:rPr>
  </w:style>
  <w:style w:type="paragraph" w:customStyle="1" w:styleId="Tableheader">
    <w:name w:val="Table header"/>
    <w:next w:val="Tabledata"/>
    <w:qFormat/>
    <w:rsid w:val="00BD16F2"/>
    <w:pPr>
      <w:spacing w:after="80" w:line="240" w:lineRule="auto"/>
    </w:pPr>
    <w:rPr>
      <w:rFonts w:ascii="Calibri" w:eastAsia="Times New Roman" w:hAnsi="Calibri" w:cs="Times New Roman"/>
      <w:b/>
      <w:color w:val="000000"/>
      <w:kern w:val="0"/>
      <w:lang w:val="hu-HU"/>
      <w14:ligatures w14:val="none"/>
    </w:rPr>
  </w:style>
  <w:style w:type="paragraph" w:customStyle="1" w:styleId="Tabledata">
    <w:name w:val="Table data"/>
    <w:basedOn w:val="body"/>
    <w:qFormat/>
    <w:rsid w:val="00BD16F2"/>
    <w:pPr>
      <w:spacing w:before="120" w:line="240" w:lineRule="auto"/>
    </w:pPr>
    <w:rPr>
      <w:rFonts w:eastAsia="Times New Roman" w:cstheme="minorHAnsi"/>
      <w:bCs/>
      <w:color w:val="000000"/>
      <w:sz w:val="20"/>
      <w:szCs w:val="22"/>
      <w:lang w:val="hu-HU" w:eastAsia="en-GB"/>
    </w:rPr>
  </w:style>
  <w:style w:type="paragraph" w:customStyle="1" w:styleId="List1">
    <w:name w:val="List1"/>
    <w:autoRedefine/>
    <w:qFormat/>
    <w:rsid w:val="00BD16F2"/>
    <w:pPr>
      <w:numPr>
        <w:numId w:val="23"/>
      </w:numPr>
      <w:spacing w:after="0" w:line="240" w:lineRule="auto"/>
    </w:pPr>
    <w:rPr>
      <w:rFonts w:eastAsiaTheme="minorEastAsia"/>
      <w:kern w:val="0"/>
      <w:lang w:val="hu-HU"/>
      <w14:ligatures w14:val="none"/>
    </w:rPr>
  </w:style>
  <w:style w:type="table" w:styleId="TableProfessional">
    <w:name w:val="Table Professional"/>
    <w:basedOn w:val="TableNormal"/>
    <w:uiPriority w:val="99"/>
    <w:semiHidden/>
    <w:unhideWhenUsed/>
    <w:rsid w:val="00BD16F2"/>
    <w:pPr>
      <w:spacing w:after="0" w:line="240" w:lineRule="auto"/>
    </w:pPr>
    <w:rPr>
      <w:rFonts w:eastAsiaTheme="minorEastAsia"/>
      <w:kern w:val="0"/>
      <w:sz w:val="24"/>
      <w:szCs w:val="24"/>
      <w:lang w:val="hu-HU"/>
      <w14:ligatures w14:val="non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BD16F2"/>
    <w:pPr>
      <w:numPr>
        <w:numId w:val="24"/>
      </w:numPr>
      <w:spacing w:before="240" w:after="120" w:line="240" w:lineRule="auto"/>
      <w:contextualSpacing/>
    </w:pPr>
    <w:rPr>
      <w:rFonts w:eastAsiaTheme="minorEastAsia"/>
      <w:kern w:val="0"/>
      <w:szCs w:val="24"/>
      <w:lang w:val="hu-HU"/>
      <w14:ligatures w14:val="none"/>
    </w:rPr>
  </w:style>
  <w:style w:type="paragraph" w:customStyle="1" w:styleId="Titlelevel1">
    <w:name w:val="Title level 1"/>
    <w:autoRedefine/>
    <w:qFormat/>
    <w:rsid w:val="00BD16F2"/>
    <w:pPr>
      <w:pBdr>
        <w:bottom w:val="single" w:sz="8" w:space="1" w:color="0E2841" w:themeColor="text2"/>
      </w:pBdr>
      <w:spacing w:before="360" w:after="600" w:line="560" w:lineRule="exact"/>
    </w:pPr>
    <w:rPr>
      <w:rFonts w:asciiTheme="majorHAnsi" w:eastAsiaTheme="majorEastAsia" w:hAnsiTheme="majorHAnsi" w:cstheme="majorBidi"/>
      <w:color w:val="0E2841" w:themeColor="text2"/>
      <w:spacing w:val="5"/>
      <w:kern w:val="28"/>
      <w:sz w:val="52"/>
      <w:szCs w:val="52"/>
      <w:lang w:val="hu-HU"/>
      <w14:ligatures w14:val="none"/>
    </w:rPr>
  </w:style>
  <w:style w:type="paragraph" w:customStyle="1" w:styleId="Titlelevel3">
    <w:name w:val="Title level 3"/>
    <w:qFormat/>
    <w:rsid w:val="00BD16F2"/>
    <w:pPr>
      <w:spacing w:before="240" w:after="240" w:line="240" w:lineRule="auto"/>
    </w:pPr>
    <w:rPr>
      <w:rFonts w:eastAsiaTheme="minorEastAsia"/>
      <w:b/>
      <w:color w:val="0E2841" w:themeColor="text2"/>
      <w:kern w:val="0"/>
      <w:sz w:val="24"/>
      <w:szCs w:val="24"/>
      <w:lang w:val="hu-HU"/>
      <w14:ligatures w14:val="none"/>
    </w:rPr>
  </w:style>
  <w:style w:type="paragraph" w:customStyle="1" w:styleId="Titlelevel4">
    <w:name w:val="Title level 4"/>
    <w:next w:val="body"/>
    <w:qFormat/>
    <w:rsid w:val="00BD16F2"/>
    <w:pPr>
      <w:spacing w:before="240" w:after="240" w:line="240" w:lineRule="auto"/>
    </w:pPr>
    <w:rPr>
      <w:rFonts w:eastAsiaTheme="minorEastAsia"/>
      <w:color w:val="E8E8E8" w:themeColor="background2"/>
      <w:kern w:val="0"/>
      <w:sz w:val="24"/>
      <w:szCs w:val="24"/>
      <w:lang w:val="hu-HU"/>
      <w14:ligatures w14:val="none"/>
    </w:rPr>
  </w:style>
  <w:style w:type="paragraph" w:customStyle="1" w:styleId="Figuretitle">
    <w:name w:val="Figure title"/>
    <w:basedOn w:val="body"/>
    <w:next w:val="Normal"/>
    <w:autoRedefine/>
    <w:qFormat/>
    <w:rsid w:val="00BD16F2"/>
    <w:pPr>
      <w:keepNext/>
      <w:spacing w:before="360" w:after="360"/>
    </w:pPr>
    <w:rPr>
      <w:rFonts w:eastAsia="Times New Roman" w:cs="Times New Roman"/>
      <w:bCs/>
      <w:noProof/>
      <w:color w:val="0E2841" w:themeColor="text2"/>
      <w:szCs w:val="20"/>
      <w:lang w:val="hu-HU" w:eastAsia="en-GB"/>
    </w:rPr>
  </w:style>
  <w:style w:type="table" w:customStyle="1" w:styleId="EBAtable">
    <w:name w:val="EBA table"/>
    <w:basedOn w:val="TableNormal"/>
    <w:uiPriority w:val="99"/>
    <w:rsid w:val="00BD16F2"/>
    <w:pPr>
      <w:spacing w:after="0" w:line="240" w:lineRule="auto"/>
    </w:pPr>
    <w:rPr>
      <w:rFonts w:eastAsiaTheme="minorEastAsia"/>
      <w:kern w:val="0"/>
      <w:sz w:val="24"/>
      <w:szCs w:val="24"/>
      <w:lang w:val="hu-HU"/>
      <w14:ligatures w14:val="none"/>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8E8E8" w:themeColor="background2"/>
          <w:right w:val="nil"/>
          <w:insideH w:val="nil"/>
          <w:insideV w:val="nil"/>
          <w:tl2br w:val="nil"/>
          <w:tr2bl w:val="nil"/>
        </w:tcBorders>
      </w:tcPr>
    </w:tblStylePr>
    <w:tblStylePr w:type="lastRow">
      <w:tblPr/>
      <w:tcPr>
        <w:tcBorders>
          <w:top w:val="nil"/>
          <w:left w:val="nil"/>
          <w:bottom w:val="single" w:sz="4" w:space="0" w:color="E8E8E8" w:themeColor="background2"/>
          <w:right w:val="nil"/>
          <w:insideH w:val="nil"/>
          <w:insideV w:val="nil"/>
          <w:tl2br w:val="nil"/>
          <w:tr2bl w:val="nil"/>
        </w:tcBorders>
      </w:tcPr>
    </w:tblStylePr>
  </w:style>
  <w:style w:type="paragraph" w:customStyle="1" w:styleId="Runningtitle">
    <w:name w:val="Running title"/>
    <w:qFormat/>
    <w:rsid w:val="00BD16F2"/>
    <w:pPr>
      <w:spacing w:after="0" w:line="240" w:lineRule="auto"/>
    </w:pPr>
    <w:rPr>
      <w:rFonts w:eastAsiaTheme="minorEastAsia"/>
      <w:caps/>
      <w:kern w:val="0"/>
      <w:sz w:val="16"/>
      <w:szCs w:val="18"/>
      <w:lang w:val="hu-HU"/>
      <w14:ligatures w14:val="none"/>
    </w:rPr>
  </w:style>
  <w:style w:type="paragraph" w:customStyle="1" w:styleId="bullet1">
    <w:name w:val="bullet 1"/>
    <w:basedOn w:val="body"/>
    <w:next w:val="body"/>
    <w:qFormat/>
    <w:rsid w:val="00BD16F2"/>
    <w:pPr>
      <w:numPr>
        <w:numId w:val="21"/>
      </w:numPr>
    </w:pPr>
    <w:rPr>
      <w:szCs w:val="22"/>
    </w:rPr>
  </w:style>
  <w:style w:type="paragraph" w:customStyle="1" w:styleId="bullet2">
    <w:name w:val="bullet 2"/>
    <w:basedOn w:val="body"/>
    <w:qFormat/>
    <w:rsid w:val="00BD16F2"/>
    <w:pPr>
      <w:numPr>
        <w:numId w:val="20"/>
      </w:numPr>
    </w:pPr>
    <w:rPr>
      <w:szCs w:val="22"/>
    </w:rPr>
  </w:style>
  <w:style w:type="paragraph" w:customStyle="1" w:styleId="Numberedtitlelevel3">
    <w:name w:val="Numbered title level 3"/>
    <w:basedOn w:val="Titlelevel3"/>
    <w:next w:val="body"/>
    <w:qFormat/>
    <w:rsid w:val="00BD16F2"/>
    <w:pPr>
      <w:numPr>
        <w:ilvl w:val="2"/>
        <w:numId w:val="25"/>
      </w:numPr>
    </w:pPr>
  </w:style>
  <w:style w:type="table" w:styleId="LightShading">
    <w:name w:val="Light Shading"/>
    <w:basedOn w:val="TableNormal"/>
    <w:uiPriority w:val="60"/>
    <w:rsid w:val="00BD16F2"/>
    <w:pPr>
      <w:spacing w:after="0" w:line="240" w:lineRule="auto"/>
    </w:pPr>
    <w:rPr>
      <w:rFonts w:eastAsiaTheme="minorEastAsia"/>
      <w:color w:val="000000" w:themeColor="text1" w:themeShade="BF"/>
      <w:kern w:val="0"/>
      <w:sz w:val="24"/>
      <w:szCs w:val="24"/>
      <w:lang w:val="hu-HU"/>
      <w14:ligatures w14:val="none"/>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BD16F2"/>
    <w:pPr>
      <w:spacing w:after="0" w:line="240" w:lineRule="auto"/>
    </w:pPr>
    <w:rPr>
      <w:rFonts w:eastAsiaTheme="minorEastAsia"/>
      <w:color w:val="0F4761" w:themeColor="accent1" w:themeShade="BF"/>
      <w:kern w:val="0"/>
      <w:sz w:val="24"/>
      <w:szCs w:val="24"/>
      <w:lang w:val="hu-HU"/>
      <w14:ligatures w14:val="none"/>
    </w:rPr>
    <w:tblPr>
      <w:tblStyleRowBandSize w:val="1"/>
      <w:tblStyleColBandSize w:val="1"/>
      <w:tblBorders>
        <w:top w:val="single" w:sz="8" w:space="0" w:color="156082" w:themeColor="accent1"/>
        <w:bottom w:val="single" w:sz="8" w:space="0" w:color="156082" w:themeColor="accent1"/>
      </w:tblBorders>
    </w:tblPr>
    <w:tblStylePr w:type="firstRow">
      <w:pPr>
        <w:spacing w:before="0" w:after="0" w:line="240" w:lineRule="auto"/>
      </w:pPr>
      <w:rPr>
        <w:b/>
        <w:bCs/>
      </w:rPr>
      <w:tblPr/>
      <w:tcPr>
        <w:tcBorders>
          <w:top w:val="single" w:sz="8" w:space="0" w:color="156082" w:themeColor="accent1"/>
          <w:left w:val="nil"/>
          <w:bottom w:val="single" w:sz="8" w:space="0" w:color="156082" w:themeColor="accent1"/>
          <w:right w:val="nil"/>
          <w:insideH w:val="nil"/>
          <w:insideV w:val="nil"/>
        </w:tcBorders>
      </w:tcPr>
    </w:tblStylePr>
    <w:tblStylePr w:type="lastRow">
      <w:pPr>
        <w:spacing w:before="0" w:after="0" w:line="240" w:lineRule="auto"/>
      </w:pPr>
      <w:rPr>
        <w:b/>
        <w:bCs/>
      </w:rPr>
      <w:tblPr/>
      <w:tcPr>
        <w:tcBorders>
          <w:top w:val="single" w:sz="8" w:space="0" w:color="156082" w:themeColor="accent1"/>
          <w:left w:val="nil"/>
          <w:bottom w:val="single" w:sz="8" w:space="0" w:color="156082"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2DEF2" w:themeFill="accent1" w:themeFillTint="3F"/>
      </w:tcPr>
    </w:tblStylePr>
    <w:tblStylePr w:type="band1Horz">
      <w:tblPr/>
      <w:tcPr>
        <w:tcBorders>
          <w:left w:val="nil"/>
          <w:right w:val="nil"/>
          <w:insideH w:val="nil"/>
          <w:insideV w:val="nil"/>
        </w:tcBorders>
        <w:shd w:val="clear" w:color="auto" w:fill="B2DEF2" w:themeFill="accent1" w:themeFillTint="3F"/>
      </w:tcPr>
    </w:tblStylePr>
  </w:style>
  <w:style w:type="paragraph" w:customStyle="1" w:styleId="Contenttitle">
    <w:name w:val="Content title"/>
    <w:basedOn w:val="Titlelevel1"/>
    <w:qFormat/>
    <w:rsid w:val="00BD16F2"/>
  </w:style>
  <w:style w:type="paragraph" w:customStyle="1" w:styleId="Numberedtitlelevel4">
    <w:name w:val="Numbered title level 4"/>
    <w:basedOn w:val="Titlelevel4"/>
    <w:qFormat/>
    <w:rsid w:val="00BD16F2"/>
    <w:pPr>
      <w:numPr>
        <w:numId w:val="22"/>
      </w:numPr>
    </w:pPr>
  </w:style>
  <w:style w:type="character" w:styleId="BookTitle">
    <w:name w:val="Book Title"/>
    <w:basedOn w:val="DefaultParagraphFont"/>
    <w:uiPriority w:val="33"/>
    <w:qFormat/>
    <w:rsid w:val="00BD16F2"/>
    <w:rPr>
      <w:b/>
      <w:bCs/>
      <w:smallCaps/>
      <w:spacing w:val="5"/>
    </w:rPr>
  </w:style>
  <w:style w:type="character" w:customStyle="1" w:styleId="Highlighttext">
    <w:name w:val="Highlight text"/>
    <w:basedOn w:val="DefaultParagraphFont"/>
    <w:uiPriority w:val="1"/>
    <w:semiHidden/>
    <w:qFormat/>
    <w:rsid w:val="00BD16F2"/>
    <w:rPr>
      <w:rFonts w:asciiTheme="minorHAnsi" w:hAnsiTheme="minorHAnsi"/>
      <w:b/>
      <w:bCs/>
      <w:caps w:val="0"/>
      <w:smallCaps w:val="0"/>
      <w:color w:val="E8E8E8" w:themeColor="background2"/>
      <w:sz w:val="22"/>
      <w:szCs w:val="22"/>
    </w:rPr>
  </w:style>
  <w:style w:type="paragraph" w:customStyle="1" w:styleId="abbreviation">
    <w:name w:val="abbreviation"/>
    <w:basedOn w:val="Tableheader"/>
    <w:qFormat/>
    <w:rsid w:val="00BD16F2"/>
    <w:rPr>
      <w:bCs/>
      <w:lang w:val="hu-HU" w:eastAsia="en-GB"/>
    </w:rPr>
  </w:style>
  <w:style w:type="paragraph" w:styleId="ListBullet">
    <w:name w:val="List Bullet"/>
    <w:basedOn w:val="Normal"/>
    <w:semiHidden/>
    <w:qFormat/>
    <w:rsid w:val="00BD16F2"/>
    <w:pPr>
      <w:numPr>
        <w:numId w:val="27"/>
      </w:numPr>
      <w:spacing w:before="0" w:after="0"/>
      <w:contextualSpacing/>
      <w:jc w:val="left"/>
    </w:pPr>
    <w:rPr>
      <w:rFonts w:asciiTheme="minorHAnsi" w:eastAsiaTheme="minorEastAsia" w:hAnsiTheme="minorHAnsi" w:cstheme="minorBidi"/>
      <w:sz w:val="22"/>
      <w:lang w:val="hu-HU"/>
    </w:rPr>
  </w:style>
  <w:style w:type="paragraph" w:customStyle="1" w:styleId="numberedparagraph">
    <w:name w:val="numbered paragraph"/>
    <w:basedOn w:val="body"/>
    <w:qFormat/>
    <w:rsid w:val="00BD16F2"/>
    <w:pPr>
      <w:numPr>
        <w:numId w:val="26"/>
      </w:numPr>
    </w:pPr>
  </w:style>
  <w:style w:type="character" w:customStyle="1" w:styleId="Marker">
    <w:name w:val="Marker"/>
    <w:rsid w:val="00BD16F2"/>
    <w:rPr>
      <w:color w:val="0000FF"/>
      <w:shd w:val="clear" w:color="auto" w:fill="auto"/>
    </w:rPr>
  </w:style>
  <w:style w:type="character" w:customStyle="1" w:styleId="Marker2">
    <w:name w:val="Marker2"/>
    <w:rsid w:val="00BD16F2"/>
    <w:rPr>
      <w:color w:val="FF0000"/>
      <w:shd w:val="clear" w:color="auto" w:fill="auto"/>
    </w:rPr>
  </w:style>
  <w:style w:type="paragraph" w:customStyle="1" w:styleId="Annexetitre">
    <w:name w:val="Annexe titre"/>
    <w:basedOn w:val="Normal"/>
    <w:next w:val="Normal"/>
    <w:rsid w:val="00BD16F2"/>
    <w:pPr>
      <w:jc w:val="center"/>
    </w:pPr>
    <w:rPr>
      <w:rFonts w:ascii="Times New Roman" w:hAnsi="Times New Roman"/>
      <w:b/>
      <w:sz w:val="24"/>
      <w:u w:val="single"/>
    </w:rPr>
  </w:style>
  <w:style w:type="paragraph" w:customStyle="1" w:styleId="Considrant">
    <w:name w:val="Considérant"/>
    <w:basedOn w:val="Normal"/>
    <w:rsid w:val="00BD16F2"/>
    <w:pPr>
      <w:numPr>
        <w:numId w:val="28"/>
      </w:numPr>
    </w:pPr>
    <w:rPr>
      <w:rFonts w:ascii="Times New Roman" w:hAnsi="Times New Roman"/>
      <w:sz w:val="24"/>
    </w:rPr>
  </w:style>
  <w:style w:type="paragraph" w:customStyle="1" w:styleId="Datedadoption">
    <w:name w:val="Date d'adoption"/>
    <w:basedOn w:val="Normal"/>
    <w:next w:val="Titreobjet"/>
    <w:rsid w:val="00BD16F2"/>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BD16F2"/>
    <w:pPr>
      <w:keepNext/>
    </w:pPr>
    <w:rPr>
      <w:rFonts w:ascii="Times New Roman" w:hAnsi="Times New Roman"/>
      <w:sz w:val="24"/>
    </w:rPr>
  </w:style>
  <w:style w:type="paragraph" w:customStyle="1" w:styleId="Institutionquisigne">
    <w:name w:val="Institution qui signe"/>
    <w:basedOn w:val="Normal"/>
    <w:next w:val="Personnequisigne"/>
    <w:rsid w:val="00BD16F2"/>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BD16F2"/>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BD16F2"/>
    <w:pPr>
      <w:spacing w:before="360" w:after="360"/>
      <w:jc w:val="center"/>
    </w:pPr>
    <w:rPr>
      <w:rFonts w:ascii="Times New Roman" w:hAnsi="Times New Roman"/>
      <w:b/>
      <w:sz w:val="24"/>
    </w:rPr>
  </w:style>
  <w:style w:type="paragraph" w:customStyle="1" w:styleId="Typedudocument">
    <w:name w:val="Type du document"/>
    <w:basedOn w:val="Normal"/>
    <w:next w:val="Titreobjet"/>
    <w:rsid w:val="00BD16F2"/>
    <w:pPr>
      <w:spacing w:before="360" w:after="0"/>
      <w:jc w:val="center"/>
    </w:pPr>
    <w:rPr>
      <w:rFonts w:ascii="Times New Roman" w:hAnsi="Times New Roman"/>
      <w:b/>
      <w:sz w:val="24"/>
    </w:rPr>
  </w:style>
  <w:style w:type="paragraph" w:customStyle="1" w:styleId="Pagedecouverture">
    <w:name w:val="Page de couverture"/>
    <w:basedOn w:val="Normal"/>
    <w:next w:val="Normal"/>
    <w:rsid w:val="00BD16F2"/>
    <w:rPr>
      <w:rFonts w:ascii="Times New Roman" w:hAnsi="Times New Roman"/>
      <w:sz w:val="24"/>
    </w:rPr>
  </w:style>
  <w:style w:type="paragraph" w:customStyle="1" w:styleId="Institutionquiagit">
    <w:name w:val="Institution qui agit"/>
    <w:basedOn w:val="Normal"/>
    <w:next w:val="Normal"/>
    <w:rsid w:val="00BD16F2"/>
    <w:pPr>
      <w:keepNext/>
      <w:spacing w:before="600"/>
    </w:pPr>
    <w:rPr>
      <w:rFonts w:ascii="Times New Roman" w:hAnsi="Times New Roman"/>
      <w:sz w:val="24"/>
    </w:rPr>
  </w:style>
  <w:style w:type="paragraph" w:styleId="Caption">
    <w:name w:val="caption"/>
    <w:basedOn w:val="Normal"/>
    <w:next w:val="Normal"/>
    <w:uiPriority w:val="35"/>
    <w:unhideWhenUsed/>
    <w:qFormat/>
    <w:rsid w:val="00BD16F2"/>
    <w:pPr>
      <w:spacing w:before="0" w:after="200"/>
      <w:jc w:val="left"/>
    </w:pPr>
    <w:rPr>
      <w:rFonts w:asciiTheme="minorHAnsi" w:eastAsiaTheme="minorEastAsia" w:hAnsiTheme="minorHAnsi" w:cstheme="minorBidi"/>
      <w:b/>
      <w:bCs/>
      <w:color w:val="156082" w:themeColor="accent1"/>
      <w:sz w:val="18"/>
      <w:szCs w:val="18"/>
      <w:lang w:val="hu-HU"/>
    </w:rPr>
  </w:style>
  <w:style w:type="paragraph" w:customStyle="1" w:styleId="TableNote">
    <w:name w:val="TableNote"/>
    <w:basedOn w:val="Normal"/>
    <w:rsid w:val="00BD16F2"/>
    <w:pPr>
      <w:spacing w:before="60"/>
    </w:pPr>
    <w:rPr>
      <w:rFonts w:ascii="Segoe UI" w:hAnsi="Segoe UI"/>
      <w:sz w:val="15"/>
      <w:szCs w:val="20"/>
    </w:rPr>
  </w:style>
  <w:style w:type="paragraph" w:customStyle="1" w:styleId="CM11">
    <w:name w:val="CM1+1"/>
    <w:basedOn w:val="Default"/>
    <w:next w:val="Default"/>
    <w:uiPriority w:val="99"/>
    <w:rsid w:val="00BD16F2"/>
    <w:rPr>
      <w:rFonts w:ascii="EUAlbertina" w:eastAsiaTheme="minorEastAsia" w:hAnsi="EUAlbertina" w:cstheme="minorBidi"/>
      <w:color w:val="auto"/>
      <w:lang w:val="hu-HU" w:eastAsia="en-US"/>
    </w:rPr>
  </w:style>
  <w:style w:type="paragraph" w:customStyle="1" w:styleId="CM31">
    <w:name w:val="CM3+1"/>
    <w:basedOn w:val="Default"/>
    <w:next w:val="Default"/>
    <w:uiPriority w:val="99"/>
    <w:rsid w:val="00BD16F2"/>
    <w:rPr>
      <w:rFonts w:ascii="EUAlbertina" w:eastAsiaTheme="minorEastAsia" w:hAnsi="EUAlbertina" w:cstheme="minorBidi"/>
      <w:color w:val="auto"/>
      <w:lang w:val="hu-HU" w:eastAsia="en-US"/>
    </w:rPr>
  </w:style>
  <w:style w:type="paragraph" w:customStyle="1" w:styleId="CM13">
    <w:name w:val="CM1+3"/>
    <w:basedOn w:val="Default"/>
    <w:next w:val="Default"/>
    <w:uiPriority w:val="99"/>
    <w:rsid w:val="00BD16F2"/>
    <w:rPr>
      <w:rFonts w:ascii="EUAlbertina" w:eastAsiaTheme="minorEastAsia" w:hAnsi="EUAlbertina" w:cstheme="minorBidi"/>
      <w:color w:val="auto"/>
      <w:lang w:val="hu-HU" w:eastAsia="en-US"/>
    </w:rPr>
  </w:style>
  <w:style w:type="paragraph" w:customStyle="1" w:styleId="CM33">
    <w:name w:val="CM3+3"/>
    <w:basedOn w:val="Default"/>
    <w:next w:val="Default"/>
    <w:uiPriority w:val="99"/>
    <w:rsid w:val="00BD16F2"/>
    <w:rPr>
      <w:rFonts w:ascii="EUAlbertina" w:eastAsiaTheme="minorEastAsia" w:hAnsi="EUAlbertina" w:cstheme="minorBidi"/>
      <w:color w:val="auto"/>
      <w:lang w:val="hu-HU" w:eastAsia="en-US"/>
    </w:rPr>
  </w:style>
  <w:style w:type="character" w:customStyle="1" w:styleId="ListParagraphChar">
    <w:name w:val="List Paragraph Char"/>
    <w:basedOn w:val="DefaultParagraphFont"/>
    <w:link w:val="ListParagraph"/>
    <w:uiPriority w:val="34"/>
    <w:locked/>
    <w:rsid w:val="00BD16F2"/>
  </w:style>
  <w:style w:type="character" w:customStyle="1" w:styleId="UnresolvedMention1">
    <w:name w:val="Unresolved Mention1"/>
    <w:basedOn w:val="DefaultParagraphFont"/>
    <w:uiPriority w:val="99"/>
    <w:semiHidden/>
    <w:unhideWhenUsed/>
    <w:rsid w:val="00BD16F2"/>
    <w:rPr>
      <w:color w:val="605E5C"/>
      <w:shd w:val="clear" w:color="auto" w:fill="E1DFDD"/>
    </w:rPr>
  </w:style>
  <w:style w:type="character" w:styleId="Mention">
    <w:name w:val="Mention"/>
    <w:basedOn w:val="DefaultParagraphFont"/>
    <w:uiPriority w:val="99"/>
    <w:unhideWhenUsed/>
    <w:rsid w:val="00BD16F2"/>
    <w:rPr>
      <w:color w:val="2B579A"/>
      <w:shd w:val="clear" w:color="auto" w:fill="E1DFDD"/>
    </w:rPr>
  </w:style>
  <w:style w:type="paragraph" w:customStyle="1" w:styleId="pf0">
    <w:name w:val="pf0"/>
    <w:basedOn w:val="Normal"/>
    <w:rsid w:val="00BD16F2"/>
    <w:pPr>
      <w:spacing w:before="100" w:beforeAutospacing="1" w:after="100" w:afterAutospacing="1"/>
      <w:jc w:val="left"/>
    </w:pPr>
    <w:rPr>
      <w:rFonts w:ascii="Times New Roman" w:hAnsi="Times New Roman"/>
      <w:sz w:val="24"/>
      <w:lang w:eastAsia="en-GB"/>
    </w:rPr>
  </w:style>
  <w:style w:type="character" w:customStyle="1" w:styleId="ui-provider">
    <w:name w:val="ui-provider"/>
    <w:basedOn w:val="DefaultParagraphFont"/>
    <w:rsid w:val="00BD16F2"/>
  </w:style>
  <w:style w:type="character" w:customStyle="1" w:styleId="cf01">
    <w:name w:val="cf01"/>
    <w:basedOn w:val="DefaultParagraphFont"/>
    <w:rsid w:val="00BD16F2"/>
    <w:rPr>
      <w:rFonts w:ascii="Segoe UI" w:hAnsi="Segoe UI" w:cs="Segoe UI" w:hint="default"/>
      <w:sz w:val="18"/>
      <w:szCs w:val="18"/>
    </w:rPr>
  </w:style>
  <w:style w:type="paragraph" w:styleId="BodyText">
    <w:name w:val="Body Text"/>
    <w:basedOn w:val="Normal"/>
    <w:link w:val="BodyTextChar"/>
    <w:rsid w:val="00BD16F2"/>
    <w:pPr>
      <w:spacing w:before="0" w:after="140" w:line="259" w:lineRule="auto"/>
      <w:jc w:val="left"/>
    </w:pPr>
    <w:rPr>
      <w:rFonts w:ascii="Liberation Serif" w:eastAsia="SimSun" w:hAnsi="Liberation Serif" w:cs="Lucida Sans"/>
      <w:sz w:val="24"/>
      <w:lang w:val="hu-HU" w:eastAsia="zh-CN" w:bidi="hi-IN"/>
    </w:rPr>
  </w:style>
  <w:style w:type="character" w:customStyle="1" w:styleId="BodyTextChar">
    <w:name w:val="Body Text Char"/>
    <w:basedOn w:val="DefaultParagraphFont"/>
    <w:link w:val="BodyText"/>
    <w:rsid w:val="00BD16F2"/>
    <w:rPr>
      <w:rFonts w:ascii="Liberation Serif" w:eastAsia="SimSun" w:hAnsi="Liberation Serif" w:cs="Lucida Sans"/>
      <w:kern w:val="0"/>
      <w:sz w:val="24"/>
      <w:szCs w:val="24"/>
      <w:lang w:val="hu-HU" w:eastAsia="zh-CN" w:bidi="hi-IN"/>
      <w14:ligatures w14:val="none"/>
    </w:rPr>
  </w:style>
  <w:style w:type="paragraph" w:customStyle="1" w:styleId="Tabelleninhalt">
    <w:name w:val="Tabelleninhalt"/>
    <w:basedOn w:val="Normal"/>
    <w:qFormat/>
    <w:rsid w:val="00BD16F2"/>
    <w:pPr>
      <w:spacing w:before="0" w:after="0" w:line="259" w:lineRule="auto"/>
      <w:jc w:val="left"/>
    </w:pPr>
    <w:rPr>
      <w:rFonts w:ascii="Liberation Serif" w:eastAsia="SimSun" w:hAnsi="Liberation Serif" w:cs="Lucida Sans"/>
      <w:sz w:val="24"/>
      <w:lang w:val="hu-HU" w:eastAsia="zh-CN" w:bidi="hi-IN"/>
    </w:rPr>
  </w:style>
  <w:style w:type="character" w:customStyle="1" w:styleId="cf11">
    <w:name w:val="cf11"/>
    <w:basedOn w:val="DefaultParagraphFont"/>
    <w:rsid w:val="00BD16F2"/>
    <w:rPr>
      <w:rFonts w:ascii="Segoe UI" w:hAnsi="Segoe UI" w:cs="Segoe UI" w:hint="default"/>
      <w:sz w:val="18"/>
      <w:szCs w:val="18"/>
      <w:u w:val="single"/>
    </w:rPr>
  </w:style>
  <w:style w:type="character" w:styleId="UnresolvedMention">
    <w:name w:val="Unresolved Mention"/>
    <w:basedOn w:val="DefaultParagraphFont"/>
    <w:uiPriority w:val="99"/>
    <w:semiHidden/>
    <w:unhideWhenUsed/>
    <w:rsid w:val="00BD16F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62937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48B2F47-92F4-48EA-B739-CC0AC0544475}">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customXml/itemProps2.xml><?xml version="1.0" encoding="utf-8"?>
<ds:datastoreItem xmlns:ds="http://schemas.openxmlformats.org/officeDocument/2006/customXml" ds:itemID="{6952D216-D3C6-4AB8-A370-6C6BC6A81648}">
  <ds:schemaRefs>
    <ds:schemaRef ds:uri="http://schemas.microsoft.com/sharepoint/v3/contenttype/forms"/>
  </ds:schemaRefs>
</ds:datastoreItem>
</file>

<file path=customXml/itemProps3.xml><?xml version="1.0" encoding="utf-8"?>
<ds:datastoreItem xmlns:ds="http://schemas.openxmlformats.org/officeDocument/2006/customXml" ds:itemID="{6FB4146B-86BB-43A7-9E4D-252517D7706C}"/>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0</TotalTime>
  <Pages>13</Pages>
  <Words>4476</Words>
  <Characters>25519</Characters>
  <Application>Microsoft Office Word</Application>
  <DocSecurity>0</DocSecurity>
  <Lines>212</Lines>
  <Paragraphs>59</Paragraphs>
  <ScaleCrop>false</ScaleCrop>
  <Company/>
  <LinksUpToDate>false</LinksUpToDate>
  <CharactersWithSpaces>29936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2024-06-19T18:05:00Z</dcterms:created>
  <dcterms:modified xsi:type="dcterms:W3CDTF">2024-06-21T12:21:00Z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ies>
</file>