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HU</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II. MELLÉKLET</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„II. MELLÉKLET</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II. RÉSZ: TÁBLASPECIFIKUS ÚTMUTATÓ</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Partnerkockázat</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A partnerkockázati táblák alkalmazási köre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119</w:t>
      </w:r>
      <w:r>
        <w:fldChar w:fldCharType="end"/>
      </w:r>
      <w:r>
        <w:t>. A partnerkockázati táblák az 575/2013/EU rendelet harmadik része II. címének 4. és 6. fejezete alkalmazásában partnerkockázattal érintett kitettségekre vonatkozó információkat tartalmazzák.</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120</w:t>
      </w:r>
      <w:r>
        <w:fldChar w:fldCharType="end"/>
      </w:r>
      <w:r>
        <w:t xml:space="preserve">. A táblák nem tartalmazzák a CVA-kockázathoz (az 575/2013/EU rendelet 92. cikke (3) bekezdésének d) pontja és harmadik részének VI. címe) kapcsolódó szavatolótőke-követelményeket, amelyek a CVA-kockázatra vonatkozó táblában szerepelnek.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121</w:t>
      </w:r>
      <w:r>
        <w:fldChar w:fldCharType="end"/>
      </w:r>
      <w:r>
        <w:t>. Eltérő rendelkezés hiányában a központi szerződő felekkel szembeni partnerkockázati kitettségeket (az 575/2013/EU rendelet harmadik része II. címének 4. fejezete és 6. fejezetének 9. szakasza) bele kell foglalni a partnerkockázati számadatokba. Az 575/2013/EU rendelet 307–310. cikkének megfelelően kiszámított garanciaalap-hozzájárulásokat azonban nem kell feltüntetni a partnerkockázati táblákban, kivéve a C 34.10-es táblát, különösen a megfelelő sorokat. Rendes esetben a garanciaalaphoz való hozzájárulások kockázattal súlyozott kitettségértékeit közvetlenül a C 02.00-es tábla 0460-as sorában kell feltüntetni.</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A származtatott ügyleti tevékenység mérete</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Általános megjegyzések</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122</w:t>
      </w:r>
      <w:r>
        <w:fldChar w:fldCharType="end"/>
      </w:r>
      <w:r>
        <w:t xml:space="preserve">. Az 575/2013/EU rendelet 273a. cikkével összhangban az intézmények származtatott pozícióik kitettségértékét az 575/2013/EU rendelet harmadik része II. címe 6. fejezetének 4. vagy 5. szakaszában meghatározott módszerrel is kiszámíthatják, feltéve, hogy mérlegen belüli és mérlegen kívüli származtatott ügyleti tevékenységük nagyságrendje nem haladja meg az előre meghatározott küszöbértékeket. A vonatkozó értékelést havonta, a hónap utolsó napján érvényes </w:t>
      </w:r>
      <w:r>
        <w:lastRenderedPageBreak/>
        <w:t>adatok felhasználásával kell elvégezni. Ez a tábla az említett küszöbértékeknek való megfelelésre vonatkozó információkat, és általánosabban a származtatott üzletág méretére vonatkozó fontos információkat tartalmazza.</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123</w:t>
      </w:r>
      <w:r>
        <w:fldChar w:fldCharType="end"/>
      </w:r>
      <w:r>
        <w:t>. Az 1. hónap, 2. hónap, 3. hónap a jelentett negyedév első, második, illetve utolsó hónapjára vonatkozik. Az információkat csak a 2021. június 28. utáni hónapvégekre vonatkozóan kell jelenteni.</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A tábla egyes részeire vonatkozó útmutató</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Oszlopok</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HOSSZÚ SZÁRMAZTATOTT POZÍCIÓK</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Az 575/2013/EU rendelet 273a. cikkének (3) bekezdése</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A hosszú származtatott pozíciók abszolút piaci értékének a hónap utolsó napján érvényes összegét kell megadni.</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RÖVID SZÁRMAZTATOTT POZÍCIÓK</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Az 575/2013/EU rendelet 273a. cikkének (3) bekezdése</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A rövid származtatott pozíciók abszolút piaci értékének a hónap utolsó napján érvényes összegét kell megadni.</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ÖSSZESEN</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b) pontja</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A hosszú származtatott pozíciók abszolút értékének és a rövid származtatott pozíciók abszolút értékének összege.</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Sorok</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származtatott ügyleti tevékenység mérete</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(3) bekezdése</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Minden mérlegen belüli és mérlegen kívüli származtatott ügyletet figyelembe kell venni, kivéve a nem kereskedési könyvi hitelkockázati kitettségekkel szembeni belső fedezeti ügyletként megjelenített </w:t>
            </w:r>
            <w:proofErr w:type="spellStart"/>
            <w:r>
              <w:rPr>
                <w:rStyle w:val="InstructionsTabelleberschrift"/>
                <w:rFonts w:ascii="Times New Roman" w:hAnsi="Times New Roman"/>
                <w:b w:val="0"/>
                <w:sz w:val="24"/>
                <w:u w:val="none"/>
              </w:rPr>
              <w:t>hitelderivatívákat</w:t>
            </w:r>
            <w:proofErr w:type="spellEnd"/>
            <w:r>
              <w:rPr>
                <w:rStyle w:val="InstructionsTabelleberschrift"/>
                <w:rFonts w:ascii="Times New Roman" w:hAnsi="Times New Roman"/>
                <w:b w:val="0"/>
                <w:sz w:val="24"/>
                <w:u w:val="none"/>
              </w:rPr>
              <w:t>.</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Mérlegen belüli és mérlegen kívüli származtatott ügyletek</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a) és b) pontja</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mérlegen belüli és kívüli származtatott pozícióknak a hónap utolsó napján érvényes teljes piaci értékét kell megadni.</w:t>
            </w:r>
            <w:r>
              <w:rPr>
                <w:rFonts w:ascii="Times New Roman" w:hAnsi="Times New Roman"/>
                <w:sz w:val="24"/>
              </w:rPr>
              <w:t xml:space="preserve"> Amennyiben a pozíció adott napi piaci értéke nem áll rendelkezésre, az intézménynek a pozíció adott napi valós értékét kell figyelembe vennie; amennyiben sem a pozíció valós, sem piaci értéke nem áll </w:t>
            </w:r>
            <w:r>
              <w:rPr>
                <w:rFonts w:ascii="Times New Roman" w:hAnsi="Times New Roman"/>
                <w:sz w:val="24"/>
              </w:rPr>
              <w:lastRenderedPageBreak/>
              <w:t>rendelkezésre az adott napra vonatkozóan, az intézménynek az érintett pozíció legutóbbi valós vagy piaci értékét kell figyelembe vennie.</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xml:space="preserve">(−) A nem kereskedési könyvi hitelkockázati kitettségekkel szembeni belső fedezeti ügyletként megjelenített </w:t>
            </w:r>
            <w:proofErr w:type="spellStart"/>
            <w:r>
              <w:rPr>
                <w:rFonts w:ascii="Times New Roman" w:hAnsi="Times New Roman"/>
                <w:b/>
                <w:sz w:val="24"/>
                <w:u w:val="single"/>
              </w:rPr>
              <w:t>hitelderivatívák</w:t>
            </w:r>
            <w:proofErr w:type="spellEnd"/>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cikke (3) bekezdésének</w:t>
            </w:r>
            <w:r>
              <w:rPr>
                <w:rFonts w:ascii="Times New Roman" w:hAnsi="Times New Roman"/>
                <w:sz w:val="24"/>
              </w:rPr>
              <w:t xml:space="preserve"> c) pontja</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A nem kereskedési könyvi hitelkockázati kitettségekkel szembeni belső fedezeti ügyletként megjelenített </w:t>
            </w:r>
            <w:proofErr w:type="spellStart"/>
            <w:r>
              <w:rPr>
                <w:rFonts w:ascii="Times New Roman" w:hAnsi="Times New Roman"/>
                <w:sz w:val="24"/>
              </w:rPr>
              <w:t>hitelderivatívák</w:t>
            </w:r>
            <w:proofErr w:type="spellEnd"/>
            <w:r>
              <w:rPr>
                <w:rFonts w:ascii="Times New Roman" w:hAnsi="Times New Roman"/>
                <w:sz w:val="24"/>
              </w:rPr>
              <w:t xml:space="preserve"> teljes piaci értéke.</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Eszközök összesen</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mérlegfőösszeg az alkalmazandó számviteli szabályozásnak megfelelően.</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Konszolidált adatszolgáltatás esetében az intézménynek a mérlegfőösszeget az 575/2013/EU rendelet első része II. címe 2. fejezetének 2. szakaszával összhangban, a </w:t>
            </w:r>
            <w:proofErr w:type="spellStart"/>
            <w:r>
              <w:rPr>
                <w:rStyle w:val="InstructionsTabelleberschrift"/>
                <w:rFonts w:ascii="Times New Roman" w:hAnsi="Times New Roman"/>
                <w:b w:val="0"/>
                <w:sz w:val="24"/>
                <w:u w:val="none"/>
              </w:rPr>
              <w:t>prudenciális</w:t>
            </w:r>
            <w:proofErr w:type="spellEnd"/>
            <w:r>
              <w:rPr>
                <w:rStyle w:val="InstructionsTabelleberschrift"/>
                <w:rFonts w:ascii="Times New Roman" w:hAnsi="Times New Roman"/>
                <w:b w:val="0"/>
                <w:sz w:val="24"/>
                <w:u w:val="none"/>
              </w:rPr>
              <w:t xml:space="preserve"> konszolidáció hatókörét</w:t>
            </w:r>
            <w:r>
              <w:rPr>
                <w:rFonts w:ascii="Times New Roman" w:hAnsi="Times New Roman"/>
                <w:sz w:val="24"/>
              </w:rPr>
              <w:t xml:space="preserve"> követve kell megadnia</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Származtatott ügyleti tevékenység az összes eszköz százalékos arányában</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 mutatót úgy kell kiszámítani, hogy a származtatott ügyleti tevékenység méretét (0010-es sor) el kell osztani az összes eszközzel (0040-es sor).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ELTÉRÉS AZ 575/2013/EU RENDELET 273a. CIKKÉNEK (4) BEKEZDÉSÉVEL ÖSSZHANGBAN</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Teljesülnek-e az 575/2013/EU rendelet </w:t>
            </w:r>
            <w:r>
              <w:rPr>
                <w:rStyle w:val="InstructionsTabelleberschrift"/>
                <w:rFonts w:ascii="Times New Roman" w:hAnsi="Times New Roman"/>
                <w:sz w:val="24"/>
              </w:rPr>
              <w:t>273a. cikkének (4) bekezdésében foglalt feltételek, beleértve az illetékes hatóság jóváhagyását?</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(4) bekezdése</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Azoknak az intézményeknek, amelyek túllépik a partnerkockázatra vonatkozó egyszerűsített módszer alkalmazásához szükséges küszöbértékeket, de az 575/2013/EU rendelet 273a. cikkének (4) bekezdése</w:t>
            </w:r>
            <w:r>
              <w:rPr>
                <w:rFonts w:ascii="Times New Roman" w:hAnsi="Times New Roman"/>
                <w:sz w:val="24"/>
              </w:rPr>
              <w:t xml:space="preserve"> alapján </w:t>
            </w:r>
            <w:r>
              <w:rPr>
                <w:rStyle w:val="InstructionsTabelleberschrift"/>
                <w:rFonts w:ascii="Times New Roman" w:hAnsi="Times New Roman"/>
                <w:b w:val="0"/>
                <w:sz w:val="24"/>
                <w:u w:val="none"/>
              </w:rPr>
              <w:t>még alkalmazzák valamelyiket, fel kell tüntetniük (igen/nemmel), hogy teljesítik-e az említett cikkben foglalt valamennyi feltételt.</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Ezt az információt csak az 575/2013/EU rendelet 273a. cikkének</w:t>
            </w:r>
            <w:r>
              <w:rPr>
                <w:rFonts w:ascii="Times New Roman" w:hAnsi="Times New Roman"/>
                <w:sz w:val="24"/>
              </w:rPr>
              <w:t xml:space="preserve"> (4) bekezdése szerinti eltérést alkalmazó intézmények tüntethetik fel</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kitettségértékek kiszámításának módszere konszolidált szinten</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273a. cikkének</w:t>
            </w:r>
            <w:r>
              <w:rPr>
                <w:rFonts w:ascii="Times New Roman" w:hAnsi="Times New Roman"/>
                <w:sz w:val="24"/>
              </w:rPr>
              <w:t xml:space="preserve"> (4) bekezdése</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származtatott pozíciók kitettségértékének konszolidált alapon történő kiszámítására szolgáló módszer, amelyet az 575/2013/EU rendelet 273a. cikkének (4) bekezdésével összhangban az egyes jogalanyok</w:t>
            </w:r>
            <w:r>
              <w:rPr>
                <w:rFonts w:ascii="Times New Roman" w:hAnsi="Times New Roman"/>
                <w:sz w:val="24"/>
              </w:rPr>
              <w:t xml:space="preserve"> szintjén is alkalmaznak</w:t>
            </w:r>
            <w:r>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az eredeti kitettség szerinti módszer</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egyszerűsített SA-CCR: a partnerkockázatra alkalmazandó egyszerűsített sztenderd módszer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Ezt az információt csak az 575/2013/EU rendelet 273a. cikkének (4) bekezdése szerinti eltérést alkalmazó intézmények</w:t>
            </w:r>
            <w:r>
              <w:rPr>
                <w:rFonts w:ascii="Times New Roman" w:hAnsi="Times New Roman"/>
                <w:sz w:val="24"/>
              </w:rPr>
              <w:t xml:space="preserve"> tüntethetik fel</w:t>
            </w:r>
            <w:r>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Partnerkockázati kitettségek módszer szerint</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Általános megjegyzések</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124</w:t>
      </w:r>
      <w:r>
        <w:fldChar w:fldCharType="end"/>
      </w:r>
      <w:r>
        <w:t>. Az intézményeknek a C 34.10-es tábla alkalmazásában meghatározott valamennyi partnerkockázati kitettségre, illetve valamennyi, a központi szerződő felekkel szembeni kitettségeken kívüli partnerkockázati kitettségre vonatkozóan külön kell kitölteniük a táblát.</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A tábla egyes részeire vonatkozó útmutató</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PARTNEREK SZÁMA</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Azon egyedi partnerek száma, amelyekkel szemben az intézmény partnerkockázati kitettséggel rendelkezik.</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A partnerkockázatnak kitett ügyletek száma az adatszolgáltatás időpontjában. Megjegyzendő, hogy a központi szerződő féllel szembeni tevékenységre vonatkozó adatok nem tartalmazhatnak be- és kiáramlásokat, hanem a CCR-portfólióban az adatszolgáltatás időpontjában meglévő összes pozíciót tartalmazzák. Továbbá azokat a származtatott eszközöket vagy értékpapír-finanszírozási ügyleteket, amelyeket modellezés céljából (legalább) két vagy több szakaszra osztanak, továbbra is egyetlen ügyletnek kell tekinteni.</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származtatott ügyletek és az értékpapír-finanszírozási ügyletek névleges értékének összege nettósítás és az 575/2013/EU rendelet 279b. cikke szerinti kiigazítás nélkül.</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272. cikkének 12. pontja</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Az 575/2013/EU rendelet 272. cikkének 12. pontjában meghatározott pozitív aktuális piaci értékkel (CMV) rendelkező összes nettósítási halmaz aktuális piaci értékének összege.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272. cikkének 12. pontja</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Az 575/2013/EU rendelet 272. cikkének 12. pontjában meghatározott negatív aktuális piaci értékkel (CMV) rendelkező összes nettósítási halmaz aktuális abszolút piaci értékének összege.</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KAPOTT</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275. cikkének (2) és (3) bekezdése és 276. cikke</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letéti megállapodások alapján kapott változó letét (VM) összege, az 575/2013/EU rendelet 276. cikkének megfelelően számítva.</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KIHELYEZETT</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275. cikkének (2) és (3) bekezdése és 276. cikke</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 letéti megállapodások alapján kihelyezett változó letét (VM) összege, az 575/2013/EU rendelet 276. cikkének megfelelően számítva.</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KAPOTT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272. cikkének 12a. pontja, 275. cikkének (3) bekezdése és 276. cikke</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letéti megállapodások alapján kapott nettó független biztosítékok (NICA) összege, az 575/2013/EU rendelet 276. cikkének megfelelően számítva.</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KIHELYEZETT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272. cikkének 12a. pontja, 275. cikkének (3) bekezdése és 276. cikke</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 letéti megállapodások alapján kihelyezett nettó független biztosítékok (NICA) összege, az 575/2013/EU rendelet 276. cikkének megfelelően számítva.</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PÓTLÁSI KÖLTSÉG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Az 575/2013/EU rendelet 275., 281. és 282. cikke</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Az egyes nettósítási halmazok pótlási költségét (RC) a következőkkel összhangban kell kiszámítani: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az 575/2013/EU rendelet 282. cikkének (3) bekezdése az eredeti kitettség szerinti módszer esetében;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az 575/2013/EU rendelet 281. cikke az egyszerűsített SA-CCR esetében;</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az 575/2013/EU rendelet 275. cikke az SA-CCR esetében.</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Az intézmény a nettósítási halmazok pótlási költségeinek összegét a megfelelő sorban köteles feltüntetni.</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Az 575/2013/EU rendelet 278., 281. és 282. cikke</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Az egyes nettósítási halmazok potenciális jövőbeli kitettségét (PFE) a következőkkel összhangban kell kiszámítani: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az 575/2013/EU rendelet 282. cikkének (4) bekezdése az eredeti kitettség szerinti módszer esetében;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az 575/2013/EU rendelet 281. cikke az egyszerűsített SA-CCR esetében;</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az 575/2013/EU rendelet 278. cikke az SA-CCR esetében.</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lastRenderedPageBreak/>
              <w:t>Az intézmény a nettósítási halmazok potenciális jövőbeli kitettségeinek összegét a megfelelő sorban köteles feltüntetni.</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Az 575/2013/EU rendelet 272. cikkének 17. pontja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 nettósítási </w:t>
            </w:r>
            <w:proofErr w:type="spellStart"/>
            <w:r>
              <w:rPr>
                <w:rFonts w:ascii="Times New Roman" w:hAnsi="Times New Roman"/>
                <w:sz w:val="24"/>
              </w:rPr>
              <w:t>halmazonkénti</w:t>
            </w:r>
            <w:proofErr w:type="spellEnd"/>
            <w:r>
              <w:rPr>
                <w:rFonts w:ascii="Times New Roman" w:hAnsi="Times New Roman"/>
                <w:sz w:val="24"/>
              </w:rPr>
              <w:t xml:space="preserve"> aktuális kitettség az 575/2013/EU rendelet 272. cikkének 17. pontjában meghatározott érték.</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Az intézmény a nettósítási halmazok aktuális kitettségeinek összegét a megfelelő sorban köteles feltüntetni.</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Az 575/2013/EU rendelet 272. cikkének 22. pontja és 284. cikkének (3) és (6) bekezdése</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 xml:space="preserve">A nettósítási </w:t>
            </w:r>
            <w:proofErr w:type="spellStart"/>
            <w:r>
              <w:rPr>
                <w:rFonts w:ascii="Times New Roman" w:hAnsi="Times New Roman"/>
                <w:color w:val="auto"/>
              </w:rPr>
              <w:t>halmazonkénti</w:t>
            </w:r>
            <w:proofErr w:type="spellEnd"/>
            <w:r>
              <w:rPr>
                <w:rFonts w:ascii="Times New Roman" w:hAnsi="Times New Roman"/>
                <w:color w:val="auto"/>
              </w:rPr>
              <w:t xml:space="preserve"> EEPE-t az 575/2013/EU rendelet 272. cikkének 22. pontja határozza meg, és azt az 575/2013/EU rendelet 284. cikkének (6) bekezdése szerint kell kiszámítani.</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Az intézménynek a szavatolótőke-követelménynek az 575/2013/EU rendelet 284. cikkének (3) bekezdése szerinti meghatározásához alkalmazott EEPE-k összegét kell megadnia, azaz az aktuális piaci adatok alapján kiszámított EEPE-t vagy a stresszkalibrációval kiszámított EEPE-t, attól függően, hogy melyik eredményezi a magasabb szavatolótőke-követelményt.</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 SZABÁLYOZÓI KITETTSÉGÉRTÉK KISZÁMÍTÁSÁHOZ HASZNÁLT ALFA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Az 575/2013/EU rendelet 274. cikkének (2) bekezdése, 282. cikkének (2) bekezdése, 281. cikkének (1) bekezdése, 284. cikkének (4) és (9) bekezdése</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Az α értéke az 575/2013/EU rendelet 282. cikkének (2) bekezdésével, 281. cikkének (1) bekezdésével és 274. cikkének (2) bekezdésével összhangban az eredeti kitettség szerinti módszerre, az egyszerűsített SA-CCR-re és az SA-CCR-re vonatkozó sorokban 1,4. A belső modell módszer alkalmazásában az α értéke lehet az alapértelmezett 1,4, vagy lehet más érték, amennyiben az illetékes hatóságok az 575/2013/EU rendelet 284. cikkének (4) bekezdésével összhangban magasabb α értéket írnak elő, vagy engedélyezik az intézmények számára, hogy az említett rendelet 284. cikkének (9) bekezdésével összhangban saját becsléseiket alkalmazzák.</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KITETTSÉGÉRTÉK HITELKOCKÁZAT-MÉRSÉKLÉS ELŐTT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 partnerkockázati nettósítási halmazok hitelkockázat-mérséklés előtti kitettségértékét az 575/2013/EU rendelet harmadik része II. címének 4. és 6. fejezetében meghatározott módszerekkel összhangban kell kiszámítani, figyelembe véve a nettósítás hatását, de figyelmen kívül hagyva minden más hitelkockázat-mérséklési technikát (pl. letéti biztosíték).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Értékpapír-finanszírozási ügyletek esetében az értékpapíroldalt nem kell figyelembe venni a hitelkockázat-mérséklés előtti kitettségérték meghatározása során, ha van kapott biztosíték, ezért az nem csökkentheti a kitettségértéket. Ezzel szemben az értékpapír-finanszírozási ügyletek értékpapíroldalát a hitelkockázat-mérséklés előtti kitettségérték </w:t>
            </w:r>
            <w:r>
              <w:rPr>
                <w:rFonts w:ascii="Times New Roman" w:hAnsi="Times New Roman"/>
                <w:sz w:val="24"/>
              </w:rPr>
              <w:lastRenderedPageBreak/>
              <w:t xml:space="preserve">meghatározásakor a szokásos módon figyelembe kell venni, ha biztosíték kerül kihelyezésre.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Továbbá a biztosítékkal fedezett üzleti tevékenységet biztosítékkal nem fedezettként kell kezelni, azaz nem alkalmazandó letéti hatás.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Azon ügyletek hitelkockázat-mérséklés előtti kitettségértékét, amelyeknél egyedi rossz irányú kockázatot azonosítottak, az 575/2013/EU rendelet 291. cikkével összhangban kell meghatározni.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 hitelkockázat-mérséklés előtti kitettségértéknél nem vehető figyelembe a felmerült CVA-veszteség 575/2013/EU rendelet 273. cikkének (6) bekezdése szerinti levonása.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Az intézmény a hitelkockázat-mérséklés előtti kitettségértékek összegét a megfelelő sorban köteles feltüntetni.</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KITETTSÉGÉRTÉK HITELKOCKÁZAT-MÉRSÉKLÉS UTÁN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 partnerkockázati nettósítási halmazok hitelkockázat-mérséklés utáni kitettségértékét az 575/2013/EU rendelet harmadik része II. címének 4. és 6. fejezetében meghatározott módszerekkel összhangban kell kiszámítani, figyelembe véve az említett rendelet harmadik része II. címe 4. és 6. fejezetének megfelelően alkalmazandó hitelkockázat-mérséklési technikák hatását.</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Azon ügyletek hitelkockázat-mérséklés utáni kitettségértékét, amelyeknél egyedi rossz irányú kockázatot azonosítottak, az 575/2013/EU rendelet 291. cikkével összhangban kell meghatározni.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A hitelkockázat-mérséklés utáni kitettségértéknél nem vehető figyelembe a felmerült CVA-veszteség 575/2013/EU rendelet 273. cikkének (6) bekezdése szerinti levonása.</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Az intézmény a hitelkockázat-mérséklés utáni kitettségértékek összegét a megfelelő sorban köteles feltüntetni.</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KITETTSÉGÉRTÉK</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 partnerkockázati nettósítási halmazokhoz kapcsolódó, az 575/2013/EU rendelet harmadik része II. címének 4. és 6. fejezetében meghatározott módszereknek megfelelően, azaz az 575/2013/EU rendelet harmadik része II. címének 4. és 6. fejezetével összhangban alkalmazandó hitelkockázat-mérséklési technikák alkalmazásával és a CVA-veszteségnek az 575/2013/EU rendelet 273. cikkének (6) bekezdésében említett levonásával számított kitettségérték, amely a kockázattal súlyozott kitettségérték kiszámítása tekintetében a releváns összeg. </w:t>
            </w:r>
          </w:p>
          <w:p w14:paraId="78D55FF1" w14:textId="77777777" w:rsidR="00EF74C7" w:rsidRPr="002A677E" w:rsidRDefault="00EF74C7" w:rsidP="00822842">
            <w:pPr>
              <w:rPr>
                <w:rFonts w:ascii="Times New Roman" w:hAnsi="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Azokban az esetekben, amikor egy partnerre egynél több partnerkockázati módszert alkalmaznak, a partner szintjén levont, felmerült CVA-veszteséget hozzá kell rendelni az egyes partnerkockázati módszerek szerinti egyes nettósítási halmazok kitettségértékéhez, tükrözve az adott nettósítási </w:t>
            </w:r>
            <w:r>
              <w:rPr>
                <w:rFonts w:ascii="Times New Roman" w:hAnsi="Times New Roman"/>
                <w:sz w:val="24"/>
              </w:rPr>
              <w:lastRenderedPageBreak/>
              <w:t>halmazok hitelkockázat-mérséklés utáni kitettségértékének a partner hitelkockázat-mérséklés utáni teljes kitettségértékéhez viszonyított arányát.</w:t>
            </w:r>
          </w:p>
          <w:p w14:paraId="0C842EAD" w14:textId="77777777" w:rsidR="00EF74C7" w:rsidRPr="002A677E" w:rsidRDefault="00EF74C7" w:rsidP="00822842">
            <w:r>
              <w:rPr>
                <w:rFonts w:ascii="Times New Roman" w:hAnsi="Times New Roman"/>
                <w:sz w:val="24"/>
              </w:rPr>
              <w:t>Az intézmény a kitettségértékek összegét a megfelelő sorban köteles feltüntetni.</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sztenderd módszerrel kezelt pozíciók</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Az 575/2013/EU rendelet harmadik része II. címének 2. fejezetével összhangban a hitelkockázat sztenderd módszerével kezelt pozíciók partnerkockázati kitettségértéke.</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IRB módszerrel kezelt pozíciók</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A hitelkockázatra vonatkozó IRB módszerrel kezelt pozíciók partnerkockázati kitettségértéke az 575/2013/EU rendelet harmadik része II. címének 3. fejezetével összhangban.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KOCKÁZATTAL SÚLYOZOTT KITETTSÉGÉRTÉK</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Az 575/2013/EU rendelet 92. cikkének (3) bekezdésében meghatározott partnerkockázatra vonatkozó kockázattal súlyozott kitettségértékek, amelyeket a harmadik rész II. címének 2. és 3. fejezetében meghatározott módszereknek megfelelően kell kiszámítani.</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Az 575/2013/EU rendelet 501. cikkében és 501a. cikkében említett kkv-szorzót és infrastruktúra-szorzót figyelembe kell venni.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sztenderd módszerrel kezelt pozíciók</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Az 575/2013/EU rendelet harmadik része II. címének 2. fejezetével összhangban a hitelkockázat sztenderd módszerével kezelt partnerkockázati kitettségek kockázattal súlyozott kitettségértéke. </w:t>
            </w:r>
          </w:p>
          <w:p w14:paraId="21C6ADFA" w14:textId="77777777" w:rsidR="00EF74C7" w:rsidRPr="002A677E" w:rsidRDefault="00EF74C7" w:rsidP="00822842">
            <w:pPr>
              <w:rPr>
                <w:rFonts w:ascii="Times New Roman" w:hAnsi="Times New Roman"/>
                <w:sz w:val="24"/>
              </w:rPr>
            </w:pPr>
            <w:r>
              <w:rPr>
                <w:rFonts w:ascii="Times New Roman" w:hAnsi="Times New Roman"/>
                <w:sz w:val="24"/>
              </w:rPr>
              <w:t>Az összeg a C 07.00-es tábla 0220-as oszlopában a partnerkockázati pozíciókra vonatkozóan feltüntetendő összegnek felel meg.</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 CR IRB módszerrel kezelt pozíciók</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A hitelkockázatra vonatkozó IRB módszerrel kezelt partnerkockázati kitettségek kockázattal súlyozott kitettségértéke az 575/2013/EU rendelet harmadik része II. címének 3. fejezetével összhangban.</w:t>
            </w:r>
          </w:p>
          <w:p w14:paraId="3FB6A074" w14:textId="77777777" w:rsidR="00EF74C7" w:rsidRPr="002A677E" w:rsidRDefault="00EF74C7" w:rsidP="00822842">
            <w:pPr>
              <w:rPr>
                <w:rFonts w:ascii="Times New Roman" w:hAnsi="Times New Roman"/>
                <w:sz w:val="24"/>
              </w:rPr>
            </w:pPr>
            <w:r>
              <w:rPr>
                <w:rFonts w:ascii="Times New Roman" w:hAnsi="Times New Roman"/>
                <w:sz w:val="24"/>
              </w:rPr>
              <w:t>Az összeg a C 08.01-es tábla 0260-as oszlopában a partnerkockázati pozíciókra vonatkozóan feltüntetendő összegnek felel meg.</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TŐKE-KÜSZÖBÉRTÉK</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 tőkeküszöbérték hatálya alá tartozó intézmények esetében az 575/2013/EU rendelet 92. cikke (3) bekezdésében meghatározottak szerint.</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AZ S-TREA KISZÁMÍTÁSÁHOZ HASZNÁLT KITETTSÉGÉRTÉK</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 CCR-kitettségekre vonatkozó sztenderd teljes kockázati kitettségérték (S-TREA) számításához használt kitettségérték, az 575/2013/EU rendelet 92. cikkének (5) bekezdésével összhangban kiszámítva.</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lastRenderedPageBreak/>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 CCR-kitettségekre vonatkozó sztenderd teljes kockázati kitettségérték (S-TREA), az 575/2013/EU rendelet 92. cikkének (5) bekezdésével összhangban kiszámítva.</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TÁJÉKOZTATÓ ADATOK: AZ 575/2013/EU RENDELET 465. CIKKE (4) BEKEZDÉSE ALKALMAZÁSÁNAK HATÁSÁVAL KAPCSOLATOS KOCKÁZATTAL SÚLYOZOTT KITETTSÉGÉRTÉK</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Az 575/2013/EU rendelet 465. cikkének (4) bekezdése. A kockázattal súlyozott kitettségértéknek az átmeneti rendelkezések alkalmazása nélkül számított összege és az átmeneti rendelkezések alkalmazásával számított összege közötti különbséget kell feltüntetni.</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Sor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EREDETI KITETTSÉG MÓDSZERE (SZÁRMAZTATOTT ÜGYLETEK ESETÉBEN)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Olyan származtatott ügyletek és hosszú kiegyenlítési idejű ügyletek, amelyek kitettségértékét az intézmény az 575/2013/EU rendelet harmadik része II. címe 6. fejezetének 5. szakasza szerint számítja ki. A kitettségérték kiszámításához ezt az egyszerűsített módszert csak az 575/2013/EU rendelet 273a. cikkének (2) bekezdésében vagy 273a. cikkének (4) bekezdésében meghatározott feltételeket teljesítő intézmények alkalmazhatják.</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PARTNERKOCKÁZATRA VONATKOZÓ EGYSZERŰSÍTETT SZTENDERD MÓDSZER (EGYSZERŰSÍTETT SA-CCR SZÁRMAZTATOTT ÜGYLETEK ESETÉBEN)</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Olyan származtatott ügyletek és hosszú kiegyenlítési idejű ügyletek, amelyek kitettségértékét az intézmény az 575/2013/EU rendelet harmadik része II. címe 6. fejezetének 4. szakasza szerint számítja ki. A kitettségérték kiszámításához ezt az egyszerűsített sztenderd módszert csak az 575/2013/EU rendelet 273a. cikkének (1) bekezdésében vagy 273a. cikkének (4) bekezdésében meghatározott feltételeket teljesítő intézmények alkalmazhatják.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PARTNERKOCKÁZATRA VONATKOZÓ SZTENDERD MÓDSZER (SA-CCR SZÁRMAZTATOTT ÜGYLETEK ESETÉBEN)</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Olyan származtatott ügyletek és hosszú kiegyenlítési idejű ügyletek, amelyek kitettségértékét az intézmény az 575/2013/EU rendelet harmadik része II. címe 6. fejezetének 3. szakasza szerint számítja ki.</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BELSŐ MODELL MÓDSZER (IMM) (SZÁRMAZTATOTT ÜGYLETEK ÉS ÉRTÉKPAPÍR-FINANSZÍROZÁSI ÜGYLETEK ESETÉBEN)</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Származtatott ügyletek, hosszú kiegyenlítési idejű ügyletek és értékpapír-finanszírozási ügyletek, amelyek esetében az intézmény számára engedélyezték, hogy a kitettségértéket a belső modell módszer (IMM) alkalmazásával számítsa ki az 575/2013/EU rendelet harmadik része II. címe 6. fejezetének 6. szakaszával összhangban.</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Értékpapír-finanszírozási ügyletek nettósítási halmazai</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Olyan, kizárólag az 575/2013/EU rendelet 4. cikkének 139. pontjában meghatározott értékpapír-finanszírozási ügyleteket tartalmazó nettósítási halmazok, amelyekre vonatkozóan az intézmény számára engedélyezték a kitettségérték belső modell módszer alkalmazásával történő meghatározását.</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Nem tüntethetők fel ebben a sorban azok az értékpapír-finanszírozási ügyletek, amelyek eltérő termékkategóriák közötti nettósításról szóló szerződéses megállapodásból származó nettósítási halmazok részét képezik és ennélfogva a 0070-es sorban szerepelnek.</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Származtatott és hosszú kiegyenlítési idejű ügyletek nettósítási halmazai</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Nettósítási halmazok, amelyek kizárólag az 575/2013/EU rendelet II. mellékletében felsorolt származtatott ügyleteket és az 575/2013/EU rendelet 272. cikkének 2. pontjában meghatározott hosszú kiegyenlítési idejű ügyleteket tartalmaznak, és amelyekre vonatkozóan az intézmény számára engedélyezték, hogy a belső modell módszer alkalmazásával határozza meg a kitettségértéket.</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0070-es sorban szerepelnek.</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Eltérő termékkategóriák közötti nettósításról szóló szerződéses megállapodásból származó nettósítási halmazok</w:t>
            </w:r>
          </w:p>
          <w:p w14:paraId="118D66FD" w14:textId="77777777" w:rsidR="00EF74C7" w:rsidRPr="002A677E" w:rsidRDefault="00EF74C7" w:rsidP="00822842">
            <w:pPr>
              <w:rPr>
                <w:rFonts w:ascii="Times New Roman" w:hAnsi="Times New Roman"/>
                <w:sz w:val="24"/>
              </w:rPr>
            </w:pPr>
            <w:r>
              <w:rPr>
                <w:rFonts w:ascii="Times New Roman" w:hAnsi="Times New Roman"/>
                <w:sz w:val="24"/>
              </w:rPr>
              <w:t>Az 575/2013/EU rendelet 272. cikkének 11. és 25. pontja</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Különböző termékkategóriákhoz sorolt ügyleteket, </w:t>
            </w:r>
            <w:proofErr w:type="gramStart"/>
            <w:r>
              <w:rPr>
                <w:rFonts w:ascii="Times New Roman" w:hAnsi="Times New Roman"/>
                <w:sz w:val="24"/>
              </w:rPr>
              <w:t>úgy</w:t>
            </w:r>
            <w:proofErr w:type="gramEnd"/>
            <w:r>
              <w:rPr>
                <w:rFonts w:ascii="Times New Roman" w:hAnsi="Times New Roman"/>
                <w:sz w:val="24"/>
              </w:rPr>
              <w:t xml:space="preserve"> mint származtatott ügyleteket és értékpapír-finanszírozási ügyleteket tartalmazó azon nettósítási halmazok (az 575/2013/EU rendelet 272. cikkének 11. pontja), amelyekre az 575/2013/EU rendelet 272. cikkének 25. pontjában meghatározott eltérő termékkategóriák közötti nettósításról szóló szerződéses megállapodás vonatkozik, és amelyek esetében az intézmény számára engedélyezték a kitettségérték belső modell módszer szerinti meghatározását.</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PÉNZÜGYI BIZTOSÍTÉKOK EGYSZERŰ MÓDSZERE (ÉRTÉKPAPÍR-FINANSZÍROZÁSI ÜGYLETEK ESETÉBEN) </w:t>
            </w:r>
          </w:p>
          <w:p w14:paraId="1E933FE3" w14:textId="77777777" w:rsidR="00EF74C7" w:rsidRPr="002A677E" w:rsidRDefault="00EF74C7" w:rsidP="00822842">
            <w:pPr>
              <w:rPr>
                <w:rFonts w:ascii="Times New Roman" w:hAnsi="Times New Roman"/>
                <w:sz w:val="24"/>
              </w:rPr>
            </w:pPr>
            <w:r>
              <w:rPr>
                <w:rFonts w:ascii="Times New Roman" w:hAnsi="Times New Roman"/>
                <w:sz w:val="24"/>
              </w:rPr>
              <w:t>Az 575/2013/EU rendelet 222. cikke</w:t>
            </w:r>
          </w:p>
          <w:p w14:paraId="1206AB47" w14:textId="77777777" w:rsidR="00EF74C7" w:rsidRPr="002A677E" w:rsidRDefault="00EF74C7" w:rsidP="00822842">
            <w:pPr>
              <w:pStyle w:val="TableMainHeading"/>
              <w:spacing w:before="60"/>
              <w:jc w:val="both"/>
              <w:rPr>
                <w:rFonts w:ascii="Times New Roman" w:hAnsi="Times New Roman"/>
                <w:sz w:val="24"/>
                <w:szCs w:val="24"/>
              </w:rPr>
            </w:pPr>
            <w:proofErr w:type="spellStart"/>
            <w:r>
              <w:rPr>
                <w:rFonts w:ascii="Times New Roman" w:hAnsi="Times New Roman"/>
                <w:sz w:val="24"/>
              </w:rPr>
              <w:lastRenderedPageBreak/>
              <w:t>Repoügyletek</w:t>
            </w:r>
            <w:proofErr w:type="spellEnd"/>
            <w:r>
              <w:rPr>
                <w:rFonts w:ascii="Times New Roman" w:hAnsi="Times New Roman"/>
                <w:sz w:val="24"/>
              </w:rPr>
              <w:t>, értékpapír- és áru-kölcsönbeadási, illetve kölcsönvételi ügyletek, hosszú kiegyenlítési idejű ügyletek és értékpapírügylethez kapcsolódó hitelek, amelyek esetében az intézmény úgy döntött, hogy a kitettségértéket az 575/2013/EU rendelet 222. cikke szerint határozza meg, szemben az említett rendelet harmadik része II. címének 6. fejezetével, ugyanezen rendelet 271. cikkének (2) bekezdésével összhangban.</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PÉNZÜGYI BIZTOSÍTÉKOK ÖSSZETETT MÓDSZERE (ÉRTÉKPAPÍR-FINANSZÍROZÁSI ÜGYLETEK ESETÉBEN)</w:t>
            </w:r>
          </w:p>
          <w:p w14:paraId="13A72AE5" w14:textId="77777777" w:rsidR="00EF74C7" w:rsidRPr="002A677E" w:rsidRDefault="00EF74C7" w:rsidP="00822842">
            <w:pPr>
              <w:rPr>
                <w:rFonts w:ascii="Times New Roman" w:hAnsi="Times New Roman"/>
                <w:sz w:val="24"/>
              </w:rPr>
            </w:pPr>
            <w:r>
              <w:rPr>
                <w:rFonts w:ascii="Times New Roman" w:hAnsi="Times New Roman"/>
                <w:sz w:val="24"/>
              </w:rPr>
              <w:t>Az 575/2013/EU rendelet 220. és 223. cikke</w:t>
            </w:r>
          </w:p>
          <w:p w14:paraId="0F255BBA" w14:textId="77777777" w:rsidR="00EF74C7" w:rsidRPr="002A677E" w:rsidRDefault="00EF74C7" w:rsidP="00822842">
            <w:pPr>
              <w:pStyle w:val="TableMainHeading"/>
              <w:spacing w:before="60"/>
              <w:jc w:val="both"/>
              <w:rPr>
                <w:rFonts w:ascii="Times New Roman" w:hAnsi="Times New Roman"/>
                <w:i/>
                <w:sz w:val="24"/>
                <w:szCs w:val="24"/>
              </w:rPr>
            </w:pPr>
            <w:proofErr w:type="spellStart"/>
            <w:r>
              <w:rPr>
                <w:rFonts w:ascii="Times New Roman" w:hAnsi="Times New Roman"/>
                <w:sz w:val="24"/>
              </w:rPr>
              <w:t>Repoügyletek</w:t>
            </w:r>
            <w:proofErr w:type="spellEnd"/>
            <w:r>
              <w:rPr>
                <w:rFonts w:ascii="Times New Roman" w:hAnsi="Times New Roman"/>
                <w:sz w:val="24"/>
              </w:rPr>
              <w:t>, értékpapír- és áru-kölcsönbeadási, illetve kölcsönvételi ügyletek, hosszú kiegyenlítési idejű ügyletek és értékpapírügylethez kapcsolódó hitelek, amelyek esetében az intézmény úgy döntött, hogy a kitettségértéket az 575/2013/EU rendelet 223. cikke szerint határozza meg, szemben az említett rendelet harmadik része II. címének 6. fejezetével, ugyanezen rendelet 271. cikkének (2) bekezdésével összhangban.</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KOCKÁZTATOTT ÉRTÉK (</w:t>
            </w:r>
            <w:proofErr w:type="spellStart"/>
            <w:r>
              <w:rPr>
                <w:rStyle w:val="InstructionsTabelleberschrift"/>
                <w:rFonts w:ascii="Times New Roman" w:hAnsi="Times New Roman"/>
                <w:sz w:val="24"/>
              </w:rPr>
              <w:t>VaR</w:t>
            </w:r>
            <w:proofErr w:type="spellEnd"/>
            <w:r>
              <w:rPr>
                <w:rStyle w:val="InstructionsTabelleberschrift"/>
                <w:rFonts w:ascii="Times New Roman" w:hAnsi="Times New Roman"/>
                <w:sz w:val="24"/>
              </w:rPr>
              <w:t>) AZ ÉRTÉKPAPÍR-FINANSZÍROZÁSI ÜGYLETEK ESETÉBEN</w:t>
            </w:r>
          </w:p>
          <w:p w14:paraId="769E33FD" w14:textId="77777777" w:rsidR="00EF74C7" w:rsidRPr="002A677E" w:rsidRDefault="00EF74C7" w:rsidP="00822842">
            <w:pPr>
              <w:rPr>
                <w:rFonts w:ascii="Times New Roman" w:hAnsi="Times New Roman"/>
                <w:sz w:val="24"/>
              </w:rPr>
            </w:pPr>
            <w:r>
              <w:rPr>
                <w:rFonts w:ascii="Times New Roman" w:hAnsi="Times New Roman"/>
                <w:sz w:val="24"/>
              </w:rPr>
              <w:t>Az 575/2013/EU rendelet 221. cikke</w:t>
            </w:r>
          </w:p>
          <w:p w14:paraId="2E3D6606" w14:textId="77777777" w:rsidR="00EF74C7" w:rsidRPr="002A677E" w:rsidRDefault="00EF74C7" w:rsidP="00822842">
            <w:pPr>
              <w:pStyle w:val="TableMainHeading"/>
              <w:spacing w:before="60"/>
              <w:jc w:val="both"/>
              <w:rPr>
                <w:rFonts w:ascii="Times New Roman" w:hAnsi="Times New Roman"/>
                <w:sz w:val="24"/>
                <w:szCs w:val="24"/>
              </w:rPr>
            </w:pPr>
            <w:proofErr w:type="spellStart"/>
            <w:r>
              <w:rPr>
                <w:rFonts w:ascii="Times New Roman" w:hAnsi="Times New Roman"/>
                <w:sz w:val="24"/>
              </w:rPr>
              <w:t>Repoügyletek</w:t>
            </w:r>
            <w:proofErr w:type="spellEnd"/>
            <w:r>
              <w:rPr>
                <w:rFonts w:ascii="Times New Roman" w:hAnsi="Times New Roman"/>
                <w:sz w:val="24"/>
              </w:rPr>
              <w:t xml:space="preserve">, értékpapír- és áru-kölcsönbeadási, illetve kölcsönvételi ügyletek, értékpapírügylethez kapcsolódó hitelek vagy egyéb tőkepiac-vezérelt ügyletek, kivéve a származtatott ügyleteket, amelyek esetében a kitettségértéket az 575/2013/EU rendelet 221. cikkével összhangban és az illetékes hatóság engedélyével olyan belső modellen alapuló módszerrel számítják ki, amely figyelembe veszi a nettósítási keretmegállapodás hatálya alá tartozó értékpapír-pozíciók közötti korrelációs hatásokat, valamint az érintett eszközök likviditását.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ÖSSZESEN</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 xml:space="preserve">Az 575/2013/EU rendelet </w:t>
            </w:r>
            <w:r>
              <w:rPr>
                <w:rStyle w:val="InstructionsTabelleberschrift"/>
                <w:rFonts w:ascii="Times New Roman" w:hAnsi="Times New Roman"/>
                <w:b w:val="0"/>
                <w:sz w:val="24"/>
                <w:u w:val="none"/>
              </w:rPr>
              <w:t>291. cikke</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Olyan partnerkockázati kitettségek, amelyek esetében az 575/2013/EU rendelet 291. cikkével</w:t>
            </w:r>
            <w:r>
              <w:rPr>
                <w:rFonts w:ascii="Times New Roman" w:hAnsi="Times New Roman"/>
                <w:sz w:val="24"/>
              </w:rPr>
              <w:t xml:space="preserve"> összhangban egyedi rossz irányú kockázatot (SWWR) azonosítottak</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fedezett ügyletek</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 xml:space="preserve">Az 575/2013/EU rendelet </w:t>
            </w:r>
            <w:r>
              <w:rPr>
                <w:rStyle w:val="InstructionsTabelleberschrift"/>
                <w:rFonts w:ascii="Times New Roman" w:hAnsi="Times New Roman"/>
                <w:b w:val="0"/>
                <w:sz w:val="24"/>
                <w:u w:val="none"/>
              </w:rPr>
              <w:t>272. cikkének 7. pontja</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Biztosítékkal fedezett partnerkockázati kitettségek, azaz az 575/2013/EU rendelet 272. cikkének 7. pontja szerinti</w:t>
            </w:r>
            <w:r>
              <w:rPr>
                <w:rFonts w:ascii="Times New Roman" w:hAnsi="Times New Roman"/>
                <w:sz w:val="24"/>
              </w:rPr>
              <w:t xml:space="preserve"> letéti megállapodás hatálya alá tartozó nettósítási halmazok</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nem fedezett ügyletek</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A 0130-as sorban nem szereplő partnerkockázati kitettségek.</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lastRenderedPageBreak/>
        <w:t>C 34.03 – Sztenderd módszerekkel kezelt partnerkockázati kitettségek: SA-CCR vagy egyszerűsített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Általános megjegyzések</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125</w:t>
      </w:r>
      <w:r>
        <w:fldChar w:fldCharType="end"/>
      </w:r>
      <w:r>
        <w:t>. Ebben a táblában külön kell adatot szolgáltatni az SA-CCR-</w:t>
      </w:r>
      <w:proofErr w:type="spellStart"/>
      <w:r>
        <w:t>rel</w:t>
      </w:r>
      <w:proofErr w:type="spellEnd"/>
      <w:r>
        <w:t xml:space="preserve"> vagy adott esetben az egyszerűsített SA-CCR-</w:t>
      </w:r>
      <w:proofErr w:type="spellStart"/>
      <w:r>
        <w:t>rel</w:t>
      </w:r>
      <w:proofErr w:type="spellEnd"/>
      <w:r>
        <w:t xml:space="preserve"> kiszámított partnerkockázati kitettségekről.</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A tábla egyes részeire vonatkozó útmutató</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PÉNZNEM</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kamatlábkockázati kategóriába sorolt ügyletek esetében az ügylet devizanemét kell feltüntetni.</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devizaárfolyam-kockázati kategóriába sorolt ügyletek esetében az ügylet két ága egyikének devizanemét kell feltüntetni. Az intézményeknek a pénznempárban a pénznemeket ábécésorrendben kell megadniuk, pl. USA-dollár/euró esetében ebben az oszlopban az EUR-t, a 0020-as oszlopban pedig az USD-t kell feltüntetni.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A pénznemeket az </w:t>
            </w:r>
            <w:hyperlink r:id="rId10" w:history="1">
              <w:r>
                <w:rPr>
                  <w:rFonts w:ascii="Times New Roman" w:hAnsi="Times New Roman"/>
                  <w:sz w:val="24"/>
                </w:rPr>
                <w:t>ISO-kódok</w:t>
              </w:r>
            </w:hyperlink>
            <w:r>
              <w:rPr>
                <w:rFonts w:ascii="Times New Roman" w:hAnsi="Times New Roman"/>
                <w:sz w:val="24"/>
              </w:rPr>
              <w:t xml:space="preserve"> szerint kell feltüntetni.</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ELLENOLDALI PÉNZNEM</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devizaárfolyam-kockázati kategóriába sorolt ügyletek esetében az ügylet másik ágának devizanemét kell feltüntetni (a 0010-es oszlopban szereplőhöz képest). Az intézményeknek a pénznempárban a pénznemeket ábécésorrendben kell megadniuk, pl. USA-dollár/euró esetében ebben az oszlopban az USD-t, a 0010-es oszlopban pedig az EUR-t kell feltüntetni.</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A pénznemeket az </w:t>
            </w:r>
            <w:hyperlink r:id="rId11" w:history="1">
              <w:r>
                <w:rPr>
                  <w:rFonts w:ascii="Times New Roman" w:hAnsi="Times New Roman"/>
                  <w:sz w:val="24"/>
                </w:rPr>
                <w:t>ISO-kódok</w:t>
              </w:r>
            </w:hyperlink>
            <w:r>
              <w:rPr>
                <w:rFonts w:ascii="Times New Roman" w:hAnsi="Times New Roman"/>
                <w:sz w:val="24"/>
              </w:rPr>
              <w:t xml:space="preserve"> szerint kell feltüntetni.</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Lásd a C 34.02-es tábla 0020-as oszlopához tartozó útmutatót.</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Lásd a C 34.02-es tábla 0030-as oszlopához tartozó útmutatót.</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fedezeti halmaz aktuális piaci értékének összege.</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fedezeti halmaz szintjén a CMV-t az egy fedezeti halmazon belüli ügyletek pozitív és negatív piaci értékének </w:t>
            </w:r>
            <w:proofErr w:type="spellStart"/>
            <w:r>
              <w:rPr>
                <w:rFonts w:ascii="Times New Roman" w:hAnsi="Times New Roman"/>
                <w:sz w:val="24"/>
              </w:rPr>
              <w:t>nettósításával</w:t>
            </w:r>
            <w:proofErr w:type="spellEnd"/>
            <w:r>
              <w:rPr>
                <w:rFonts w:ascii="Times New Roman" w:hAnsi="Times New Roman"/>
                <w:sz w:val="24"/>
              </w:rPr>
              <w:t xml:space="preserve"> kell meghatározni, a tartott vagy nyújtott biztosítékokkal együtt.</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lastRenderedPageBreak/>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adott kockázati kategóriában a negatív aktuális piaci értékkel (CMV) rendelkező összes fedezeti halmaz aktuális piaci értékének összege.</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A fedezeti halmaz szintjén a CMV-t az egy fedezeti halmazon belüli ügyletek pozitív és negatív piaci értékének </w:t>
            </w:r>
            <w:proofErr w:type="spellStart"/>
            <w:r>
              <w:rPr>
                <w:rFonts w:ascii="Times New Roman" w:hAnsi="Times New Roman"/>
                <w:sz w:val="24"/>
              </w:rPr>
              <w:t>nettósításával</w:t>
            </w:r>
            <w:proofErr w:type="spellEnd"/>
            <w:r>
              <w:rPr>
                <w:rFonts w:ascii="Times New Roman" w:hAnsi="Times New Roman"/>
                <w:sz w:val="24"/>
              </w:rPr>
              <w:t xml:space="preserve"> kell meghatározni, a tartott vagy nyújtott biztosítékokkal együtt.</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TÖBBLET</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280a–280f. cikke, valamint 281. cikkének (2) bekezdése</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Az intézménynek az adott fedezeti halmaz/kockázati kategória többleteinek együttes összegét kell megadnia.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nettósítási halmaz potenciális jövőbeli kitettségének az 575/2013/EU rendelet 278. cikke (1) bekezdésének vagy 281. cikke (2) bekezdése f) pontjának megfelelően történő meghatározásához használt kockázati </w:t>
            </w:r>
            <w:proofErr w:type="spellStart"/>
            <w:r>
              <w:rPr>
                <w:rFonts w:ascii="Times New Roman" w:hAnsi="Times New Roman"/>
                <w:sz w:val="24"/>
              </w:rPr>
              <w:t>kategóriánkénti</w:t>
            </w:r>
            <w:proofErr w:type="spellEnd"/>
            <w:r>
              <w:rPr>
                <w:rFonts w:ascii="Times New Roman" w:hAnsi="Times New Roman"/>
                <w:sz w:val="24"/>
              </w:rPr>
              <w:t xml:space="preserve"> többletet az említett rendelet 280a–280f. cikkének megfelelően kell kiszámítani. Az egyszerűsített SA-CCR-re az 575/2013/EU rendelet 281. cikkének (2) bekezdésében meghatározott rendelkezések alkalmazandók.</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Sorok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277. és 277a. cikke</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Az ügyleteket azon kockázati kategóriába kell besorolni, amelyhez az 575/2013/EU rendelet 277. cikkének (</w:t>
            </w:r>
            <w:proofErr w:type="gramStart"/>
            <w:r>
              <w:rPr>
                <w:rFonts w:ascii="Times New Roman" w:hAnsi="Times New Roman"/>
                <w:sz w:val="24"/>
              </w:rPr>
              <w:t>1)–</w:t>
            </w:r>
            <w:proofErr w:type="gramEnd"/>
            <w:r>
              <w:rPr>
                <w:rFonts w:ascii="Times New Roman" w:hAnsi="Times New Roman"/>
                <w:sz w:val="24"/>
              </w:rPr>
              <w:t>(4) bekezdésével összhangban tartoznak.</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A fedezeti halmazokhoz a kockázati kategória szerint történő hozzárendelést az 575/2013/EU rendelet 277a. cikkével összhangban kell végrehajtani.</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Az egyszerűsített SA-CCR-re az 575/2013/EU rendelet 281. cikkének (2) bekezdésében meghatározott rendelkezések alkalmazandók.</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mint egy kockázati kategóriához hozzárendelt</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277. cikkének (3) bekezdése</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Több lényeges kockázati tényezővel rendelkező származtatott ügyletek, amelyeket az 575/2013/EU rendelet 277. cikkének (3) bekezdésével és az említett rendelet 277. cikkének (5) bekezdése szerinti EBH szabályozástechnikai standardtervezetekkel összhangban az egyes kockázati kategóriákban a kockázati tényezők közül a leglényegesebb alapján kettő (0020), három (0030) vagy több mint három (0040) kockázati kategóriához kell hozzárendelni.</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lastRenderedPageBreak/>
              <w:t>0070–0110 és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Legnagyobb pénznem és devizapár</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Ezt a besorolást az intézmény SA-CCR, illetve adott esetben az egyszerűsített SA-CCR hatálya alá tartozó portfóliójának aktuális piaci értéke (CMV) alapján kell elvégezni a kamatlábkockázati, illetve a devizaárfolyam-kockázati kategóriába sorolt ügyletek esetében.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A besorolás céljából össze kell adni a pozíciók abszolút CMV értékét.</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Kizárólagos hozzárendelés</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277. cikkének (1) és (2) bekezdése</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Az 575/2013/EU rendelet 277. cikkének (1) és (2) bekezdésével összhangban kizárólag egy kockázati kategóriába sorolt származtatott ügyletek.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Nem tüntethetők fel itt az 575/2013/EU rendelet 277. cikkének (3) bekezdésével összhangban különböző kockázati kategóriákba sorolt ügyletek.</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Egy alaptermékes ügyletek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A hitelkockázati és részvénypiaci kockázati kategóriához rendelt egy alaptermékes ügyletek.</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alaptermékes ügyletek</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A hitelkockázati és részvénypiaci kockázati kategóriához rendelt több alaptermékes ügyletek.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Árukockázati fedezeti halmazok</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277a. cikke (1) bekezdésének e) pontjában felsorolt árukockázati fedezeti halmazokba sorolt származtatott ügyletek.</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Az eredeti kitettség szerinti módszerrel (OEM) kezelt partnerkockázati kitettségek</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A tábla egyes részeire vonatkozó útmutató</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0010-es és 0020-as oszlophoz tartozó kitöltési útmutató megegyezik a C 34.02-es tábla megfelelő oszlopaihoz tartozó kitöltési útmutatóval.</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ügylet aktuális piaci értékének összege.</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Az adott kockázati kategóriában a negatív aktuális piaci értékkel (CMV) rendelkező összes ügylet aktuális piaci értékének összege.</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lastRenderedPageBreak/>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Az intézménynek az azonos kockázati kategóriába tartozó valamennyi ügyletre vonatkozóan meg kell adnia a potenciális jövőbeli kitettség együttes összegét.</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Sorok</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282. cikke (4) bekezdésének b) pontjában felsorolt kockázati kategóriákba sorolt származtatott ügyletek.</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A belső modell módszerrel (IMM) kezelt partnerkockázati kitettségek</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A tábla egyes részeire vonatkozó útmutató</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LETÉTTEL FEDEZETT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Lásd a C 34.02-es tábla 0130-as sorához tartozó útmutatót.</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LETÉTTEL NEM FEDEZETT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Lásd a C 34.02-es tábla 0140-es sorához tartozó útmutatót.</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ÜGYLETEK SZÁMA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Lásd a C 34.02-es tábla 0020-as oszlopához tartozó útmutatót.</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NÉVLEGES ÖSSZEG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Lásd a C 34.02-es tábla 0030-as oszlopához tartozó útmutatót.</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adott eszközosztályhoz tartozó, pozitív aktuális piaci értékkel (CMV) rendelkező összes ügylet aktuális piaci értékének összege.</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Az adott eszközosztályhoz tartozó, negatív aktuális piaci értékkel (CMV) rendelkező összes ügylet aktuális piaci értékének összege.</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Lásd a C 34.02-es tábla 0120-as oszlopához tartozó útmutatót.</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Lásd a C 34.02-es tábla 0130-as oszlopához tartozó útmutatót.</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lastRenderedPageBreak/>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STRESSZHELYZETI EEPE</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284. cikkének (6) bekezdése és 292. cikkének (2) bekezdése</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stresszhelyzeti tényleges várható pozitív kitettség kiszámítása a tényleges várható pozitív kitettség kiszámításának analógiájára történik (az 575/2013/EU rendelet 284. cikkének (6) bekezdése), de az 575/2013/EU rendelet 292. cikkének (2) bekezdése szerinti stresszkalibráció alkalmazásával.</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KITETTSÉGÉRTÉK</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Lásd a C 34.02-es tábla 0170-es oszlopához tartozó útmutatót.</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Sor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Magyarázat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ÖSSZESEN </w:t>
            </w:r>
          </w:p>
          <w:p w14:paraId="43496D3B" w14:textId="77777777" w:rsidR="00EF74C7" w:rsidRPr="002A677E" w:rsidRDefault="00EF74C7" w:rsidP="00822842">
            <w:pPr>
              <w:keepNext/>
              <w:spacing w:before="60"/>
              <w:rPr>
                <w:sz w:val="24"/>
              </w:rPr>
            </w:pPr>
            <w:r>
              <w:rPr>
                <w:rFonts w:ascii="Times New Roman" w:hAnsi="Times New Roman"/>
                <w:sz w:val="24"/>
              </w:rPr>
              <w:t>Az 575/2013/EU rendelet 283. cikke</w:t>
            </w:r>
          </w:p>
          <w:p w14:paraId="72F05A01" w14:textId="77777777" w:rsidR="00EF74C7" w:rsidRPr="002A677E" w:rsidRDefault="00EF74C7" w:rsidP="00822842">
            <w:pPr>
              <w:rPr>
                <w:sz w:val="24"/>
              </w:rPr>
            </w:pPr>
            <w:r>
              <w:rPr>
                <w:rFonts w:ascii="Times New Roman" w:hAnsi="Times New Roman"/>
                <w:sz w:val="24"/>
              </w:rPr>
              <w:t>Az intézménynek meg kell adnia az azon származtatott ügyletekkel, hosszú kiegyenlítési idejű ügyletekkel és értékpapír-finanszírozási ügyletekkel kapcsolatos releváns információkat, amelyek esetében az 575/2013/EU rendelet 283. cikkével összhangban engedélyezték számára a belső modell módszerével kiszámított kitettségérték meghatározását.</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14:paraId="1013C757" w14:textId="77777777" w:rsidR="00EF74C7" w:rsidRPr="002A677E" w:rsidRDefault="00EF74C7" w:rsidP="00822842">
            <w:pPr>
              <w:rPr>
                <w:rFonts w:ascii="Times New Roman" w:hAnsi="Times New Roman"/>
                <w:sz w:val="24"/>
              </w:rPr>
            </w:pPr>
            <w:r>
              <w:rPr>
                <w:rFonts w:ascii="Times New Roman" w:hAnsi="Times New Roman"/>
                <w:sz w:val="24"/>
              </w:rPr>
              <w:t>Lásd a C 34.02. 0120-as sorához tartozó útmutatót.</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sztenderd módszerrel kezelt nettósítási halmazok</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Lásd a C 34.02. 0180-as oszlopához tartozó útmutatót.</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IRB módszerrel kezelt nettósítási halmazok</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Lásd a C 34.02. 0190-es oszlopához tartozó útmutatót.</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TŐZSDÉN KÍVÜLI SZÁRMAZTATOTT ÜGYLETEK</w:t>
            </w:r>
          </w:p>
          <w:p w14:paraId="0E8A5849" w14:textId="77777777" w:rsidR="00EF74C7" w:rsidRPr="002A677E" w:rsidRDefault="00EF74C7" w:rsidP="00822842">
            <w:pPr>
              <w:rPr>
                <w:rFonts w:ascii="Times New Roman" w:hAnsi="Times New Roman"/>
                <w:sz w:val="24"/>
              </w:rPr>
            </w:pPr>
            <w:r>
              <w:rPr>
                <w:rFonts w:ascii="Times New Roman" w:hAnsi="Times New Roman"/>
                <w:sz w:val="24"/>
              </w:rPr>
              <w:t>Az intézmény kizárólag azon tőzsdén kívüli származtatott ügyleteket vagy hosszú teljesítési idejű ügyleteket tartalmazó nettósítási halmazokra vonatkozó releváns információkat tüntetheti itt fel az alapul szolgáló eszköz tekintetében a különböző eszközosztályok (kamatláb, deviza, hitel, részvény, áru vagy egyéb) szerinti bontásban, amelyek esetében engedélyezték számára a kitettségérték belső modell módszer alkalmazásával történő meghatározását.</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lastRenderedPageBreak/>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TŐZSDEI SZÁRMAZTATOTT ÜGYLETEK</w:t>
            </w:r>
          </w:p>
          <w:p w14:paraId="58D9B48E" w14:textId="77777777" w:rsidR="00EF74C7" w:rsidRPr="002A677E" w:rsidRDefault="00EF74C7" w:rsidP="00822842">
            <w:pPr>
              <w:rPr>
                <w:rFonts w:ascii="Times New Roman" w:hAnsi="Times New Roman"/>
                <w:sz w:val="24"/>
              </w:rPr>
            </w:pPr>
            <w:r>
              <w:rPr>
                <w:rFonts w:ascii="Times New Roman" w:hAnsi="Times New Roman"/>
                <w:sz w:val="24"/>
              </w:rPr>
              <w:t xml:space="preserve">Az intézmény kizárólag azon tőzsdén forgalmazott </w:t>
            </w:r>
            <w:proofErr w:type="spellStart"/>
            <w:r>
              <w:rPr>
                <w:rFonts w:ascii="Times New Roman" w:hAnsi="Times New Roman"/>
                <w:sz w:val="24"/>
              </w:rPr>
              <w:t>derivatívákat</w:t>
            </w:r>
            <w:proofErr w:type="spellEnd"/>
            <w:r>
              <w:rPr>
                <w:rFonts w:ascii="Times New Roman" w:hAnsi="Times New Roman"/>
                <w:sz w:val="24"/>
              </w:rPr>
              <w:t xml:space="preserve"> vagy hosszú teljesítési idejű ügyleteket tartalmazó nettósítási halmazokra vonatkozó releváns információkat tüntetheti itt fel az alapul szolgáló eszköz tekintetében a különböző eszközosztályok (kamatláb, deviza, hitel, részvény, áru vagy egyéb) szerinti bontásban, amelyek esetében engedélyezték számára a kitettségérték belső modell módszer alkalmazásával történő meghatározását.</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w:t>
            </w:r>
          </w:p>
          <w:p w14:paraId="1CD88A29" w14:textId="77777777" w:rsidR="00EF74C7" w:rsidRPr="002A677E" w:rsidRDefault="00EF74C7" w:rsidP="00822842">
            <w:pPr>
              <w:rPr>
                <w:rFonts w:ascii="Times New Roman" w:hAnsi="Times New Roman"/>
                <w:sz w:val="24"/>
              </w:rPr>
            </w:pPr>
            <w:r>
              <w:rPr>
                <w:rFonts w:ascii="Times New Roman" w:hAnsi="Times New Roman"/>
                <w:sz w:val="24"/>
              </w:rPr>
              <w:t>Az intézmény kizárólag azon értékpapír-finanszírozási ügyleteket tartalmazó nettósítási halmazokra vonatkozó releváns információkat tüntetheti itt fel az alaptermék típusa szerinti bontásban, amelyek esetében engedélyezték számára a kitettségérték belső modell módszer alkalmazásával történő meghatározását.</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MEGÁLLAPODÁSON ALAPULÓ NETTÓSÍTÁSI HALMAZOK</w:t>
            </w:r>
          </w:p>
          <w:p w14:paraId="7F1F09BD" w14:textId="77777777" w:rsidR="00EF74C7" w:rsidRPr="002A677E" w:rsidRDefault="00EF74C7" w:rsidP="00822842">
            <w:pPr>
              <w:rPr>
                <w:rFonts w:ascii="Times New Roman" w:hAnsi="Times New Roman"/>
                <w:sz w:val="24"/>
              </w:rPr>
            </w:pPr>
            <w:r>
              <w:rPr>
                <w:rFonts w:ascii="Times New Roman" w:hAnsi="Times New Roman"/>
                <w:sz w:val="24"/>
              </w:rPr>
              <w:t>Lásd a C 34.02. 0070-es sorához tartozó útmutatót.</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A húsz legnagyobb partner</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Általános megjegyzések</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126</w:t>
      </w:r>
      <w:r>
        <w:fldChar w:fldCharType="end"/>
      </w:r>
      <w:r>
        <w:t>. Az intézményeknek azon 20 legfontosabb partnerről kell adatot szolgáltatniuk, amelyek tekintetében a legmagasabb partnerkockázati kitettséggel rendelkeznek. A rangsorolást az érintett partnerek összes nettósítási halmazára vonatkozó, e tábla 0120-as oszlopában megadott partnerkockázati kitettségértékek alkalmazásával kell elvégezni. A 20 legnagyobb partner listájának meghatározásakor figyelembe kell venni a csoporton belüli kitettségeket és más olyan kitettségeket is, amelyek partnerkockázatot idéznek elő, de amelyekre az intézmény a tőkekövetelmény-számításhoz az 575/2013/EU rendelet 113. cikkének (6) és (7) bekezdésével összhangban nulla kockázati súlyt rendel.</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127</w:t>
      </w:r>
      <w:r>
        <w:fldChar w:fldCharType="end"/>
      </w:r>
      <w:r>
        <w:t xml:space="preserve">. A partnerkockázati kitettségek kiszámításához az 575/2013/EU rendelet harmadik része II. címe 6. fejezetének 3. és 6. szakasza alapján a sztenderd módszert (SA-CCR) vagy a belső modell módszert (IMM) alkalmazó intézményeknek negyedévente kell kitölteniük ezt a táblát. A partnerkockázati kitettségek kiszámításához az 575/2013/EU rendelet harmadik része II. címe 6. fejezetének 4. és 5. szakasza alapján az egyszerűsített sztenderd módszert vagy az eredeti kitettség szerinti módszert (OEM) alkalmazó intézményeknek </w:t>
      </w:r>
      <w:proofErr w:type="spellStart"/>
      <w:r>
        <w:t>félévente</w:t>
      </w:r>
      <w:proofErr w:type="spellEnd"/>
      <w:r>
        <w:t xml:space="preserve"> kell kitölteniük ezt a táblát. </w:t>
      </w:r>
      <w:bookmarkStart w:id="46" w:name="_Toc19715818"/>
      <w:r>
        <w:t>A tábla egyes részeire vonatkozó útmutató</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A tábla egyes részeire vonatkozó útmutató</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lastRenderedPageBreak/>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NÉV</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A partner neve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KÓD</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A sorazonosító részét képező kódnak minden egyes jelentett szervezet esetében egyedinek kell lennie. Intézmények és biztosítók esetében a kód a LEI-kód. Más szervezetek esetében a kód a LEI-kód, vagy ha nem áll rendelkezésre, valamely egyéb kód. A kódnak egyedinek kell lennie, és azt következetesen kell használni a táblákban és az egymást követő adatszolgáltatási időszakokban. A kód mezőnek mindig kell tartalmaznia valamilyen értéket.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KÓDTÍPUS</w:t>
            </w:r>
          </w:p>
          <w:p w14:paraId="12E4A55E" w14:textId="77777777" w:rsidR="00EF74C7" w:rsidRPr="002A677E" w:rsidRDefault="00EF74C7" w:rsidP="00822842">
            <w:pPr>
              <w:rPr>
                <w:rStyle w:val="FormatvorlageInstructionsTabelleText"/>
                <w:rFonts w:ascii="Calibri" w:hAnsi="Calibri" w:cs="Calibri"/>
              </w:rPr>
            </w:pPr>
            <w:r>
              <w:rPr>
                <w:rStyle w:val="FormatvorlageInstructionsTabelleText"/>
                <w:rFonts w:ascii="Times New Roman" w:hAnsi="Times New Roman"/>
                <w:sz w:val="24"/>
              </w:rPr>
              <w:t>Az intézményeknek a 0020-as oszlopban feltüntetett kódtípust „LEI-</w:t>
            </w:r>
            <w:proofErr w:type="gramStart"/>
            <w:r>
              <w:rPr>
                <w:rStyle w:val="FormatvorlageInstructionsTabelleText"/>
                <w:rFonts w:ascii="Times New Roman" w:hAnsi="Times New Roman"/>
                <w:sz w:val="24"/>
              </w:rPr>
              <w:t>kód”-</w:t>
            </w:r>
            <w:proofErr w:type="gramEnd"/>
            <w:r>
              <w:rPr>
                <w:rStyle w:val="FormatvorlageInstructionsTabelleText"/>
                <w:rFonts w:ascii="Times New Roman" w:hAnsi="Times New Roman"/>
                <w:sz w:val="24"/>
              </w:rPr>
              <w:t>ként vagy „nemzeti kód”-ként kell megadniuk.</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A kód típusát mindig jelenteni kell.</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NEMZETI KÓD</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Az intézmények kiegészítésként akkor is megadhatják a nemzeti kódot, amikor a 0020-as „Kód” oszlopban a LEI-kódot tüntetik fel azonosítóként.</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PARTNER SZEKTORA</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Minden partner esetében egy szektort kell kiválasztani a FINREP következő gazdasági ágazati osztályai alapján (lásd e végrehajtási rendelet V. mellékletének 3. részét):</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Központi bankok;</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államháztartások;</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hitelintézetek;</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befektetési vállalkozások az 575/2013/EU rendelet 4. cikke (1) bekezdésének 2. pontjában meghatározottaknak megfelelően;</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egyéb pénzügyi vállalatok (a befektetési vállalkozások kivételével);</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nem pénzügyi vállalatok.</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PARTNER TÍPUSA</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intézménynek meg kell jelölnie a partner típusát, amely a következő lehet:</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ha a partner elfogadott központi szerződő fél;</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nem QCCP: ha a partner nem elfogadott központi szerződő fél;</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nem CCP: ha a partner nem központi szerződő fél.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PARTNER SZÉKHELYE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partner bejegyzés szerinti országának ISO 3166-1-alfa-2 kódját kell használni (ideértve a nemzetközi szervezetekre vonatkozó </w:t>
            </w:r>
            <w:proofErr w:type="spellStart"/>
            <w:r>
              <w:rPr>
                <w:rFonts w:ascii="Times New Roman" w:hAnsi="Times New Roman"/>
                <w:sz w:val="24"/>
              </w:rPr>
              <w:t>pszeudo</w:t>
            </w:r>
            <w:proofErr w:type="spellEnd"/>
            <w:r>
              <w:rPr>
                <w:rFonts w:ascii="Times New Roman" w:hAnsi="Times New Roman"/>
                <w:sz w:val="24"/>
              </w:rPr>
              <w:t xml:space="preserve">-ISO-kódokat is, amelyek az Eurostat fizetési mérleggel foglalkozó </w:t>
            </w:r>
            <w:proofErr w:type="spellStart"/>
            <w:r>
              <w:rPr>
                <w:rFonts w:ascii="Times New Roman" w:hAnsi="Times New Roman"/>
                <w:sz w:val="24"/>
              </w:rPr>
              <w:lastRenderedPageBreak/>
              <w:t>vademecumának</w:t>
            </w:r>
            <w:proofErr w:type="spellEnd"/>
            <w:r>
              <w:rPr>
                <w:rFonts w:ascii="Times New Roman" w:hAnsi="Times New Roman"/>
                <w:sz w:val="24"/>
              </w:rPr>
              <w:t xml:space="preserve"> [</w:t>
            </w:r>
            <w:proofErr w:type="spellStart"/>
            <w:r>
              <w:rPr>
                <w:rFonts w:ascii="Times New Roman" w:hAnsi="Times New Roman"/>
                <w:sz w:val="24"/>
              </w:rPr>
              <w:t>Balance</w:t>
            </w:r>
            <w:proofErr w:type="spellEnd"/>
            <w:r>
              <w:rPr>
                <w:rFonts w:ascii="Times New Roman" w:hAnsi="Times New Roman"/>
                <w:sz w:val="24"/>
              </w:rPr>
              <w:t xml:space="preserve"> of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 aktuális változatában találhatók meg).</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lastRenderedPageBreak/>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ÜGYLETEK SZÁMA</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Lásd a C 34.02-es tábla 0020-as oszlopához tartozó útmutatót.</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NÉVLEGES ÖSSZEG</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Lásd a C 34.02-es tábla 0030-as oszlopához tartozó útmutatót.</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AKTUÁLIS PIACI ÉRTÉK (CMV), POZITÍV</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Lásd a C 34.02-es tábla 0040-es oszlopához tartozó útmutatót.</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Az intézménynek a pozitív CMV-vel rendelkező nettósítási halmazok összegét kell megadnia, ha ugyanannak a partnernek több nettósítási halmaza van.</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AKTUÁLIS PIACI ÉRTÉK (CMV), NEGATÍV</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Lásd a C 34.02-es tábla 0040-es oszlopához tartozó útmutatót.</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Az intézménynek a negatív CMV-vel rendelkező nettósítási halmazok összegének abszolút értékét kell megadnia, ha ugyanannak a partnernek több nettósítási halmaza van.</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KITETTSÉGÉRTÉK HITELKOCKÁZAT-MÉRSÉKLÉS UTÁN</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Lásd a C 34.02-es tábla 0160-as oszlopához tartozó útmutatót.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Az intézménynek a nettósítási halmazok hitelkockázat-mérséklés utáni kitettségértékét kell megadnia, ha ugyanannak a partnernek több nettósítási halmaza van.</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KITETTSÉGÉRTÉK</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Lásd a C 34.02-es tábla 0170-es oszlopához tartozó útmutatót.</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KOCKÁZATTAL SÚLYOZOTT KITETTSÉGÉRTÉK</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Lásd a C 34.02-es tábla 0200-as oszlopához tartozó útmutatót.</w:t>
            </w:r>
          </w:p>
        </w:tc>
      </w:tr>
    </w:tbl>
    <w:p w14:paraId="4CB615BB" w14:textId="77777777" w:rsidR="00EF74C7" w:rsidRPr="00C34A8C"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IRB módszer – Partnerkockázati kitettségek kitettségi osztály és PD-skála szerint</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Általános megjegyzések</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128</w:t>
      </w:r>
      <w:r>
        <w:fldChar w:fldCharType="end"/>
      </w:r>
      <w:r>
        <w:t xml:space="preserve">. Ezt a táblát azon intézményeknek kell kitölteniük, amelyek a fejlett IRB módszert vagy az IRB alapmódszert alkalmazzák a partnerkockázati kitettségeik egészére vagy egy részére vonatkozó kockázattal súlyozott kitettségértékeknek az 575/2013/EU rendelet 107. cikke szerinti kiszámításához, függetlenül a partnerkockázati kitettségértékeknek az 575/2013/EU rendelet harmadik része II. címének 4. és 6. fejezete szerinti meghatározásához használt módszertől. </w:t>
      </w:r>
    </w:p>
    <w:p w14:paraId="4C8689E1" w14:textId="222A66BC"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rsidRPr="002A677E">
        <w:t>129</w:t>
      </w:r>
      <w:r>
        <w:fldChar w:fldCharType="end"/>
      </w:r>
      <w:r>
        <w:t xml:space="preserve">. A táblát az összes kitettségi osztály összegére, valamint az 575/2013/EU rendelet 147. cikkében felsorolt minden egyes kitettségi osztályra vonatkozóan külön-külön is ki kell tölteni. Ez a tábla nem tartalmazza a központi szerződő félen keresztül elszámolt kitettségeket.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130</w:t>
      </w:r>
      <w:r>
        <w:fldChar w:fldCharType="end"/>
      </w:r>
      <w:r>
        <w:t>. 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NEM = az LGD és a hitel-egyenértékesítési tényezők felügyeleti becslése esetén (IRB alapmódszer);</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IGEN = az LGD és a hitel-egyenértékesítési tényezők saját becslése esetén (fejlett IRB módszer).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A tábla egyes részeire vonatkozó útmutató</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Oszlopok</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Kitettségérték (lásd a C 34.02-es tábla 0170-es oszlopához tartozó útmutatót), az adott PD-skála szerinti bontásban</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PD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Az egyes kötelezetti kategóriák PD-értékeinek átlaga, a 0010-es oszlopban meghatározott megfelelő kitettségértékkel súlyozva.</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Kötelezettek száma </w:t>
            </w:r>
          </w:p>
          <w:p w14:paraId="75633515" w14:textId="77777777" w:rsidR="00EF74C7" w:rsidRPr="002A677E" w:rsidRDefault="00EF74C7" w:rsidP="00822842">
            <w:pPr>
              <w:rPr>
                <w:rFonts w:ascii="Times New Roman" w:hAnsi="Times New Roman"/>
                <w:sz w:val="24"/>
              </w:rPr>
            </w:pPr>
            <w:r>
              <w:rPr>
                <w:rFonts w:ascii="Times New Roman" w:hAnsi="Times New Roman"/>
                <w:sz w:val="24"/>
              </w:rPr>
              <w:t>A rögzített PD-skála egyes kategóriáihoz rendelt, külön minősített jogi személyek vagy kötelezettek száma, függetlenül a nyújtott különböző hitelek vagy kitettségek számától.</w:t>
            </w:r>
          </w:p>
          <w:p w14:paraId="79F85080" w14:textId="77777777" w:rsidR="00EF74C7" w:rsidRPr="002A677E" w:rsidRDefault="00EF74C7" w:rsidP="00822842">
            <w:pPr>
              <w:rPr>
                <w:rFonts w:ascii="Times New Roman" w:hAnsi="Times New Roman"/>
                <w:sz w:val="24"/>
              </w:rPr>
            </w:pPr>
            <w:r>
              <w:rPr>
                <w:rFonts w:ascii="Times New Roman" w:hAnsi="Times New Roman"/>
                <w:sz w:val="24"/>
              </w:rPr>
              <w:t>Amennyiben az ugyanazon kötelezettel szembeni különböző kitettségeket külön minősítették, azokat külön kell számba venni. Ez a helyzet akkor állhat elő, ha az azonos kötelezettel szembeni egyes kitettségeket az 575/2013/EU rendelet 172. cikke (1) bekezdése e) pontjának második mondatával összhangban különböző kötelezetti kategóriákba sorolják.</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Az egyes kötelezetti kategóriák LGD-értékeinek átlaga, a 0010-es oszlopban meghatározott megfelelő kitettségértékkel súlyozva.</w:t>
            </w:r>
          </w:p>
          <w:p w14:paraId="7080F0A6" w14:textId="080029A0" w:rsidR="00EF74C7" w:rsidRPr="002A677E" w:rsidRDefault="00EF74C7" w:rsidP="00822842">
            <w:pPr>
              <w:rPr>
                <w:rFonts w:ascii="Times New Roman" w:hAnsi="Times New Roman"/>
                <w:sz w:val="24"/>
              </w:rPr>
            </w:pPr>
            <w:r>
              <w:rPr>
                <w:rFonts w:ascii="Times New Roman" w:hAnsi="Times New Roman"/>
                <w:sz w:val="24"/>
              </w:rPr>
              <w:t>A feltüntetett LGD-</w:t>
            </w:r>
            <w:proofErr w:type="spellStart"/>
            <w:r>
              <w:rPr>
                <w:rFonts w:ascii="Times New Roman" w:hAnsi="Times New Roman"/>
                <w:sz w:val="24"/>
              </w:rPr>
              <w:t>nek</w:t>
            </w:r>
            <w:proofErr w:type="spellEnd"/>
            <w:r>
              <w:rPr>
                <w:rFonts w:ascii="Times New Roman" w:hAnsi="Times New Roman"/>
                <w:sz w:val="24"/>
              </w:rPr>
              <w:t xml:space="preserve"> meg kell felelnie a kockázattal súlyozott kitettségértékek kiszámításához használt, az esetleges hitelkockázat-mérséklési hatások és adott esetben gazdasági </w:t>
            </w:r>
            <w:proofErr w:type="spellStart"/>
            <w:r>
              <w:rPr>
                <w:rFonts w:ascii="Times New Roman" w:hAnsi="Times New Roman"/>
                <w:sz w:val="24"/>
              </w:rPr>
              <w:t>dekonjunkturális</w:t>
            </w:r>
            <w:proofErr w:type="spellEnd"/>
            <w:r>
              <w:rPr>
                <w:rFonts w:ascii="Times New Roman" w:hAnsi="Times New Roman"/>
                <w:sz w:val="24"/>
              </w:rPr>
              <w:t xml:space="preserve"> feltételek figyelembevételével kapott, az 575/2013/EU rendelet harmadik része II. címe 3. és 4. fejezetében meghatározott végső LGD-becslésnek. Az IRB módszert alkalmazó, de saját LGD-becslést nem használó intézményeknél a pénzügyi </w:t>
            </w:r>
            <w:r>
              <w:rPr>
                <w:rFonts w:ascii="Times New Roman" w:hAnsi="Times New Roman"/>
                <w:sz w:val="24"/>
              </w:rPr>
              <w:lastRenderedPageBreak/>
              <w:t>biztosítékok kockázatmérséklő hatásait a kitettség teljes mértékben korrigált értéke (E*) tükrözi, majd azok az 575/2013/EU rendelet 230. cikke szerinti LGD*-értékben is megjelennek. Ha az intézmény saját LGD-becslést alkalmaz, akkor figyelembe kell venni az 575/2013/EU rendelet 175. cikkét, valamint 181. cikkének (1) és (2) bekezdését.</w:t>
            </w:r>
          </w:p>
          <w:p w14:paraId="1D9D0798" w14:textId="77777777" w:rsidR="00EF74C7" w:rsidRPr="002A677E" w:rsidRDefault="00EF74C7" w:rsidP="00822842">
            <w:pPr>
              <w:rPr>
                <w:rFonts w:ascii="Times New Roman" w:hAnsi="Times New Roman"/>
                <w:sz w:val="24"/>
              </w:rPr>
            </w:pPr>
            <w:r>
              <w:rPr>
                <w:rFonts w:ascii="Times New Roman" w:hAnsi="Times New Roman"/>
                <w:sz w:val="24"/>
              </w:rPr>
              <w:t>Az együttes nemteljesítésre vonatkozó eljárással érintett kitettségek esetében a feltüntetendő LGD az 575/2013/EU rendelet 161. cikkének (4) bekezdése alapján kiválasztott LGD-</w:t>
            </w:r>
            <w:proofErr w:type="spellStart"/>
            <w:r>
              <w:rPr>
                <w:rFonts w:ascii="Times New Roman" w:hAnsi="Times New Roman"/>
                <w:sz w:val="24"/>
              </w:rPr>
              <w:t>nek</w:t>
            </w:r>
            <w:proofErr w:type="spellEnd"/>
            <w:r>
              <w:rPr>
                <w:rFonts w:ascii="Times New Roman" w:hAnsi="Times New Roman"/>
                <w:sz w:val="24"/>
              </w:rPr>
              <w:t xml:space="preserve"> felel meg.</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Az A-IRB módszer szerinti nemteljesítő kitettségek esetében figyelembe kell venni az 575/2013/EU rendelet 181. cikke (1) bekezdésének h) pontjában foglalt rendelkezéseket. A feltüntetett LGD a nemteljesítéskori LGD becslésének felel meg.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Kitettséggel súlyozott átlagos lejárat (év)</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Az</w:t>
            </w:r>
            <w:r>
              <w:rPr>
                <w:rFonts w:ascii="Times New Roman" w:hAnsi="Times New Roman"/>
                <w:sz w:val="24"/>
              </w:rPr>
              <w:t xml:space="preserve"> egyes kötelezetti kategóriák lejárati értékeinek átlaga, a 0010-es oszlopban meghatározott megfelelő kitettségértékkel súlyozva.</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A feltüntetendő lejárati értéket az 575/2013/EU rendelet 162. cikkével összhangban kell meghatározni.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Kockázattal súlyozott kitettségérték</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Az 575/2013/EU rendelet 92. cikkének (3) bekezdésében meghatározott kockázattal súlyozott kitettségértékek azon pozíciók esetében, amelyek kockázati súlyát az 575/2013/EU rendelet harmadik része II. címének 3. fejezetében meghatározott követelmények alapján állapítják meg, és amelyek esetében a partnerkockázattal érintett kitettségek értékét az említett rendelet harmadik része II. címének 4. és 6. fejezetével összhangban számítják ki.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Az 575/2013/EU rendelet 501. cikkében és 501a. cikkében említett kkv-szorzót és infrastruktúra-szorzót figyelembe kell venni.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Kockázattal súlyozott kitettségértékek sűrűsége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A (0060-as oszlopban feltüntetett) kockázattal súlyozott teljes kitettségérték és a (0010-es oszlopban feltüntetett) kitettségérték aránya.</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Sorok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PD-skála</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A (partnerek szintjén meghatározott) partnerkockázati kitettségeket a rögzített PD-skála megfelelő kategóriájához kell rendelni az ebbe a kitettségi osztályba sorolt egyes kötelezettek becsült PD-értéke alapján (az esetleges garanciából vagy </w:t>
            </w:r>
            <w:proofErr w:type="spellStart"/>
            <w:r>
              <w:rPr>
                <w:rFonts w:ascii="Times New Roman" w:hAnsi="Times New Roman"/>
                <w:sz w:val="24"/>
              </w:rPr>
              <w:t>hitelderivatívából</w:t>
            </w:r>
            <w:proofErr w:type="spellEnd"/>
            <w:r>
              <w:rPr>
                <w:rFonts w:ascii="Times New Roman" w:hAnsi="Times New Roman"/>
                <w:sz w:val="24"/>
              </w:rPr>
              <w:t xml:space="preserve"> eredő helyettesítési hatásokat figyelembe véve). Az intézményeknek minden kitettséget egyenként kell a táblában megadott PD-skálához hozzárendelniük, figyelembe véve a folyamatos skálaértékeket is. Valamennyi nemteljesítő kitettséget a 100 %-os PD-t képviselő kategóriának kell</w:t>
            </w:r>
            <w:r>
              <w:t xml:space="preserve"> </w:t>
            </w:r>
            <w:r>
              <w:rPr>
                <w:rFonts w:ascii="Times New Roman" w:hAnsi="Times New Roman"/>
                <w:sz w:val="24"/>
              </w:rPr>
              <w:t>tartalmaznia.</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A partnerkockázati kitettségek biztosítékainak összetétele</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Általános megjegyzések</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131</w:t>
      </w:r>
      <w:r>
        <w:fldChar w:fldCharType="end"/>
      </w:r>
      <w:r>
        <w:t xml:space="preserve">. Ebben a táblában a származtatott ügyletekhez, hosszú kiegyenlítési idejű ügyletekhez vagy értékpapír-finanszírozási ügyletekhez kapcsolódó partnerkockázati kitettségek esetében használt (adott vagy kapott) biztosíték valós értékét kell feltüntetni, függetlenül attól, hogy az ügyleteket központi szerződő félen keresztül számolják-e el, és hogy nyújtottak-e biztosítékot egy központi szerződő félnek.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A tábla egyes részeire vonatkozó útmutató</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Oszlopok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Származtatott ügyletekben felhasznált biztosíték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amelyet az 575/2013/EU rendelet II. mellékletében felsorolt bármely származtatott ügylethez vagy az említett rendelet 272. cikkének 2. pontja szerinti, értékpapír-finanszírozási ügyletnek nem minősülő hosszú kiegyenlítési idejű ügylethez kapcsolódó partnerkockázati kitettségek esetében használnak.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Értékpapír-finanszírozási ügyletekben felhasznált biztosíték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valamint az értékpapír-finanszírozási ügyletben biztosítékként megjelenő értékpapírt), amelyet értékpapír-finanszírozási ügylethez vagy származtatott ügyletnek nem minősülő hosszú teljesítési idejű ügylethez kapcsolódó partnerkockázati kitettségek esetében használnak.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Elkülönített</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Az 575/2013/EU rendelet 300. cikkének 1. pontja</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Az intézményeknek az 575/2013/EU rendelet 300. cikkének 1. pontjában meghatározott, fizetésképtelenségi eljárásba nem bevonható biztosíték értékét kell megadniuk alapletét vagy változó letét formájában megjelenő biztosítékok szerinti bontásban.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El nem különített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Az 575/2013/EU rendelet 300. cikkének 1. pontja</w:t>
            </w:r>
          </w:p>
          <w:p w14:paraId="57A510C0" w14:textId="77777777" w:rsidR="00EF74C7" w:rsidRPr="002A677E" w:rsidRDefault="00EF74C7" w:rsidP="00822842">
            <w:pPr>
              <w:rPr>
                <w:rFonts w:ascii="Times New Roman" w:hAnsi="Times New Roman"/>
                <w:sz w:val="24"/>
              </w:rPr>
            </w:pPr>
            <w:r>
              <w:rPr>
                <w:rFonts w:ascii="Times New Roman" w:hAnsi="Times New Roman"/>
                <w:sz w:val="24"/>
              </w:rPr>
              <w:t>Az intézményeknek az 575/2013/EU rendelet 300. cikkének 1. pontjában meghatározott, fizetésképtelenségi eljárásba bevonható biztosíték értékét kell megadniuk alapletét vagy változó letét formájában megjelenő biztosítékok szerinti bontásban.</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Alapletét</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Az 575/2013/EU rendelet 4. cikke (1) bekezdésének 140. pontja</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Az intézményeknek az 575/2013/EU rendelet 4. cikke (1) bekezdésének 140. pontjában meghatározottak szerinti alapletétként kapott vagy nyújtott biztosíték valós értékét kell megadniuk.</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Változó letét</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Az intézményeknek a változó letétként kapott vagy nyújtott biztosíték valós értékét kell megadniuk.</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 értékpapír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Az intézményeknek az értékpapír-finanszírozási ügyletekben értékpapírként megjelenő biztosítékok (pl. az értékpapír-finanszírozási ügylet értékpapíroldalán kapott [0130-as oszlop] vagy adott [0180-as oszlop] értékpapírok) valós értékét kell megadniuk.</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Sorok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Biztosítéktípus</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Különböző biztosítéktípusok szerinti bontás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Hitelderivatíva-kitettségek</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A tábla egyes részeire vonatkozó útmutató</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Oszlopok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HITELDERIVATÍVA-FEDEZET</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 xml:space="preserve">Vásárolt vagy eladott </w:t>
            </w:r>
            <w:proofErr w:type="spellStart"/>
            <w:r>
              <w:rPr>
                <w:rFonts w:ascii="Times New Roman" w:hAnsi="Times New Roman"/>
                <w:sz w:val="24"/>
              </w:rPr>
              <w:t>hitelderivatíva</w:t>
            </w:r>
            <w:proofErr w:type="spellEnd"/>
            <w:r>
              <w:rPr>
                <w:rFonts w:ascii="Times New Roman" w:hAnsi="Times New Roman"/>
                <w:sz w:val="24"/>
              </w:rPr>
              <w:t>-fedezet</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NÉVLEGES ÖSSZEG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A származtatott ügyletek nettósítás előtti névleges összege, terméktípus szerinti bontásban</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VALÓS ÉRTÉK</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A valós értékek összege vásárolt és eladott fedezet szerinti bontásban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Sorok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Terméktípus</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Hitelderivatíva-típusok szerinti bontás</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Összesen</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terméktípusok összege</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Valós érték</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A valós értékek terméktípus szerinti bontásban, valamint eszközök (pozitív valós értékek) és kötelezettségek (negatív valós értékek) szerint.</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Központi szerződő felekkel szembeni kitettségek</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Általános megjegyzések</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132</w:t>
      </w:r>
      <w:r>
        <w:fldChar w:fldCharType="end"/>
      </w:r>
      <w:r>
        <w:t xml:space="preserve">. Az intézményeknek a központi szerződő felekkel szembeni kitettségekre – azaz az 575/2013/EU rendelet 301. cikkének (1) bekezdésében felsorolt fennálló szerződésekre és folyamatban lévő ügyletekre –, valamint az említett rendelet 300. cikkének 2. pontja szerinti központi félhez kapcsolódó ügyletekből származó kitettségekre vonatkozó információkat kell jelenteniük, amelyek tekintetében a szavatolótőke-követelményt az említett rendelet harmadik része II. címe 6. fejezetének 9. szakasza szerint kell kiszámítani.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A tábla egyes részeire vonatkozó útmutató</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Oszlopok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harmadik része II. címe 6. fejezete 9. szakaszának hatálya alá tartozó ügyleteknek az említett fejezetben és különösen annak 9. szakaszában meghatározott vonatkozó módszerekkel számított kitettségértéke.</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feltüntetett kitettségérték a szavatolótőke-követelménynek az 575/2013/EU rendelet harmadik része II. címe 6. fejezetének 9. szakasza szerinti kiszámítása szempontjából releváns összeg, figyelembe véve az említett rendelet 497. cikkében meghatározott követelményeket az említett cikkben meghatározott átmeneti időszakban.</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kitettség lehet az 575/2013/EU rendelet 4. cikke (1) bekezdésének 91. pontjában meghatározott kereskedési kitettség.</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Az 575/2013/EU rendelet harmadik része II. címe 6. fejezetének 9. szakaszával összhangban meghatározott kockázattal súlyozott kitettségértékek, figyelembe véve az említett rendelet 497. cikkében foglalt követelményeket az említett cikkben előírt átmeneti időszakban.</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Sorok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lastRenderedPageBreak/>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Elfogadott központi szerződő fél (QCCP)</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Az 575/2013/EU rendelet 4. cikke (1) bekezdésének 88. pontja szerinti elfogadott központi szerződő fél (QCCP).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Alapletét</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Lásd a C 34.08-as táblához tartozó útmutatót.</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E tábla alkalmazásában az alapletét nem tartalmazhatja a közös veszteségviselési megállapodások keretében a központi szerződő félnek nyújtott hozzájárulásokat (azaz azokban az esetekben, amikor a központi szerződő fél alapletétet alkalmaz a veszteségek klíringtagok közötti megosztására, azt garanciaalaphoz kapcsolódó kitettségként kell kezelni).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befizetett garanciaalapi hozzájárulások</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Az 575/2013/EU rendelet 308. és 309. cikke; az 575/2013/EU rendelet 4. cikke (1) bekezdésének 89. pontjában meghatározott garanciaalap; a központi szerződő fél garanciaalapjához való, az intézmény által befizetett hozzájárulás.</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be nem fizetett garanciaalapi hozzájárulások</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Az 575/2013/EU rendelet 309. és 310. cikke; az 575/2013/EU rendelet 4. cikke (1) bekezdésének 89. pontjában meghatározott garanciaalap</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Olyan hozzájárulások, amelyekre vonatkozóan valamely, klíringtagként eljáró intézmény szerződéses kötelezettséget vállalt, hogy azt a központi szerződő fél rendelkezésére bocsátja, miután az adott központi szerződő fél az egy vagy több klíringtagja nemteljesítését követően felmerült veszteségei fedezésére már kimerítette garanciaalapját.</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Elkülönített</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Lásd a C 34.08-as táblához tartozó útmutatót.</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 nem különített</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Lásd a C 34.08-as táblához tartozó útmutatót.</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A partnerkockázathoz kapcsolódó, belső modell módszer szerint számított, kockázattal súlyozott kitettségérték (RWEA) változásának kimutatása</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Általános megjegyzések</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133</w:t>
      </w:r>
      <w:r>
        <w:fldChar w:fldCharType="end"/>
      </w:r>
      <w:r>
        <w:t xml:space="preserve">. Azok az intézmények, amelyek a belső modell módszer alkalmazásával az 575/2013/EU rendelet harmadik része II. címének 6. fejezete szerint számítják ki partnerkockázati kitettségeik egészének vagy egy részének kockázattal súlyozott kitettségértékét, a megfelelő kockázati súlyok meghatározásához használt hitelkockázati módszertől függetlenül ebben a táblában jelentik a belső modell módszer alkalmazási körébe tartozó származtatott ügyletek és értékpapír-finanszírozási ügyletek kockázattal súlyozott kitettségértékeinek változásait a </w:t>
      </w:r>
      <w:r>
        <w:lastRenderedPageBreak/>
        <w:t>változásokat magyarázó, fő tényezők szerinti bontásban és észszerű becsléseket alkalmazva.</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134</w:t>
      </w:r>
      <w:r>
        <w:fldChar w:fldCharType="end"/>
      </w:r>
      <w:r>
        <w:t xml:space="preserve">. Azoknak az intézményeknek, amelyeknek ezt a táblát negyedéves gyakorisággal kell jelenteniük, csak a 0010-es oszlopot kell kitölteniük. Azoknak az intézményeknek, amelyeknek ezt a táblát évente kell jelenteniük, csak a 0020-as oszlopot kell kitölteniük.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135</w:t>
      </w:r>
      <w:r>
        <w:fldChar w:fldCharType="end"/>
      </w:r>
      <w:r>
        <w:t>. Ez a tábla nem tartalmazza a központi szerződő féllel szembeni kitettségek kockázattal súlyozott kitettségértékeit (az 575/2013/EU rendelet harmadik része II. címe 6. fejezetének 9. szakasza).</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A tábla egyes részeire vonatkozó útmutató</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Oszlopok</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14:paraId="0630F3A5" w14:textId="03B5FB80" w:rsidR="00EF74C7" w:rsidRPr="002A677E" w:rsidRDefault="00EF74C7" w:rsidP="00822842">
            <w:pPr>
              <w:rPr>
                <w:rFonts w:ascii="Times New Roman" w:hAnsi="Times New Roman"/>
                <w:sz w:val="24"/>
              </w:rPr>
            </w:pPr>
            <w:r>
              <w:rPr>
                <w:rFonts w:ascii="Times New Roman" w:hAnsi="Times New Roman"/>
                <w:sz w:val="24"/>
              </w:rPr>
              <w:t xml:space="preserve">Az 575/2013/EU rendelet 92. cikkének (3) bekezdésében meghatározott kockázattal súlyozott kitettségértékek azon pozíciók esetében, amelyek kockázati súlyát az említett rendelet harmadik része II. címének 2. és 3. fejezetében meghatározott követelmények alapján állapítják meg, és amelyek esetében az intézmény engedélyt kapott arra, hogy a kitettségek értékét belső modellen alapuló módszer alkalmazásával, az említett rendelet harmadik része II. címe 6. fejezetének 6. szakaszával összhangban számítsa ki.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Az 575/2013/EU rendelet 501. cikkében és 501a. cikkében említett kkv-szorzót és infrastruktúra-szorzót figyelembe kell venni.</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Sorok</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az előző adatszolgáltatási időszak végén</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A belső modellen alapuló módszer hatálya alá tartozó partnerkockázati kitettségek kockázattal súlyozott kitettségértéke az előző adatszolgáltatási időszak végén.</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Eszközérték</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A kockázattal súlyozott kitettségérték változásai (pozitív vagy negatív) a könyv méretében és összetételében a szokásos üzleti tevékenység eredményeként bekövetkezett változások miatt (beleértve az új tevékenységek indítását és a lejáró kitettségeket), de nem számítva a gazdálkodó egységek akvizíciója és elidegenítése miatt a könyv méretében bekövetkezett változásokat.</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Partnerek hitelminősége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 kockázattal súlyozott kitettségérték azon változása (pozitív vagy negatív), amelynek oka az intézmény partnereinek minőségében bekövetkező változás, </w:t>
            </w:r>
            <w:r>
              <w:rPr>
                <w:rFonts w:ascii="Times New Roman" w:hAnsi="Times New Roman"/>
                <w:sz w:val="24"/>
              </w:rPr>
              <w:lastRenderedPageBreak/>
              <w:t>függetlenül attól, hogy milyen módszert használ az intézmény a partner minőségének a hitelkockázati keretrendszerben történő értékelésére. Amennyiben az intézmény IRB módszert alkalmaz, ez a sor tartalmazza a kockázattal súlyozott kitettségértéknek az IRB modellek miatti esetleges változásait is.</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Modellfrissítések (csak IMM)</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A kockázattal súlyozott kitettségérték azon változása (pozitív vagy negatív), amely a modell implementálásának, a modell alkalmazási körében bekövetkező változásnak vagy a modell hiányosságainak orvoslását célzó bármely változtatásnak tudható be.</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Ez a sor csak az IMM modellben bekövetkező változásokkal foglalkozik.</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Módszertan és politika (csak IMM)</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A kockázattal súlyozott kitettségérték azon változása (pozitív vagy negatív), amely a számításokban a szabályozási politika változásainak, például új rendeletek miatt bekövetkezett módszertani változásoknak tudható be (csak az IMM modellen belül).</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Akvizíciók és elidegenítések</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A kockázattal súlyozott kitettségérték azon változása (pozitív vagy negatív), amely a gazdálkodó egységek akvizíciója és elidegenítése miatt a könyv méretében bekövetkezett változásoknak tudható be.</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Devizaárfolyam-mozgások</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 kockázattal súlyozott kitettségérték azon változása (pozitív vagy negatív), amely a devizaárfolyam-mozgásoknak tudható be.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Egyéb</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Ezt a kategóriát kell használni a kockázattal súlyozott kitettségérték azon (pozitív vagy negatív) változásainak kimutatására, amelyek nem rendelhetők hozzá a fenti kategóriák egyikéhez sem.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 folyó adatszolgáltatási időszak végén</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A belső modellen alapuló módszer hatálya alá tartozó partnerkockázati kitettségek kockázattal súlyozott kitettségértéke az aktuális adatszolgáltatási időszak végén.</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C34A8C"/>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hu-HU"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hu-HU"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hu-HU"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hu-HU"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hu-HU"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hu-HU"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hu-HU"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hu-HU"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hu-HU"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hu-HU"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hu-HU"/>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8EF6AB-CF0B-48D2-8D86-1D25EADA46CB}"/>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27</Pages>
  <Words>8723</Words>
  <Characters>46932</Characters>
  <Application>Microsoft Office Word</Application>
  <DocSecurity>0</DocSecurity>
  <Lines>1235</Lines>
  <Paragraphs>806</Paragraphs>
  <ScaleCrop>false</ScaleCrop>
  <Company>European Banking Authority</Company>
  <LinksUpToDate>false</LinksUpToDate>
  <CharactersWithSpaces>54849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 NAGY Ildiko (DGT)</cp:lastModifiedBy>
  <cp:revision>5</cp:revision>
  <dcterms:created xsi:type="dcterms:W3CDTF">2024-06-19T16:03:00Z</dcterms:created>
  <dcterms:modified xsi:type="dcterms:W3CDTF">2025-01-27T11:18:00Z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2025-01-27T11:18:43Z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00cae60f-17ef-45d7-ae77-1a9be8d7ef6c</vt:lpwstr>
  </property>
  <property fmtid="{D5CDD505-2E9C-101B-9397-08002B2CF9AE}" pid="12" name="MSIP_Label_6bd9ddd1-4d20-43f6-abfa-fc3c07406f94_ContentBits">
    <vt:lpwstr>0</vt:lpwstr>
  </property>
</Properties>
</file>