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A83C" w14:textId="77777777" w:rsidR="00CB0520" w:rsidRDefault="00CB0520" w:rsidP="00CB0520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HU</w:t>
      </w:r>
    </w:p>
    <w:p w14:paraId="2D00CB42" w14:textId="77777777" w:rsidR="00CB0520" w:rsidRDefault="00CB0520" w:rsidP="00CB0520">
      <w:pPr>
        <w:rPr>
          <w:rFonts w:asciiTheme="minorHAnsi" w:hAnsiTheme="minorHAnsi"/>
          <w:sz w:val="22"/>
        </w:rPr>
      </w:pPr>
    </w:p>
    <w:p w14:paraId="2B5F5695" w14:textId="77777777" w:rsidR="009C5DD6" w:rsidRPr="00037E7B" w:rsidRDefault="009C5DD6" w:rsidP="009C5DD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II. MELLÉKLET</w:t>
      </w:r>
    </w:p>
    <w:p w14:paraId="03895EA2" w14:textId="77777777" w:rsidR="009C5DD6" w:rsidRPr="00037E7B" w:rsidRDefault="009C5DD6" w:rsidP="009C5DD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„II. MELLÉKLET</w:t>
      </w:r>
    </w:p>
    <w:p w14:paraId="480031C9" w14:textId="77777777" w:rsidR="009C5DD6" w:rsidRPr="00037E7B" w:rsidRDefault="009C5DD6" w:rsidP="009C5DD6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ÚTMUTATÓ A SZAVATOLÓTŐKÉRE ÉS A SZAVATOLÓTŐKE-KÖVETELMÉNYEKRE VONATKOZÓ ADATSZOLGÁLTATÁSHOZ</w:t>
      </w:r>
    </w:p>
    <w:p w14:paraId="08E08E50" w14:textId="77777777" w:rsidR="00EE75F2" w:rsidRDefault="00EE75F2"/>
    <w:p w14:paraId="29C05932" w14:textId="7194A2B7" w:rsidR="00925646" w:rsidRDefault="00FA21C6" w:rsidP="00925646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II. RÉSZ: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A TÁBLÁHOZ KAPCSOLÓDÓ ÚTMUTATÓ</w:t>
      </w:r>
    </w:p>
    <w:p w14:paraId="4DA6D037" w14:textId="77777777" w:rsidR="00FC29F5" w:rsidRDefault="00736637" w:rsidP="0092564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7B580897" w14:textId="4FDF8965" w:rsidR="00736637" w:rsidRPr="00736637" w:rsidRDefault="00736637" w:rsidP="0092564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532AAD9A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310415035"/>
      <w:bookmarkStart w:id="1" w:name="_Toc360188372"/>
      <w:bookmarkStart w:id="2" w:name="_Toc473560923"/>
      <w:bookmarkStart w:id="3" w:name="_Toc151714430"/>
      <w:r>
        <w:rPr>
          <w:sz w:val="24"/>
          <w:u w:val="none"/>
          <w:rFonts w:ascii="Times New Roman" w:hAnsi="Times New Roman"/>
        </w:rPr>
        <w:t xml:space="preserve">3.6.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11.00 – Kiegyenlítési/teljesítési kockázat</w:t>
      </w:r>
      <w:bookmarkEnd w:id="0"/>
      <w:r>
        <w:t xml:space="preserve"> </w:t>
      </w:r>
      <w:r>
        <w:rPr>
          <w:sz w:val="24"/>
          <w:rFonts w:ascii="Times New Roman" w:hAnsi="Times New Roman"/>
        </w:rPr>
        <w:t xml:space="preserve">(CR SETT)</w:t>
      </w:r>
      <w:bookmarkEnd w:id="1"/>
      <w:bookmarkEnd w:id="2"/>
      <w:bookmarkEnd w:id="3"/>
    </w:p>
    <w:p w14:paraId="2752D001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4" w:name="_Toc262568045"/>
      <w:bookmarkStart w:id="5" w:name="_Toc295829924"/>
      <w:bookmarkStart w:id="6" w:name="_Toc310415036"/>
      <w:bookmarkStart w:id="7" w:name="_Toc360188373"/>
      <w:bookmarkStart w:id="8" w:name="_Toc473560924"/>
      <w:bookmarkStart w:id="9" w:name="_Toc151714431"/>
      <w:r>
        <w:rPr>
          <w:sz w:val="24"/>
          <w:u w:val="none"/>
          <w:rFonts w:ascii="Times New Roman" w:hAnsi="Times New Roman"/>
        </w:rPr>
        <w:t xml:space="preserve">3.6.1.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Általános megjegyzések</w:t>
      </w:r>
      <w:bookmarkEnd w:id="4"/>
      <w:bookmarkEnd w:id="5"/>
      <w:bookmarkEnd w:id="6"/>
      <w:bookmarkEnd w:id="7"/>
      <w:bookmarkEnd w:id="8"/>
      <w:bookmarkEnd w:id="9"/>
    </w:p>
    <w:p w14:paraId="2F026EC9" w14:textId="0B459D4B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99</w:t>
      </w:r>
      <w:r>
        <w:fldChar w:fldCharType="end"/>
      </w:r>
      <w:r>
        <w:t xml:space="preserve">.</w:t>
      </w:r>
      <w:r>
        <w:tab/>
      </w:r>
      <w:r>
        <w:t xml:space="preserve">A táblában a kereskedési könyvben és a nem kereskedési könyvben nyilvántartott olyan ügyletekről kell információt szolgáltatni, amelyek kiegyenlítése a teljesítési határidejükig nem történt meg, továbbá a kiegyenlítési kockázat kapcsolódó szavatolótőke-követelményéről az 575/2013/EU rendelet 92. cikke (3) bekezdése c) pontjának ii. alpontjában, valamint 378. cikkében említetteknek megfelelően.</w:t>
      </w:r>
      <w:r>
        <w:t xml:space="preserve"> </w:t>
      </w:r>
    </w:p>
    <w:p w14:paraId="0B60E63F" w14:textId="08AFF3CE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100</w:t>
      </w:r>
      <w:r>
        <w:fldChar w:fldCharType="end"/>
      </w:r>
      <w:r>
        <w:t xml:space="preserve">.</w:t>
      </w:r>
      <w:r>
        <w:tab/>
      </w:r>
      <w:r>
        <w:t xml:space="preserve">Az intézmények a CR SETT táblán a kiegyenlítési/teljesítési kockázattal kapcsolatos információkat adnak meg a kereskedési könyvben és a nem kereskedési könyvben nyilvántartott hitelviszonyt megtestesítő értékpapírokra, részvényekre, külföldi pénznemekre és árukra vonatkozóan.</w:t>
      </w:r>
      <w:r>
        <w:t xml:space="preserve"> </w:t>
      </w:r>
    </w:p>
    <w:p w14:paraId="1F6DAE78" w14:textId="6128EA18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101</w:t>
      </w:r>
      <w:r>
        <w:fldChar w:fldCharType="end"/>
      </w:r>
      <w:r>
        <w:t xml:space="preserve">.</w:t>
      </w:r>
      <w:r>
        <w:tab/>
      </w:r>
      <w:r>
        <w:t xml:space="preserve">Az 575/2013/EU rendelet 378. cikke szerint a kiegyenlítési/teljesítési kockázatra vonatkozó szavatolótőke-követelmény nem érinti a repoügyleteket, valamint a hitelviszonyt megtestesítő értékpapírokkal, részvényekkel, külföldi pénznemekkel vagy áruval kapcsolatos értékpapír- és áru-kölcsönbeadási, illetve -kölcsönvételi ügyleteket.</w:t>
      </w:r>
      <w:r>
        <w:t xml:space="preserve"> </w:t>
      </w:r>
      <w:r>
        <w:t xml:space="preserve">Ügyelni kell azonban arra, hogy a teljesítési határidőig ki nem egyenlített származtatott ügyletek és hosszú kiegyenlítési idejű ügyletek ettől függetlenül az 575/2013/EU rendelet 378. cikke szerint meghatározott, a kiegyenlítési/teljesítési kockázatra vonatkozó szavatolótőke-követelmény hatálya alá esnek.</w:t>
      </w:r>
    </w:p>
    <w:p w14:paraId="4DCAF22E" w14:textId="79A986C3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102</w:t>
      </w:r>
      <w:r>
        <w:fldChar w:fldCharType="end"/>
      </w:r>
      <w:r>
        <w:t xml:space="preserve">.</w:t>
      </w:r>
      <w:r>
        <w:tab/>
      </w:r>
      <w:r>
        <w:t xml:space="preserve">A teljesítési határidőig ki nem egyenlített ügyletek esetében az intézményeknek ki kell számítaniuk a felmerült árkülönbözetet.</w:t>
      </w:r>
      <w:r>
        <w:t xml:space="preserve"> </w:t>
      </w:r>
      <w:r>
        <w:t xml:space="preserve">Ez az adott hitelviszonyt megtestesítő értékpapír, részvény, külföldi pénznem vagy áru kikötött teljesítési ára és aktuális piaci értéke közötti különbözet, ahol a különbözet veszteséget is jelenthet az intézmény számára.</w:t>
      </w:r>
      <w:r>
        <w:t xml:space="preserve"> </w:t>
      </w:r>
    </w:p>
    <w:p w14:paraId="7DB9BE93" w14:textId="77A3E431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103</w:t>
      </w:r>
      <w:r>
        <w:fldChar w:fldCharType="end"/>
      </w:r>
      <w:r>
        <w:t xml:space="preserve">.</w:t>
      </w:r>
      <w:r>
        <w:tab/>
      </w:r>
      <w:r>
        <w:t xml:space="preserve">Az intézmények a különbözetet az 575/2013/EU rendelet 378. cikkében található 1. táblázat megfelelő szorzójával megszorozva határozzák meg a vonatkozó szavatolótőke-követelményt.</w:t>
      </w:r>
    </w:p>
    <w:p w14:paraId="59D114DF" w14:textId="657627A8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104</w:t>
      </w:r>
      <w:r>
        <w:fldChar w:fldCharType="end"/>
      </w:r>
      <w:r>
        <w:t xml:space="preserve">.</w:t>
      </w:r>
      <w:r>
        <w:tab/>
      </w:r>
      <w:r>
        <w:t xml:space="preserve">Az 575/2013/EU rendelet 92. cikke (4) bekezdésének b) pontja szerint a kockázati kitettség összegének kiszámításához a kiegyenlítési/teljesítési kockázatra vonatkozó szavatolótőke-követelményt 12,5-del kell megszorozni.</w:t>
      </w:r>
    </w:p>
    <w:p w14:paraId="451A9870" w14:textId="00DC3B9D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lastRenderedPageBreak/>
        <w:fldChar w:fldCharType="begin" w:dirty="true"/>
      </w:r>
      <w:r>
        <w:instrText>seq paragraphs</w:instrText>
      </w:r>
      <w:r>
        <w:fldChar w:fldCharType="separate"/>
      </w:r>
      <w:r w:rsidRPr="002A677E">
        <w:t>105</w:t>
      </w:r>
      <w:r>
        <w:fldChar w:fldCharType="end"/>
      </w:r>
      <w:r>
        <w:t xml:space="preserve">.</w:t>
      </w:r>
      <w:r>
        <w:tab/>
      </w:r>
      <w:r>
        <w:t xml:space="preserve">Ügyelni kell arra, hogy a CR SETT tábla alkalmazási köre nem terjed ki a nyitva szállításokra vonatkozó, az 575/2013/EU rendelet 379. cikkében rögzített szavatolótőke-követelményre;</w:t>
      </w:r>
      <w:r>
        <w:t xml:space="preserve"> </w:t>
      </w:r>
      <w:r>
        <w:t xml:space="preserve">azt a hitelkockázati táblacsoporton (CR SA, CR IRB) kell feltüntetni.</w:t>
      </w:r>
    </w:p>
    <w:p w14:paraId="2856C9F8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0" w:name="_Toc310415037"/>
      <w:bookmarkStart w:id="11" w:name="_Toc360188374"/>
      <w:bookmarkStart w:id="12" w:name="_Toc473560925"/>
      <w:bookmarkStart w:id="13" w:name="_Toc151714432"/>
      <w:r>
        <w:rPr>
          <w:sz w:val="24"/>
          <w:u w:val="none"/>
          <w:rFonts w:ascii="Times New Roman" w:hAnsi="Times New Roman"/>
        </w:rPr>
        <w:t xml:space="preserve">3.6.2.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 tábla egyes részeire vonatkozó útmutató</w:t>
      </w:r>
      <w:bookmarkEnd w:id="10"/>
      <w:bookmarkEnd w:id="11"/>
      <w:bookmarkEnd w:id="12"/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925646" w:rsidRPr="002A677E" w14:paraId="1C4B6209" w14:textId="77777777" w:rsidTr="00E07FE9">
        <w:tc>
          <w:tcPr>
            <w:tcW w:w="8856" w:type="dxa"/>
            <w:gridSpan w:val="2"/>
            <w:shd w:val="clear" w:color="auto" w:fill="CCCCCC"/>
          </w:tcPr>
          <w:p w14:paraId="248EFB4C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Oszlop</w:t>
            </w:r>
          </w:p>
        </w:tc>
      </w:tr>
      <w:tr w:rsidR="00925646" w:rsidRPr="002A677E" w14:paraId="0C777B7A" w14:textId="77777777" w:rsidTr="00E07FE9">
        <w:tc>
          <w:tcPr>
            <w:tcW w:w="852" w:type="dxa"/>
          </w:tcPr>
          <w:p w14:paraId="12FCBB6E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04" w:type="dxa"/>
          </w:tcPr>
          <w:p w14:paraId="04AF1B5E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KI NEM EGYENLÍTETT ÜGYLETEK TELJESÍTÉSI ÁRA</w:t>
            </w:r>
          </w:p>
          <w:p w14:paraId="4CB9A5A9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378. cikkében említetteknek megfelelően az intézmények a teljesítési határidőig ki nem egyenlített ügyleteket azok elfogadott teljesítési árán tüntetik fel.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9152D4C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Ebben az oszlopban minden ki nem egyenlített ügyletet fel kell tüntetni attól függetlenül, hogy a teljesítési határidőt követően nyereséget vagy veszteséget mutatnak.</w:t>
            </w:r>
          </w:p>
        </w:tc>
      </w:tr>
      <w:tr w:rsidR="00925646" w:rsidRPr="002A677E" w14:paraId="5FEA9B26" w14:textId="77777777" w:rsidTr="00E07FE9">
        <w:tc>
          <w:tcPr>
            <w:tcW w:w="852" w:type="dxa"/>
          </w:tcPr>
          <w:p w14:paraId="5EC8BA01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004" w:type="dxa"/>
          </w:tcPr>
          <w:p w14:paraId="5594AB8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KI NEM EGYENLÍTETT ÜGYLETEKBŐL EREDŐ ÁRKÜLÖNBÖZETI KITETTSÉG</w:t>
            </w:r>
          </w:p>
          <w:p w14:paraId="43853ADA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feltüntetik az adott hitelviszonyt megtestesítő értékpapír, részvény, külföldi pénznem vagy áru kikötött teljesítési ára és aktuális piaci értéke közötti különbözetet, ahol a különbözet veszteséget is jelenthet az intézmény számára, az 575/2013/EU rendelet 378. cikkében említetteknek megfelelően.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2F8ABE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Ebben az oszlopban kizárólag azokat a ki nem egyenlített ügyleteket kell feltüntetni, amelyek a teljesítési határidőt követően veszteséget mutatnak.</w:t>
            </w:r>
          </w:p>
        </w:tc>
      </w:tr>
      <w:tr w:rsidR="00925646" w:rsidRPr="002A677E" w14:paraId="40F087AE" w14:textId="77777777" w:rsidTr="00E07FE9">
        <w:tc>
          <w:tcPr>
            <w:tcW w:w="852" w:type="dxa"/>
          </w:tcPr>
          <w:p w14:paraId="464EF1DF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004" w:type="dxa"/>
          </w:tcPr>
          <w:p w14:paraId="5DA1D585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SZAVATOLÓTŐKE-KÖVETELMÉNYEK</w:t>
            </w:r>
          </w:p>
          <w:p w14:paraId="24894388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feltüntetik az 575/2013/EU rendelet 378. cikke szerint kiszámított szavatolótőke-követelményt.</w:t>
            </w:r>
          </w:p>
        </w:tc>
      </w:tr>
      <w:tr w:rsidR="00925646" w:rsidRPr="002A677E" w14:paraId="185C6E1B" w14:textId="77777777" w:rsidTr="00E07FE9">
        <w:tc>
          <w:tcPr>
            <w:tcW w:w="852" w:type="dxa"/>
          </w:tcPr>
          <w:p w14:paraId="6691FECB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004" w:type="dxa"/>
          </w:tcPr>
          <w:p w14:paraId="09E890C2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KIEGYENLÍTÉSI KOCKÁZAT TELJES KOCKÁZATI KITETTSÉGÉRTÉKE</w:t>
            </w:r>
          </w:p>
          <w:p w14:paraId="3A06223E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92. cikke (4) bekezdésének b) pontja szerint az intézmények a kiegyenlítési kockázati kitettség összegének kiszámításához a 0030-as oszlopban feltüntetett szavatolótőke-követelményt 12,5-del szorozzák meg.</w:t>
            </w:r>
          </w:p>
        </w:tc>
      </w:tr>
    </w:tbl>
    <w:p w14:paraId="2CF8C386" w14:textId="77777777" w:rsidR="00925646" w:rsidRPr="002A677E" w:rsidRDefault="00925646" w:rsidP="0092564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10"/>
      </w:tblGrid>
      <w:tr w:rsidR="00925646" w:rsidRPr="002A677E" w14:paraId="49AB5F6A" w14:textId="77777777" w:rsidTr="00E07FE9">
        <w:tc>
          <w:tcPr>
            <w:tcW w:w="8862" w:type="dxa"/>
            <w:gridSpan w:val="2"/>
            <w:shd w:val="clear" w:color="auto" w:fill="CCCCCC"/>
          </w:tcPr>
          <w:p w14:paraId="5E71AA9E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Sor</w:t>
            </w:r>
          </w:p>
        </w:tc>
      </w:tr>
      <w:tr w:rsidR="00925646" w:rsidRPr="002A677E" w14:paraId="6E36F3A5" w14:textId="77777777" w:rsidTr="00E07FE9">
        <w:tc>
          <w:tcPr>
            <w:tcW w:w="852" w:type="dxa"/>
          </w:tcPr>
          <w:p w14:paraId="4E78548D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10" w:type="dxa"/>
          </w:tcPr>
          <w:p w14:paraId="7950866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nem kereskedési könyvi ki nem egyenlített ügyletek összesen</w:t>
            </w:r>
          </w:p>
          <w:p w14:paraId="21410DD0" w14:textId="700C573F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összesített információkat közölnek a nem kereskedési könyvi pozíciók kiegyenlítési/teljesítési kockázatával kapcsolatban (az 575/2013/EU rendelet 92. cikke (4) bekezdésének ca) pontjában, valamint 378. cikkében említetteknek megfelelően).</w:t>
            </w:r>
          </w:p>
          <w:p w14:paraId="57BBA9B8" w14:textId="77777777" w:rsidR="00925646" w:rsidRPr="002A677E" w:rsidRDefault="00925646" w:rsidP="00E07FE9">
            <w:pPr>
              <w:spacing w:beforeLines="60" w:before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az {r0010;c0010} cellában a teljesítési határidőig ki nem egyenlített ügyletek összesített értékét tüntetik fel azok elfogadott teljesítési árfolyamán.</w:t>
            </w:r>
          </w:p>
          <w:p w14:paraId="556AEAC8" w14:textId="77777777" w:rsidR="00925646" w:rsidRPr="002A677E" w:rsidRDefault="00925646" w:rsidP="00E07FE9">
            <w:pPr>
              <w:spacing w:beforeLines="60" w:before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az {r0010;c0020} cellában a nem teljesített, veszteséges ügyletekből eredő árkülönbözeti kitettségre vonatkozó összesített információkat tüntetik fel.</w:t>
            </w:r>
          </w:p>
          <w:p w14:paraId="01BDECED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az {r0010;c0030] cellában az összesített szavatolótőke-követelményt tüntetik fel, amely a teljesítési határidő után eltelt munkanapok száma szerinti szorzó és a 0020-as oszlopban megadott árkülönbözet szorzatából adódó, a ki nem egyenlített ügyletekre vonatkozó szavatolótőke-követelmény (az 575/2013/EU rendelet 378. cikkében található 1. táblázatban említett kategóriáknak megfelelően).</w:t>
            </w:r>
          </w:p>
        </w:tc>
      </w:tr>
      <w:tr w:rsidR="00925646" w:rsidRPr="002A677E" w14:paraId="5C9B2254" w14:textId="77777777" w:rsidTr="00E07FE9">
        <w:tc>
          <w:tcPr>
            <w:tcW w:w="852" w:type="dxa"/>
          </w:tcPr>
          <w:p w14:paraId="4D2DFFF2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0020–0060</w:t>
            </w:r>
          </w:p>
        </w:tc>
        <w:tc>
          <w:tcPr>
            <w:tcW w:w="8010" w:type="dxa"/>
          </w:tcPr>
          <w:p w14:paraId="78C0D32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Legfeljebb 4 napig ki nem egyenlített ügyletek</w:t>
            </w:r>
            <w: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(0 %-os szorzó)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8729DF9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5–15 napig ki nem egyenlített ügyletek (8 %-os szorzó)</w:t>
            </w:r>
          </w:p>
          <w:p w14:paraId="00232284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16–30 napig ki nem egyenlített ügyletek (50 %-os szorzó)</w:t>
            </w:r>
          </w:p>
          <w:p w14:paraId="5EEFD9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31–45 napig ki nem egyenlített ügyletek (75 %-os szorzó)</w:t>
            </w:r>
          </w:p>
          <w:p w14:paraId="326E480A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Legalább 46 napig ki nem egyenlített ügyletek (100 %-os szorzó)</w:t>
            </w:r>
          </w:p>
          <w:p w14:paraId="4BCE7D0D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a 0020–0060-as sorban a nem kereskedési könyvi pozíciókra vonatkozó kiegyenlítési/teljesítési kockázattal kapcsolatos információkat az 575/2013/EU rendelet 378. cikkében található 1. táblázatban említett kategóriák szerint tüntetik fel.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BA03842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teljesítési határidőt követően 5 munkanapnál rövidebb ideig ki nem egyenlített ügyletek esetében a kiegyenlítési/teljesítési kockázatra nem vonatkozik szavatolótőke-követelmény.</w:t>
            </w:r>
          </w:p>
        </w:tc>
      </w:tr>
      <w:tr w:rsidR="00925646" w:rsidRPr="002A677E" w14:paraId="271E44B6" w14:textId="77777777" w:rsidTr="00E07FE9">
        <w:tc>
          <w:tcPr>
            <w:tcW w:w="852" w:type="dxa"/>
          </w:tcPr>
          <w:p w14:paraId="4680CF00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010" w:type="dxa"/>
          </w:tcPr>
          <w:p w14:paraId="56920EB6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kereskedési könyvi ki nem egyenlített ügyletek összesen</w:t>
            </w:r>
          </w:p>
          <w:p w14:paraId="3C4B428B" w14:textId="446A5161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összesített információkat közölnek a kereskedési könyvi pozíciók kiegyenlítési/teljesítési kockázatával kapcsolatban (az 575/2013/EU rendelet 92. cikke (4) bekezdésének ca) pontjában, valamint 378. cikkében említetteknek megfelelően).</w:t>
            </w:r>
          </w:p>
          <w:p w14:paraId="2E44B3F3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az {r0070;c0010} cellában a teljesítési határidőig ki nem egyenlített ügyletek összesített értékét tüntetik fel azok elfogadott teljesítési árfolyamán.</w:t>
            </w:r>
          </w:p>
          <w:p w14:paraId="1CB848DF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az {r0070;c0020} cellában a nem teljesített, veszteséges ügyletekből eredő árkülönbözeti kitettségre vonatkozó összesített információkat tüntetik fel.</w:t>
            </w:r>
          </w:p>
          <w:p w14:paraId="64D05373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az {r0070;c0030} cellában az összesített szavatolótőke-követelményt tüntetik fel, amely a teljesítési határidő után eltelt munkanapok száma szerinti szorzó és a 0020-as oszlopban megadott árkülönbözet szorzatából adódó, a ki nem egyenlített ügyletekre vonatkozó szavatolótőke-követelmény (az 575/2013/EU rendelet 378. cikkében található 1. táblázatban említett kategóriáknak megfelelően).</w:t>
            </w:r>
          </w:p>
        </w:tc>
      </w:tr>
      <w:tr w:rsidR="00925646" w:rsidRPr="002A677E" w14:paraId="2284D88A" w14:textId="77777777" w:rsidTr="00E07FE9">
        <w:tc>
          <w:tcPr>
            <w:tcW w:w="852" w:type="dxa"/>
          </w:tcPr>
          <w:p w14:paraId="4F3EBD1A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0080–0120</w:t>
            </w:r>
          </w:p>
        </w:tc>
        <w:tc>
          <w:tcPr>
            <w:tcW w:w="8010" w:type="dxa"/>
          </w:tcPr>
          <w:p w14:paraId="34E9771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Legfeljebb 4 napig ki nem egyenlített ügyletek</w:t>
            </w:r>
            <w: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(0 %-os szorzó)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B8BB095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5–15 napig ki nem egyenlített ügyletek (8 %-os szorzó)</w:t>
            </w:r>
          </w:p>
          <w:p w14:paraId="3902398B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16–30 napig ki nem egyenlített ügyletek (50 %-os szorzó)</w:t>
            </w:r>
          </w:p>
          <w:p w14:paraId="256655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31–45 napig ki nem egyenlített ügyletek (75 %-os szorzó)</w:t>
            </w:r>
          </w:p>
          <w:p w14:paraId="61E1443A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Legalább 46 napig ki nem egyenlített ügyletek (100 %-os szorzó)</w:t>
            </w:r>
          </w:p>
          <w:p w14:paraId="1A0345F5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a 0080–0120-as sorban a kereskedési könyvi pozíciókra vonatkozó kiegyenlítési/teljesítési kockázattal kapcsolatos információkat az 575/2013/EU rendelet 378. cikkében található 1. táblázatban említett kategóriák szerint tüntetik fel.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A9F762A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teljesítési határidőt követően 5 munkanapnál rövidebb ideig ki nem egyenlített ügyletek esetében a kiegyenlítési/teljesítési kockázatra nem vonatkozik szavatolótőke-követelmény.</w:t>
            </w:r>
          </w:p>
        </w:tc>
      </w:tr>
    </w:tbl>
    <w:p w14:paraId="5D73F136" w14:textId="77777777" w:rsidR="00925646" w:rsidRPr="002A677E" w:rsidRDefault="00925646" w:rsidP="00925646">
      <w:pPr>
        <w:spacing w:after="0"/>
        <w:rPr>
          <w:rFonts w:ascii="Times New Roman" w:hAnsi="Times New Roman"/>
          <w:sz w:val="24"/>
        </w:rPr>
      </w:pPr>
    </w:p>
    <w:p w14:paraId="43F97E9B" w14:textId="77777777" w:rsidR="00925646" w:rsidRDefault="00925646" w:rsidP="00925646">
      <w:r>
        <w:br w:type="page"/>
      </w:r>
    </w:p>
    <w:p w14:paraId="557ADFEB" w14:textId="77777777" w:rsidR="00925646" w:rsidRDefault="00925646"/>
    <w:sectPr w:rsidR="00925646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4A1AA" w14:textId="77777777" w:rsidR="00960943" w:rsidRDefault="00960943" w:rsidP="00925646">
      <w:pPr>
        <w:spacing w:before="0" w:after="0"/>
      </w:pPr>
      <w:r>
        <w:separator/>
      </w:r>
    </w:p>
  </w:endnote>
  <w:endnote w:type="continuationSeparator" w:id="0">
    <w:p w14:paraId="65273641" w14:textId="77777777" w:rsidR="00960943" w:rsidRDefault="00960943" w:rsidP="009256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2BB9E" w14:textId="77777777" w:rsidR="00960943" w:rsidRDefault="00960943" w:rsidP="00925646">
      <w:pPr>
        <w:spacing w:before="0" w:after="0"/>
      </w:pPr>
      <w:r>
        <w:separator/>
      </w:r>
    </w:p>
  </w:footnote>
  <w:footnote w:type="continuationSeparator" w:id="0">
    <w:p w14:paraId="07A05382" w14:textId="77777777" w:rsidR="00960943" w:rsidRDefault="00960943" w:rsidP="009256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F0C6" w14:textId="3A9322B0" w:rsidR="00925646" w:rsidRDefault="00925646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9A67A4D" wp14:editId="1C73451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85299262" name="Text Box 2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C118C" w14:textId="6D89FBB4" w:rsidR="00925646" w:rsidRPr="00925646" w:rsidRDefault="00925646" w:rsidP="00925646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A67A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H – szokásos felhasználásr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598C118C" w14:textId="6D89FBB4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45C3" w14:textId="60A18E7B" w:rsidR="00925646" w:rsidRDefault="00925646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30E3E4E5" wp14:editId="23EF4F52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658750035" name="Text Box 3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41E575" w14:textId="100C6677" w:rsidR="00925646" w:rsidRPr="00925646" w:rsidRDefault="00925646" w:rsidP="00925646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3E4E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H – szokásos felhasználásr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1941E575" w14:textId="100C667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63BA" w14:textId="2933D5A5" w:rsidR="00925646" w:rsidRDefault="00925646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497E951" wp14:editId="175F54D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58255065" name="Text Box 1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D547D" w14:textId="0ABEE687" w:rsidR="00925646" w:rsidRPr="00925646" w:rsidRDefault="00925646" w:rsidP="00925646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97E9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H – szokásos felhasználásr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C9D547D" w14:textId="0ABEE68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1"/>
  </w:num>
  <w:num w:numId="2" w16cid:durableId="192368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25646"/>
    <w:rsid w:val="005A0E0B"/>
    <w:rsid w:val="00631623"/>
    <w:rsid w:val="006364D5"/>
    <w:rsid w:val="00736637"/>
    <w:rsid w:val="007E5623"/>
    <w:rsid w:val="00925646"/>
    <w:rsid w:val="00960943"/>
    <w:rsid w:val="009C5DD6"/>
    <w:rsid w:val="00A6002C"/>
    <w:rsid w:val="00AB618F"/>
    <w:rsid w:val="00B71F25"/>
    <w:rsid w:val="00CB0520"/>
    <w:rsid w:val="00EE75F2"/>
    <w:rsid w:val="00EF07A1"/>
    <w:rsid w:val="00FA21C6"/>
    <w:rsid w:val="00FC29F5"/>
    <w:rsid w:val="00FE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61F2F"/>
  <w15:chartTrackingRefBased/>
  <w15:docId w15:val="{0BCCFD41-E2B6-484E-8347-5B1A0004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646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6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6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6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6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6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6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6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6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6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6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6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6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6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6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6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6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6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6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6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6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6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6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6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56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56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6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6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646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925646"/>
    <w:pPr>
      <w:keepLines w:val="0"/>
      <w:numPr>
        <w:numId w:val="1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val="hu-HU" w:eastAsia="x-none"/>
    </w:rPr>
  </w:style>
  <w:style w:type="character" w:customStyle="1" w:styleId="InstructionsTabelleberschrift">
    <w:name w:val="Instructions Tabelle Überschrift"/>
    <w:qFormat/>
    <w:rsid w:val="00925646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25646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925646"/>
    <w:pPr>
      <w:numPr>
        <w:numId w:val="2"/>
      </w:numPr>
      <w:spacing w:before="0" w:after="240"/>
    </w:pPr>
    <w:rPr>
      <w:rFonts w:ascii="Times New Roman" w:hAnsi="Times New Roman"/>
      <w:sz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92564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25646"/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0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F9F947-574A-431C-BB1E-1E311FE824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1F446518-0FCF-416C-A682-F89A7C1B9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DC7718-B8F4-4D9D-8729-29C11F04BA95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1051</Words>
  <Characters>6013</Characters>
  <Application>Microsoft Office Word</Application>
  <DocSecurity>0</DocSecurity>
  <Lines>130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PETRE Gheorghe-Cristian (FISMA)</cp:lastModifiedBy>
  <cp:revision>9</cp:revision>
  <dcterms:created xsi:type="dcterms:W3CDTF">2024-05-28T09:25:00Z</dcterms:created>
  <dcterms:modified xsi:type="dcterms:W3CDTF">2024-07-10T18:21:00Z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3f13b0d9,40b05a3e,2743ba53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2024-07-10T18:21:37Z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8bd36abc-edef-4d8a-961c-71b37bbefd17</vt:lpwstr>
  </property>
  <property fmtid="{D5CDD505-2E9C-101B-9397-08002B2CF9AE}" pid="12" name="MSIP_Label_6bd9ddd1-4d20-43f6-abfa-fc3c07406f94_ContentBits">
    <vt:lpwstr>0</vt:lpwstr>
  </property>
</Properties>
</file>