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AB900" w14:textId="77777777" w:rsidR="001C3967" w:rsidRDefault="001C3967" w:rsidP="001C3967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HU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II. MELLÉKLET</w:t>
      </w:r>
    </w:p>
    <w:p w14:paraId="4E0B1D04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„II. MELLÉKLET</w:t>
      </w:r>
    </w:p>
    <w:p w14:paraId="1B650450" w14:textId="77777777" w:rsidR="0086495E" w:rsidRPr="00037E7B" w:rsidRDefault="0086495E" w:rsidP="0086495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ÚTMUTATÓ A SZAVATOLÓTŐKÉRE ÉS A SZAVATOLÓTŐKE-KÖVETELMÉNYEKRE VONATKOZÓ ADATSZOLGÁLTATÁSHOZ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II. RÉSZ: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TÁBLASPECIFIKUS ÚTMUTATÓ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3.5a.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C 10.00 – Hitelkockázat, partnerkockázat és nyitva szállítások: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Tőkeküszöbérték hatálya alá tartozó IRB-kitettségek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0" w:name="_Toc151714425"/>
      <w:r>
        <w:rPr>
          <w:sz w:val="24"/>
          <w:u w:val="none"/>
          <w:rFonts w:ascii="Times New Roman" w:hAnsi="Times New Roman"/>
        </w:rPr>
        <w:t xml:space="preserve">3.5a.1.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Általános megjegyzések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91b.</w:t>
      </w:r>
      <w:r>
        <w:t xml:space="preserve"> </w:t>
      </w:r>
      <w:r>
        <w:t xml:space="preserve">Az IRB módszert alkalmazó intézményeknek a C 10.00 táblában az IRB-kitettségeket az SA kitettségi osztályok szerinti bontásban kell megadniuk, és információkat kell szolgáltatniuk e kitettségek sztenderd teljes kockázati kitettségértékének kiszámításáról.</w:t>
      </w:r>
      <w:r>
        <w:t xml:space="preserve"> </w:t>
      </w:r>
      <w:r>
        <w:t xml:space="preserve">A 0100–0120. oszlop az említett kitettségek tőkeküszöbértékéhez kapcsolódó átmeneti rendelkezések hatásáról gyűjt információkat.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91c.</w:t>
      </w:r>
      <w:r>
        <w:t xml:space="preserve"> </w:t>
      </w:r>
      <w:r>
        <w:t xml:space="preserve">Azoknak az intézményeknek, amelyek a sztenderd módszer szerinti kitettségek kitettségértékének kiszámításához az 575/2013/EU rendelet 6. fejezetének 6. szakaszában meghatározott belső modell módszert (IMM) alkalmazzák, e tábla 0270-es sorát kell kitölteniük.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1" w:name="_Toc151714426"/>
      <w:r>
        <w:rPr>
          <w:sz w:val="24"/>
          <w:u w:val="none"/>
          <w:rFonts w:ascii="Times New Roman" w:hAnsi="Times New Roman"/>
        </w:rPr>
        <w:t xml:space="preserve">3.5a.2.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 tábla egyes részeire vonatkozó útmutató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Oszlopok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 xml:space="preserve">HITEL-EGYENÉRTÉKESÍTÉSI TÉNYEZŐK ELŐTTI EREDETI KITETTSÉG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Lásd a C 07.00 tábla 0010 oszlopához tartozó útmutatót.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(–) AZ EREDETI KITETTSÉGGEL ÖSSZEFÜGGŐ ÉRTÉKELÉSI KORREKCIÓK ÉS CÉLTARTALÉKOK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Lásd a C 07.00 tábla 0030 oszlopához tartozó útmutatót.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ÉRTÉKELÉSI KORREKCIÓKKAL ÉS CÉLTARTALÉKOKKAL CSÖKKENTETT KITETTSÉG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0010-es és 0020-as oszlop összege.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KITETTSÉGÉRTÉK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t xml:space="preserve">Lásd a C 07.00 tábla 0200 oszlopához tartozó útmutatót.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PARTNERKOCKÁZATBÓL EREDŐ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Lásd a C 07.00 tábla 0210 oszlopához tartozó útmutatót.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0060–0080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TŐKEKÜSZÖBÉRTÉK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92. cikkének (3) bekezdése és 92. cikkének (5) bekezdése.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S-TREA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sztenderd teljes kockázati kitettségérték (S-TREA), az 575/2013/EU rendelet 92. cikkének (5) bekezdésével összhangban kiszámítva.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PARTNERKOCKÁZATBÓL EREDŐ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partnerkockázatra vonatkozó S-TREA az 575/2013/EU rendelet harmadik része II. címének 6. fejezete szerinti módszerekkel kiszámítva.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KIJELÖLT KHMI ÁLTAL KÉSZÍTETT HITELMINŐSÍTÉSSEL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 cikkének a)–d), f), g), l), n), o) és q) pontja.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0090–0110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TÁJÉKOZTATÓ ADATOK: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BIZONYOS ÁTMENETI RENDELKEZÉSEK ALKALMAZÁSÁNAK HATÁSÁVAL KAPCSOLATOS, KOCKÁZATTAL SÚLYOZOTT KITETTSÉGÉRTÉK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92. cikkének (3) bekezdése és 465. cikke.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kockázattal súlyozott kitettségértéknek az átmeneti rendelkezések alkalmazása nélkül számított összege és az átmeneti rendelkezések alkalmazásával számított összege közötti különbséget kell feltüntetni.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LAKÓINGATLANRA BEJEGYZETT JELZÁLOGGAL FEDEZETT KITETTSÉGEKNEK AZ INGATLANÉRTÉK 55 %-ÁT MEG NEM HALADÓ RÉSZE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465. cikke (5) bekezdésének a) pontja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LAKÓINGATLANRA BEJEGYZETT JELZÁLOGGAL FEDEZETT KITETTSÉGEKNEK AZ INGATLANÉRTÉK 55–80 %-A KÖZÖTTI RÉSZE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465. cikke (5) bekezdésének b) pontja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NEM MINŐSÍTETT VÁLLALATOKKAL SZEMBENI KITETTSÉGEK PD-BECSLÉSSEL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465. cikkének (3) bekezdése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PARTNERKOCKÁZATHOZ KAPCSOLÓDÓ, BELSŐ MODELL MÓDSZER (IMM) SZERINT SZÁMÍTOTT IRB-KITETTSÉGEK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465. cikkének (4) bekezdése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Sorok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TELJES KITETTSÉG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92. cikkének (3) bekezdése, valamint 95., 96. és 98. cikke.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kiegészítő szigorúbb prudenciális követelmények az 575/2013/EU rendelet 124. cikke alapján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intézményeknek adatot kell szolgáltatniuk azokról a további kockázati kitettségértékekről, amelyek az 575/2013/EU rendelet 124. cikkének (2) és (5) bekezdésével összhangban az EBH-val folytatott konzultációt követően az intézmények számára közzétett, szigorúbb prudenciális követelményeknek való megfeleléshez szükségesek.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Sztenderd módszer (SA) szerinti kitettségi osztályok értékpapírosítási pozíciók nélkül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CR SA tábla az összesített kitettség szintjén.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sztenderd módszer szerinti kitettségi osztályok közé az 575/2013/EU rendelet 112. cikkében felsoroltak tartoznak, az értékpapírosítási pozíciók kivételével.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Központi kormányzatok vagy központi bankok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Regionális kormányzatok vagy helyi hatóságok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Közszektorbeli intézmények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Multilaterális fejlesztési bankok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Nemzetközi szervezetek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Intézmények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Vállalkozások – egyéb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Nem minősített vállalatokkal szembeni kitettségek PD-becsléssel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465. cikkének (3) bekezdése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Vásárolt követelések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 cikke (2) bekezdése c) pontjának iii. alpontja alapján az IRB-módszer szerint a „Vásárolt követelések” kitettségi osztályba sorolt kitettségek.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Vállalkozások – speciális hitelezés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Lakossági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rulírozó állományba beszámítható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 cikke (2) bekezdése d) pontjának i. alpontja alapján az IRB-módszer szerint a „Vásárolt követelések” kitettségi osztályba sorolt kitettségek.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Vásárolt követelések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 cikke (2) bekezdése d) pontjának iii. alpontja alapján az IRB-módszer szerint a „Vásárolt követelések” kitettségi osztályba sorolt kitettségek.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Ingatlanra bejegyzett zálogjoggal fedezett, valamint földterületszerzéssel, fejlesztéssel és építéssel szembeni kitettségek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lakóingatlanra bejegyzett jelzáloggal fedezett kitettségeknek az ingatlanérték 55 %-át meg nem haladó része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465. cikke (5) bekezdésének a) pontja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lakóingatlanra bejegyzett jelzáloggal fedezett kitettségeknek az ingatlanérték 55–80 %-a közötti része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465. cikke (5) bekezdésének b) pontja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Lakóingatlanra bejegyzett zálogjoggal fedezett kitettségek – nem jövedelemtermelő ingatlanok (fedezett)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Lakóingatlanra bejegyzett zálogjoggal fedezett kitettségek – nem jövedelemtermelő ingatlanok (fedezetlen)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Lakóingatlanra bejegyzett zálogjoggal fedezett kitettségek – Egyéb – nem jövedelemtermelő ingatlanok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Lakóingatlanra bejegyzett zálogjoggal fedezett kitettségek – jövedelemtermelő ingatlanok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Kereskedelmi ingatlanra bejegyzett zálogjoggal fedezett kitettségek – Egyéb – jövedelemtermelő ingatlanok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Kereskedelmi ingatlanra bejegyzett zálogjoggal fedezett kitettségek – nem jövedelemtermelő ingatlanok (fedezett)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b/>
                <w:sz w:val="24"/>
                <w:u w:val="single"/>
                <w:rFonts w:ascii="Times New Roman" w:hAnsi="Times New Roman"/>
              </w:rPr>
              <w:t xml:space="preserve">Lásd a CR SA táblát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Kereskedelmi ingatlanra bejegyzett zálogjoggal fedezett kitettségek – nem jövedelemtermelő ingatlanok (fedezetlen)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Kereskedelmi ingatlanra bejegyzett zálogjoggal fedezett kitettségek – Egyéb – nem jövedelemtermelő ingatlanok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Kereskedelmi ingatlanra bejegyzett zálogjoggal fedezett kitettségek – jövedelemtermelő ingatlanok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Kereskedelmi ingatlanra bejegyzett zálogjoggal fedezett kitettségek – Egyéb – jövedelemtermelő ingatlanok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Földterületszerzéssel, fejlesztéssel és építéssel szembeni kitettségek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0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Az IRB-módszer szerint lakóingatlannal fedezettként besorolt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 cikke (2) bekezdése d) pontjának ii. alpontja alapján az IRB-módszer szerint a „Vásárolt követelések” kitettségi osztályba sorolt kitettségek.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Nemteljesítő kitettségek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Alárendelt hitelviszonyt megtestesítő kitettségek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Fedezett kötvények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Rövid távú hitelminősítéssel rendelkező intézményekkel és vállalkozásokkal szembeni követelések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Kollektív befektetési formák (KBF)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Részvényjellegű kitettségek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Egyéb tételek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Lásd a CR SA táblát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</w:rPr>
              <w:t xml:space="preserve">TÁJÉKOZTATÓ ADATOK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Vállalkozások –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 belső minősítésen alapuló módszer alapváltozata (F-IRB) szerint kezelt vállalatokkal szembeni kitettségek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Vállalkozások –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 belső minősítésen alapuló módszer fejlett változata (A-IRB) szerint kezelt vállalatokkal szembeni kitettségek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Partnerkockázathoz kapcsolódó, belső modell módszer (IMM) szerint számított SA-kitettségek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465. cikkének (4) bekezdése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H – szokásos felhasználásr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H – szokásos felhasználásr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H – szokásos felhasználásr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val="hu-HU"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884C6D-8E80-4E1D-A8A3-8160F1415E84}"/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1090</Words>
  <Characters>6216</Characters>
  <Application>Microsoft Office Word</Application>
  <DocSecurity>0</DocSecurity>
  <Lines>51</Lines>
  <Paragraphs>14</Paragraphs>
  <ScaleCrop>false</ScaleCrop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2024-06-21T12:20:00Z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