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6051E3" w:rsidRDefault="00426586" w:rsidP="0042658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3A41516-C4BE-47BE-B86C-2504ECE058DE" style="width:455.25pt;height:426pt">
            <v:imagedata r:id="rId11" o:title=""/>
          </v:shape>
        </w:pict>
      </w:r>
    </w:p>
    <w:p w:rsidR="00860655" w:rsidRPr="006051E3" w:rsidRDefault="00860655" w:rsidP="00184085">
      <w:pPr>
        <w:rPr>
          <w:noProof/>
        </w:rPr>
        <w:sectPr w:rsidR="00860655" w:rsidRPr="006051E3" w:rsidSect="00426586">
          <w:footerReference w:type="even" r:id="rId12"/>
          <w:footerReference w:type="default" r:id="rId13"/>
          <w:pgSz w:w="11907" w:h="16839"/>
          <w:pgMar w:top="1134" w:right="1417" w:bottom="1134" w:left="1417" w:header="709" w:footer="709" w:gutter="0"/>
          <w:pgNumType w:start="0"/>
          <w:cols w:space="720"/>
          <w:docGrid w:linePitch="360"/>
        </w:sectPr>
      </w:pPr>
    </w:p>
    <w:p w:rsidR="00860655" w:rsidRPr="006051E3" w:rsidRDefault="00C22E8F" w:rsidP="00C22E8F">
      <w:pPr>
        <w:pStyle w:val="Typedudocument"/>
        <w:rPr>
          <w:noProof/>
        </w:rPr>
      </w:pPr>
      <w:bookmarkStart w:id="0" w:name="_GoBack"/>
      <w:bookmarkEnd w:id="0"/>
      <w:r w:rsidRPr="00C22E8F">
        <w:rPr>
          <w:noProof/>
        </w:rPr>
        <w:lastRenderedPageBreak/>
        <w:t>VYKONÁVACIE NARIADENIE KOMISIE (EÚ) …/...</w:t>
      </w:r>
    </w:p>
    <w:p w:rsidR="00860655" w:rsidRPr="006051E3" w:rsidRDefault="002A0967" w:rsidP="00C22E8F">
      <w:pPr>
        <w:pStyle w:val="Datedadoption"/>
        <w:rPr>
          <w:noProof/>
        </w:rPr>
      </w:pPr>
      <w:r>
        <w:rPr>
          <w:noProof/>
        </w:rPr>
        <w:t>z 14. 11. 2025,</w:t>
      </w:r>
    </w:p>
    <w:p w:rsidR="00860655" w:rsidRPr="006051E3" w:rsidRDefault="00C22E8F" w:rsidP="00C22E8F">
      <w:pPr>
        <w:pStyle w:val="Titreobjet"/>
        <w:rPr>
          <w:noProof/>
        </w:rPr>
      </w:pPr>
      <w:r w:rsidRPr="00C22E8F">
        <w:rPr>
          <w:noProof/>
        </w:rPr>
        <w:t>ktorým sa stanovujú vykonávacie technické predpisy, pokiaľ ide o postupy, štandardné formy a vzory na poskytovanie informácií na účely plánov riešenia krízových situácií pre úverové inštitúcie a investičné spoločnosti podľa smernice Európskeho parlamentu a Rady 2014/59/EÚ, a ktorým sa zrušuje vykonávacie nariadenie Komisie (EÚ) 2018/1624</w:t>
      </w:r>
    </w:p>
    <w:p w:rsidR="00860655" w:rsidRPr="006051E3" w:rsidRDefault="00C22E8F" w:rsidP="00C22E8F">
      <w:pPr>
        <w:pStyle w:val="IntrtEEE"/>
        <w:rPr>
          <w:noProof/>
        </w:rPr>
      </w:pPr>
      <w:r w:rsidRPr="00C22E8F">
        <w:rPr>
          <w:noProof/>
        </w:rPr>
        <w:t>(Text s významom pre EHP)</w:t>
      </w:r>
    </w:p>
    <w:p w:rsidR="00860655" w:rsidRPr="006051E3" w:rsidRDefault="00860655" w:rsidP="00184085">
      <w:pPr>
        <w:pStyle w:val="Institutionquiagit"/>
        <w:rPr>
          <w:noProof/>
        </w:rPr>
      </w:pPr>
      <w:r w:rsidRPr="006051E3">
        <w:rPr>
          <w:noProof/>
        </w:rPr>
        <w:t>EURÓPSKA KOMISIA,</w:t>
      </w:r>
    </w:p>
    <w:p w:rsidR="00860655" w:rsidRPr="006051E3" w:rsidRDefault="00860655" w:rsidP="00184085">
      <w:pPr>
        <w:rPr>
          <w:noProof/>
        </w:rPr>
      </w:pPr>
      <w:r w:rsidRPr="006051E3">
        <w:rPr>
          <w:noProof/>
        </w:rPr>
        <w:t>so zreteľom na Zmluvu</w:t>
      </w:r>
      <w:r w:rsidR="006051E3">
        <w:rPr>
          <w:noProof/>
        </w:rPr>
        <w:t xml:space="preserve"> o </w:t>
      </w:r>
      <w:r w:rsidRPr="006051E3">
        <w:rPr>
          <w:noProof/>
        </w:rPr>
        <w:t>fungovaní Európskej únie,</w:t>
      </w:r>
    </w:p>
    <w:p w:rsidR="00860655" w:rsidRPr="006051E3" w:rsidRDefault="00860655" w:rsidP="00184085">
      <w:pPr>
        <w:rPr>
          <w:noProof/>
        </w:rPr>
      </w:pPr>
      <w:r w:rsidRPr="006051E3">
        <w:rPr>
          <w:noProof/>
        </w:rPr>
        <w:t>so zreteľom na smernicu Európskeho parlamentu</w:t>
      </w:r>
      <w:r w:rsidR="006051E3">
        <w:rPr>
          <w:noProof/>
        </w:rPr>
        <w:t xml:space="preserve"> a </w:t>
      </w:r>
      <w:r w:rsidRPr="006051E3">
        <w:rPr>
          <w:noProof/>
        </w:rPr>
        <w:t>Rady 2014/59/EÚ</w:t>
      </w:r>
      <w:r w:rsidR="006051E3">
        <w:rPr>
          <w:noProof/>
        </w:rPr>
        <w:t xml:space="preserve"> z </w:t>
      </w:r>
      <w:r w:rsidRPr="006051E3">
        <w:rPr>
          <w:noProof/>
        </w:rPr>
        <w:t>15</w:t>
      </w:r>
      <w:r w:rsidR="006051E3">
        <w:rPr>
          <w:noProof/>
        </w:rPr>
        <w:t>. mája</w:t>
      </w:r>
      <w:r w:rsidRPr="006051E3">
        <w:rPr>
          <w:noProof/>
        </w:rPr>
        <w:t> 2014, ktorou sa stanovuje rámec pre ozdravenie</w:t>
      </w:r>
      <w:r w:rsidR="006051E3">
        <w:rPr>
          <w:noProof/>
        </w:rPr>
        <w:t xml:space="preserve"> a </w:t>
      </w:r>
      <w:r w:rsidRPr="006051E3">
        <w:rPr>
          <w:noProof/>
        </w:rPr>
        <w:t>riešenie krízových situácií úverových inštitúcií</w:t>
      </w:r>
      <w:r w:rsidR="006051E3">
        <w:rPr>
          <w:noProof/>
        </w:rPr>
        <w:t xml:space="preserve"> a </w:t>
      </w:r>
      <w:r w:rsidRPr="006051E3">
        <w:rPr>
          <w:noProof/>
        </w:rPr>
        <w:t>investičných spoločností</w:t>
      </w:r>
      <w:r w:rsidR="006051E3">
        <w:rPr>
          <w:noProof/>
        </w:rPr>
        <w:t xml:space="preserve"> a </w:t>
      </w:r>
      <w:r w:rsidRPr="006051E3">
        <w:rPr>
          <w:noProof/>
        </w:rPr>
        <w:t>ktorou sa mení smernica Rady 82/891/EHS</w:t>
      </w:r>
      <w:r w:rsidR="006051E3">
        <w:rPr>
          <w:noProof/>
        </w:rPr>
        <w:t xml:space="preserve"> a </w:t>
      </w:r>
      <w:r w:rsidRPr="006051E3">
        <w:rPr>
          <w:noProof/>
        </w:rPr>
        <w:t>smernice Európskeho parlamentu</w:t>
      </w:r>
      <w:r w:rsidR="006051E3">
        <w:rPr>
          <w:noProof/>
        </w:rPr>
        <w:t xml:space="preserve"> a </w:t>
      </w:r>
      <w:r w:rsidRPr="006051E3">
        <w:rPr>
          <w:noProof/>
        </w:rPr>
        <w:t>Rady 2001/24/ES, 2002/47/ES, 2004/25/ES, 2005/56/ES, 2007/36/ES, 2011/35/EÚ, 2012/30/EÚ</w:t>
      </w:r>
      <w:r w:rsidR="006051E3">
        <w:rPr>
          <w:noProof/>
        </w:rPr>
        <w:t xml:space="preserve"> a </w:t>
      </w:r>
      <w:r w:rsidRPr="006051E3">
        <w:rPr>
          <w:noProof/>
        </w:rPr>
        <w:t>2013/36/EÚ</w:t>
      </w:r>
      <w:r w:rsidR="006051E3">
        <w:rPr>
          <w:noProof/>
        </w:rPr>
        <w:t xml:space="preserve"> a </w:t>
      </w:r>
      <w:r w:rsidRPr="006051E3">
        <w:rPr>
          <w:noProof/>
        </w:rPr>
        <w:t>nariadenia Európskeho parlamentu</w:t>
      </w:r>
      <w:r w:rsidR="006051E3">
        <w:rPr>
          <w:noProof/>
        </w:rPr>
        <w:t xml:space="preserve"> a </w:t>
      </w:r>
      <w:r w:rsidRPr="006051E3">
        <w:rPr>
          <w:noProof/>
        </w:rPr>
        <w:t xml:space="preserve">Rady (EÚ) </w:t>
      </w:r>
      <w:r w:rsidR="006051E3">
        <w:rPr>
          <w:noProof/>
        </w:rPr>
        <w:t>č. </w:t>
      </w:r>
      <w:r w:rsidRPr="006051E3">
        <w:rPr>
          <w:noProof/>
        </w:rPr>
        <w:t>1093/2010</w:t>
      </w:r>
      <w:r w:rsidR="006051E3">
        <w:rPr>
          <w:noProof/>
        </w:rPr>
        <w:t xml:space="preserve"> a </w:t>
      </w:r>
      <w:r w:rsidRPr="006051E3">
        <w:rPr>
          <w:noProof/>
        </w:rPr>
        <w:t xml:space="preserve">(EÚ) </w:t>
      </w:r>
      <w:r w:rsidR="006051E3">
        <w:rPr>
          <w:noProof/>
        </w:rPr>
        <w:t>č. </w:t>
      </w:r>
      <w:r w:rsidRPr="006051E3">
        <w:rPr>
          <w:noProof/>
        </w:rPr>
        <w:t>648/2012</w:t>
      </w:r>
      <w:r w:rsidRPr="006051E3">
        <w:rPr>
          <w:rStyle w:val="FootnoteReference"/>
          <w:noProof/>
        </w:rPr>
        <w:footnoteReference w:id="2"/>
      </w:r>
      <w:r w:rsidRPr="006051E3">
        <w:rPr>
          <w:noProof/>
        </w:rPr>
        <w:t>,</w:t>
      </w:r>
      <w:r w:rsidR="006051E3">
        <w:rPr>
          <w:noProof/>
        </w:rPr>
        <w:t xml:space="preserve"> a </w:t>
      </w:r>
      <w:r w:rsidRPr="006051E3">
        <w:rPr>
          <w:noProof/>
        </w:rPr>
        <w:t>najmä na jej článok 11 ods. 3,</w:t>
      </w:r>
    </w:p>
    <w:p w:rsidR="00860655" w:rsidRPr="006051E3" w:rsidRDefault="00860655" w:rsidP="00184085">
      <w:pPr>
        <w:rPr>
          <w:noProof/>
        </w:rPr>
      </w:pPr>
      <w:r w:rsidRPr="006051E3">
        <w:rPr>
          <w:noProof/>
        </w:rPr>
        <w:t>keďže:</w:t>
      </w:r>
    </w:p>
    <w:p w:rsidR="00860655" w:rsidRPr="006051E3" w:rsidRDefault="000F7F38" w:rsidP="000F7F38">
      <w:pPr>
        <w:pStyle w:val="ManualConsidrant"/>
        <w:rPr>
          <w:noProof/>
        </w:rPr>
      </w:pPr>
      <w:r w:rsidRPr="000F7F38">
        <w:rPr>
          <w:noProof/>
        </w:rPr>
        <w:t>(1)</w:t>
      </w:r>
      <w:r w:rsidRPr="000F7F38">
        <w:rPr>
          <w:noProof/>
        </w:rPr>
        <w:tab/>
      </w:r>
      <w:r w:rsidR="00860655" w:rsidRPr="006051E3">
        <w:rPr>
          <w:noProof/>
        </w:rPr>
        <w:t>Vo vykonávacom nariadení Komisie (EÚ) 2018/1624</w:t>
      </w:r>
      <w:r w:rsidR="00860655" w:rsidRPr="006051E3">
        <w:rPr>
          <w:rStyle w:val="FootnoteReference"/>
          <w:noProof/>
        </w:rPr>
        <w:footnoteReference w:id="3"/>
      </w:r>
      <w:r w:rsidR="00860655" w:rsidRPr="006051E3">
        <w:rPr>
          <w:noProof/>
        </w:rPr>
        <w:t xml:space="preserve"> sa stanovuje postup</w:t>
      </w:r>
      <w:r w:rsidR="006051E3">
        <w:rPr>
          <w:noProof/>
        </w:rPr>
        <w:t xml:space="preserve"> a </w:t>
      </w:r>
      <w:r w:rsidR="00860655" w:rsidRPr="006051E3">
        <w:rPr>
          <w:noProof/>
        </w:rPr>
        <w:t>zavádza sa minimálny súbor vzorov na poskytovanie informácií orgánom pre riešenie krízových situácií zo strany úverových inštitúcií alebo investičných spoločností na účely vypracúvania</w:t>
      </w:r>
      <w:r w:rsidR="006051E3">
        <w:rPr>
          <w:noProof/>
        </w:rPr>
        <w:t xml:space="preserve"> a </w:t>
      </w:r>
      <w:r w:rsidR="00860655" w:rsidRPr="006051E3">
        <w:rPr>
          <w:noProof/>
        </w:rPr>
        <w:t>vykonávania plánov riešenia krízových situácií pre inštitúcie. Od prijatia uvedeného nariadenia orgány pre riešenie krízových situácií získali skúsenosti</w:t>
      </w:r>
      <w:r w:rsidR="006051E3">
        <w:rPr>
          <w:noProof/>
        </w:rPr>
        <w:t xml:space="preserve"> v </w:t>
      </w:r>
      <w:r w:rsidR="00860655" w:rsidRPr="006051E3">
        <w:rPr>
          <w:noProof/>
        </w:rPr>
        <w:t>oblasti plánovania riešenia krízových situácií</w:t>
      </w:r>
      <w:r w:rsidR="006051E3">
        <w:rPr>
          <w:noProof/>
        </w:rPr>
        <w:t xml:space="preserve"> a </w:t>
      </w:r>
      <w:r w:rsidR="00860655" w:rsidRPr="006051E3">
        <w:rPr>
          <w:noProof/>
        </w:rPr>
        <w:t>smernica 2014/59/EÚ bola zmenená. Na základe týchto skúseností</w:t>
      </w:r>
      <w:r w:rsidR="006051E3">
        <w:rPr>
          <w:noProof/>
        </w:rPr>
        <w:t xml:space="preserve"> a s </w:t>
      </w:r>
      <w:r w:rsidR="00860655" w:rsidRPr="006051E3">
        <w:rPr>
          <w:noProof/>
        </w:rPr>
        <w:t>cieľom zohľadniť nové ustanovenia uvedenej smernice treba aktualizovať minimálny súbor vzorov na zhromažďovanie informácií na účely plánovania riešenia krízových situácií.</w:t>
      </w:r>
    </w:p>
    <w:p w:rsidR="003B410C" w:rsidRPr="006051E3" w:rsidRDefault="000F7F38" w:rsidP="000F7F38">
      <w:pPr>
        <w:pStyle w:val="ManualConsidrant"/>
        <w:rPr>
          <w:noProof/>
        </w:rPr>
      </w:pPr>
      <w:r w:rsidRPr="000F7F38">
        <w:rPr>
          <w:noProof/>
        </w:rPr>
        <w:t>(2)</w:t>
      </w:r>
      <w:r w:rsidRPr="000F7F38">
        <w:rPr>
          <w:noProof/>
        </w:rPr>
        <w:tab/>
      </w:r>
      <w:r w:rsidR="003B410C" w:rsidRPr="006051E3">
        <w:rPr>
          <w:noProof/>
        </w:rPr>
        <w:t>Vykonávacím nariadením (EÚ) 2018/1624 sa stanovuje postup</w:t>
      </w:r>
      <w:r w:rsidR="006051E3">
        <w:rPr>
          <w:noProof/>
        </w:rPr>
        <w:t xml:space="preserve"> a </w:t>
      </w:r>
      <w:r w:rsidR="003B410C" w:rsidRPr="006051E3">
        <w:rPr>
          <w:noProof/>
        </w:rPr>
        <w:t>minimálny súbor vzorov na poskytovanie informácií orgánom pre riešenie krízových situácií zo strany inštitúcií takým spôsobom, ktorý orgánom pre riešenie krízových situácií umožňuje konzistentne zhromažďovať uvedené informácie</w:t>
      </w:r>
      <w:r w:rsidR="006051E3">
        <w:rPr>
          <w:noProof/>
        </w:rPr>
        <w:t xml:space="preserve"> v </w:t>
      </w:r>
      <w:r w:rsidR="003B410C" w:rsidRPr="006051E3">
        <w:rPr>
          <w:noProof/>
        </w:rPr>
        <w:t>celej Únii</w:t>
      </w:r>
      <w:r w:rsidR="006051E3">
        <w:rPr>
          <w:noProof/>
        </w:rPr>
        <w:t xml:space="preserve"> a </w:t>
      </w:r>
      <w:r w:rsidR="003B410C" w:rsidRPr="006051E3">
        <w:rPr>
          <w:noProof/>
        </w:rPr>
        <w:t>uľahčuje výmenu informácií medzi príslušnými orgánmi. Skúsenosti však ukázali, že harmonizovaný prístup</w:t>
      </w:r>
      <w:r w:rsidR="006051E3">
        <w:rPr>
          <w:noProof/>
        </w:rPr>
        <w:t xml:space="preserve"> k </w:t>
      </w:r>
      <w:r w:rsidR="003B410C" w:rsidRPr="006051E3">
        <w:rPr>
          <w:noProof/>
        </w:rPr>
        <w:t>zhromažďovaniu uvedených informácií sa dosiahol len čiastočne. Preto treba uvedené vykonávacie nariadenie preskúmať</w:t>
      </w:r>
      <w:r w:rsidR="006051E3">
        <w:rPr>
          <w:noProof/>
        </w:rPr>
        <w:t xml:space="preserve"> v </w:t>
      </w:r>
      <w:r w:rsidR="003B410C" w:rsidRPr="006051E3">
        <w:rPr>
          <w:noProof/>
        </w:rPr>
        <w:t>záujme podporenia harmonizácie povinností</w:t>
      </w:r>
      <w:r w:rsidR="006051E3">
        <w:rPr>
          <w:noProof/>
        </w:rPr>
        <w:t xml:space="preserve"> v </w:t>
      </w:r>
      <w:r w:rsidR="003B410C" w:rsidRPr="006051E3">
        <w:rPr>
          <w:noProof/>
        </w:rPr>
        <w:t>oblasti vykazovania</w:t>
      </w:r>
      <w:r w:rsidR="006051E3">
        <w:rPr>
          <w:noProof/>
        </w:rPr>
        <w:t xml:space="preserve"> v </w:t>
      </w:r>
      <w:r w:rsidR="003B410C" w:rsidRPr="006051E3">
        <w:rPr>
          <w:noProof/>
        </w:rPr>
        <w:t>celej Únii na základe revidovaného súboru vzorov, ktoré lepšie konzistentne zachytávajú potreby orgánov pre riešenie krízových situácií. To by orgánom pre riešenie krízových situácií nemalo zabraňovať</w:t>
      </w:r>
      <w:r w:rsidR="006051E3">
        <w:rPr>
          <w:noProof/>
        </w:rPr>
        <w:t xml:space="preserve"> v </w:t>
      </w:r>
      <w:r w:rsidR="003B410C" w:rsidRPr="006051E3">
        <w:rPr>
          <w:noProof/>
        </w:rPr>
        <w:t>zhromažďovaní akýchkoľvek dodatočných informácií, ktoré považujú za potrebné na vypracúvanie</w:t>
      </w:r>
      <w:r w:rsidR="006051E3">
        <w:rPr>
          <w:noProof/>
        </w:rPr>
        <w:t xml:space="preserve"> a </w:t>
      </w:r>
      <w:r w:rsidR="003B410C" w:rsidRPr="006051E3">
        <w:rPr>
          <w:noProof/>
        </w:rPr>
        <w:t>vykonávanie plánov riešenia krízových situácií alebo na stanovovanie zjednodušených informačných povinností</w:t>
      </w:r>
      <w:r w:rsidR="006051E3">
        <w:rPr>
          <w:noProof/>
        </w:rPr>
        <w:t xml:space="preserve"> v </w:t>
      </w:r>
      <w:r w:rsidR="003B410C" w:rsidRPr="006051E3">
        <w:rPr>
          <w:noProof/>
        </w:rPr>
        <w:t>súlade</w:t>
      </w:r>
      <w:r w:rsidR="006051E3">
        <w:rPr>
          <w:noProof/>
        </w:rPr>
        <w:t xml:space="preserve"> s </w:t>
      </w:r>
      <w:r w:rsidR="003B410C" w:rsidRPr="006051E3">
        <w:rPr>
          <w:noProof/>
        </w:rPr>
        <w:t>článkom 4 smernice 2014/59/EÚ.</w:t>
      </w:r>
    </w:p>
    <w:p w:rsidR="003B410C" w:rsidRPr="006051E3" w:rsidRDefault="000F7F38" w:rsidP="000F7F38">
      <w:pPr>
        <w:pStyle w:val="ManualConsidrant"/>
        <w:rPr>
          <w:noProof/>
        </w:rPr>
      </w:pPr>
      <w:r w:rsidRPr="000F7F38">
        <w:rPr>
          <w:noProof/>
        </w:rPr>
        <w:t>(3)</w:t>
      </w:r>
      <w:r w:rsidRPr="000F7F38">
        <w:rPr>
          <w:noProof/>
        </w:rPr>
        <w:tab/>
      </w:r>
      <w:r w:rsidR="003B410C" w:rsidRPr="006051E3">
        <w:rPr>
          <w:noProof/>
        </w:rPr>
        <w:t>S cieľom zabezpečiť, aby sa plány riešenia krízových situácií na úrovni skupiny účinne vzťahovali na dotknutú skupinu, by sa povinnosti</w:t>
      </w:r>
      <w:r w:rsidR="006051E3">
        <w:rPr>
          <w:noProof/>
        </w:rPr>
        <w:t xml:space="preserve"> v </w:t>
      </w:r>
      <w:r w:rsidR="003B410C" w:rsidRPr="006051E3">
        <w:rPr>
          <w:noProof/>
        </w:rPr>
        <w:t>oblasti vykazovania uložené materským spoločnostiam</w:t>
      </w:r>
      <w:r w:rsidR="006051E3">
        <w:rPr>
          <w:noProof/>
        </w:rPr>
        <w:t xml:space="preserve"> v </w:t>
      </w:r>
      <w:r w:rsidR="003B410C" w:rsidRPr="006051E3">
        <w:rPr>
          <w:noProof/>
        </w:rPr>
        <w:t>Únii nemali obmedzovať len na subjekty, ktorých krízová situácia sa rieši, ale mali by sa týkať aj iných príslušných právnických osôb. Takáto relevantnosť by sa však mala riadne vymedziť, aby sa vylúčilo vykazovanie</w:t>
      </w:r>
      <w:r w:rsidR="006051E3">
        <w:rPr>
          <w:noProof/>
        </w:rPr>
        <w:t xml:space="preserve"> v </w:t>
      </w:r>
      <w:r w:rsidR="003B410C" w:rsidRPr="006051E3">
        <w:rPr>
          <w:noProof/>
        </w:rPr>
        <w:t>prípade subjektov, ktoré nie sú pre skupinu relevantné alebo ktoré nie sú systémovo dôležité. Na tento účel by sa mali stanoviť prahové hodnoty na identifikáciu tých právnických osôb skupiny, ktorým by sa mali uložiť požiadavky na vykazovanie</w:t>
      </w:r>
      <w:r w:rsidR="006051E3">
        <w:rPr>
          <w:noProof/>
        </w:rPr>
        <w:t xml:space="preserve"> v </w:t>
      </w:r>
      <w:r w:rsidR="003B410C" w:rsidRPr="006051E3">
        <w:rPr>
          <w:noProof/>
        </w:rPr>
        <w:t>oblasti riešenia krízových situácií. Okrem toho sa smernicou Európskeho parlamentu</w:t>
      </w:r>
      <w:r w:rsidR="006051E3">
        <w:rPr>
          <w:noProof/>
        </w:rPr>
        <w:t xml:space="preserve"> a </w:t>
      </w:r>
      <w:r w:rsidR="003B410C" w:rsidRPr="006051E3">
        <w:rPr>
          <w:noProof/>
        </w:rPr>
        <w:t>Rady (EÚ) 2024/1174</w:t>
      </w:r>
      <w:r w:rsidR="003B410C" w:rsidRPr="006051E3">
        <w:rPr>
          <w:rStyle w:val="FootnoteReference"/>
          <w:noProof/>
        </w:rPr>
        <w:footnoteReference w:id="4"/>
      </w:r>
      <w:r w:rsidR="003B410C" w:rsidRPr="006051E3">
        <w:rPr>
          <w:noProof/>
        </w:rPr>
        <w:t xml:space="preserve"> zmenila smernica 2014/59/EÚ okrem iného zavedením vymedzenia pojmu „likvidačný subjekt“.</w:t>
      </w:r>
      <w:r w:rsidR="006051E3">
        <w:rPr>
          <w:noProof/>
        </w:rPr>
        <w:t xml:space="preserve"> S </w:t>
      </w:r>
      <w:r w:rsidR="003B410C" w:rsidRPr="006051E3">
        <w:rPr>
          <w:noProof/>
        </w:rPr>
        <w:t>cieľom zohľadniť toto nové vymedzenie treba rozlišovať medzi požiadavkami na vykazovanie</w:t>
      </w:r>
      <w:r w:rsidR="006051E3">
        <w:rPr>
          <w:noProof/>
        </w:rPr>
        <w:t xml:space="preserve"> v </w:t>
      </w:r>
      <w:r w:rsidR="003B410C" w:rsidRPr="006051E3">
        <w:rPr>
          <w:noProof/>
        </w:rPr>
        <w:t>oblasti riešenia krízových situácií</w:t>
      </w:r>
      <w:r w:rsidR="006051E3">
        <w:rPr>
          <w:noProof/>
        </w:rPr>
        <w:t xml:space="preserve"> v </w:t>
      </w:r>
      <w:r w:rsidR="003B410C" w:rsidRPr="006051E3">
        <w:rPr>
          <w:noProof/>
        </w:rPr>
        <w:t>prípade likvidačných subjektov, subjektov, ktorých krízová situácia sa rieši,</w:t>
      </w:r>
      <w:r w:rsidR="006051E3">
        <w:rPr>
          <w:noProof/>
        </w:rPr>
        <w:t xml:space="preserve"> a </w:t>
      </w:r>
      <w:r w:rsidR="003B410C" w:rsidRPr="006051E3">
        <w:rPr>
          <w:noProof/>
        </w:rPr>
        <w:t>subjektov patriacich do skupín, ktorých krízová situácia sa rieši. Predovšetkým treba bližšie určiť povinnosti</w:t>
      </w:r>
      <w:r w:rsidR="006051E3">
        <w:rPr>
          <w:noProof/>
        </w:rPr>
        <w:t xml:space="preserve"> v </w:t>
      </w:r>
      <w:r w:rsidR="003B410C" w:rsidRPr="006051E3">
        <w:rPr>
          <w:noProof/>
        </w:rPr>
        <w:t>oblasti vykazovania</w:t>
      </w:r>
      <w:r w:rsidR="006051E3">
        <w:rPr>
          <w:noProof/>
        </w:rPr>
        <w:t xml:space="preserve"> s </w:t>
      </w:r>
      <w:r w:rsidR="003B410C" w:rsidRPr="006051E3">
        <w:rPr>
          <w:noProof/>
        </w:rPr>
        <w:t>prihliadnutím na to, či dotknuté subjekty sú samostatnými subjektmi alebo patria do skupín, ako aj či takéto subjekty alebo skupiny boli identifikované ako likvidačné subjekty alebo či zahŕňajú subjekty, ktoré boli identifikované ako likvidačné subjekty. Tieto povinnosti</w:t>
      </w:r>
      <w:r w:rsidR="006051E3">
        <w:rPr>
          <w:noProof/>
        </w:rPr>
        <w:t xml:space="preserve"> v </w:t>
      </w:r>
      <w:r w:rsidR="003B410C" w:rsidRPr="006051E3">
        <w:rPr>
          <w:noProof/>
        </w:rPr>
        <w:t>oblasti vykazovania by sa mali stanoviť na individuálnej, subkonsolidovanej alebo konsolidovanej úrovni spôsobom, ktorý zabezpečuje proporcionalitu, neohrozuje účinné plánovanie riešenia krízových situácií, oslobodzuje subjekty od súbežného zhromažďovania údajov od rôznych orgánov</w:t>
      </w:r>
      <w:r w:rsidR="006051E3">
        <w:rPr>
          <w:noProof/>
        </w:rPr>
        <w:t xml:space="preserve"> a </w:t>
      </w:r>
      <w:r w:rsidR="003B410C" w:rsidRPr="006051E3">
        <w:rPr>
          <w:noProof/>
        </w:rPr>
        <w:t>odstraňuje údajové body prekrývajúce sa</w:t>
      </w:r>
      <w:r w:rsidR="006051E3">
        <w:rPr>
          <w:noProof/>
        </w:rPr>
        <w:t xml:space="preserve"> s </w:t>
      </w:r>
      <w:r w:rsidR="003B410C" w:rsidRPr="006051E3">
        <w:rPr>
          <w:noProof/>
        </w:rPr>
        <w:t>rámcami vykazovania na účely dohľadu. To by sa malo dosiahnuť zavedením prístupu, pri ktorom sa upravuje počet vzorov</w:t>
      </w:r>
      <w:r w:rsidR="006051E3">
        <w:rPr>
          <w:noProof/>
        </w:rPr>
        <w:t xml:space="preserve"> v </w:t>
      </w:r>
      <w:r w:rsidR="003B410C" w:rsidRPr="006051E3">
        <w:rPr>
          <w:noProof/>
        </w:rPr>
        <w:t>závislosti od typu dotknutého vykazujúceho subjektu. Osobitná pozornosť by sa mala venovať aj skupinám, ktorých krízová situácia sa rieši</w:t>
      </w:r>
      <w:r w:rsidR="006051E3">
        <w:rPr>
          <w:noProof/>
        </w:rPr>
        <w:t xml:space="preserve"> a </w:t>
      </w:r>
      <w:r w:rsidR="003B410C" w:rsidRPr="006051E3">
        <w:rPr>
          <w:noProof/>
        </w:rPr>
        <w:t>ktoré pozostávajú</w:t>
      </w:r>
      <w:r w:rsidR="006051E3">
        <w:rPr>
          <w:noProof/>
        </w:rPr>
        <w:t xml:space="preserve"> z </w:t>
      </w:r>
      <w:r w:rsidR="003B410C" w:rsidRPr="006051E3">
        <w:rPr>
          <w:noProof/>
        </w:rPr>
        <w:t>úverových inštitúcií trvalo pridružených</w:t>
      </w:r>
      <w:r w:rsidR="006051E3">
        <w:rPr>
          <w:noProof/>
        </w:rPr>
        <w:t xml:space="preserve"> k </w:t>
      </w:r>
      <w:r w:rsidR="003B410C" w:rsidRPr="006051E3">
        <w:rPr>
          <w:noProof/>
        </w:rPr>
        <w:t>ústrednému orgánu</w:t>
      </w:r>
      <w:r w:rsidR="006051E3">
        <w:rPr>
          <w:noProof/>
        </w:rPr>
        <w:t xml:space="preserve"> a </w:t>
      </w:r>
      <w:r w:rsidR="003B410C" w:rsidRPr="006051E3">
        <w:rPr>
          <w:noProof/>
        </w:rPr>
        <w:t>samotného ústredného orgánu, aby sa zabezpečilo, že vykazovanie</w:t>
      </w:r>
      <w:r w:rsidR="006051E3">
        <w:rPr>
          <w:noProof/>
        </w:rPr>
        <w:t xml:space="preserve"> v </w:t>
      </w:r>
      <w:r w:rsidR="003B410C" w:rsidRPr="006051E3">
        <w:rPr>
          <w:noProof/>
        </w:rPr>
        <w:t>oblasti riešenia krízových situácií sa účinne vzťahuje na všetky úverové inštitúcie, ktoré sú trvalo pridružené</w:t>
      </w:r>
      <w:r w:rsidR="006051E3">
        <w:rPr>
          <w:noProof/>
        </w:rPr>
        <w:t xml:space="preserve"> k </w:t>
      </w:r>
      <w:r w:rsidR="003B410C" w:rsidRPr="006051E3">
        <w:rPr>
          <w:noProof/>
        </w:rPr>
        <w:t>ústrednému orgánu danej skupiny, ktorej krízová situácia sa rieši, samotný ústredný orgán</w:t>
      </w:r>
      <w:r w:rsidR="006051E3">
        <w:rPr>
          <w:noProof/>
        </w:rPr>
        <w:t xml:space="preserve"> a </w:t>
      </w:r>
      <w:r w:rsidR="003B410C" w:rsidRPr="006051E3">
        <w:rPr>
          <w:noProof/>
        </w:rPr>
        <w:t>ich príslušné dcérske spoločnosti na individuálnej, subkonsolidovanej</w:t>
      </w:r>
      <w:r w:rsidR="006051E3">
        <w:rPr>
          <w:noProof/>
        </w:rPr>
        <w:t xml:space="preserve"> a </w:t>
      </w:r>
      <w:r w:rsidR="003B410C" w:rsidRPr="006051E3">
        <w:rPr>
          <w:noProof/>
        </w:rPr>
        <w:t>konsolidovanej úrovni.</w:t>
      </w:r>
    </w:p>
    <w:p w:rsidR="003B410C" w:rsidRPr="006051E3" w:rsidRDefault="000F7F38" w:rsidP="000F7F38">
      <w:pPr>
        <w:pStyle w:val="ManualConsidrant"/>
        <w:rPr>
          <w:noProof/>
        </w:rPr>
      </w:pPr>
      <w:r w:rsidRPr="000F7F38">
        <w:rPr>
          <w:noProof/>
        </w:rPr>
        <w:t>(4)</w:t>
      </w:r>
      <w:r w:rsidRPr="000F7F38">
        <w:rPr>
          <w:noProof/>
        </w:rPr>
        <w:tab/>
      </w:r>
      <w:r w:rsidR="003B410C" w:rsidRPr="006051E3">
        <w:rPr>
          <w:noProof/>
        </w:rPr>
        <w:t>Na zabezpečenie efektívneho plánovania riešenia krízových situácií pri zachovaní proporcionality sa môže rozsah požiadaviek na vykazovanie</w:t>
      </w:r>
      <w:r w:rsidR="006051E3">
        <w:rPr>
          <w:noProof/>
        </w:rPr>
        <w:t xml:space="preserve"> v </w:t>
      </w:r>
      <w:r w:rsidR="003B410C" w:rsidRPr="006051E3">
        <w:rPr>
          <w:noProof/>
        </w:rPr>
        <w:t>oblasti riešenia krízových situácií líšiť od rozsahu prudenciálnych požiadaviek na vykazovanie, ak je to potrebné na zabezpečenie toho, aby orgány pre riešenie krízových situácií mali primerané</w:t>
      </w:r>
      <w:r w:rsidR="006051E3">
        <w:rPr>
          <w:noProof/>
        </w:rPr>
        <w:t xml:space="preserve"> a </w:t>
      </w:r>
      <w:r w:rsidR="003B410C" w:rsidRPr="006051E3">
        <w:rPr>
          <w:noProof/>
        </w:rPr>
        <w:t>dôveryhodné údaje na vykonávanie svojich úloh.</w:t>
      </w:r>
      <w:r w:rsidR="006051E3">
        <w:rPr>
          <w:noProof/>
        </w:rPr>
        <w:t xml:space="preserve"> V </w:t>
      </w:r>
      <w:r w:rsidR="003B410C" w:rsidRPr="006051E3">
        <w:rPr>
          <w:noProof/>
        </w:rPr>
        <w:t>tejto súvislosti treba zabezpečiť, aby vykazovaniu</w:t>
      </w:r>
      <w:r w:rsidR="006051E3">
        <w:rPr>
          <w:noProof/>
        </w:rPr>
        <w:t xml:space="preserve"> v </w:t>
      </w:r>
      <w:r w:rsidR="003B410C" w:rsidRPr="006051E3">
        <w:rPr>
          <w:noProof/>
        </w:rPr>
        <w:t>oblasti riešenia krízových situácií nebránili prudenciálne výnimky alebo skupiny, ktorých krízová situácia sa rieši, na ktoré sa nevzťahujú požiadavky na prudenciálnu konsolidáciu.</w:t>
      </w:r>
    </w:p>
    <w:p w:rsidR="003B410C" w:rsidRPr="006051E3" w:rsidRDefault="000F7F38" w:rsidP="000F7F38">
      <w:pPr>
        <w:pStyle w:val="ManualConsidrant"/>
        <w:rPr>
          <w:noProof/>
        </w:rPr>
      </w:pPr>
      <w:r w:rsidRPr="000F7F38">
        <w:rPr>
          <w:noProof/>
        </w:rPr>
        <w:t>(5)</w:t>
      </w:r>
      <w:r w:rsidRPr="000F7F38">
        <w:rPr>
          <w:noProof/>
        </w:rPr>
        <w:tab/>
      </w:r>
      <w:r w:rsidR="00012E4C" w:rsidRPr="006051E3">
        <w:rPr>
          <w:noProof/>
        </w:rPr>
        <w:t>S cieľom zabezpečiť, aby sa plány riešenia krízových situácií zakladali na minimálnom súbore údajov</w:t>
      </w:r>
      <w:r w:rsidR="006051E3">
        <w:rPr>
          <w:noProof/>
        </w:rPr>
        <w:t xml:space="preserve"> s </w:t>
      </w:r>
      <w:r w:rsidR="00012E4C" w:rsidRPr="006051E3">
        <w:rPr>
          <w:noProof/>
        </w:rPr>
        <w:t>konzistentne vysokou kvalitou</w:t>
      </w:r>
      <w:r w:rsidR="006051E3">
        <w:rPr>
          <w:noProof/>
        </w:rPr>
        <w:t xml:space="preserve"> a </w:t>
      </w:r>
      <w:r w:rsidR="00012E4C" w:rsidRPr="006051E3">
        <w:rPr>
          <w:noProof/>
        </w:rPr>
        <w:t>presnosťou, by sa mal prijať jednotný model údajových bodov, ako je to</w:t>
      </w:r>
      <w:r w:rsidR="006051E3">
        <w:rPr>
          <w:noProof/>
        </w:rPr>
        <w:t xml:space="preserve"> v </w:t>
      </w:r>
      <w:r w:rsidR="00012E4C" w:rsidRPr="006051E3">
        <w:rPr>
          <w:noProof/>
        </w:rPr>
        <w:t>prípade vykazovania na účely dohľadu. Jednotný model údajových bodov by mal pozostávať zo štruktúrovaného zobrazenia údajových položiek, mali by</w:t>
      </w:r>
      <w:r w:rsidR="006051E3">
        <w:rPr>
          <w:noProof/>
        </w:rPr>
        <w:t xml:space="preserve"> v </w:t>
      </w:r>
      <w:r w:rsidR="00012E4C" w:rsidRPr="006051E3">
        <w:rPr>
          <w:noProof/>
        </w:rPr>
        <w:t>ňom byť identifikované všetky príslušné obchodné koncepcie na účely jednotného vykazovania pre plánovanie riešenia krízových situácií</w:t>
      </w:r>
      <w:r w:rsidR="006051E3">
        <w:rPr>
          <w:noProof/>
        </w:rPr>
        <w:t xml:space="preserve"> a </w:t>
      </w:r>
      <w:r w:rsidR="00012E4C" w:rsidRPr="006051E3">
        <w:rPr>
          <w:noProof/>
        </w:rPr>
        <w:t>mal by obsahovať všetky príslušné špecifikácie potrebné na ďalší rozvoj jednotných IT riešení</w:t>
      </w:r>
      <w:r w:rsidR="006051E3">
        <w:rPr>
          <w:noProof/>
        </w:rPr>
        <w:t xml:space="preserve"> v </w:t>
      </w:r>
      <w:r w:rsidR="00012E4C" w:rsidRPr="006051E3">
        <w:rPr>
          <w:noProof/>
        </w:rPr>
        <w:t>oblasti vykazovania.</w:t>
      </w:r>
    </w:p>
    <w:p w:rsidR="003B410C" w:rsidRPr="006051E3" w:rsidRDefault="000F7F38" w:rsidP="000F7F38">
      <w:pPr>
        <w:pStyle w:val="ManualConsidrant"/>
        <w:rPr>
          <w:noProof/>
        </w:rPr>
      </w:pPr>
      <w:r w:rsidRPr="000F7F38">
        <w:rPr>
          <w:noProof/>
        </w:rPr>
        <w:t>(6)</w:t>
      </w:r>
      <w:r w:rsidRPr="000F7F38">
        <w:rPr>
          <w:noProof/>
        </w:rPr>
        <w:tab/>
      </w:r>
      <w:r w:rsidR="00980E18" w:rsidRPr="006051E3">
        <w:rPr>
          <w:noProof/>
        </w:rPr>
        <w:t>Aby sa zabezpečila kvalita, konzistentnosť</w:t>
      </w:r>
      <w:r w:rsidR="006051E3">
        <w:rPr>
          <w:noProof/>
        </w:rPr>
        <w:t xml:space="preserve"> a </w:t>
      </w:r>
      <w:r w:rsidR="00980E18" w:rsidRPr="006051E3">
        <w:rPr>
          <w:noProof/>
        </w:rPr>
        <w:t>presnosť údajových položiek vykazovaných inštitúciami, tieto údajové položky by mali podliehať spoločným pravidlám validácie.</w:t>
      </w:r>
    </w:p>
    <w:p w:rsidR="003B410C" w:rsidRPr="006051E3" w:rsidRDefault="000F7F38" w:rsidP="000F7F38">
      <w:pPr>
        <w:pStyle w:val="ManualConsidrant"/>
        <w:rPr>
          <w:noProof/>
        </w:rPr>
      </w:pPr>
      <w:r w:rsidRPr="000F7F38">
        <w:rPr>
          <w:noProof/>
        </w:rPr>
        <w:t>(7)</w:t>
      </w:r>
      <w:r w:rsidRPr="000F7F38">
        <w:rPr>
          <w:noProof/>
        </w:rPr>
        <w:tab/>
      </w:r>
      <w:r w:rsidR="003B410C" w:rsidRPr="006051E3">
        <w:rPr>
          <w:noProof/>
        </w:rPr>
        <w:t>Vzhľadom na svoju povahu sa pravidlá validácie</w:t>
      </w:r>
      <w:r w:rsidR="006051E3">
        <w:rPr>
          <w:noProof/>
        </w:rPr>
        <w:t xml:space="preserve"> a </w:t>
      </w:r>
      <w:r w:rsidR="003B410C" w:rsidRPr="006051E3">
        <w:rPr>
          <w:noProof/>
        </w:rPr>
        <w:t>vymedzenia údajových bodov pravidelne aktualizujú</w:t>
      </w:r>
      <w:r w:rsidR="006051E3">
        <w:rPr>
          <w:noProof/>
        </w:rPr>
        <w:t xml:space="preserve"> s </w:t>
      </w:r>
      <w:r w:rsidR="003B410C" w:rsidRPr="006051E3">
        <w:rPr>
          <w:noProof/>
        </w:rPr>
        <w:t>cieľom zabezpečiť, aby neustále spĺňali príslušné regulačné</w:t>
      </w:r>
      <w:r w:rsidR="006051E3">
        <w:rPr>
          <w:noProof/>
        </w:rPr>
        <w:t xml:space="preserve"> a </w:t>
      </w:r>
      <w:r w:rsidR="003B410C" w:rsidRPr="006051E3">
        <w:rPr>
          <w:noProof/>
        </w:rPr>
        <w:t>analytické požiadavky, ako aj požiadavky</w:t>
      </w:r>
      <w:r w:rsidR="006051E3">
        <w:rPr>
          <w:noProof/>
        </w:rPr>
        <w:t xml:space="preserve"> v </w:t>
      </w:r>
      <w:r w:rsidR="003B410C" w:rsidRPr="006051E3">
        <w:rPr>
          <w:noProof/>
        </w:rPr>
        <w:t>oblasti informačných technológií. Časové obdobie, ktoré je</w:t>
      </w:r>
      <w:r w:rsidR="006051E3">
        <w:rPr>
          <w:noProof/>
        </w:rPr>
        <w:t xml:space="preserve"> v </w:t>
      </w:r>
      <w:r w:rsidR="003B410C" w:rsidRPr="006051E3">
        <w:rPr>
          <w:noProof/>
        </w:rPr>
        <w:t>súčasnosti potrebné na prijatie</w:t>
      </w:r>
      <w:r w:rsidR="006051E3">
        <w:rPr>
          <w:noProof/>
        </w:rPr>
        <w:t xml:space="preserve"> a </w:t>
      </w:r>
      <w:r w:rsidR="003B410C" w:rsidRPr="006051E3">
        <w:rPr>
          <w:noProof/>
        </w:rPr>
        <w:t>uverejnenie podrobného jednotného modelu údajových bodov</w:t>
      </w:r>
      <w:r w:rsidR="006051E3">
        <w:rPr>
          <w:noProof/>
        </w:rPr>
        <w:t xml:space="preserve"> a </w:t>
      </w:r>
      <w:r w:rsidR="003B410C" w:rsidRPr="006051E3">
        <w:rPr>
          <w:noProof/>
        </w:rPr>
        <w:t>pravidiel validácie, však spôsobuje, že nie je možné vykonávať úpravy dostatočne rýchlym</w:t>
      </w:r>
      <w:r w:rsidR="006051E3">
        <w:rPr>
          <w:noProof/>
        </w:rPr>
        <w:t xml:space="preserve"> a </w:t>
      </w:r>
      <w:r w:rsidR="003B410C" w:rsidRPr="006051E3">
        <w:rPr>
          <w:noProof/>
        </w:rPr>
        <w:t>včasným spôsobom, ktorým by sa zabezpečilo neustále poskytovanie jednotných informácií týkajúcich sa plánov riešenia krízových situácií</w:t>
      </w:r>
      <w:r w:rsidR="006051E3">
        <w:rPr>
          <w:noProof/>
        </w:rPr>
        <w:t xml:space="preserve"> v </w:t>
      </w:r>
      <w:r w:rsidR="003B410C" w:rsidRPr="006051E3">
        <w:rPr>
          <w:noProof/>
        </w:rPr>
        <w:t>Únii. Preto by sa mali stanoviť prísne kvalitatívne kritériá týkajúce sa podrobného jednotného modelu údajových bodov</w:t>
      </w:r>
      <w:r w:rsidR="006051E3">
        <w:rPr>
          <w:noProof/>
        </w:rPr>
        <w:t xml:space="preserve"> a </w:t>
      </w:r>
      <w:r w:rsidR="003B410C" w:rsidRPr="006051E3">
        <w:rPr>
          <w:noProof/>
        </w:rPr>
        <w:t>podrobných spoločných pravidiel validácie, ktoré Európsky orgán pre bankovníctvo (EBA) uverejní elektronicky na svojom webovom sídle. Vyššie uvedené nevylučuje, že orgán EBA môže na svojom webovom sídle uverejniť aj technické pokyny na vyplnenie formulárov</w:t>
      </w:r>
      <w:r w:rsidR="006051E3">
        <w:rPr>
          <w:noProof/>
        </w:rPr>
        <w:t xml:space="preserve"> a </w:t>
      </w:r>
      <w:r w:rsidR="003B410C" w:rsidRPr="006051E3">
        <w:rPr>
          <w:noProof/>
        </w:rPr>
        <w:t>vzorov uvedených</w:t>
      </w:r>
      <w:r w:rsidR="006051E3">
        <w:rPr>
          <w:noProof/>
        </w:rPr>
        <w:t xml:space="preserve"> v </w:t>
      </w:r>
      <w:r w:rsidR="003B410C" w:rsidRPr="006051E3">
        <w:rPr>
          <w:noProof/>
        </w:rPr>
        <w:t>tomto nariadení.</w:t>
      </w:r>
    </w:p>
    <w:p w:rsidR="003B410C" w:rsidRPr="006051E3" w:rsidRDefault="000F7F38" w:rsidP="000F7F38">
      <w:pPr>
        <w:pStyle w:val="ManualConsidrant"/>
        <w:rPr>
          <w:noProof/>
        </w:rPr>
      </w:pPr>
      <w:r w:rsidRPr="000F7F38">
        <w:rPr>
          <w:noProof/>
        </w:rPr>
        <w:t>(8)</w:t>
      </w:r>
      <w:r w:rsidRPr="000F7F38">
        <w:rPr>
          <w:noProof/>
        </w:rPr>
        <w:tab/>
      </w:r>
      <w:r w:rsidR="003B410C" w:rsidRPr="006051E3">
        <w:rPr>
          <w:noProof/>
        </w:rPr>
        <w:t>V článku 11 ods. 2 smernice 2014/59/EÚ sa príslušným orgánom</w:t>
      </w:r>
      <w:r w:rsidR="006051E3">
        <w:rPr>
          <w:noProof/>
        </w:rPr>
        <w:t xml:space="preserve"> a </w:t>
      </w:r>
      <w:r w:rsidR="003B410C" w:rsidRPr="006051E3">
        <w:rPr>
          <w:noProof/>
        </w:rPr>
        <w:t>orgánom pre riešenie krízových situácií ukladá povinnosť spolupracovať</w:t>
      </w:r>
      <w:r w:rsidR="006051E3">
        <w:rPr>
          <w:noProof/>
        </w:rPr>
        <w:t xml:space="preserve"> v </w:t>
      </w:r>
      <w:r w:rsidR="003B410C" w:rsidRPr="006051E3">
        <w:rPr>
          <w:noProof/>
        </w:rPr>
        <w:t>záujme minimalizácie duplicity požiadaviek na informácie. Na tento účel sa vykonávacím nariadením (EÚ) 2018/1624 zaviedol postup spolupráce medzi príslušnými orgánmi</w:t>
      </w:r>
      <w:r w:rsidR="006051E3">
        <w:rPr>
          <w:noProof/>
        </w:rPr>
        <w:t xml:space="preserve"> a </w:t>
      </w:r>
      <w:r w:rsidR="003B410C" w:rsidRPr="006051E3">
        <w:rPr>
          <w:noProof/>
        </w:rPr>
        <w:t>orgánmi pre riešenie krízových situácií, ktorý by sa mal dodržiavať, aby príslušné orgány</w:t>
      </w:r>
      <w:r w:rsidR="006051E3">
        <w:rPr>
          <w:noProof/>
        </w:rPr>
        <w:t xml:space="preserve"> a </w:t>
      </w:r>
      <w:r w:rsidR="003B410C" w:rsidRPr="006051E3">
        <w:rPr>
          <w:noProof/>
        </w:rPr>
        <w:t>orgány pre riešenie krízových situácií spoločne overovali, či niektoré alebo všetky požadované informácie už sú</w:t>
      </w:r>
      <w:r w:rsidR="006051E3">
        <w:rPr>
          <w:noProof/>
        </w:rPr>
        <w:t xml:space="preserve"> k </w:t>
      </w:r>
      <w:r w:rsidR="003B410C" w:rsidRPr="006051E3">
        <w:rPr>
          <w:noProof/>
        </w:rPr>
        <w:t>dispozícii príslušnému orgánu. Ak sú informácie</w:t>
      </w:r>
      <w:r w:rsidR="006051E3">
        <w:rPr>
          <w:noProof/>
        </w:rPr>
        <w:t xml:space="preserve"> k </w:t>
      </w:r>
      <w:r w:rsidR="003B410C" w:rsidRPr="006051E3">
        <w:rPr>
          <w:noProof/>
        </w:rPr>
        <w:t>dispozícii príslušnému orgánu, je vhodné, aby ich zaslal priamo orgánu pre riešenie krízových situácií.</w:t>
      </w:r>
    </w:p>
    <w:p w:rsidR="003B410C" w:rsidRPr="006051E3" w:rsidRDefault="000F7F38" w:rsidP="000F7F38">
      <w:pPr>
        <w:pStyle w:val="ManualConsidrant"/>
        <w:rPr>
          <w:noProof/>
        </w:rPr>
      </w:pPr>
      <w:r w:rsidRPr="000F7F38">
        <w:rPr>
          <w:noProof/>
        </w:rPr>
        <w:t>(9)</w:t>
      </w:r>
      <w:r w:rsidRPr="000F7F38">
        <w:rPr>
          <w:noProof/>
        </w:rPr>
        <w:tab/>
      </w:r>
      <w:r w:rsidR="003B410C" w:rsidRPr="006051E3">
        <w:rPr>
          <w:noProof/>
        </w:rPr>
        <w:t>Vzhľadom na rozsah zmien vykonávacieho nariadenia (EÚ) 2018/1624 je</w:t>
      </w:r>
      <w:r w:rsidR="006051E3">
        <w:rPr>
          <w:noProof/>
        </w:rPr>
        <w:t xml:space="preserve"> z </w:t>
      </w:r>
      <w:r w:rsidR="003B410C" w:rsidRPr="006051E3">
        <w:rPr>
          <w:noProof/>
        </w:rPr>
        <w:t>dôvodu právnej istoty</w:t>
      </w:r>
      <w:r w:rsidR="006051E3">
        <w:rPr>
          <w:noProof/>
        </w:rPr>
        <w:t xml:space="preserve"> a </w:t>
      </w:r>
      <w:r w:rsidR="003B410C" w:rsidRPr="006051E3">
        <w:rPr>
          <w:noProof/>
        </w:rPr>
        <w:t>jasnosti vhodné prijať nové vykonávacie nariadenie,</w:t>
      </w:r>
      <w:r w:rsidR="006051E3">
        <w:rPr>
          <w:noProof/>
        </w:rPr>
        <w:t xml:space="preserve"> a </w:t>
      </w:r>
      <w:r w:rsidR="003B410C" w:rsidRPr="006051E3">
        <w:rPr>
          <w:noProof/>
        </w:rPr>
        <w:t>teda zrušiť</w:t>
      </w:r>
      <w:r w:rsidR="006051E3">
        <w:rPr>
          <w:noProof/>
        </w:rPr>
        <w:t xml:space="preserve"> a </w:t>
      </w:r>
      <w:r w:rsidR="003B410C" w:rsidRPr="006051E3">
        <w:rPr>
          <w:noProof/>
        </w:rPr>
        <w:t>nahradiť vykonávacie nariadenie (EÚ) 2018/1624.</w:t>
      </w:r>
    </w:p>
    <w:p w:rsidR="003B410C" w:rsidRPr="006051E3" w:rsidRDefault="000F7F38" w:rsidP="000F7F38">
      <w:pPr>
        <w:pStyle w:val="ManualConsidrant"/>
        <w:rPr>
          <w:noProof/>
        </w:rPr>
      </w:pPr>
      <w:r w:rsidRPr="000F7F38">
        <w:rPr>
          <w:noProof/>
        </w:rPr>
        <w:t>(10)</w:t>
      </w:r>
      <w:r w:rsidRPr="000F7F38">
        <w:rPr>
          <w:noProof/>
        </w:rPr>
        <w:tab/>
      </w:r>
      <w:r w:rsidR="003B410C" w:rsidRPr="006051E3">
        <w:rPr>
          <w:noProof/>
        </w:rPr>
        <w:t>Toto nariadenie vychádza</w:t>
      </w:r>
      <w:r w:rsidR="006051E3">
        <w:rPr>
          <w:noProof/>
        </w:rPr>
        <w:t xml:space="preserve"> z </w:t>
      </w:r>
      <w:r w:rsidR="003B410C" w:rsidRPr="006051E3">
        <w:rPr>
          <w:noProof/>
        </w:rPr>
        <w:t>vykonávacích technických predpisov, ktoré Komisii predložil orgán EBA.</w:t>
      </w:r>
    </w:p>
    <w:p w:rsidR="00860655" w:rsidRPr="006051E3" w:rsidRDefault="000F7F38" w:rsidP="000F7F38">
      <w:pPr>
        <w:pStyle w:val="ManualConsidrant"/>
        <w:rPr>
          <w:noProof/>
        </w:rPr>
      </w:pPr>
      <w:r w:rsidRPr="000F7F38">
        <w:rPr>
          <w:noProof/>
        </w:rPr>
        <w:t>(11)</w:t>
      </w:r>
      <w:r w:rsidRPr="000F7F38">
        <w:rPr>
          <w:noProof/>
        </w:rPr>
        <w:tab/>
      </w:r>
      <w:r w:rsidR="003B410C" w:rsidRPr="006051E3">
        <w:rPr>
          <w:noProof/>
        </w:rPr>
        <w:t>Orgán EBA uskutočnil otvorené verejné konzultácie</w:t>
      </w:r>
      <w:r w:rsidR="006051E3">
        <w:rPr>
          <w:noProof/>
        </w:rPr>
        <w:t xml:space="preserve"> o </w:t>
      </w:r>
      <w:r w:rsidR="003B410C" w:rsidRPr="006051E3">
        <w:rPr>
          <w:noProof/>
        </w:rPr>
        <w:t>vykonávacích technických predpisoch,</w:t>
      </w:r>
      <w:r w:rsidR="006051E3">
        <w:rPr>
          <w:noProof/>
        </w:rPr>
        <w:t xml:space="preserve"> z </w:t>
      </w:r>
      <w:r w:rsidR="003B410C" w:rsidRPr="006051E3">
        <w:rPr>
          <w:noProof/>
        </w:rPr>
        <w:t>ktorých vychádza toto nariadenie, analyzoval možné súvisiace náklady</w:t>
      </w:r>
      <w:r w:rsidR="006051E3">
        <w:rPr>
          <w:noProof/>
        </w:rPr>
        <w:t xml:space="preserve"> a </w:t>
      </w:r>
      <w:r w:rsidR="003B410C" w:rsidRPr="006051E3">
        <w:rPr>
          <w:noProof/>
        </w:rPr>
        <w:t>prínosy</w:t>
      </w:r>
      <w:r w:rsidR="006051E3">
        <w:rPr>
          <w:noProof/>
        </w:rPr>
        <w:t xml:space="preserve"> a </w:t>
      </w:r>
      <w:r w:rsidR="003B410C" w:rsidRPr="006051E3">
        <w:rPr>
          <w:noProof/>
        </w:rPr>
        <w:t>požiadal</w:t>
      </w:r>
      <w:r w:rsidR="006051E3">
        <w:rPr>
          <w:noProof/>
        </w:rPr>
        <w:t xml:space="preserve"> o </w:t>
      </w:r>
      <w:r w:rsidR="003B410C" w:rsidRPr="006051E3">
        <w:rPr>
          <w:noProof/>
        </w:rPr>
        <w:t>poradenstvo Skupinu zainteresovaných strán</w:t>
      </w:r>
      <w:r w:rsidR="006051E3">
        <w:rPr>
          <w:noProof/>
        </w:rPr>
        <w:t xml:space="preserve"> v </w:t>
      </w:r>
      <w:r w:rsidR="003B410C" w:rsidRPr="006051E3">
        <w:rPr>
          <w:noProof/>
        </w:rPr>
        <w:t>bankovníctve vytvorenú</w:t>
      </w:r>
      <w:r w:rsidR="006051E3">
        <w:rPr>
          <w:noProof/>
        </w:rPr>
        <w:t xml:space="preserve"> v </w:t>
      </w:r>
      <w:r w:rsidR="003B410C" w:rsidRPr="006051E3">
        <w:rPr>
          <w:noProof/>
        </w:rPr>
        <w:t>súlade</w:t>
      </w:r>
      <w:r w:rsidR="006051E3">
        <w:rPr>
          <w:noProof/>
        </w:rPr>
        <w:t xml:space="preserve"> s </w:t>
      </w:r>
      <w:r w:rsidR="003B410C" w:rsidRPr="006051E3">
        <w:rPr>
          <w:noProof/>
        </w:rPr>
        <w:t>článkom 37 nariadenia Európskeho parlamentu</w:t>
      </w:r>
      <w:r w:rsidR="006051E3">
        <w:rPr>
          <w:noProof/>
        </w:rPr>
        <w:t xml:space="preserve"> a </w:t>
      </w:r>
      <w:r w:rsidR="003B410C" w:rsidRPr="006051E3">
        <w:rPr>
          <w:noProof/>
        </w:rPr>
        <w:t xml:space="preserve">Rady (EÚ) </w:t>
      </w:r>
      <w:r w:rsidR="006051E3">
        <w:rPr>
          <w:noProof/>
        </w:rPr>
        <w:t>č. </w:t>
      </w:r>
      <w:r w:rsidR="003B410C" w:rsidRPr="006051E3">
        <w:rPr>
          <w:noProof/>
        </w:rPr>
        <w:t>1093/2010</w:t>
      </w:r>
      <w:r w:rsidR="003B410C" w:rsidRPr="006051E3">
        <w:rPr>
          <w:rStyle w:val="FootnoteReference"/>
          <w:noProof/>
        </w:rPr>
        <w:footnoteReference w:id="5"/>
      </w:r>
      <w:r w:rsidR="003B410C" w:rsidRPr="006051E3">
        <w:rPr>
          <w:noProof/>
        </w:rPr>
        <w:t>,</w:t>
      </w:r>
    </w:p>
    <w:p w:rsidR="00860655" w:rsidRPr="006051E3" w:rsidRDefault="00860655" w:rsidP="00184085">
      <w:pPr>
        <w:pStyle w:val="Formuledadoption"/>
        <w:rPr>
          <w:noProof/>
        </w:rPr>
      </w:pPr>
      <w:r w:rsidRPr="006051E3">
        <w:rPr>
          <w:noProof/>
        </w:rPr>
        <w:t>PRIJALA TOTO NARIADENIE:</w:t>
      </w:r>
    </w:p>
    <w:p w:rsidR="00860655" w:rsidRPr="006051E3" w:rsidRDefault="00860655" w:rsidP="00184085">
      <w:pPr>
        <w:pStyle w:val="Titrearticle"/>
        <w:rPr>
          <w:noProof/>
        </w:rPr>
      </w:pPr>
      <w:r w:rsidRPr="006051E3">
        <w:rPr>
          <w:noProof/>
        </w:rPr>
        <w:t>Článok 1</w:t>
      </w:r>
    </w:p>
    <w:p w:rsidR="00860655" w:rsidRPr="006051E3" w:rsidRDefault="003B410C" w:rsidP="00184085">
      <w:pPr>
        <w:pStyle w:val="Titrearticle"/>
        <w:rPr>
          <w:noProof/>
        </w:rPr>
      </w:pPr>
      <w:r w:rsidRPr="006051E3">
        <w:rPr>
          <w:b/>
          <w:i w:val="0"/>
          <w:noProof/>
        </w:rPr>
        <w:t>Vymedzenie pojmu</w:t>
      </w:r>
    </w:p>
    <w:p w:rsidR="003B410C" w:rsidRPr="006051E3" w:rsidRDefault="003B410C" w:rsidP="00184085">
      <w:pPr>
        <w:rPr>
          <w:noProof/>
        </w:rPr>
      </w:pPr>
      <w:r w:rsidRPr="006051E3">
        <w:rPr>
          <w:noProof/>
        </w:rPr>
        <w:t>Na účely tohto nariadenia je „príslušná právnická osoba“ subjekt skupiny</w:t>
      </w:r>
      <w:r w:rsidR="006051E3">
        <w:rPr>
          <w:noProof/>
        </w:rPr>
        <w:t xml:space="preserve"> v </w:t>
      </w:r>
      <w:r w:rsidRPr="006051E3">
        <w:rPr>
          <w:noProof/>
        </w:rPr>
        <w:t>zmysle vymedzenia</w:t>
      </w:r>
      <w:r w:rsidR="006051E3">
        <w:rPr>
          <w:noProof/>
        </w:rPr>
        <w:t xml:space="preserve"> v </w:t>
      </w:r>
      <w:r w:rsidRPr="006051E3">
        <w:rPr>
          <w:noProof/>
        </w:rPr>
        <w:t>článku 2 ods. 1 bode 31 smernice 2014/59/EÚ, ktorý nie je subjektom, ktorého krízová situácia sa rieši, ktorý je usadený</w:t>
      </w:r>
      <w:r w:rsidR="006051E3">
        <w:rPr>
          <w:noProof/>
        </w:rPr>
        <w:t xml:space="preserve"> v </w:t>
      </w:r>
      <w:r w:rsidRPr="006051E3">
        <w:rPr>
          <w:noProof/>
        </w:rPr>
        <w:t>Únii</w:t>
      </w:r>
      <w:r w:rsidR="006051E3">
        <w:rPr>
          <w:noProof/>
        </w:rPr>
        <w:t xml:space="preserve"> a </w:t>
      </w:r>
      <w:r w:rsidRPr="006051E3">
        <w:rPr>
          <w:noProof/>
        </w:rPr>
        <w:t>spĺňa ktorúkoľvek</w:t>
      </w:r>
      <w:r w:rsidR="006051E3">
        <w:rPr>
          <w:noProof/>
        </w:rPr>
        <w:t xml:space="preserve"> z </w:t>
      </w:r>
      <w:r w:rsidRPr="006051E3">
        <w:rPr>
          <w:noProof/>
        </w:rPr>
        <w:t>týchto podmienok:</w:t>
      </w:r>
    </w:p>
    <w:p w:rsidR="003B410C" w:rsidRPr="006051E3" w:rsidRDefault="006051E3" w:rsidP="006051E3">
      <w:pPr>
        <w:pStyle w:val="Point0"/>
        <w:rPr>
          <w:noProof/>
        </w:rPr>
      </w:pPr>
      <w:r>
        <w:rPr>
          <w:noProof/>
        </w:rPr>
        <w:t>a)</w:t>
      </w:r>
      <w:r>
        <w:rPr>
          <w:noProof/>
        </w:rPr>
        <w:tab/>
      </w:r>
      <w:r w:rsidR="003B410C" w:rsidRPr="006051E3">
        <w:rPr>
          <w:noProof/>
        </w:rPr>
        <w:t>zabezpečuje zásadné funkcie;</w:t>
      </w:r>
    </w:p>
    <w:p w:rsidR="003B410C" w:rsidRPr="006051E3" w:rsidRDefault="006051E3" w:rsidP="006051E3">
      <w:pPr>
        <w:pStyle w:val="Point0"/>
        <w:rPr>
          <w:noProof/>
        </w:rPr>
      </w:pPr>
      <w:r>
        <w:rPr>
          <w:noProof/>
        </w:rPr>
        <w:t>b)</w:t>
      </w:r>
      <w:r>
        <w:rPr>
          <w:noProof/>
        </w:rPr>
        <w:tab/>
      </w:r>
      <w:r w:rsidR="003B410C" w:rsidRPr="006051E3">
        <w:rPr>
          <w:noProof/>
        </w:rPr>
        <w:t>jeho individuálna celková hodnota rizikovej expozície vypočítaná</w:t>
      </w:r>
      <w:r>
        <w:rPr>
          <w:noProof/>
        </w:rPr>
        <w:t xml:space="preserve"> v </w:t>
      </w:r>
      <w:r w:rsidR="003B410C" w:rsidRPr="006051E3">
        <w:rPr>
          <w:noProof/>
        </w:rPr>
        <w:t>súlade</w:t>
      </w:r>
      <w:r>
        <w:rPr>
          <w:noProof/>
        </w:rPr>
        <w:t xml:space="preserve"> s </w:t>
      </w:r>
      <w:r w:rsidR="003B410C" w:rsidRPr="006051E3">
        <w:rPr>
          <w:noProof/>
        </w:rPr>
        <w:t>článkom 92 ods. 3 nariadenia Európskeho parlamentu</w:t>
      </w:r>
      <w:r>
        <w:rPr>
          <w:noProof/>
        </w:rPr>
        <w:t xml:space="preserve"> a </w:t>
      </w:r>
      <w:r w:rsidR="003B410C" w:rsidRPr="006051E3">
        <w:rPr>
          <w:noProof/>
        </w:rPr>
        <w:t xml:space="preserve">Rady (EÚ) </w:t>
      </w:r>
      <w:r>
        <w:rPr>
          <w:noProof/>
        </w:rPr>
        <w:t>č. </w:t>
      </w:r>
      <w:r w:rsidR="003B410C" w:rsidRPr="006051E3">
        <w:rPr>
          <w:noProof/>
        </w:rPr>
        <w:t>575/2013</w:t>
      </w:r>
      <w:r w:rsidR="003B410C" w:rsidRPr="006051E3">
        <w:rPr>
          <w:rStyle w:val="FootnoteReference"/>
          <w:noProof/>
        </w:rPr>
        <w:footnoteReference w:id="6"/>
      </w:r>
      <w:r w:rsidR="003B410C" w:rsidRPr="006051E3">
        <w:rPr>
          <w:noProof/>
        </w:rPr>
        <w:t xml:space="preserve"> sa rovná 2</w:t>
      </w:r>
      <w:r>
        <w:rPr>
          <w:noProof/>
        </w:rPr>
        <w:t> %</w:t>
      </w:r>
      <w:r w:rsidR="003B410C" w:rsidRPr="006051E3">
        <w:rPr>
          <w:noProof/>
        </w:rPr>
        <w:t xml:space="preserve"> konsolidovanej celkovej hodnoty rizikovej expozície materskej spoločnosti</w:t>
      </w:r>
      <w:r>
        <w:rPr>
          <w:noProof/>
        </w:rPr>
        <w:t xml:space="preserve"> v </w:t>
      </w:r>
      <w:r w:rsidR="003B410C" w:rsidRPr="006051E3">
        <w:rPr>
          <w:noProof/>
        </w:rPr>
        <w:t>Únii alebo je vyššia;</w:t>
      </w:r>
    </w:p>
    <w:p w:rsidR="003B410C" w:rsidRPr="006051E3" w:rsidRDefault="006051E3" w:rsidP="006051E3">
      <w:pPr>
        <w:pStyle w:val="Point0"/>
        <w:rPr>
          <w:noProof/>
        </w:rPr>
      </w:pPr>
      <w:r>
        <w:rPr>
          <w:noProof/>
        </w:rPr>
        <w:t>c)</w:t>
      </w:r>
      <w:r>
        <w:rPr>
          <w:noProof/>
        </w:rPr>
        <w:tab/>
      </w:r>
      <w:r w:rsidR="003B410C" w:rsidRPr="006051E3">
        <w:rPr>
          <w:noProof/>
        </w:rPr>
        <w:t>jeho individuálna veľkosť celkovej expozície uvedená</w:t>
      </w:r>
      <w:r>
        <w:rPr>
          <w:noProof/>
        </w:rPr>
        <w:t xml:space="preserve"> v </w:t>
      </w:r>
      <w:r w:rsidR="003B410C" w:rsidRPr="006051E3">
        <w:rPr>
          <w:noProof/>
        </w:rPr>
        <w:t xml:space="preserve">článku 429 ods. 4 nariadenia (EÚ) </w:t>
      </w:r>
      <w:r>
        <w:rPr>
          <w:noProof/>
        </w:rPr>
        <w:t>č. </w:t>
      </w:r>
      <w:r w:rsidR="003B410C" w:rsidRPr="006051E3">
        <w:rPr>
          <w:noProof/>
        </w:rPr>
        <w:t>575/2013 sa rovná 2</w:t>
      </w:r>
      <w:r>
        <w:rPr>
          <w:noProof/>
        </w:rPr>
        <w:t> %</w:t>
      </w:r>
      <w:r w:rsidR="003B410C" w:rsidRPr="006051E3">
        <w:rPr>
          <w:noProof/>
        </w:rPr>
        <w:t xml:space="preserve"> konsolidovanej veľkosti celkovej expozície materskej spoločnosti</w:t>
      </w:r>
      <w:r>
        <w:rPr>
          <w:noProof/>
        </w:rPr>
        <w:t xml:space="preserve"> v </w:t>
      </w:r>
      <w:r w:rsidR="003B410C" w:rsidRPr="006051E3">
        <w:rPr>
          <w:noProof/>
        </w:rPr>
        <w:t>Únii alebo je vyššia;</w:t>
      </w:r>
    </w:p>
    <w:p w:rsidR="003B410C" w:rsidRPr="006051E3" w:rsidRDefault="006051E3" w:rsidP="006051E3">
      <w:pPr>
        <w:pStyle w:val="Point0"/>
        <w:rPr>
          <w:noProof/>
        </w:rPr>
      </w:pPr>
      <w:r>
        <w:rPr>
          <w:noProof/>
        </w:rPr>
        <w:t>d)</w:t>
      </w:r>
      <w:r>
        <w:rPr>
          <w:noProof/>
        </w:rPr>
        <w:tab/>
      </w:r>
      <w:r w:rsidR="003B410C" w:rsidRPr="006051E3">
        <w:rPr>
          <w:noProof/>
        </w:rPr>
        <w:t>jeho individuálny prevádzkový príjem sa rovná 2</w:t>
      </w:r>
      <w:r>
        <w:rPr>
          <w:noProof/>
        </w:rPr>
        <w:t> %</w:t>
      </w:r>
      <w:r w:rsidR="003B410C" w:rsidRPr="006051E3">
        <w:rPr>
          <w:noProof/>
        </w:rPr>
        <w:t xml:space="preserve"> konsolidovaného celkového prevádzkového príjmu skupiny vypočítaného na úrovni materskej spoločnosti</w:t>
      </w:r>
      <w:r>
        <w:rPr>
          <w:noProof/>
        </w:rPr>
        <w:t xml:space="preserve"> v </w:t>
      </w:r>
      <w:r w:rsidR="003B410C" w:rsidRPr="006051E3">
        <w:rPr>
          <w:noProof/>
        </w:rPr>
        <w:t>Únii alebo je vyšší;</w:t>
      </w:r>
    </w:p>
    <w:p w:rsidR="003B410C" w:rsidRPr="006051E3" w:rsidRDefault="006051E3" w:rsidP="006051E3">
      <w:pPr>
        <w:pStyle w:val="Point0"/>
        <w:rPr>
          <w:noProof/>
        </w:rPr>
      </w:pPr>
      <w:r>
        <w:rPr>
          <w:noProof/>
        </w:rPr>
        <w:t>e)</w:t>
      </w:r>
      <w:r>
        <w:rPr>
          <w:noProof/>
        </w:rPr>
        <w:tab/>
      </w:r>
      <w:r w:rsidR="003B410C" w:rsidRPr="006051E3">
        <w:rPr>
          <w:noProof/>
        </w:rPr>
        <w:t>jeho individuálne celkové aktíva presahujú 5 miliárd EUR;</w:t>
      </w:r>
    </w:p>
    <w:p w:rsidR="008F1E98" w:rsidRPr="006051E3" w:rsidRDefault="006051E3" w:rsidP="006051E3">
      <w:pPr>
        <w:pStyle w:val="Point0"/>
        <w:rPr>
          <w:noProof/>
        </w:rPr>
      </w:pPr>
      <w:r>
        <w:rPr>
          <w:noProof/>
        </w:rPr>
        <w:t>f)</w:t>
      </w:r>
      <w:r>
        <w:rPr>
          <w:noProof/>
        </w:rPr>
        <w:tab/>
      </w:r>
      <w:r w:rsidR="003B410C" w:rsidRPr="006051E3">
        <w:rPr>
          <w:noProof/>
        </w:rPr>
        <w:t>je dôležitý pre finančnú stabilitu aspoň</w:t>
      </w:r>
      <w:r>
        <w:rPr>
          <w:noProof/>
        </w:rPr>
        <w:t xml:space="preserve"> v </w:t>
      </w:r>
      <w:r w:rsidR="003B410C" w:rsidRPr="006051E3">
        <w:rPr>
          <w:noProof/>
        </w:rPr>
        <w:t>jednom členskom štáte.</w:t>
      </w:r>
    </w:p>
    <w:p w:rsidR="00A803C4" w:rsidRPr="006051E3" w:rsidRDefault="008F1E98" w:rsidP="00184085">
      <w:pPr>
        <w:pStyle w:val="Text1"/>
        <w:rPr>
          <w:noProof/>
        </w:rPr>
      </w:pPr>
      <w:r w:rsidRPr="006051E3">
        <w:rPr>
          <w:noProof/>
        </w:rPr>
        <w:t>Na účely písmena b) sa</w:t>
      </w:r>
      <w:r w:rsidR="006051E3">
        <w:rPr>
          <w:noProof/>
        </w:rPr>
        <w:t xml:space="preserve"> v </w:t>
      </w:r>
      <w:r w:rsidRPr="006051E3">
        <w:rPr>
          <w:noProof/>
        </w:rPr>
        <w:t>prípade skupiny pozostávajúcej</w:t>
      </w:r>
      <w:r w:rsidR="006051E3">
        <w:rPr>
          <w:noProof/>
        </w:rPr>
        <w:t xml:space="preserve"> z </w:t>
      </w:r>
      <w:r w:rsidRPr="006051E3">
        <w:rPr>
          <w:noProof/>
        </w:rPr>
        <w:t>viac ako jedného subjektu, ktorého krízová situácia sa rieši, subjekt považuje za príslušnú právnickú osobu, ak sa jeho individuálna celková hodnota rizikovej expozície rovná 2</w:t>
      </w:r>
      <w:r w:rsidR="006051E3">
        <w:rPr>
          <w:noProof/>
        </w:rPr>
        <w:t> %</w:t>
      </w:r>
      <w:r w:rsidRPr="006051E3">
        <w:rPr>
          <w:noProof/>
        </w:rPr>
        <w:t xml:space="preserve"> celkovej hodnoty rizikovej expozície subjektu, ktorého krízová situácia sa rieši, na konsolidovanej úrovni skupiny, ktorej krízová situácia sa rieši, alebo je vyššia.</w:t>
      </w:r>
    </w:p>
    <w:p w:rsidR="008F1E98" w:rsidRPr="006051E3" w:rsidRDefault="008F1E98" w:rsidP="00184085">
      <w:pPr>
        <w:pStyle w:val="Text1"/>
        <w:rPr>
          <w:noProof/>
        </w:rPr>
      </w:pPr>
      <w:r w:rsidRPr="006051E3">
        <w:rPr>
          <w:noProof/>
        </w:rPr>
        <w:t>Na účely písmena c) sa</w:t>
      </w:r>
      <w:r w:rsidR="006051E3">
        <w:rPr>
          <w:noProof/>
        </w:rPr>
        <w:t xml:space="preserve"> v </w:t>
      </w:r>
      <w:r w:rsidRPr="006051E3">
        <w:rPr>
          <w:noProof/>
        </w:rPr>
        <w:t>prípade skupiny pozostávajúcej</w:t>
      </w:r>
      <w:r w:rsidR="006051E3">
        <w:rPr>
          <w:noProof/>
        </w:rPr>
        <w:t xml:space="preserve"> z </w:t>
      </w:r>
      <w:r w:rsidRPr="006051E3">
        <w:rPr>
          <w:noProof/>
        </w:rPr>
        <w:t>viac ako jedného subjektu, ktorého krízová situácia sa rieši, subjekt považuje za príslušnú právnickú osobu, ak sa jeho individuálna veľkosť celkovej expozície rovná 2</w:t>
      </w:r>
      <w:r w:rsidR="006051E3">
        <w:rPr>
          <w:noProof/>
        </w:rPr>
        <w:t> %</w:t>
      </w:r>
      <w:r w:rsidRPr="006051E3">
        <w:rPr>
          <w:noProof/>
        </w:rPr>
        <w:t xml:space="preserve"> veľkosti celkovej expozície subjektu, ktorého krízová situácia sa rieši, na konsolidovanej úrovni skupiny, ktorej krízová situácia sa rieši, alebo je vyššia.</w:t>
      </w:r>
    </w:p>
    <w:p w:rsidR="003B410C" w:rsidRPr="006051E3" w:rsidRDefault="003B410C" w:rsidP="00184085">
      <w:pPr>
        <w:pStyle w:val="Titrearticle"/>
        <w:rPr>
          <w:noProof/>
        </w:rPr>
      </w:pPr>
      <w:r w:rsidRPr="006051E3">
        <w:rPr>
          <w:noProof/>
        </w:rPr>
        <w:t>Článok</w:t>
      </w:r>
      <w:bookmarkStart w:id="1" w:name="_Hlk168321151"/>
      <w:r w:rsidRPr="006051E3">
        <w:rPr>
          <w:noProof/>
        </w:rPr>
        <w:t>2</w:t>
      </w:r>
    </w:p>
    <w:p w:rsidR="003B410C" w:rsidRPr="006051E3" w:rsidRDefault="003B410C" w:rsidP="00184085">
      <w:pPr>
        <w:pStyle w:val="Titrearticle"/>
        <w:spacing w:before="0"/>
        <w:rPr>
          <w:b/>
          <w:bCs/>
          <w:i w:val="0"/>
          <w:iCs/>
          <w:noProof/>
        </w:rPr>
      </w:pPr>
      <w:r w:rsidRPr="006051E3">
        <w:rPr>
          <w:b/>
          <w:i w:val="0"/>
          <w:noProof/>
        </w:rPr>
        <w:t>Vykazovanie</w:t>
      </w:r>
      <w:r w:rsidR="006051E3">
        <w:rPr>
          <w:b/>
          <w:i w:val="0"/>
          <w:noProof/>
        </w:rPr>
        <w:t xml:space="preserve"> v </w:t>
      </w:r>
      <w:r w:rsidRPr="006051E3">
        <w:rPr>
          <w:b/>
          <w:i w:val="0"/>
          <w:noProof/>
        </w:rPr>
        <w:t>oblasti riešenia krízových situácií inštitúciami, ktoré nie sú súčasťou skupiny podliehajúcej konsolidovanému dohľadu podľa článkov 111</w:t>
      </w:r>
      <w:r w:rsidR="006051E3">
        <w:rPr>
          <w:b/>
          <w:i w:val="0"/>
          <w:noProof/>
        </w:rPr>
        <w:t xml:space="preserve"> a </w:t>
      </w:r>
      <w:r w:rsidRPr="006051E3">
        <w:rPr>
          <w:b/>
          <w:i w:val="0"/>
          <w:noProof/>
        </w:rPr>
        <w:t>112 smernice 2013/36/EÚ</w:t>
      </w:r>
      <w:bookmarkEnd w:id="1"/>
    </w:p>
    <w:p w:rsidR="003B410C" w:rsidRPr="006051E3" w:rsidRDefault="000F7F38" w:rsidP="000F7F38">
      <w:pPr>
        <w:pStyle w:val="ManualNumPar1"/>
        <w:rPr>
          <w:noProof/>
        </w:rPr>
      </w:pPr>
      <w:r w:rsidRPr="000F7F38">
        <w:rPr>
          <w:noProof/>
        </w:rPr>
        <w:t>1.</w:t>
      </w:r>
      <w:r w:rsidRPr="000F7F38">
        <w:rPr>
          <w:noProof/>
        </w:rPr>
        <w:tab/>
      </w:r>
      <w:r w:rsidR="005E4DBA" w:rsidRPr="006051E3">
        <w:rPr>
          <w:noProof/>
        </w:rPr>
        <w:t>Subjekty, ktorých krízová situácia sa rieši</w:t>
      </w:r>
      <w:r w:rsidR="006051E3">
        <w:rPr>
          <w:noProof/>
        </w:rPr>
        <w:t xml:space="preserve"> a </w:t>
      </w:r>
      <w:r w:rsidR="005E4DBA" w:rsidRPr="006051E3">
        <w:rPr>
          <w:noProof/>
        </w:rPr>
        <w:t>ktoré nie sú súčasťou skupiny podliehajúcej konsolidovanému dohľadu podľa článkov 111</w:t>
      </w:r>
      <w:r w:rsidR="006051E3">
        <w:rPr>
          <w:noProof/>
        </w:rPr>
        <w:t xml:space="preserve"> a </w:t>
      </w:r>
      <w:r w:rsidR="005E4DBA" w:rsidRPr="006051E3">
        <w:rPr>
          <w:noProof/>
        </w:rPr>
        <w:t>112 smernice Európskeho parlamentu</w:t>
      </w:r>
      <w:r w:rsidR="006051E3">
        <w:rPr>
          <w:noProof/>
        </w:rPr>
        <w:t xml:space="preserve"> a </w:t>
      </w:r>
      <w:r w:rsidR="005E4DBA" w:rsidRPr="006051E3">
        <w:rPr>
          <w:noProof/>
        </w:rPr>
        <w:t>Rady 2013/36/EÚ</w:t>
      </w:r>
      <w:r w:rsidR="005E4DBA" w:rsidRPr="006051E3">
        <w:rPr>
          <w:rStyle w:val="FootnoteReference"/>
          <w:noProof/>
        </w:rPr>
        <w:footnoteReference w:id="7"/>
      </w:r>
      <w:r w:rsidR="005E4DBA" w:rsidRPr="006051E3">
        <w:rPr>
          <w:noProof/>
        </w:rPr>
        <w:t>, predkladajú orgánu pre riešenie krízových situácií na individuálnom základe informácie bližšie určené vo všetkých vzoroch stanovených</w:t>
      </w:r>
      <w:r w:rsidR="006051E3">
        <w:rPr>
          <w:noProof/>
        </w:rPr>
        <w:t xml:space="preserve"> v </w:t>
      </w:r>
      <w:r w:rsidR="005E4DBA" w:rsidRPr="006051E3">
        <w:rPr>
          <w:noProof/>
        </w:rPr>
        <w:t>prílohe I</w:t>
      </w:r>
      <w:r w:rsidR="006051E3">
        <w:rPr>
          <w:noProof/>
        </w:rPr>
        <w:t xml:space="preserve"> k </w:t>
      </w:r>
      <w:r w:rsidR="005E4DBA" w:rsidRPr="006051E3">
        <w:rPr>
          <w:noProof/>
        </w:rPr>
        <w:t>tomuto nariadeniu</w:t>
      </w:r>
      <w:r w:rsidR="006051E3">
        <w:rPr>
          <w:noProof/>
        </w:rPr>
        <w:t xml:space="preserve"> s </w:t>
      </w:r>
      <w:r w:rsidR="005E4DBA" w:rsidRPr="006051E3">
        <w:rPr>
          <w:noProof/>
        </w:rPr>
        <w:t>výnimkou informácií uvedených vo vzoroch</w:t>
      </w:r>
      <w:r w:rsidR="006051E3">
        <w:rPr>
          <w:noProof/>
        </w:rPr>
        <w:t xml:space="preserve"> Z </w:t>
      </w:r>
      <w:r w:rsidR="005E4DBA" w:rsidRPr="006051E3">
        <w:rPr>
          <w:noProof/>
        </w:rPr>
        <w:t>01.01,</w:t>
      </w:r>
      <w:r w:rsidR="006051E3">
        <w:rPr>
          <w:noProof/>
        </w:rPr>
        <w:t xml:space="preserve"> Z </w:t>
      </w:r>
      <w:r w:rsidR="005E4DBA" w:rsidRPr="006051E3">
        <w:rPr>
          <w:noProof/>
        </w:rPr>
        <w:t>04.00,</w:t>
      </w:r>
      <w:r w:rsidR="006051E3">
        <w:rPr>
          <w:noProof/>
        </w:rPr>
        <w:t xml:space="preserve"> Z </w:t>
      </w:r>
      <w:r w:rsidR="005E4DBA" w:rsidRPr="006051E3">
        <w:rPr>
          <w:noProof/>
        </w:rPr>
        <w:t>07.02,</w:t>
      </w:r>
      <w:r w:rsidR="006051E3">
        <w:rPr>
          <w:noProof/>
        </w:rPr>
        <w:t xml:space="preserve"> Z </w:t>
      </w:r>
      <w:r w:rsidR="005E4DBA" w:rsidRPr="006051E3">
        <w:rPr>
          <w:noProof/>
        </w:rPr>
        <w:t>07.03</w:t>
      </w:r>
      <w:r w:rsidR="006051E3">
        <w:rPr>
          <w:noProof/>
        </w:rPr>
        <w:t xml:space="preserve"> a Z </w:t>
      </w:r>
      <w:r w:rsidR="005E4DBA" w:rsidRPr="006051E3">
        <w:rPr>
          <w:noProof/>
        </w:rPr>
        <w:t>11.00.</w:t>
      </w:r>
    </w:p>
    <w:p w:rsidR="003B410C" w:rsidRPr="006051E3" w:rsidRDefault="000F7F38" w:rsidP="000F7F38">
      <w:pPr>
        <w:pStyle w:val="ManualNumPar1"/>
        <w:rPr>
          <w:noProof/>
        </w:rPr>
      </w:pPr>
      <w:r w:rsidRPr="000F7F38">
        <w:rPr>
          <w:noProof/>
        </w:rPr>
        <w:t>2.</w:t>
      </w:r>
      <w:r w:rsidRPr="000F7F38">
        <w:rPr>
          <w:noProof/>
        </w:rPr>
        <w:tab/>
      </w:r>
      <w:r w:rsidR="0017578A" w:rsidRPr="006051E3">
        <w:rPr>
          <w:noProof/>
        </w:rPr>
        <w:t>Likvidačné subjekty, na ktoré sa nevzťahujú zjednodušené povinnosti</w:t>
      </w:r>
      <w:r w:rsidR="006051E3">
        <w:rPr>
          <w:noProof/>
        </w:rPr>
        <w:t xml:space="preserve"> a </w:t>
      </w:r>
      <w:r w:rsidR="0017578A" w:rsidRPr="006051E3">
        <w:rPr>
          <w:noProof/>
        </w:rPr>
        <w:t>ktoré nie sú súčasťou skupiny podliehajúcej konsolidovanému dohľadu podľa článkov 111</w:t>
      </w:r>
      <w:r w:rsidR="006051E3">
        <w:rPr>
          <w:noProof/>
        </w:rPr>
        <w:t xml:space="preserve"> a </w:t>
      </w:r>
      <w:r w:rsidR="0017578A" w:rsidRPr="006051E3">
        <w:rPr>
          <w:noProof/>
        </w:rPr>
        <w:t>112 smernice 2013/36/EÚ</w:t>
      </w:r>
      <w:r w:rsidR="006051E3">
        <w:rPr>
          <w:noProof/>
        </w:rPr>
        <w:t xml:space="preserve"> a </w:t>
      </w:r>
      <w:r w:rsidR="0017578A" w:rsidRPr="006051E3">
        <w:rPr>
          <w:noProof/>
        </w:rPr>
        <w:t>pre ktoré orgán pre riešenie krízových situácií neurčil požiadavku uvedenú</w:t>
      </w:r>
      <w:r w:rsidR="006051E3">
        <w:rPr>
          <w:noProof/>
        </w:rPr>
        <w:t xml:space="preserve"> v </w:t>
      </w:r>
      <w:r w:rsidR="0017578A" w:rsidRPr="006051E3">
        <w:rPr>
          <w:noProof/>
        </w:rPr>
        <w:t>článku 45 ods. 1 smernice 2014/59/EÚ</w:t>
      </w:r>
      <w:r w:rsidR="006051E3">
        <w:rPr>
          <w:noProof/>
        </w:rPr>
        <w:t xml:space="preserve"> v </w:t>
      </w:r>
      <w:r w:rsidR="0017578A" w:rsidRPr="006051E3">
        <w:rPr>
          <w:noProof/>
        </w:rPr>
        <w:t>súlade</w:t>
      </w:r>
      <w:r w:rsidR="006051E3">
        <w:rPr>
          <w:noProof/>
        </w:rPr>
        <w:t xml:space="preserve"> s </w:t>
      </w:r>
      <w:r w:rsidR="0017578A" w:rsidRPr="006051E3">
        <w:rPr>
          <w:noProof/>
        </w:rPr>
        <w:t>článkom 45c ods. 2a druhým pododsekom uvedenej smernice, predkladajú orgánu pre riešenie krízových situácií na individuálnom základe informácie bližšie určené vo vzoroch</w:t>
      </w:r>
      <w:r w:rsidR="006051E3">
        <w:rPr>
          <w:noProof/>
        </w:rPr>
        <w:t xml:space="preserve"> Z </w:t>
      </w:r>
      <w:r w:rsidR="0017578A" w:rsidRPr="006051E3">
        <w:rPr>
          <w:noProof/>
        </w:rPr>
        <w:t>01.02,</w:t>
      </w:r>
      <w:r w:rsidR="006051E3">
        <w:rPr>
          <w:noProof/>
        </w:rPr>
        <w:t xml:space="preserve"> Z </w:t>
      </w:r>
      <w:r w:rsidR="0017578A" w:rsidRPr="006051E3">
        <w:rPr>
          <w:noProof/>
        </w:rPr>
        <w:t>02.00,</w:t>
      </w:r>
      <w:r w:rsidR="006051E3">
        <w:rPr>
          <w:noProof/>
        </w:rPr>
        <w:t xml:space="preserve"> Z </w:t>
      </w:r>
      <w:r w:rsidR="0017578A" w:rsidRPr="006051E3">
        <w:rPr>
          <w:noProof/>
        </w:rPr>
        <w:t>05.01,</w:t>
      </w:r>
      <w:r w:rsidR="006051E3">
        <w:rPr>
          <w:noProof/>
        </w:rPr>
        <w:t xml:space="preserve"> Z </w:t>
      </w:r>
      <w:r w:rsidR="0017578A" w:rsidRPr="006051E3">
        <w:rPr>
          <w:noProof/>
        </w:rPr>
        <w:t>05.02,</w:t>
      </w:r>
      <w:r w:rsidR="006051E3">
        <w:rPr>
          <w:noProof/>
        </w:rPr>
        <w:t xml:space="preserve"> Z </w:t>
      </w:r>
      <w:r w:rsidR="0017578A" w:rsidRPr="006051E3">
        <w:rPr>
          <w:noProof/>
        </w:rPr>
        <w:t>06.00,</w:t>
      </w:r>
      <w:r w:rsidR="006051E3">
        <w:rPr>
          <w:noProof/>
        </w:rPr>
        <w:t xml:space="preserve"> Z </w:t>
      </w:r>
      <w:r w:rsidR="0017578A" w:rsidRPr="006051E3">
        <w:rPr>
          <w:noProof/>
        </w:rPr>
        <w:t>07.01.1 až</w:t>
      </w:r>
      <w:r w:rsidR="006051E3">
        <w:rPr>
          <w:noProof/>
        </w:rPr>
        <w:t xml:space="preserve"> Z </w:t>
      </w:r>
      <w:r w:rsidR="0017578A" w:rsidRPr="006051E3">
        <w:rPr>
          <w:noProof/>
        </w:rPr>
        <w:t>07.01.5,</w:t>
      </w:r>
      <w:r w:rsidR="006051E3">
        <w:rPr>
          <w:noProof/>
        </w:rPr>
        <w:t xml:space="preserve"> Z </w:t>
      </w:r>
      <w:r w:rsidR="0017578A" w:rsidRPr="006051E3">
        <w:rPr>
          <w:noProof/>
        </w:rPr>
        <w:t>07.04</w:t>
      </w:r>
      <w:r w:rsidR="006051E3">
        <w:rPr>
          <w:noProof/>
        </w:rPr>
        <w:t xml:space="preserve"> a Z </w:t>
      </w:r>
      <w:r w:rsidR="0017578A" w:rsidRPr="006051E3">
        <w:rPr>
          <w:noProof/>
        </w:rPr>
        <w:t>09.01 stanovených</w:t>
      </w:r>
      <w:r w:rsidR="006051E3">
        <w:rPr>
          <w:noProof/>
        </w:rPr>
        <w:t xml:space="preserve"> v </w:t>
      </w:r>
      <w:r w:rsidR="0017578A" w:rsidRPr="006051E3">
        <w:rPr>
          <w:noProof/>
        </w:rPr>
        <w:t>prílohe I</w:t>
      </w:r>
      <w:r w:rsidR="006051E3">
        <w:rPr>
          <w:noProof/>
        </w:rPr>
        <w:t xml:space="preserve"> k </w:t>
      </w:r>
      <w:r w:rsidR="0017578A" w:rsidRPr="006051E3">
        <w:rPr>
          <w:noProof/>
        </w:rPr>
        <w:t>tomuto nariadeniu.</w:t>
      </w:r>
    </w:p>
    <w:p w:rsidR="003B410C" w:rsidRPr="006051E3" w:rsidRDefault="000F7F38" w:rsidP="000F7F38">
      <w:pPr>
        <w:pStyle w:val="ManualNumPar1"/>
        <w:rPr>
          <w:noProof/>
        </w:rPr>
      </w:pPr>
      <w:r w:rsidRPr="000F7F38">
        <w:rPr>
          <w:noProof/>
        </w:rPr>
        <w:t>3.</w:t>
      </w:r>
      <w:r w:rsidRPr="000F7F38">
        <w:rPr>
          <w:noProof/>
        </w:rPr>
        <w:tab/>
      </w:r>
      <w:r w:rsidR="00436F80" w:rsidRPr="006051E3">
        <w:rPr>
          <w:noProof/>
        </w:rPr>
        <w:t>Likvidačné subjekty, na ktoré sa nevzťahujú zjednodušené povinnosti</w:t>
      </w:r>
      <w:r w:rsidR="006051E3">
        <w:rPr>
          <w:noProof/>
        </w:rPr>
        <w:t xml:space="preserve"> a </w:t>
      </w:r>
      <w:r w:rsidR="00436F80" w:rsidRPr="006051E3">
        <w:rPr>
          <w:noProof/>
        </w:rPr>
        <w:t>ktoré nie sú súčasťou skupiny podliehajúcej konsolidovanému dohľadu podľa článkov 111</w:t>
      </w:r>
      <w:r w:rsidR="006051E3">
        <w:rPr>
          <w:noProof/>
        </w:rPr>
        <w:t xml:space="preserve"> a </w:t>
      </w:r>
      <w:r w:rsidR="00436F80" w:rsidRPr="006051E3">
        <w:rPr>
          <w:noProof/>
        </w:rPr>
        <w:t>112 smernice 2013/36/EÚ</w:t>
      </w:r>
      <w:r w:rsidR="006051E3">
        <w:rPr>
          <w:noProof/>
        </w:rPr>
        <w:t xml:space="preserve"> a </w:t>
      </w:r>
      <w:r w:rsidR="00436F80" w:rsidRPr="006051E3">
        <w:rPr>
          <w:noProof/>
        </w:rPr>
        <w:t>pre ktoré orgán pre riešenie krízových situácií určil požiadavku uvedenú</w:t>
      </w:r>
      <w:r w:rsidR="006051E3">
        <w:rPr>
          <w:noProof/>
        </w:rPr>
        <w:t xml:space="preserve"> v </w:t>
      </w:r>
      <w:r w:rsidR="00436F80" w:rsidRPr="006051E3">
        <w:rPr>
          <w:noProof/>
        </w:rPr>
        <w:t>článku 45 ods. 1 smernice 2014/59/EÚ</w:t>
      </w:r>
      <w:r w:rsidR="006051E3">
        <w:rPr>
          <w:noProof/>
        </w:rPr>
        <w:t xml:space="preserve"> v </w:t>
      </w:r>
      <w:r w:rsidR="00436F80" w:rsidRPr="006051E3">
        <w:rPr>
          <w:noProof/>
        </w:rPr>
        <w:t>súlade</w:t>
      </w:r>
      <w:r w:rsidR="006051E3">
        <w:rPr>
          <w:noProof/>
        </w:rPr>
        <w:t xml:space="preserve"> s </w:t>
      </w:r>
      <w:r w:rsidR="00436F80" w:rsidRPr="006051E3">
        <w:rPr>
          <w:noProof/>
        </w:rPr>
        <w:t>článkom 45c ods. 2a druhým pododsekom uvedenej smernice, predkladajú orgánu pre riešenie krízových situácií na individuálnom základe informácie bližšie určené vo vzoroch</w:t>
      </w:r>
      <w:r w:rsidR="006051E3">
        <w:rPr>
          <w:noProof/>
        </w:rPr>
        <w:t xml:space="preserve"> Z </w:t>
      </w:r>
      <w:r w:rsidR="00436F80" w:rsidRPr="006051E3">
        <w:rPr>
          <w:noProof/>
        </w:rPr>
        <w:t>01.02,</w:t>
      </w:r>
      <w:r w:rsidR="006051E3">
        <w:rPr>
          <w:noProof/>
        </w:rPr>
        <w:t xml:space="preserve"> Z </w:t>
      </w:r>
      <w:r w:rsidR="00436F80" w:rsidRPr="006051E3">
        <w:rPr>
          <w:noProof/>
        </w:rPr>
        <w:t>02.00,</w:t>
      </w:r>
      <w:r w:rsidR="006051E3">
        <w:rPr>
          <w:noProof/>
        </w:rPr>
        <w:t xml:space="preserve"> Z </w:t>
      </w:r>
      <w:r w:rsidR="00436F80" w:rsidRPr="006051E3">
        <w:rPr>
          <w:noProof/>
        </w:rPr>
        <w:t>03.01,</w:t>
      </w:r>
      <w:r w:rsidR="006051E3">
        <w:rPr>
          <w:noProof/>
        </w:rPr>
        <w:t xml:space="preserve"> Z </w:t>
      </w:r>
      <w:r w:rsidR="00436F80" w:rsidRPr="006051E3">
        <w:rPr>
          <w:noProof/>
        </w:rPr>
        <w:t>03.02,</w:t>
      </w:r>
      <w:r w:rsidR="006051E3">
        <w:rPr>
          <w:noProof/>
        </w:rPr>
        <w:t xml:space="preserve"> Z </w:t>
      </w:r>
      <w:r w:rsidR="00436F80" w:rsidRPr="006051E3">
        <w:rPr>
          <w:noProof/>
        </w:rPr>
        <w:t>05.01,</w:t>
      </w:r>
      <w:r w:rsidR="006051E3">
        <w:rPr>
          <w:noProof/>
        </w:rPr>
        <w:t xml:space="preserve"> Z </w:t>
      </w:r>
      <w:r w:rsidR="00436F80" w:rsidRPr="006051E3">
        <w:rPr>
          <w:noProof/>
        </w:rPr>
        <w:t>05.02,</w:t>
      </w:r>
      <w:r w:rsidR="006051E3">
        <w:rPr>
          <w:noProof/>
        </w:rPr>
        <w:t xml:space="preserve"> Z </w:t>
      </w:r>
      <w:r w:rsidR="00436F80" w:rsidRPr="006051E3">
        <w:rPr>
          <w:noProof/>
        </w:rPr>
        <w:t>06.00,</w:t>
      </w:r>
      <w:r w:rsidR="006051E3">
        <w:rPr>
          <w:noProof/>
        </w:rPr>
        <w:t xml:space="preserve"> Z </w:t>
      </w:r>
      <w:r w:rsidR="00436F80" w:rsidRPr="006051E3">
        <w:rPr>
          <w:noProof/>
        </w:rPr>
        <w:t>07.01.1 až</w:t>
      </w:r>
      <w:r w:rsidR="006051E3">
        <w:rPr>
          <w:noProof/>
        </w:rPr>
        <w:t xml:space="preserve"> Z </w:t>
      </w:r>
      <w:r w:rsidR="00436F80" w:rsidRPr="006051E3">
        <w:rPr>
          <w:noProof/>
        </w:rPr>
        <w:t>07.01.5,</w:t>
      </w:r>
      <w:r w:rsidR="006051E3">
        <w:rPr>
          <w:noProof/>
        </w:rPr>
        <w:t xml:space="preserve"> Z </w:t>
      </w:r>
      <w:r w:rsidR="00436F80" w:rsidRPr="006051E3">
        <w:rPr>
          <w:noProof/>
        </w:rPr>
        <w:t>07.04</w:t>
      </w:r>
      <w:r w:rsidR="006051E3">
        <w:rPr>
          <w:noProof/>
        </w:rPr>
        <w:t xml:space="preserve"> a Z </w:t>
      </w:r>
      <w:r w:rsidR="00436F80" w:rsidRPr="006051E3">
        <w:rPr>
          <w:noProof/>
        </w:rPr>
        <w:t>09.01 stanovených</w:t>
      </w:r>
      <w:r w:rsidR="006051E3">
        <w:rPr>
          <w:noProof/>
        </w:rPr>
        <w:t xml:space="preserve"> v </w:t>
      </w:r>
      <w:r w:rsidR="00436F80" w:rsidRPr="006051E3">
        <w:rPr>
          <w:noProof/>
        </w:rPr>
        <w:t>prílohe I</w:t>
      </w:r>
      <w:r w:rsidR="006051E3">
        <w:rPr>
          <w:noProof/>
        </w:rPr>
        <w:t xml:space="preserve"> k </w:t>
      </w:r>
      <w:r w:rsidR="00436F80" w:rsidRPr="006051E3">
        <w:rPr>
          <w:noProof/>
        </w:rPr>
        <w:t>tomuto nariadeniu.</w:t>
      </w:r>
    </w:p>
    <w:p w:rsidR="003B410C" w:rsidRPr="006051E3" w:rsidRDefault="003B410C" w:rsidP="00184085">
      <w:pPr>
        <w:pStyle w:val="Titrearticle"/>
        <w:rPr>
          <w:noProof/>
        </w:rPr>
      </w:pPr>
      <w:r w:rsidRPr="006051E3">
        <w:rPr>
          <w:noProof/>
        </w:rPr>
        <w:t>Článok 3</w:t>
      </w:r>
    </w:p>
    <w:p w:rsidR="003B410C" w:rsidRPr="006051E3" w:rsidRDefault="003B410C" w:rsidP="00184085">
      <w:pPr>
        <w:pStyle w:val="Titrearticle"/>
        <w:spacing w:before="0"/>
        <w:rPr>
          <w:b/>
          <w:bCs/>
          <w:i w:val="0"/>
          <w:iCs/>
          <w:noProof/>
        </w:rPr>
      </w:pPr>
      <w:r w:rsidRPr="006051E3">
        <w:rPr>
          <w:b/>
          <w:i w:val="0"/>
          <w:noProof/>
        </w:rPr>
        <w:t>Vykazovanie</w:t>
      </w:r>
      <w:r w:rsidR="006051E3">
        <w:rPr>
          <w:b/>
          <w:i w:val="0"/>
          <w:noProof/>
        </w:rPr>
        <w:t xml:space="preserve"> v </w:t>
      </w:r>
      <w:r w:rsidRPr="006051E3">
        <w:rPr>
          <w:b/>
          <w:i w:val="0"/>
          <w:noProof/>
        </w:rPr>
        <w:t>oblasti riešenia krízových situácií na úrovni skupiny – skupiny, ktorých krízová situácia sa rieši</w:t>
      </w:r>
    </w:p>
    <w:p w:rsidR="003B410C" w:rsidRPr="006051E3" w:rsidRDefault="000F7F38" w:rsidP="000F7F38">
      <w:pPr>
        <w:pStyle w:val="ManualNumPar1"/>
        <w:rPr>
          <w:noProof/>
        </w:rPr>
      </w:pPr>
      <w:r w:rsidRPr="000F7F38">
        <w:rPr>
          <w:noProof/>
        </w:rPr>
        <w:t>1.</w:t>
      </w:r>
      <w:r w:rsidRPr="000F7F38">
        <w:rPr>
          <w:noProof/>
        </w:rPr>
        <w:tab/>
      </w:r>
      <w:r w:rsidR="00873C72" w:rsidRPr="006051E3">
        <w:rPr>
          <w:noProof/>
        </w:rPr>
        <w:t>Materská spoločnosť</w:t>
      </w:r>
      <w:r w:rsidR="006051E3">
        <w:rPr>
          <w:noProof/>
        </w:rPr>
        <w:t xml:space="preserve"> v </w:t>
      </w:r>
      <w:r w:rsidR="00873C72" w:rsidRPr="006051E3">
        <w:rPr>
          <w:noProof/>
        </w:rPr>
        <w:t>Únii predkladá orgánu pre riešenie krízových situácií na úrovni skupiny informácie bližšie určené vo vzoroch</w:t>
      </w:r>
      <w:r w:rsidR="006051E3">
        <w:rPr>
          <w:noProof/>
        </w:rPr>
        <w:t xml:space="preserve"> Z </w:t>
      </w:r>
      <w:r w:rsidR="00873C72" w:rsidRPr="006051E3">
        <w:rPr>
          <w:noProof/>
        </w:rPr>
        <w:t>01.01,</w:t>
      </w:r>
      <w:r w:rsidR="006051E3">
        <w:rPr>
          <w:noProof/>
        </w:rPr>
        <w:t xml:space="preserve"> Z </w:t>
      </w:r>
      <w:r w:rsidR="00873C72" w:rsidRPr="006051E3">
        <w:rPr>
          <w:noProof/>
        </w:rPr>
        <w:t>01.02</w:t>
      </w:r>
      <w:r w:rsidR="006051E3">
        <w:rPr>
          <w:noProof/>
        </w:rPr>
        <w:t xml:space="preserve"> a Z </w:t>
      </w:r>
      <w:r w:rsidR="00873C72" w:rsidRPr="006051E3">
        <w:rPr>
          <w:noProof/>
        </w:rPr>
        <w:t>08.01 až</w:t>
      </w:r>
      <w:r w:rsidR="006051E3">
        <w:rPr>
          <w:noProof/>
        </w:rPr>
        <w:t xml:space="preserve"> Z </w:t>
      </w:r>
      <w:r w:rsidR="00873C72" w:rsidRPr="006051E3">
        <w:rPr>
          <w:noProof/>
        </w:rPr>
        <w:t>09.04 stanovených</w:t>
      </w:r>
      <w:r w:rsidR="006051E3">
        <w:rPr>
          <w:noProof/>
        </w:rPr>
        <w:t xml:space="preserve"> v </w:t>
      </w:r>
      <w:r w:rsidR="00873C72" w:rsidRPr="006051E3">
        <w:rPr>
          <w:noProof/>
        </w:rPr>
        <w:t>prílohe I</w:t>
      </w:r>
      <w:r w:rsidR="006051E3">
        <w:rPr>
          <w:noProof/>
        </w:rPr>
        <w:t xml:space="preserve"> v </w:t>
      </w:r>
      <w:r w:rsidR="00873C72" w:rsidRPr="006051E3">
        <w:rPr>
          <w:noProof/>
        </w:rPr>
        <w:t>súvislosti so všetkými subjektmi skupiny.</w:t>
      </w:r>
    </w:p>
    <w:p w:rsidR="003B410C" w:rsidRPr="006051E3" w:rsidRDefault="000F7F38" w:rsidP="000F7F38">
      <w:pPr>
        <w:pStyle w:val="ManualNumPar1"/>
        <w:rPr>
          <w:noProof/>
        </w:rPr>
      </w:pPr>
      <w:r w:rsidRPr="000F7F38">
        <w:rPr>
          <w:noProof/>
        </w:rPr>
        <w:t>2.</w:t>
      </w:r>
      <w:r w:rsidRPr="000F7F38">
        <w:rPr>
          <w:noProof/>
        </w:rPr>
        <w:tab/>
      </w:r>
      <w:r w:rsidR="00873C72" w:rsidRPr="006051E3">
        <w:rPr>
          <w:noProof/>
        </w:rPr>
        <w:t>Materská spoločnosť</w:t>
      </w:r>
      <w:r w:rsidR="006051E3">
        <w:rPr>
          <w:noProof/>
        </w:rPr>
        <w:t xml:space="preserve"> v </w:t>
      </w:r>
      <w:r w:rsidR="00873C72" w:rsidRPr="006051E3">
        <w:rPr>
          <w:noProof/>
        </w:rPr>
        <w:t>Únii predkladá orgánu pre riešenie krízových situácií na úrovni skupiny informácie</w:t>
      </w:r>
      <w:r w:rsidR="006051E3">
        <w:rPr>
          <w:noProof/>
        </w:rPr>
        <w:t xml:space="preserve"> o </w:t>
      </w:r>
      <w:r w:rsidR="00873C72" w:rsidRPr="006051E3">
        <w:rPr>
          <w:noProof/>
        </w:rPr>
        <w:t>finančných prepojeniach medzi všetkými subjektmi skupiny, ako sa bližšie určuje vo vzore</w:t>
      </w:r>
      <w:r w:rsidR="006051E3">
        <w:rPr>
          <w:noProof/>
        </w:rPr>
        <w:t xml:space="preserve"> Z </w:t>
      </w:r>
      <w:r w:rsidR="00873C72" w:rsidRPr="006051E3">
        <w:rPr>
          <w:noProof/>
        </w:rPr>
        <w:t>04.00 stanovenom</w:t>
      </w:r>
      <w:r w:rsidR="006051E3">
        <w:rPr>
          <w:noProof/>
        </w:rPr>
        <w:t xml:space="preserve"> v </w:t>
      </w:r>
      <w:r w:rsidR="00873C72" w:rsidRPr="006051E3">
        <w:rPr>
          <w:noProof/>
        </w:rPr>
        <w:t>prílohe I.</w:t>
      </w:r>
    </w:p>
    <w:p w:rsidR="003B410C" w:rsidRPr="006051E3" w:rsidRDefault="000F7F38" w:rsidP="000F7F38">
      <w:pPr>
        <w:pStyle w:val="ManualNumPar1"/>
        <w:rPr>
          <w:noProof/>
        </w:rPr>
      </w:pPr>
      <w:r w:rsidRPr="000F7F38">
        <w:rPr>
          <w:noProof/>
        </w:rPr>
        <w:t>3.</w:t>
      </w:r>
      <w:r w:rsidRPr="000F7F38">
        <w:rPr>
          <w:noProof/>
        </w:rPr>
        <w:tab/>
      </w:r>
      <w:r w:rsidR="001744A5" w:rsidRPr="006051E3">
        <w:rPr>
          <w:noProof/>
        </w:rPr>
        <w:t>Materská spoločnosť</w:t>
      </w:r>
      <w:r w:rsidR="006051E3">
        <w:rPr>
          <w:noProof/>
        </w:rPr>
        <w:t xml:space="preserve"> v </w:t>
      </w:r>
      <w:r w:rsidR="001744A5" w:rsidRPr="006051E3">
        <w:rPr>
          <w:noProof/>
        </w:rPr>
        <w:t>Únii predkladá orgánu pre riešenie krízových situácií na úrovni skupiny informácie bližšie určené vo vzore</w:t>
      </w:r>
      <w:r w:rsidR="006051E3">
        <w:rPr>
          <w:noProof/>
        </w:rPr>
        <w:t xml:space="preserve"> Z </w:t>
      </w:r>
      <w:r w:rsidR="001744A5" w:rsidRPr="006051E3">
        <w:rPr>
          <w:noProof/>
        </w:rPr>
        <w:t>02.00 stanovenom</w:t>
      </w:r>
      <w:r w:rsidR="006051E3">
        <w:rPr>
          <w:noProof/>
        </w:rPr>
        <w:t xml:space="preserve"> v </w:t>
      </w:r>
      <w:r w:rsidR="001744A5" w:rsidRPr="006051E3">
        <w:rPr>
          <w:noProof/>
        </w:rPr>
        <w:t>prílohe I takto:</w:t>
      </w:r>
    </w:p>
    <w:p w:rsidR="003B410C" w:rsidRPr="006051E3" w:rsidRDefault="006051E3" w:rsidP="006051E3">
      <w:pPr>
        <w:pStyle w:val="Point1"/>
        <w:rPr>
          <w:noProof/>
        </w:rPr>
      </w:pPr>
      <w:r>
        <w:rPr>
          <w:noProof/>
        </w:rPr>
        <w:t>a)</w:t>
      </w:r>
      <w:r>
        <w:rPr>
          <w:noProof/>
        </w:rPr>
        <w:tab/>
      </w:r>
      <w:r w:rsidR="003B410C" w:rsidRPr="006051E3">
        <w:rPr>
          <w:noProof/>
        </w:rPr>
        <w:t>na individuálnom základe pre všetky subjekty skupiny, ktorých krízová situácia sa rieši, vrátane materskej spoločnosti</w:t>
      </w:r>
      <w:r>
        <w:rPr>
          <w:noProof/>
        </w:rPr>
        <w:t xml:space="preserve"> v </w:t>
      </w:r>
      <w:r w:rsidR="003B410C" w:rsidRPr="006051E3">
        <w:rPr>
          <w:noProof/>
        </w:rPr>
        <w:t>Únii</w:t>
      </w:r>
      <w:r>
        <w:rPr>
          <w:noProof/>
        </w:rPr>
        <w:t xml:space="preserve"> a </w:t>
      </w:r>
      <w:r w:rsidR="003B410C" w:rsidRPr="006051E3">
        <w:rPr>
          <w:noProof/>
        </w:rPr>
        <w:t>pre všetky príslušné právnické osoby, ktoré sú inštitúciami;</w:t>
      </w:r>
    </w:p>
    <w:p w:rsidR="003B410C" w:rsidRPr="006051E3" w:rsidRDefault="006051E3" w:rsidP="006051E3">
      <w:pPr>
        <w:pStyle w:val="Point1"/>
        <w:rPr>
          <w:noProof/>
        </w:rPr>
      </w:pPr>
      <w:r>
        <w:rPr>
          <w:noProof/>
        </w:rPr>
        <w:t>b)</w:t>
      </w:r>
      <w:r>
        <w:rPr>
          <w:noProof/>
        </w:rPr>
        <w:tab/>
      </w:r>
      <w:r w:rsidR="003B410C" w:rsidRPr="006051E3">
        <w:rPr>
          <w:noProof/>
        </w:rPr>
        <w:t>na konsolidovanom základe alebo prípadne na subkonsolidovanom základe pre všetky subjekty skupiny, ktorých krízová situácia sa rieši, vrátane materskej spoločnosti</w:t>
      </w:r>
      <w:r>
        <w:rPr>
          <w:noProof/>
        </w:rPr>
        <w:t xml:space="preserve"> v </w:t>
      </w:r>
      <w:r w:rsidR="003B410C" w:rsidRPr="006051E3">
        <w:rPr>
          <w:noProof/>
        </w:rPr>
        <w:t>Únii</w:t>
      </w:r>
      <w:r>
        <w:rPr>
          <w:noProof/>
        </w:rPr>
        <w:t xml:space="preserve"> a </w:t>
      </w:r>
      <w:r w:rsidR="003B410C" w:rsidRPr="006051E3">
        <w:rPr>
          <w:noProof/>
        </w:rPr>
        <w:t xml:space="preserve">pre všetky príslušné právnické osoby, </w:t>
      </w:r>
      <w:r w:rsidR="003B410C" w:rsidRPr="006051E3">
        <w:rPr>
          <w:noProof/>
          <w:color w:val="000000" w:themeColor="text1"/>
        </w:rPr>
        <w:t>pre ktoré orgán pre riešenie krízových situácií určil požiadavku uvedenú</w:t>
      </w:r>
      <w:r>
        <w:rPr>
          <w:noProof/>
          <w:color w:val="000000" w:themeColor="text1"/>
        </w:rPr>
        <w:t xml:space="preserve"> v </w:t>
      </w:r>
      <w:r w:rsidR="003B410C" w:rsidRPr="006051E3">
        <w:rPr>
          <w:noProof/>
          <w:color w:val="000000" w:themeColor="text1"/>
        </w:rPr>
        <w:t>článku 45 ods. 1 smernice 2014/59/EÚ</w:t>
      </w:r>
      <w:r w:rsidR="003B410C" w:rsidRPr="006051E3">
        <w:rPr>
          <w:noProof/>
        </w:rPr>
        <w:t xml:space="preserve"> na konsolidovanom alebo subkonsolidovanom základe, bez ohľadu na to, či sa na tieto subjekty vzťahuje prvá časť hlava II kapitola 2 nariadenia (EÚ) </w:t>
      </w:r>
      <w:r>
        <w:rPr>
          <w:noProof/>
        </w:rPr>
        <w:t>č. </w:t>
      </w:r>
      <w:r w:rsidR="003B410C" w:rsidRPr="006051E3">
        <w:rPr>
          <w:noProof/>
        </w:rPr>
        <w:t>575/2013.</w:t>
      </w:r>
    </w:p>
    <w:p w:rsidR="003B410C" w:rsidRPr="006051E3" w:rsidRDefault="000F7F38" w:rsidP="000F7F38">
      <w:pPr>
        <w:pStyle w:val="ManualNumPar1"/>
        <w:rPr>
          <w:noProof/>
        </w:rPr>
      </w:pPr>
      <w:r w:rsidRPr="000F7F38">
        <w:rPr>
          <w:noProof/>
        </w:rPr>
        <w:t>4.</w:t>
      </w:r>
      <w:r w:rsidRPr="000F7F38">
        <w:rPr>
          <w:noProof/>
        </w:rPr>
        <w:tab/>
      </w:r>
      <w:r w:rsidR="00207905" w:rsidRPr="006051E3">
        <w:rPr>
          <w:noProof/>
        </w:rPr>
        <w:t>Materská spoločnosť</w:t>
      </w:r>
      <w:r w:rsidR="006051E3">
        <w:rPr>
          <w:noProof/>
        </w:rPr>
        <w:t xml:space="preserve"> v </w:t>
      </w:r>
      <w:r w:rsidR="00207905" w:rsidRPr="006051E3">
        <w:rPr>
          <w:noProof/>
        </w:rPr>
        <w:t>Únii predkladá orgánu pre riešenie krízových situácií na úrovni skupiny informácie bližšie určené vo vzore</w:t>
      </w:r>
      <w:r w:rsidR="006051E3">
        <w:rPr>
          <w:noProof/>
        </w:rPr>
        <w:t xml:space="preserve"> Z </w:t>
      </w:r>
      <w:r w:rsidR="00207905" w:rsidRPr="006051E3">
        <w:rPr>
          <w:noProof/>
        </w:rPr>
        <w:t>03.01 alebo</w:t>
      </w:r>
      <w:r w:rsidR="006051E3">
        <w:rPr>
          <w:noProof/>
        </w:rPr>
        <w:t xml:space="preserve"> Z </w:t>
      </w:r>
      <w:r w:rsidR="00207905" w:rsidRPr="006051E3">
        <w:rPr>
          <w:noProof/>
        </w:rPr>
        <w:t>03.02 stanovenom</w:t>
      </w:r>
      <w:r w:rsidR="006051E3">
        <w:rPr>
          <w:noProof/>
        </w:rPr>
        <w:t xml:space="preserve"> v </w:t>
      </w:r>
      <w:r w:rsidR="00207905" w:rsidRPr="006051E3">
        <w:rPr>
          <w:noProof/>
        </w:rPr>
        <w:t>prílohe I takto:</w:t>
      </w:r>
    </w:p>
    <w:p w:rsidR="003B410C" w:rsidRPr="006051E3" w:rsidRDefault="006051E3" w:rsidP="006051E3">
      <w:pPr>
        <w:pStyle w:val="Point1"/>
        <w:rPr>
          <w:noProof/>
        </w:rPr>
      </w:pPr>
      <w:r>
        <w:rPr>
          <w:noProof/>
        </w:rPr>
        <w:t>a)</w:t>
      </w:r>
      <w:r>
        <w:rPr>
          <w:noProof/>
        </w:rPr>
        <w:tab/>
      </w:r>
      <w:r w:rsidR="003B410C" w:rsidRPr="006051E3">
        <w:rPr>
          <w:noProof/>
        </w:rPr>
        <w:t>na individuálnom základe pre všetky subjekty skupiny, ktorých krízová situácia sa rieši, vrátane materskej spoločnosti</w:t>
      </w:r>
      <w:r>
        <w:rPr>
          <w:noProof/>
        </w:rPr>
        <w:t xml:space="preserve"> v </w:t>
      </w:r>
      <w:r w:rsidR="003B410C" w:rsidRPr="006051E3">
        <w:rPr>
          <w:noProof/>
        </w:rPr>
        <w:t>Únii,</w:t>
      </w:r>
      <w:r>
        <w:rPr>
          <w:noProof/>
        </w:rPr>
        <w:t xml:space="preserve"> a </w:t>
      </w:r>
      <w:r w:rsidR="003B410C" w:rsidRPr="006051E3">
        <w:rPr>
          <w:noProof/>
        </w:rPr>
        <w:t>pre všetky príslušné právnické osoby, ktoré sú inštitúciami, pre ktoré orgán pre riešenie krízových situácií určil požiadavku uvedenú</w:t>
      </w:r>
      <w:r>
        <w:rPr>
          <w:noProof/>
        </w:rPr>
        <w:t xml:space="preserve"> v </w:t>
      </w:r>
      <w:r w:rsidR="003B410C" w:rsidRPr="006051E3">
        <w:rPr>
          <w:noProof/>
        </w:rPr>
        <w:t>článku 45 ods. 1 smernice 2014/59/EÚ;</w:t>
      </w:r>
    </w:p>
    <w:p w:rsidR="003B410C" w:rsidRPr="006051E3" w:rsidRDefault="006051E3" w:rsidP="006051E3">
      <w:pPr>
        <w:pStyle w:val="Point1"/>
        <w:rPr>
          <w:noProof/>
        </w:rPr>
      </w:pPr>
      <w:r>
        <w:rPr>
          <w:noProof/>
        </w:rPr>
        <w:t>b)</w:t>
      </w:r>
      <w:r>
        <w:rPr>
          <w:noProof/>
        </w:rPr>
        <w:tab/>
      </w:r>
      <w:r w:rsidR="003B410C" w:rsidRPr="006051E3">
        <w:rPr>
          <w:noProof/>
        </w:rPr>
        <w:t>na konsolidovanom alebo subkonsolidovanom základe pre všetky subjekty skupiny, ktorých krízová situácia sa rieši, vrátane materskej spoločnosti</w:t>
      </w:r>
      <w:r>
        <w:rPr>
          <w:noProof/>
        </w:rPr>
        <w:t xml:space="preserve"> v </w:t>
      </w:r>
      <w:r w:rsidR="003B410C" w:rsidRPr="006051E3">
        <w:rPr>
          <w:noProof/>
        </w:rPr>
        <w:t>Únii</w:t>
      </w:r>
      <w:r>
        <w:rPr>
          <w:noProof/>
        </w:rPr>
        <w:t xml:space="preserve"> a </w:t>
      </w:r>
      <w:r w:rsidR="003B410C" w:rsidRPr="006051E3">
        <w:rPr>
          <w:noProof/>
        </w:rPr>
        <w:t>pre všetky príslušné právnické osoby, ktoré sú inštitúciami, pre ktoré orgán pre riešenie krízových situácií určil požiadavku uvedenú</w:t>
      </w:r>
      <w:r>
        <w:rPr>
          <w:noProof/>
        </w:rPr>
        <w:t xml:space="preserve"> v </w:t>
      </w:r>
      <w:r w:rsidR="003B410C" w:rsidRPr="006051E3">
        <w:rPr>
          <w:noProof/>
        </w:rPr>
        <w:t xml:space="preserve">článku 45 ods. 1 smernice 2014/59/EÚ, bez ohľadu na to, či sa na tieto subjekty vzťahuje prvá časť hlava II kapitola 2 nariadenia (EÚ) </w:t>
      </w:r>
      <w:r>
        <w:rPr>
          <w:noProof/>
        </w:rPr>
        <w:t>č. </w:t>
      </w:r>
      <w:r w:rsidR="003B410C" w:rsidRPr="006051E3">
        <w:rPr>
          <w:noProof/>
        </w:rPr>
        <w:t>575/2013.</w:t>
      </w:r>
    </w:p>
    <w:p w:rsidR="003B410C" w:rsidRPr="006051E3" w:rsidRDefault="000F7F38" w:rsidP="000F7F38">
      <w:pPr>
        <w:pStyle w:val="ManualNumPar1"/>
        <w:rPr>
          <w:noProof/>
        </w:rPr>
      </w:pPr>
      <w:r w:rsidRPr="000F7F38">
        <w:rPr>
          <w:noProof/>
        </w:rPr>
        <w:t>5.</w:t>
      </w:r>
      <w:r w:rsidRPr="000F7F38">
        <w:rPr>
          <w:noProof/>
        </w:rPr>
        <w:tab/>
      </w:r>
      <w:r w:rsidR="006E7726" w:rsidRPr="006051E3">
        <w:rPr>
          <w:noProof/>
        </w:rPr>
        <w:t>Materská spoločnosť</w:t>
      </w:r>
      <w:r w:rsidR="006051E3">
        <w:rPr>
          <w:noProof/>
        </w:rPr>
        <w:t xml:space="preserve"> v </w:t>
      </w:r>
      <w:r w:rsidR="006E7726" w:rsidRPr="006051E3">
        <w:rPr>
          <w:noProof/>
        </w:rPr>
        <w:t>Únii predkladá orgánu pre riešenie krízových situácií na úrovni skupiny informácie uvedené vo vzoroch</w:t>
      </w:r>
      <w:r w:rsidR="006051E3">
        <w:rPr>
          <w:noProof/>
        </w:rPr>
        <w:t xml:space="preserve"> Z </w:t>
      </w:r>
      <w:r w:rsidR="006E7726" w:rsidRPr="006051E3">
        <w:rPr>
          <w:noProof/>
        </w:rPr>
        <w:t>07.01.1,</w:t>
      </w:r>
      <w:r w:rsidR="006051E3">
        <w:rPr>
          <w:noProof/>
        </w:rPr>
        <w:t xml:space="preserve"> Z </w:t>
      </w:r>
      <w:r w:rsidR="006E7726" w:rsidRPr="006051E3">
        <w:rPr>
          <w:noProof/>
        </w:rPr>
        <w:t>07.01.2,</w:t>
      </w:r>
      <w:r w:rsidR="006051E3">
        <w:rPr>
          <w:noProof/>
        </w:rPr>
        <w:t xml:space="preserve"> Z </w:t>
      </w:r>
      <w:r w:rsidR="006E7726" w:rsidRPr="006051E3">
        <w:rPr>
          <w:noProof/>
        </w:rPr>
        <w:t>07.01.3,</w:t>
      </w:r>
      <w:r w:rsidR="006051E3">
        <w:rPr>
          <w:noProof/>
        </w:rPr>
        <w:t xml:space="preserve"> Z </w:t>
      </w:r>
      <w:r w:rsidR="006E7726" w:rsidRPr="006051E3">
        <w:rPr>
          <w:noProof/>
        </w:rPr>
        <w:t>07.01.4</w:t>
      </w:r>
      <w:r w:rsidR="006051E3">
        <w:rPr>
          <w:noProof/>
        </w:rPr>
        <w:t xml:space="preserve"> a Z </w:t>
      </w:r>
      <w:r w:rsidR="006E7726" w:rsidRPr="006051E3">
        <w:rPr>
          <w:noProof/>
        </w:rPr>
        <w:t>07.01.5 stanovených</w:t>
      </w:r>
      <w:r w:rsidR="006051E3">
        <w:rPr>
          <w:noProof/>
        </w:rPr>
        <w:t xml:space="preserve"> v </w:t>
      </w:r>
      <w:r w:rsidR="006E7726" w:rsidRPr="006051E3">
        <w:rPr>
          <w:noProof/>
        </w:rPr>
        <w:t>prílohe I na úrovni každého členského štátu,</w:t>
      </w:r>
      <w:r w:rsidR="006051E3">
        <w:rPr>
          <w:noProof/>
        </w:rPr>
        <w:t xml:space="preserve"> v </w:t>
      </w:r>
      <w:r w:rsidR="006E7726" w:rsidRPr="006051E3">
        <w:rPr>
          <w:noProof/>
        </w:rPr>
        <w:t>ktorom skupina pôsobí.</w:t>
      </w:r>
    </w:p>
    <w:p w:rsidR="003B410C" w:rsidRPr="006051E3" w:rsidRDefault="000F7F38" w:rsidP="000F7F38">
      <w:pPr>
        <w:pStyle w:val="ManualNumPar1"/>
        <w:rPr>
          <w:noProof/>
        </w:rPr>
      </w:pPr>
      <w:r w:rsidRPr="000F7F38">
        <w:rPr>
          <w:noProof/>
        </w:rPr>
        <w:t>6.</w:t>
      </w:r>
      <w:r w:rsidRPr="000F7F38">
        <w:rPr>
          <w:noProof/>
        </w:rPr>
        <w:tab/>
      </w:r>
      <w:r w:rsidR="006E7726" w:rsidRPr="006051E3">
        <w:rPr>
          <w:noProof/>
        </w:rPr>
        <w:t>Materská spoločnosť</w:t>
      </w:r>
      <w:r w:rsidR="006051E3">
        <w:rPr>
          <w:noProof/>
        </w:rPr>
        <w:t xml:space="preserve"> v </w:t>
      </w:r>
      <w:r w:rsidR="006E7726" w:rsidRPr="006051E3">
        <w:rPr>
          <w:noProof/>
        </w:rPr>
        <w:t>Únii predkladá orgánu pre riešenie krízových situácií na úrovni skupiny informácie uvedené vo vzoroch</w:t>
      </w:r>
      <w:r w:rsidR="006051E3">
        <w:rPr>
          <w:noProof/>
        </w:rPr>
        <w:t xml:space="preserve"> Z </w:t>
      </w:r>
      <w:r w:rsidR="006E7726" w:rsidRPr="006051E3">
        <w:rPr>
          <w:noProof/>
        </w:rPr>
        <w:t>07.02,</w:t>
      </w:r>
      <w:r w:rsidR="006051E3">
        <w:rPr>
          <w:noProof/>
        </w:rPr>
        <w:t xml:space="preserve"> Z </w:t>
      </w:r>
      <w:r w:rsidR="006E7726" w:rsidRPr="006051E3">
        <w:rPr>
          <w:noProof/>
        </w:rPr>
        <w:t>07.03</w:t>
      </w:r>
      <w:r w:rsidR="006051E3">
        <w:rPr>
          <w:noProof/>
        </w:rPr>
        <w:t xml:space="preserve"> a Z </w:t>
      </w:r>
      <w:r w:rsidR="006E7726" w:rsidRPr="006051E3">
        <w:rPr>
          <w:noProof/>
        </w:rPr>
        <w:t>07.04 stanovených</w:t>
      </w:r>
      <w:r w:rsidR="006051E3">
        <w:rPr>
          <w:noProof/>
        </w:rPr>
        <w:t xml:space="preserve"> v </w:t>
      </w:r>
      <w:r w:rsidR="006E7726" w:rsidRPr="006051E3">
        <w:rPr>
          <w:noProof/>
        </w:rPr>
        <w:t>prílohe I</w:t>
      </w:r>
      <w:r w:rsidR="006051E3">
        <w:rPr>
          <w:noProof/>
        </w:rPr>
        <w:t xml:space="preserve"> v </w:t>
      </w:r>
      <w:r w:rsidR="006E7726" w:rsidRPr="006051E3">
        <w:rPr>
          <w:noProof/>
        </w:rPr>
        <w:t>súvislosti so zásadnými funkciami</w:t>
      </w:r>
      <w:r w:rsidR="006051E3">
        <w:rPr>
          <w:noProof/>
        </w:rPr>
        <w:t xml:space="preserve"> a </w:t>
      </w:r>
      <w:r w:rsidR="006E7726" w:rsidRPr="006051E3">
        <w:rPr>
          <w:noProof/>
        </w:rPr>
        <w:t>hlavnými oblasťami obchodnej činnosti, ktoré poskytuje ktorýkoľvek subjekt skupiny.</w:t>
      </w:r>
    </w:p>
    <w:p w:rsidR="003B410C" w:rsidRPr="006051E3" w:rsidRDefault="000F7F38" w:rsidP="000F7F38">
      <w:pPr>
        <w:pStyle w:val="ManualNumPar1"/>
        <w:rPr>
          <w:noProof/>
        </w:rPr>
      </w:pPr>
      <w:r w:rsidRPr="000F7F38">
        <w:rPr>
          <w:noProof/>
        </w:rPr>
        <w:t>7.</w:t>
      </w:r>
      <w:r w:rsidRPr="000F7F38">
        <w:rPr>
          <w:noProof/>
        </w:rPr>
        <w:tab/>
      </w:r>
      <w:r w:rsidR="006E7726" w:rsidRPr="006051E3">
        <w:rPr>
          <w:noProof/>
        </w:rPr>
        <w:t>Materská spoločnosť</w:t>
      </w:r>
      <w:r w:rsidR="006051E3">
        <w:rPr>
          <w:noProof/>
        </w:rPr>
        <w:t xml:space="preserve"> v </w:t>
      </w:r>
      <w:r w:rsidR="006E7726" w:rsidRPr="006051E3">
        <w:rPr>
          <w:noProof/>
        </w:rPr>
        <w:t>Únii predkladá orgánu pre riešenie krízových situácií na úrovni skupiny na individuálnom základe informácie bližšie určené vo vzoroch</w:t>
      </w:r>
      <w:r w:rsidR="006051E3">
        <w:rPr>
          <w:noProof/>
        </w:rPr>
        <w:t xml:space="preserve"> Z </w:t>
      </w:r>
      <w:r w:rsidR="006E7726" w:rsidRPr="006051E3">
        <w:rPr>
          <w:noProof/>
        </w:rPr>
        <w:t>05.01,</w:t>
      </w:r>
      <w:r w:rsidR="006051E3">
        <w:rPr>
          <w:noProof/>
        </w:rPr>
        <w:t xml:space="preserve"> Z </w:t>
      </w:r>
      <w:r w:rsidR="006E7726" w:rsidRPr="006051E3">
        <w:rPr>
          <w:noProof/>
        </w:rPr>
        <w:t>05.02,</w:t>
      </w:r>
      <w:r w:rsidR="006051E3">
        <w:rPr>
          <w:noProof/>
        </w:rPr>
        <w:t xml:space="preserve"> Z </w:t>
      </w:r>
      <w:r w:rsidR="006E7726" w:rsidRPr="006051E3">
        <w:rPr>
          <w:noProof/>
        </w:rPr>
        <w:t>06.00,</w:t>
      </w:r>
      <w:r w:rsidR="006051E3">
        <w:rPr>
          <w:noProof/>
        </w:rPr>
        <w:t xml:space="preserve"> Z </w:t>
      </w:r>
      <w:r w:rsidR="006E7726" w:rsidRPr="006051E3">
        <w:rPr>
          <w:noProof/>
        </w:rPr>
        <w:t>07.01.1 až</w:t>
      </w:r>
      <w:r w:rsidR="006051E3">
        <w:rPr>
          <w:noProof/>
        </w:rPr>
        <w:t xml:space="preserve"> Z </w:t>
      </w:r>
      <w:r w:rsidR="006E7726" w:rsidRPr="006051E3">
        <w:rPr>
          <w:noProof/>
        </w:rPr>
        <w:t>07.01.5,</w:t>
      </w:r>
      <w:r w:rsidR="006051E3">
        <w:rPr>
          <w:noProof/>
        </w:rPr>
        <w:t xml:space="preserve"> Z </w:t>
      </w:r>
      <w:r w:rsidR="006E7726" w:rsidRPr="006051E3">
        <w:rPr>
          <w:noProof/>
        </w:rPr>
        <w:t>07.04</w:t>
      </w:r>
      <w:r w:rsidR="006051E3">
        <w:rPr>
          <w:noProof/>
        </w:rPr>
        <w:t xml:space="preserve"> a Z </w:t>
      </w:r>
      <w:r w:rsidR="006E7726" w:rsidRPr="006051E3">
        <w:rPr>
          <w:noProof/>
        </w:rPr>
        <w:t>11.00 až</w:t>
      </w:r>
      <w:r w:rsidR="006051E3">
        <w:rPr>
          <w:noProof/>
        </w:rPr>
        <w:t xml:space="preserve"> Z </w:t>
      </w:r>
      <w:r w:rsidR="006E7726" w:rsidRPr="006051E3">
        <w:rPr>
          <w:noProof/>
        </w:rPr>
        <w:t>17.00 stanovených</w:t>
      </w:r>
      <w:r w:rsidR="006051E3">
        <w:rPr>
          <w:noProof/>
        </w:rPr>
        <w:t xml:space="preserve"> v </w:t>
      </w:r>
      <w:r w:rsidR="006E7726" w:rsidRPr="006051E3">
        <w:rPr>
          <w:noProof/>
        </w:rPr>
        <w:t>prílohe I pre všetky subjekty skupiny, ktorých krízová situácia sa rieši, vrátane materskej spoločnosti</w:t>
      </w:r>
      <w:r w:rsidR="006051E3">
        <w:rPr>
          <w:noProof/>
        </w:rPr>
        <w:t xml:space="preserve"> v </w:t>
      </w:r>
      <w:r w:rsidR="006E7726" w:rsidRPr="006051E3">
        <w:rPr>
          <w:noProof/>
        </w:rPr>
        <w:t>Únii.</w:t>
      </w:r>
    </w:p>
    <w:p w:rsidR="003B410C" w:rsidRPr="006051E3" w:rsidRDefault="000F7F38" w:rsidP="000F7F38">
      <w:pPr>
        <w:pStyle w:val="ManualNumPar1"/>
        <w:rPr>
          <w:noProof/>
        </w:rPr>
      </w:pPr>
      <w:r w:rsidRPr="000F7F38">
        <w:rPr>
          <w:noProof/>
        </w:rPr>
        <w:t>8.</w:t>
      </w:r>
      <w:r w:rsidRPr="000F7F38">
        <w:rPr>
          <w:noProof/>
        </w:rPr>
        <w:tab/>
      </w:r>
      <w:r w:rsidR="003B410C" w:rsidRPr="006051E3">
        <w:rPr>
          <w:noProof/>
        </w:rPr>
        <w:t>Materská spoločnosť</w:t>
      </w:r>
      <w:r w:rsidR="006051E3">
        <w:rPr>
          <w:noProof/>
        </w:rPr>
        <w:t xml:space="preserve"> v </w:t>
      </w:r>
      <w:r w:rsidR="003B410C" w:rsidRPr="006051E3">
        <w:rPr>
          <w:noProof/>
        </w:rPr>
        <w:t>Únii predkladá orgánu pre riešenie krízových situácií na úrovni skupiny na individuálnom základe informácie bližšie určené vo vzoroch</w:t>
      </w:r>
      <w:r w:rsidR="006051E3">
        <w:rPr>
          <w:noProof/>
        </w:rPr>
        <w:t xml:space="preserve"> Z </w:t>
      </w:r>
      <w:r w:rsidR="003B410C" w:rsidRPr="006051E3">
        <w:rPr>
          <w:noProof/>
        </w:rPr>
        <w:t>05.01,</w:t>
      </w:r>
      <w:r w:rsidR="006051E3">
        <w:rPr>
          <w:noProof/>
        </w:rPr>
        <w:t xml:space="preserve"> Z </w:t>
      </w:r>
      <w:r w:rsidR="003B410C" w:rsidRPr="006051E3">
        <w:rPr>
          <w:noProof/>
        </w:rPr>
        <w:t>05.02,</w:t>
      </w:r>
      <w:r w:rsidR="006051E3">
        <w:rPr>
          <w:noProof/>
        </w:rPr>
        <w:t xml:space="preserve"> Z </w:t>
      </w:r>
      <w:r w:rsidR="003B410C" w:rsidRPr="006051E3">
        <w:rPr>
          <w:noProof/>
        </w:rPr>
        <w:t>06.00,</w:t>
      </w:r>
      <w:r w:rsidR="006051E3">
        <w:rPr>
          <w:noProof/>
        </w:rPr>
        <w:t xml:space="preserve"> Z </w:t>
      </w:r>
      <w:r w:rsidR="003B410C" w:rsidRPr="006051E3">
        <w:rPr>
          <w:noProof/>
        </w:rPr>
        <w:t>07.01.1 až</w:t>
      </w:r>
      <w:r w:rsidR="006051E3">
        <w:rPr>
          <w:noProof/>
        </w:rPr>
        <w:t xml:space="preserve"> Z </w:t>
      </w:r>
      <w:r w:rsidR="003B410C" w:rsidRPr="006051E3">
        <w:rPr>
          <w:noProof/>
        </w:rPr>
        <w:t>07.01.5</w:t>
      </w:r>
      <w:r w:rsidR="006051E3">
        <w:rPr>
          <w:noProof/>
        </w:rPr>
        <w:t xml:space="preserve"> a Z </w:t>
      </w:r>
      <w:r w:rsidR="003B410C" w:rsidRPr="006051E3">
        <w:rPr>
          <w:noProof/>
        </w:rPr>
        <w:t>07.04 stanovených</w:t>
      </w:r>
      <w:r w:rsidR="006051E3">
        <w:rPr>
          <w:noProof/>
        </w:rPr>
        <w:t xml:space="preserve"> v </w:t>
      </w:r>
      <w:r w:rsidR="003B410C" w:rsidRPr="006051E3">
        <w:rPr>
          <w:noProof/>
        </w:rPr>
        <w:t>prílohe I pre všetky príslušné právnické osoby, ktoré sú inštitúciami.</w:t>
      </w:r>
    </w:p>
    <w:p w:rsidR="003B410C" w:rsidRPr="006051E3" w:rsidRDefault="000F7F38" w:rsidP="000F7F38">
      <w:pPr>
        <w:pStyle w:val="ManualNumPar1"/>
        <w:rPr>
          <w:noProof/>
        </w:rPr>
      </w:pPr>
      <w:r w:rsidRPr="000F7F38">
        <w:rPr>
          <w:noProof/>
        </w:rPr>
        <w:t>9.</w:t>
      </w:r>
      <w:r w:rsidRPr="000F7F38">
        <w:rPr>
          <w:noProof/>
        </w:rPr>
        <w:tab/>
      </w:r>
      <w:r w:rsidR="003B410C" w:rsidRPr="006051E3">
        <w:rPr>
          <w:noProof/>
        </w:rPr>
        <w:t>Odsek 2, odsek 3 písm. a)</w:t>
      </w:r>
      <w:r w:rsidR="006051E3">
        <w:rPr>
          <w:noProof/>
        </w:rPr>
        <w:t xml:space="preserve"> a </w:t>
      </w:r>
      <w:r w:rsidR="003B410C" w:rsidRPr="006051E3">
        <w:rPr>
          <w:noProof/>
        </w:rPr>
        <w:t>odseky 4, 5</w:t>
      </w:r>
      <w:r w:rsidR="006051E3">
        <w:rPr>
          <w:noProof/>
        </w:rPr>
        <w:t xml:space="preserve"> a </w:t>
      </w:r>
      <w:r w:rsidR="003B410C" w:rsidRPr="006051E3">
        <w:rPr>
          <w:noProof/>
        </w:rPr>
        <w:t>6 tohto článku sa uplatňujú bez ohľadu na akúkoľvek výnimku</w:t>
      </w:r>
      <w:r w:rsidR="006051E3">
        <w:rPr>
          <w:noProof/>
        </w:rPr>
        <w:t xml:space="preserve"> z </w:t>
      </w:r>
      <w:r w:rsidR="003B410C" w:rsidRPr="006051E3">
        <w:rPr>
          <w:noProof/>
        </w:rPr>
        <w:t>uplatňovania prudenciálnych požiadaviek udelenú</w:t>
      </w:r>
      <w:r w:rsidR="006051E3">
        <w:rPr>
          <w:noProof/>
        </w:rPr>
        <w:t xml:space="preserve"> v </w:t>
      </w:r>
      <w:r w:rsidR="003B410C" w:rsidRPr="006051E3">
        <w:rPr>
          <w:noProof/>
        </w:rPr>
        <w:t>súlade</w:t>
      </w:r>
      <w:r w:rsidR="006051E3">
        <w:rPr>
          <w:noProof/>
        </w:rPr>
        <w:t xml:space="preserve"> s </w:t>
      </w:r>
      <w:r w:rsidR="003B410C" w:rsidRPr="006051E3">
        <w:rPr>
          <w:noProof/>
        </w:rPr>
        <w:t xml:space="preserve">článkom 7 ods. 1 alebo 3 nariadenia (EÚ) </w:t>
      </w:r>
      <w:r w:rsidR="006051E3">
        <w:rPr>
          <w:noProof/>
        </w:rPr>
        <w:t>č. </w:t>
      </w:r>
      <w:r w:rsidR="003B410C" w:rsidRPr="006051E3">
        <w:rPr>
          <w:noProof/>
        </w:rPr>
        <w:t>575/2013 alebo článkom 8 nariadenia Európskeho parlamentu</w:t>
      </w:r>
      <w:r w:rsidR="006051E3">
        <w:rPr>
          <w:noProof/>
        </w:rPr>
        <w:t xml:space="preserve"> a </w:t>
      </w:r>
      <w:r w:rsidR="003B410C" w:rsidRPr="006051E3">
        <w:rPr>
          <w:noProof/>
        </w:rPr>
        <w:t>Rady (EÚ</w:t>
      </w:r>
      <w:r w:rsidR="003B410C" w:rsidRPr="006051E3">
        <w:rPr>
          <w:noProof/>
          <w:shd w:val="clear" w:color="auto" w:fill="FFFFFF" w:themeFill="background1"/>
        </w:rPr>
        <w:t>) 2019/2033</w:t>
      </w:r>
      <w:r w:rsidR="003B410C" w:rsidRPr="006051E3">
        <w:rPr>
          <w:rStyle w:val="FootnoteReference"/>
          <w:noProof/>
          <w:shd w:val="clear" w:color="auto" w:fill="FFFFFF" w:themeFill="background1"/>
        </w:rPr>
        <w:footnoteReference w:id="8"/>
      </w:r>
      <w:r w:rsidR="003B410C" w:rsidRPr="006051E3">
        <w:rPr>
          <w:noProof/>
          <w:shd w:val="clear" w:color="auto" w:fill="FFFFFF" w:themeFill="background1"/>
        </w:rPr>
        <w:t xml:space="preserve"> alebo akúkoľvek výnimku</w:t>
      </w:r>
      <w:r w:rsidR="006051E3">
        <w:rPr>
          <w:noProof/>
          <w:shd w:val="clear" w:color="auto" w:fill="FFFFFF" w:themeFill="background1"/>
        </w:rPr>
        <w:t xml:space="preserve"> z </w:t>
      </w:r>
      <w:r w:rsidR="003B410C" w:rsidRPr="006051E3">
        <w:rPr>
          <w:noProof/>
          <w:shd w:val="clear" w:color="auto" w:fill="FFFFFF" w:themeFill="background1"/>
        </w:rPr>
        <w:t>uplatňovania</w:t>
      </w:r>
      <w:r w:rsidR="003B410C" w:rsidRPr="006051E3">
        <w:rPr>
          <w:noProof/>
        </w:rPr>
        <w:t xml:space="preserve"> minimálnej požiadavky na vlastné zdroje</w:t>
      </w:r>
      <w:r w:rsidR="006051E3">
        <w:rPr>
          <w:noProof/>
        </w:rPr>
        <w:t xml:space="preserve"> a </w:t>
      </w:r>
      <w:r w:rsidR="003B410C" w:rsidRPr="006051E3">
        <w:rPr>
          <w:noProof/>
        </w:rPr>
        <w:t>oprávnené záväzky udelenú</w:t>
      </w:r>
      <w:r w:rsidR="006051E3">
        <w:rPr>
          <w:noProof/>
        </w:rPr>
        <w:t xml:space="preserve"> v </w:t>
      </w:r>
      <w:r w:rsidR="003B410C" w:rsidRPr="006051E3">
        <w:rPr>
          <w:noProof/>
        </w:rPr>
        <w:t>súlade</w:t>
      </w:r>
      <w:r w:rsidR="006051E3">
        <w:rPr>
          <w:noProof/>
        </w:rPr>
        <w:t xml:space="preserve"> s </w:t>
      </w:r>
      <w:r w:rsidR="003B410C" w:rsidRPr="006051E3">
        <w:rPr>
          <w:noProof/>
        </w:rPr>
        <w:t>článkom 45f smernice 2014/59/EÚ.</w:t>
      </w:r>
    </w:p>
    <w:p w:rsidR="003B410C" w:rsidRPr="006051E3" w:rsidRDefault="003B410C" w:rsidP="00184085">
      <w:pPr>
        <w:pStyle w:val="Titrearticle"/>
        <w:rPr>
          <w:noProof/>
        </w:rPr>
      </w:pPr>
      <w:r w:rsidRPr="006051E3">
        <w:rPr>
          <w:noProof/>
        </w:rPr>
        <w:t>Článok 4</w:t>
      </w:r>
    </w:p>
    <w:p w:rsidR="003B410C" w:rsidRPr="006051E3" w:rsidRDefault="003B410C" w:rsidP="00184085">
      <w:pPr>
        <w:pStyle w:val="Titrearticle"/>
        <w:spacing w:before="0"/>
        <w:rPr>
          <w:b/>
          <w:bCs/>
          <w:i w:val="0"/>
          <w:iCs/>
          <w:noProof/>
        </w:rPr>
      </w:pPr>
      <w:r w:rsidRPr="006051E3">
        <w:rPr>
          <w:b/>
          <w:i w:val="0"/>
          <w:noProof/>
        </w:rPr>
        <w:t>Vykazovanie</w:t>
      </w:r>
      <w:r w:rsidR="006051E3">
        <w:rPr>
          <w:b/>
          <w:i w:val="0"/>
          <w:noProof/>
        </w:rPr>
        <w:t xml:space="preserve"> v </w:t>
      </w:r>
      <w:r w:rsidRPr="006051E3">
        <w:rPr>
          <w:b/>
          <w:i w:val="0"/>
          <w:noProof/>
        </w:rPr>
        <w:t>oblasti riešenia krízových situácií na úrovni skupiny – skupiny pozostávajúce len</w:t>
      </w:r>
      <w:r w:rsidR="006051E3">
        <w:rPr>
          <w:b/>
          <w:i w:val="0"/>
          <w:noProof/>
        </w:rPr>
        <w:t xml:space="preserve"> z </w:t>
      </w:r>
      <w:r w:rsidRPr="006051E3">
        <w:rPr>
          <w:b/>
          <w:i w:val="0"/>
          <w:noProof/>
        </w:rPr>
        <w:t>likvidačných subjektov</w:t>
      </w:r>
    </w:p>
    <w:p w:rsidR="003B410C" w:rsidRPr="006051E3" w:rsidRDefault="00F95432" w:rsidP="00184085">
      <w:pPr>
        <w:rPr>
          <w:noProof/>
        </w:rPr>
      </w:pPr>
      <w:r w:rsidRPr="006051E3">
        <w:rPr>
          <w:noProof/>
        </w:rPr>
        <w:t>Materská spoločnosť</w:t>
      </w:r>
      <w:r w:rsidR="006051E3">
        <w:rPr>
          <w:noProof/>
        </w:rPr>
        <w:t xml:space="preserve"> v </w:t>
      </w:r>
      <w:r w:rsidRPr="006051E3">
        <w:rPr>
          <w:noProof/>
        </w:rPr>
        <w:t>Únii skupiny pozostávajúcej len</w:t>
      </w:r>
      <w:r w:rsidR="006051E3">
        <w:rPr>
          <w:noProof/>
        </w:rPr>
        <w:t xml:space="preserve"> z </w:t>
      </w:r>
      <w:r w:rsidRPr="006051E3">
        <w:rPr>
          <w:noProof/>
        </w:rPr>
        <w:t>likvidačných subjektov, na ktoré sa nevzťahujú zjednodušené povinnosti, predkladá orgánu pre riešenie krízových situácií na úrovni skupiny:</w:t>
      </w:r>
    </w:p>
    <w:p w:rsidR="003B410C" w:rsidRPr="006051E3" w:rsidRDefault="006051E3" w:rsidP="006051E3">
      <w:pPr>
        <w:pStyle w:val="Point0"/>
        <w:rPr>
          <w:noProof/>
        </w:rPr>
      </w:pPr>
      <w:r>
        <w:rPr>
          <w:noProof/>
        </w:rPr>
        <w:t>a)</w:t>
      </w:r>
      <w:r>
        <w:rPr>
          <w:noProof/>
        </w:rPr>
        <w:tab/>
      </w:r>
      <w:r w:rsidR="003B410C" w:rsidRPr="006051E3">
        <w:rPr>
          <w:noProof/>
        </w:rPr>
        <w:t>informácie bližšie určené vo vzoroch</w:t>
      </w:r>
      <w:r>
        <w:rPr>
          <w:noProof/>
        </w:rPr>
        <w:t xml:space="preserve"> Z </w:t>
      </w:r>
      <w:r w:rsidR="003B410C" w:rsidRPr="006051E3">
        <w:rPr>
          <w:noProof/>
        </w:rPr>
        <w:t>01.01,</w:t>
      </w:r>
      <w:r>
        <w:rPr>
          <w:noProof/>
        </w:rPr>
        <w:t xml:space="preserve"> Z </w:t>
      </w:r>
      <w:r w:rsidR="003B410C" w:rsidRPr="006051E3">
        <w:rPr>
          <w:noProof/>
        </w:rPr>
        <w:t>01.02,</w:t>
      </w:r>
      <w:r>
        <w:rPr>
          <w:noProof/>
        </w:rPr>
        <w:t xml:space="preserve"> Z </w:t>
      </w:r>
      <w:r w:rsidR="003B410C" w:rsidRPr="006051E3">
        <w:rPr>
          <w:noProof/>
        </w:rPr>
        <w:t>07.01.1 až</w:t>
      </w:r>
      <w:r>
        <w:rPr>
          <w:noProof/>
        </w:rPr>
        <w:t xml:space="preserve"> Z </w:t>
      </w:r>
      <w:r w:rsidR="003B410C" w:rsidRPr="006051E3">
        <w:rPr>
          <w:noProof/>
        </w:rPr>
        <w:t>07.01.5</w:t>
      </w:r>
      <w:r>
        <w:rPr>
          <w:noProof/>
        </w:rPr>
        <w:t xml:space="preserve"> a Z </w:t>
      </w:r>
      <w:r w:rsidR="003B410C" w:rsidRPr="006051E3">
        <w:rPr>
          <w:noProof/>
        </w:rPr>
        <w:t>09.01 stanovených</w:t>
      </w:r>
      <w:r>
        <w:rPr>
          <w:noProof/>
        </w:rPr>
        <w:t xml:space="preserve"> v </w:t>
      </w:r>
      <w:r w:rsidR="003B410C" w:rsidRPr="006051E3">
        <w:rPr>
          <w:noProof/>
        </w:rPr>
        <w:t>prílohe I</w:t>
      </w:r>
      <w:r>
        <w:rPr>
          <w:noProof/>
        </w:rPr>
        <w:t xml:space="preserve"> v </w:t>
      </w:r>
      <w:r w:rsidR="003B410C" w:rsidRPr="006051E3">
        <w:rPr>
          <w:noProof/>
        </w:rPr>
        <w:t>súvislosti so všetkými subjektmi skupiny, vzor</w:t>
      </w:r>
      <w:r>
        <w:rPr>
          <w:noProof/>
        </w:rPr>
        <w:t xml:space="preserve"> Z </w:t>
      </w:r>
      <w:r w:rsidR="003B410C" w:rsidRPr="006051E3">
        <w:rPr>
          <w:noProof/>
        </w:rPr>
        <w:t>02.00 na konsolidovanom základe</w:t>
      </w:r>
      <w:r>
        <w:rPr>
          <w:noProof/>
        </w:rPr>
        <w:t xml:space="preserve"> a </w:t>
      </w:r>
      <w:r w:rsidR="003B410C" w:rsidRPr="006051E3">
        <w:rPr>
          <w:noProof/>
        </w:rPr>
        <w:t>vzor</w:t>
      </w:r>
      <w:r>
        <w:rPr>
          <w:noProof/>
        </w:rPr>
        <w:t xml:space="preserve"> Z </w:t>
      </w:r>
      <w:r w:rsidR="003B410C" w:rsidRPr="006051E3">
        <w:rPr>
          <w:noProof/>
        </w:rPr>
        <w:t>04.00</w:t>
      </w:r>
      <w:r>
        <w:rPr>
          <w:noProof/>
        </w:rPr>
        <w:t xml:space="preserve"> v </w:t>
      </w:r>
      <w:r w:rsidR="003B410C" w:rsidRPr="006051E3">
        <w:rPr>
          <w:noProof/>
        </w:rPr>
        <w:t>súvislosti</w:t>
      </w:r>
      <w:r>
        <w:rPr>
          <w:noProof/>
        </w:rPr>
        <w:t xml:space="preserve"> s </w:t>
      </w:r>
      <w:r w:rsidR="003B410C" w:rsidRPr="006051E3">
        <w:rPr>
          <w:noProof/>
        </w:rPr>
        <w:t>finančnými prepojeniami medzi všetkými subjektmi skupiny;</w:t>
      </w:r>
    </w:p>
    <w:p w:rsidR="003B410C" w:rsidRPr="006051E3" w:rsidRDefault="006051E3" w:rsidP="006051E3">
      <w:pPr>
        <w:pStyle w:val="Point0"/>
        <w:rPr>
          <w:noProof/>
        </w:rPr>
      </w:pPr>
      <w:r>
        <w:rPr>
          <w:noProof/>
        </w:rPr>
        <w:t>b)</w:t>
      </w:r>
      <w:r>
        <w:rPr>
          <w:noProof/>
        </w:rPr>
        <w:tab/>
      </w:r>
      <w:r w:rsidR="009F0766" w:rsidRPr="006051E3">
        <w:rPr>
          <w:noProof/>
        </w:rPr>
        <w:t>na individuálnom základe za seba</w:t>
      </w:r>
      <w:r>
        <w:rPr>
          <w:noProof/>
        </w:rPr>
        <w:t xml:space="preserve"> a </w:t>
      </w:r>
      <w:r w:rsidR="009F0766" w:rsidRPr="006051E3">
        <w:rPr>
          <w:noProof/>
        </w:rPr>
        <w:t>za každú príslušnú právnickú osobu, pre ktorú orgán pre riešenie krízových situácií neurčil požiadavku uvedenú</w:t>
      </w:r>
      <w:r>
        <w:rPr>
          <w:noProof/>
        </w:rPr>
        <w:t xml:space="preserve"> v </w:t>
      </w:r>
      <w:r w:rsidR="009F0766" w:rsidRPr="006051E3">
        <w:rPr>
          <w:noProof/>
        </w:rPr>
        <w:t>článku 45 ods. 1 smernice 2014/59/EÚ</w:t>
      </w:r>
      <w:r>
        <w:rPr>
          <w:noProof/>
        </w:rPr>
        <w:t xml:space="preserve"> v </w:t>
      </w:r>
      <w:r w:rsidR="009F0766" w:rsidRPr="006051E3">
        <w:rPr>
          <w:noProof/>
        </w:rPr>
        <w:t>súlade</w:t>
      </w:r>
      <w:r>
        <w:rPr>
          <w:noProof/>
        </w:rPr>
        <w:t xml:space="preserve"> s </w:t>
      </w:r>
      <w:r w:rsidR="009F0766" w:rsidRPr="006051E3">
        <w:rPr>
          <w:noProof/>
        </w:rPr>
        <w:t>článkom 45c ods. 2a druhým pododsekom uvedenej smernice, informácie bližšie určené vo vzoroch</w:t>
      </w:r>
      <w:r>
        <w:rPr>
          <w:noProof/>
        </w:rPr>
        <w:t xml:space="preserve"> Z </w:t>
      </w:r>
      <w:r w:rsidR="009F0766" w:rsidRPr="006051E3">
        <w:rPr>
          <w:noProof/>
        </w:rPr>
        <w:t>02.00,</w:t>
      </w:r>
      <w:r>
        <w:rPr>
          <w:noProof/>
        </w:rPr>
        <w:t xml:space="preserve"> Z </w:t>
      </w:r>
      <w:r w:rsidR="009F0766" w:rsidRPr="006051E3">
        <w:rPr>
          <w:noProof/>
        </w:rPr>
        <w:t>05.01,</w:t>
      </w:r>
      <w:r>
        <w:rPr>
          <w:noProof/>
        </w:rPr>
        <w:t xml:space="preserve"> Z </w:t>
      </w:r>
      <w:r w:rsidR="009F0766" w:rsidRPr="006051E3">
        <w:rPr>
          <w:noProof/>
        </w:rPr>
        <w:t>05.02,</w:t>
      </w:r>
      <w:r>
        <w:rPr>
          <w:noProof/>
        </w:rPr>
        <w:t xml:space="preserve"> Z </w:t>
      </w:r>
      <w:r w:rsidR="009F0766" w:rsidRPr="006051E3">
        <w:rPr>
          <w:noProof/>
        </w:rPr>
        <w:t>06.00,</w:t>
      </w:r>
      <w:r>
        <w:rPr>
          <w:noProof/>
        </w:rPr>
        <w:t xml:space="preserve"> Z </w:t>
      </w:r>
      <w:r w:rsidR="009F0766" w:rsidRPr="006051E3">
        <w:rPr>
          <w:noProof/>
        </w:rPr>
        <w:t>07.01.1 až</w:t>
      </w:r>
      <w:r>
        <w:rPr>
          <w:noProof/>
        </w:rPr>
        <w:t xml:space="preserve"> Z </w:t>
      </w:r>
      <w:r w:rsidR="009F0766" w:rsidRPr="006051E3">
        <w:rPr>
          <w:noProof/>
        </w:rPr>
        <w:t>07.01.5</w:t>
      </w:r>
      <w:r>
        <w:rPr>
          <w:noProof/>
        </w:rPr>
        <w:t xml:space="preserve"> a Z </w:t>
      </w:r>
      <w:r w:rsidR="009F0766" w:rsidRPr="006051E3">
        <w:rPr>
          <w:noProof/>
        </w:rPr>
        <w:t>07.04 stanovených</w:t>
      </w:r>
      <w:r>
        <w:rPr>
          <w:noProof/>
        </w:rPr>
        <w:t xml:space="preserve"> v </w:t>
      </w:r>
      <w:r w:rsidR="009F0766" w:rsidRPr="006051E3">
        <w:rPr>
          <w:noProof/>
        </w:rPr>
        <w:t>prílohe I</w:t>
      </w:r>
      <w:r>
        <w:rPr>
          <w:noProof/>
        </w:rPr>
        <w:t xml:space="preserve"> k </w:t>
      </w:r>
      <w:r w:rsidR="009F0766" w:rsidRPr="006051E3">
        <w:rPr>
          <w:noProof/>
        </w:rPr>
        <w:t>tomuto nariadeniu;</w:t>
      </w:r>
    </w:p>
    <w:p w:rsidR="00E522C4" w:rsidRPr="006051E3" w:rsidRDefault="006051E3" w:rsidP="006051E3">
      <w:pPr>
        <w:pStyle w:val="Point0"/>
        <w:rPr>
          <w:noProof/>
        </w:rPr>
      </w:pPr>
      <w:r>
        <w:rPr>
          <w:noProof/>
        </w:rPr>
        <w:t>c)</w:t>
      </w:r>
      <w:r>
        <w:rPr>
          <w:noProof/>
        </w:rPr>
        <w:tab/>
      </w:r>
      <w:r w:rsidR="009F0766" w:rsidRPr="006051E3">
        <w:rPr>
          <w:noProof/>
        </w:rPr>
        <w:t>na individuálnom základe za seba</w:t>
      </w:r>
      <w:r>
        <w:rPr>
          <w:noProof/>
        </w:rPr>
        <w:t xml:space="preserve"> a </w:t>
      </w:r>
      <w:r w:rsidR="009F0766" w:rsidRPr="006051E3">
        <w:rPr>
          <w:noProof/>
        </w:rPr>
        <w:t>za každú príslušnú právnickú osobu, pre ktorú orgán pre riešenie krízových situácií určil požiadavku uvedenú</w:t>
      </w:r>
      <w:r>
        <w:rPr>
          <w:noProof/>
        </w:rPr>
        <w:t xml:space="preserve"> v </w:t>
      </w:r>
      <w:r w:rsidR="009F0766" w:rsidRPr="006051E3">
        <w:rPr>
          <w:noProof/>
        </w:rPr>
        <w:t>článku 45 ods. 1 smernice 2014/59/EÚ</w:t>
      </w:r>
      <w:r>
        <w:rPr>
          <w:noProof/>
        </w:rPr>
        <w:t xml:space="preserve"> v </w:t>
      </w:r>
      <w:r w:rsidR="009F0766" w:rsidRPr="006051E3">
        <w:rPr>
          <w:noProof/>
        </w:rPr>
        <w:t>súlade</w:t>
      </w:r>
      <w:r>
        <w:rPr>
          <w:noProof/>
        </w:rPr>
        <w:t xml:space="preserve"> s </w:t>
      </w:r>
      <w:r w:rsidR="009F0766" w:rsidRPr="006051E3">
        <w:rPr>
          <w:noProof/>
        </w:rPr>
        <w:t>článkom 45c ods. 2a druhým pododsekom uvedenej smernice, informácie bližšie určené vo vzoroch</w:t>
      </w:r>
      <w:r>
        <w:rPr>
          <w:noProof/>
        </w:rPr>
        <w:t xml:space="preserve"> Z </w:t>
      </w:r>
      <w:r w:rsidR="009F0766" w:rsidRPr="006051E3">
        <w:rPr>
          <w:noProof/>
        </w:rPr>
        <w:t>02.00,</w:t>
      </w:r>
      <w:r>
        <w:rPr>
          <w:noProof/>
        </w:rPr>
        <w:t xml:space="preserve"> Z </w:t>
      </w:r>
      <w:r w:rsidR="009F0766" w:rsidRPr="006051E3">
        <w:rPr>
          <w:noProof/>
        </w:rPr>
        <w:t>03.01,</w:t>
      </w:r>
      <w:r>
        <w:rPr>
          <w:noProof/>
        </w:rPr>
        <w:t xml:space="preserve"> Z </w:t>
      </w:r>
      <w:r w:rsidR="009F0766" w:rsidRPr="006051E3">
        <w:rPr>
          <w:noProof/>
        </w:rPr>
        <w:t>03.02,</w:t>
      </w:r>
      <w:r>
        <w:rPr>
          <w:noProof/>
        </w:rPr>
        <w:t xml:space="preserve"> Z </w:t>
      </w:r>
      <w:r w:rsidR="009F0766" w:rsidRPr="006051E3">
        <w:rPr>
          <w:noProof/>
        </w:rPr>
        <w:t>05.01,</w:t>
      </w:r>
      <w:r>
        <w:rPr>
          <w:noProof/>
        </w:rPr>
        <w:t xml:space="preserve"> Z </w:t>
      </w:r>
      <w:r w:rsidR="009F0766" w:rsidRPr="006051E3">
        <w:rPr>
          <w:noProof/>
        </w:rPr>
        <w:t>05.02,</w:t>
      </w:r>
      <w:r>
        <w:rPr>
          <w:noProof/>
        </w:rPr>
        <w:t xml:space="preserve"> Z </w:t>
      </w:r>
      <w:r w:rsidR="009F0766" w:rsidRPr="006051E3">
        <w:rPr>
          <w:noProof/>
        </w:rPr>
        <w:t>06.00,</w:t>
      </w:r>
      <w:r>
        <w:rPr>
          <w:noProof/>
        </w:rPr>
        <w:t xml:space="preserve"> Z </w:t>
      </w:r>
      <w:r w:rsidR="009F0766" w:rsidRPr="006051E3">
        <w:rPr>
          <w:noProof/>
        </w:rPr>
        <w:t>07.01.1 až</w:t>
      </w:r>
      <w:r>
        <w:rPr>
          <w:noProof/>
        </w:rPr>
        <w:t xml:space="preserve"> Z </w:t>
      </w:r>
      <w:r w:rsidR="009F0766" w:rsidRPr="006051E3">
        <w:rPr>
          <w:noProof/>
        </w:rPr>
        <w:t>07.01.5</w:t>
      </w:r>
      <w:r>
        <w:rPr>
          <w:noProof/>
        </w:rPr>
        <w:t xml:space="preserve"> a Z </w:t>
      </w:r>
      <w:r w:rsidR="009F0766" w:rsidRPr="006051E3">
        <w:rPr>
          <w:noProof/>
        </w:rPr>
        <w:t>07.04 stanovených</w:t>
      </w:r>
      <w:r>
        <w:rPr>
          <w:noProof/>
        </w:rPr>
        <w:t xml:space="preserve"> v </w:t>
      </w:r>
      <w:r w:rsidR="009F0766" w:rsidRPr="006051E3">
        <w:rPr>
          <w:noProof/>
        </w:rPr>
        <w:t>prílohe I</w:t>
      </w:r>
      <w:r>
        <w:rPr>
          <w:noProof/>
        </w:rPr>
        <w:t xml:space="preserve"> k </w:t>
      </w:r>
      <w:r w:rsidR="009F0766" w:rsidRPr="006051E3">
        <w:rPr>
          <w:noProof/>
        </w:rPr>
        <w:t>tomuto nariadeniu.</w:t>
      </w:r>
    </w:p>
    <w:p w:rsidR="00E522C4" w:rsidRPr="006051E3" w:rsidRDefault="00E522C4" w:rsidP="00184085">
      <w:pPr>
        <w:pStyle w:val="Titrearticle"/>
        <w:rPr>
          <w:noProof/>
        </w:rPr>
      </w:pPr>
      <w:r w:rsidRPr="006051E3">
        <w:rPr>
          <w:noProof/>
        </w:rPr>
        <w:t>Článok 5</w:t>
      </w:r>
    </w:p>
    <w:p w:rsidR="00E522C4" w:rsidRPr="006051E3" w:rsidRDefault="00E522C4" w:rsidP="00184085">
      <w:pPr>
        <w:pStyle w:val="Titrearticle"/>
        <w:spacing w:before="0"/>
        <w:rPr>
          <w:b/>
          <w:bCs/>
          <w:i w:val="0"/>
          <w:iCs/>
          <w:noProof/>
        </w:rPr>
      </w:pPr>
      <w:r w:rsidRPr="006051E3">
        <w:rPr>
          <w:b/>
          <w:i w:val="0"/>
          <w:noProof/>
        </w:rPr>
        <w:t>Úpravy vykazovania</w:t>
      </w:r>
      <w:r w:rsidR="006051E3">
        <w:rPr>
          <w:b/>
          <w:i w:val="0"/>
          <w:noProof/>
        </w:rPr>
        <w:t xml:space="preserve"> v </w:t>
      </w:r>
      <w:r w:rsidRPr="006051E3">
        <w:rPr>
          <w:b/>
          <w:i w:val="0"/>
          <w:noProof/>
        </w:rPr>
        <w:t>oblasti riešenia krízových situácií na úrovni skupiny</w:t>
      </w:r>
    </w:p>
    <w:p w:rsidR="00E522C4" w:rsidRPr="006051E3" w:rsidRDefault="000F7F38" w:rsidP="000F7F38">
      <w:pPr>
        <w:pStyle w:val="ManualNumPar1"/>
        <w:rPr>
          <w:noProof/>
        </w:rPr>
      </w:pPr>
      <w:r w:rsidRPr="000F7F38">
        <w:rPr>
          <w:noProof/>
        </w:rPr>
        <w:t>1.</w:t>
      </w:r>
      <w:r w:rsidRPr="000F7F38">
        <w:rPr>
          <w:noProof/>
        </w:rPr>
        <w:tab/>
      </w:r>
      <w:r w:rsidR="00E522C4" w:rsidRPr="006051E3">
        <w:rPr>
          <w:noProof/>
        </w:rPr>
        <w:t>V prípade skupiny, ktorej materská spoločnosť</w:t>
      </w:r>
      <w:r w:rsidR="006051E3">
        <w:rPr>
          <w:noProof/>
        </w:rPr>
        <w:t xml:space="preserve"> v </w:t>
      </w:r>
      <w:r w:rsidR="00E522C4" w:rsidRPr="006051E3">
        <w:rPr>
          <w:noProof/>
        </w:rPr>
        <w:t>Únii je likvidačným subjektom</w:t>
      </w:r>
      <w:r w:rsidR="006051E3">
        <w:rPr>
          <w:noProof/>
        </w:rPr>
        <w:t xml:space="preserve"> a </w:t>
      </w:r>
      <w:r w:rsidR="00E522C4" w:rsidRPr="006051E3">
        <w:rPr>
          <w:noProof/>
        </w:rPr>
        <w:t>ktorá pozostáva zo subjektov, ktorých krízová situácia sa rieši, materská spoločnosť</w:t>
      </w:r>
      <w:r w:rsidR="006051E3">
        <w:rPr>
          <w:noProof/>
        </w:rPr>
        <w:t xml:space="preserve"> v </w:t>
      </w:r>
      <w:r w:rsidR="00E522C4" w:rsidRPr="006051E3">
        <w:rPr>
          <w:noProof/>
        </w:rPr>
        <w:t>Únii predkladá:</w:t>
      </w:r>
    </w:p>
    <w:p w:rsidR="00E522C4" w:rsidRPr="006051E3" w:rsidRDefault="006051E3" w:rsidP="006051E3">
      <w:pPr>
        <w:pStyle w:val="Point1"/>
        <w:rPr>
          <w:noProof/>
        </w:rPr>
      </w:pPr>
      <w:r>
        <w:rPr>
          <w:noProof/>
        </w:rPr>
        <w:t>a)</w:t>
      </w:r>
      <w:r>
        <w:rPr>
          <w:noProof/>
        </w:rPr>
        <w:tab/>
      </w:r>
      <w:r w:rsidR="000C210A" w:rsidRPr="006051E3">
        <w:rPr>
          <w:noProof/>
        </w:rPr>
        <w:t>v prípade subjektov skupiny, ktoré patria do skupín, ktorých krízová situácia sa rieši, informácie uvedené</w:t>
      </w:r>
      <w:r>
        <w:rPr>
          <w:noProof/>
        </w:rPr>
        <w:t xml:space="preserve"> v </w:t>
      </w:r>
      <w:r w:rsidR="000C210A" w:rsidRPr="006051E3">
        <w:rPr>
          <w:noProof/>
        </w:rPr>
        <w:t>článku 3;</w:t>
      </w:r>
    </w:p>
    <w:p w:rsidR="00E522C4" w:rsidRPr="006051E3" w:rsidRDefault="006051E3" w:rsidP="006051E3">
      <w:pPr>
        <w:pStyle w:val="Point1"/>
        <w:rPr>
          <w:noProof/>
        </w:rPr>
      </w:pPr>
      <w:r>
        <w:rPr>
          <w:noProof/>
        </w:rPr>
        <w:t>b)</w:t>
      </w:r>
      <w:r>
        <w:rPr>
          <w:noProof/>
        </w:rPr>
        <w:tab/>
      </w:r>
      <w:r w:rsidR="000C210A" w:rsidRPr="006051E3">
        <w:rPr>
          <w:noProof/>
        </w:rPr>
        <w:t>v prípade likvidačných subjektov, na ktoré sa nevzťahujú zjednodušené povinnosti</w:t>
      </w:r>
      <w:r>
        <w:rPr>
          <w:noProof/>
        </w:rPr>
        <w:t xml:space="preserve"> a </w:t>
      </w:r>
      <w:r w:rsidR="000C210A" w:rsidRPr="006051E3">
        <w:rPr>
          <w:noProof/>
        </w:rPr>
        <w:t>ktoré nie sú súčasťou žiadnej skupiny, ktorej krízová situácia sa rieši, informácie uvedené</w:t>
      </w:r>
      <w:r>
        <w:rPr>
          <w:noProof/>
        </w:rPr>
        <w:t xml:space="preserve"> v </w:t>
      </w:r>
      <w:r w:rsidR="000C210A" w:rsidRPr="006051E3">
        <w:rPr>
          <w:noProof/>
        </w:rPr>
        <w:t>článku 4.</w:t>
      </w:r>
    </w:p>
    <w:p w:rsidR="00E522C4" w:rsidRPr="006051E3" w:rsidRDefault="000F7F38" w:rsidP="000F7F38">
      <w:pPr>
        <w:pStyle w:val="ManualNumPar1"/>
        <w:rPr>
          <w:noProof/>
        </w:rPr>
      </w:pPr>
      <w:r w:rsidRPr="000F7F38">
        <w:rPr>
          <w:noProof/>
        </w:rPr>
        <w:t>2.</w:t>
      </w:r>
      <w:r w:rsidRPr="000F7F38">
        <w:rPr>
          <w:noProof/>
        </w:rPr>
        <w:tab/>
      </w:r>
      <w:r w:rsidR="00E522C4" w:rsidRPr="006051E3">
        <w:rPr>
          <w:noProof/>
        </w:rPr>
        <w:t>V prípade skupiny, ktorej krízová situácia sa rieši, uvedenej</w:t>
      </w:r>
      <w:r w:rsidR="006051E3">
        <w:rPr>
          <w:noProof/>
        </w:rPr>
        <w:t xml:space="preserve"> v </w:t>
      </w:r>
      <w:r w:rsidR="00E522C4" w:rsidRPr="006051E3">
        <w:rPr>
          <w:noProof/>
        </w:rPr>
        <w:t>článku 2 ods. 1 bode 83b písm. b) smernice 2014/59/EÚ informácie uvedené</w:t>
      </w:r>
      <w:r w:rsidR="006051E3">
        <w:rPr>
          <w:noProof/>
        </w:rPr>
        <w:t xml:space="preserve"> v </w:t>
      </w:r>
      <w:r w:rsidR="00E522C4" w:rsidRPr="006051E3">
        <w:rPr>
          <w:noProof/>
        </w:rPr>
        <w:t>článku 3 tohto nariadenia predkladá aspoň jeden zo subjektov skupiny, ktorých krízová situácia sa rieši. Tieto informácie sa účinne vzťahujú na všetky úverové inštitúcie trvalo pridružené</w:t>
      </w:r>
      <w:r w:rsidR="006051E3">
        <w:rPr>
          <w:noProof/>
        </w:rPr>
        <w:t xml:space="preserve"> k </w:t>
      </w:r>
      <w:r w:rsidR="00E522C4" w:rsidRPr="006051E3">
        <w:rPr>
          <w:noProof/>
        </w:rPr>
        <w:t>ústrednému orgánu uvedenej skupiny, ktorej krízová situácia sa rieši, samotný ústredný orgán, ako aj ich príslušné dcérske spoločnosti,</w:t>
      </w:r>
      <w:r w:rsidR="006051E3">
        <w:rPr>
          <w:noProof/>
        </w:rPr>
        <w:t xml:space="preserve"> a </w:t>
      </w:r>
      <w:r w:rsidR="00E522C4" w:rsidRPr="006051E3">
        <w:rPr>
          <w:noProof/>
        </w:rPr>
        <w:t>to podľa potreby na individuálnom, subkonsolidovanom</w:t>
      </w:r>
      <w:r w:rsidR="006051E3">
        <w:rPr>
          <w:noProof/>
        </w:rPr>
        <w:t xml:space="preserve"> a </w:t>
      </w:r>
      <w:r w:rsidR="00E522C4" w:rsidRPr="006051E3">
        <w:rPr>
          <w:noProof/>
        </w:rPr>
        <w:t>konsolidovanom základe.</w:t>
      </w:r>
    </w:p>
    <w:p w:rsidR="00E522C4" w:rsidRPr="006051E3" w:rsidRDefault="00E522C4" w:rsidP="00184085">
      <w:pPr>
        <w:pStyle w:val="Titrearticle"/>
        <w:rPr>
          <w:noProof/>
        </w:rPr>
      </w:pPr>
      <w:r w:rsidRPr="006051E3">
        <w:rPr>
          <w:noProof/>
        </w:rPr>
        <w:t>Článok 6</w:t>
      </w:r>
    </w:p>
    <w:p w:rsidR="00E522C4" w:rsidRPr="006051E3" w:rsidRDefault="00E522C4" w:rsidP="00184085">
      <w:pPr>
        <w:pStyle w:val="Titrearticle"/>
        <w:spacing w:before="0"/>
        <w:rPr>
          <w:b/>
          <w:bCs/>
          <w:i w:val="0"/>
          <w:iCs/>
          <w:noProof/>
        </w:rPr>
      </w:pPr>
      <w:r w:rsidRPr="006051E3">
        <w:rPr>
          <w:b/>
          <w:i w:val="0"/>
          <w:noProof/>
        </w:rPr>
        <w:t>Frekvencia, referenčné dátumy</w:t>
      </w:r>
      <w:r w:rsidR="006051E3">
        <w:rPr>
          <w:b/>
          <w:i w:val="0"/>
          <w:noProof/>
        </w:rPr>
        <w:t xml:space="preserve"> a </w:t>
      </w:r>
      <w:r w:rsidRPr="006051E3">
        <w:rPr>
          <w:b/>
          <w:i w:val="0"/>
          <w:noProof/>
        </w:rPr>
        <w:t>dátumy zasielania</w:t>
      </w:r>
    </w:p>
    <w:p w:rsidR="00E522C4" w:rsidRPr="006051E3" w:rsidRDefault="000F7F38" w:rsidP="000F7F38">
      <w:pPr>
        <w:pStyle w:val="ManualNumPar1"/>
        <w:rPr>
          <w:noProof/>
        </w:rPr>
      </w:pPr>
      <w:r w:rsidRPr="000F7F38">
        <w:rPr>
          <w:noProof/>
        </w:rPr>
        <w:t>1.</w:t>
      </w:r>
      <w:r w:rsidRPr="000F7F38">
        <w:rPr>
          <w:noProof/>
        </w:rPr>
        <w:tab/>
      </w:r>
      <w:r w:rsidR="00E522C4" w:rsidRPr="006051E3">
        <w:rPr>
          <w:noProof/>
        </w:rPr>
        <w:t>Inštitúcie alebo</w:t>
      </w:r>
      <w:r w:rsidR="006051E3">
        <w:rPr>
          <w:noProof/>
        </w:rPr>
        <w:t xml:space="preserve"> v </w:t>
      </w:r>
      <w:r w:rsidR="00E522C4" w:rsidRPr="006051E3">
        <w:rPr>
          <w:noProof/>
        </w:rPr>
        <w:t>prípade skupín materské spoločnosti</w:t>
      </w:r>
      <w:r w:rsidR="006051E3">
        <w:rPr>
          <w:noProof/>
        </w:rPr>
        <w:t xml:space="preserve"> v </w:t>
      </w:r>
      <w:r w:rsidR="00E522C4" w:rsidRPr="006051E3">
        <w:rPr>
          <w:noProof/>
        </w:rPr>
        <w:t>Únii predkladajú informácie uvedené</w:t>
      </w:r>
      <w:r w:rsidR="006051E3">
        <w:rPr>
          <w:noProof/>
        </w:rPr>
        <w:t xml:space="preserve"> v </w:t>
      </w:r>
      <w:r w:rsidR="00E522C4" w:rsidRPr="006051E3">
        <w:rPr>
          <w:noProof/>
        </w:rPr>
        <w:t>článkoch 2 až 5 takto:</w:t>
      </w:r>
    </w:p>
    <w:p w:rsidR="00E522C4" w:rsidRPr="006051E3" w:rsidRDefault="006051E3" w:rsidP="006051E3">
      <w:pPr>
        <w:pStyle w:val="Point1"/>
        <w:rPr>
          <w:noProof/>
        </w:rPr>
      </w:pPr>
      <w:r>
        <w:rPr>
          <w:noProof/>
        </w:rPr>
        <w:t>a)</w:t>
      </w:r>
      <w:r>
        <w:rPr>
          <w:noProof/>
        </w:rPr>
        <w:tab/>
      </w:r>
      <w:r w:rsidR="00A071C3" w:rsidRPr="006051E3">
        <w:rPr>
          <w:noProof/>
        </w:rPr>
        <w:t>v prípade vzorov</w:t>
      </w:r>
      <w:r>
        <w:rPr>
          <w:noProof/>
        </w:rPr>
        <w:t xml:space="preserve"> Z </w:t>
      </w:r>
      <w:bookmarkStart w:id="2" w:name="_Hlk188952542"/>
      <w:r w:rsidR="00A071C3" w:rsidRPr="006051E3">
        <w:rPr>
          <w:noProof/>
        </w:rPr>
        <w:t>01.01,</w:t>
      </w:r>
      <w:r>
        <w:rPr>
          <w:noProof/>
        </w:rPr>
        <w:t xml:space="preserve"> Z </w:t>
      </w:r>
      <w:r w:rsidR="00A071C3" w:rsidRPr="006051E3">
        <w:rPr>
          <w:noProof/>
        </w:rPr>
        <w:t>01.02,</w:t>
      </w:r>
      <w:r>
        <w:rPr>
          <w:noProof/>
        </w:rPr>
        <w:t xml:space="preserve"> Z </w:t>
      </w:r>
      <w:r w:rsidR="00A071C3" w:rsidRPr="006051E3">
        <w:rPr>
          <w:noProof/>
        </w:rPr>
        <w:t>02.00,</w:t>
      </w:r>
      <w:r>
        <w:rPr>
          <w:noProof/>
        </w:rPr>
        <w:t xml:space="preserve"> Z </w:t>
      </w:r>
      <w:r w:rsidR="00A071C3" w:rsidRPr="006051E3">
        <w:rPr>
          <w:noProof/>
        </w:rPr>
        <w:t>03.01,</w:t>
      </w:r>
      <w:r>
        <w:rPr>
          <w:noProof/>
        </w:rPr>
        <w:t xml:space="preserve"> Z </w:t>
      </w:r>
      <w:r w:rsidR="00A071C3" w:rsidRPr="006051E3">
        <w:rPr>
          <w:noProof/>
        </w:rPr>
        <w:t>03.02,</w:t>
      </w:r>
      <w:r>
        <w:rPr>
          <w:noProof/>
        </w:rPr>
        <w:t xml:space="preserve"> Z </w:t>
      </w:r>
      <w:r w:rsidR="00A071C3" w:rsidRPr="006051E3">
        <w:rPr>
          <w:noProof/>
        </w:rPr>
        <w:t>04.00,</w:t>
      </w:r>
      <w:r>
        <w:rPr>
          <w:noProof/>
        </w:rPr>
        <w:t xml:space="preserve"> Z </w:t>
      </w:r>
      <w:r w:rsidR="00A071C3" w:rsidRPr="006051E3">
        <w:rPr>
          <w:noProof/>
        </w:rPr>
        <w:t>05.01,</w:t>
      </w:r>
      <w:r>
        <w:rPr>
          <w:noProof/>
        </w:rPr>
        <w:t xml:space="preserve"> Z </w:t>
      </w:r>
      <w:r w:rsidR="00A071C3" w:rsidRPr="006051E3">
        <w:rPr>
          <w:noProof/>
        </w:rPr>
        <w:t>05.02,</w:t>
      </w:r>
      <w:r>
        <w:rPr>
          <w:noProof/>
        </w:rPr>
        <w:t xml:space="preserve"> Z </w:t>
      </w:r>
      <w:r w:rsidR="00A071C3" w:rsidRPr="006051E3">
        <w:rPr>
          <w:noProof/>
        </w:rPr>
        <w:t>06.00</w:t>
      </w:r>
      <w:r>
        <w:rPr>
          <w:noProof/>
        </w:rPr>
        <w:t xml:space="preserve"> a Z </w:t>
      </w:r>
      <w:r w:rsidR="00A071C3" w:rsidRPr="006051E3">
        <w:rPr>
          <w:noProof/>
        </w:rPr>
        <w:t>11.00 až</w:t>
      </w:r>
      <w:r>
        <w:rPr>
          <w:noProof/>
        </w:rPr>
        <w:t xml:space="preserve"> Z </w:t>
      </w:r>
      <w:r w:rsidR="00A071C3" w:rsidRPr="006051E3">
        <w:rPr>
          <w:noProof/>
        </w:rPr>
        <w:t>17</w:t>
      </w:r>
      <w:bookmarkEnd w:id="2"/>
      <w:r w:rsidR="00A071C3" w:rsidRPr="006051E3">
        <w:rPr>
          <w:noProof/>
        </w:rPr>
        <w:t>.00 najneskôr do 31</w:t>
      </w:r>
      <w:r>
        <w:rPr>
          <w:noProof/>
        </w:rPr>
        <w:t>. marca</w:t>
      </w:r>
      <w:r w:rsidR="00A071C3" w:rsidRPr="006051E3">
        <w:rPr>
          <w:noProof/>
        </w:rPr>
        <w:t xml:space="preserve"> každého roka za posledný deň predchádzajúceho kalendárneho roka;</w:t>
      </w:r>
    </w:p>
    <w:p w:rsidR="006051E3" w:rsidRDefault="006051E3" w:rsidP="006051E3">
      <w:pPr>
        <w:pStyle w:val="Point1"/>
        <w:rPr>
          <w:noProof/>
        </w:rPr>
      </w:pPr>
      <w:r>
        <w:rPr>
          <w:noProof/>
        </w:rPr>
        <w:t>b)</w:t>
      </w:r>
      <w:r>
        <w:rPr>
          <w:noProof/>
        </w:rPr>
        <w:tab/>
      </w:r>
      <w:r w:rsidR="003F636B" w:rsidRPr="006051E3">
        <w:rPr>
          <w:noProof/>
        </w:rPr>
        <w:t>v prípade vzorov</w:t>
      </w:r>
      <w:r>
        <w:rPr>
          <w:noProof/>
        </w:rPr>
        <w:t xml:space="preserve"> Z </w:t>
      </w:r>
      <w:r w:rsidR="003F636B" w:rsidRPr="006051E3">
        <w:rPr>
          <w:noProof/>
        </w:rPr>
        <w:t>07.01.1 až</w:t>
      </w:r>
      <w:r>
        <w:rPr>
          <w:noProof/>
        </w:rPr>
        <w:t xml:space="preserve"> Z </w:t>
      </w:r>
      <w:r w:rsidR="003F636B" w:rsidRPr="006051E3">
        <w:rPr>
          <w:noProof/>
        </w:rPr>
        <w:t>07.04,</w:t>
      </w:r>
      <w:r>
        <w:rPr>
          <w:noProof/>
        </w:rPr>
        <w:t xml:space="preserve"> Z </w:t>
      </w:r>
      <w:r w:rsidR="003F636B" w:rsidRPr="006051E3">
        <w:rPr>
          <w:noProof/>
        </w:rPr>
        <w:t>08.01 až</w:t>
      </w:r>
      <w:r>
        <w:rPr>
          <w:noProof/>
        </w:rPr>
        <w:t xml:space="preserve"> Z </w:t>
      </w:r>
      <w:r w:rsidR="003F636B" w:rsidRPr="006051E3">
        <w:rPr>
          <w:noProof/>
        </w:rPr>
        <w:t>08.05</w:t>
      </w:r>
      <w:r>
        <w:rPr>
          <w:noProof/>
        </w:rPr>
        <w:t xml:space="preserve"> a Z </w:t>
      </w:r>
      <w:r w:rsidR="003F636B" w:rsidRPr="006051E3">
        <w:rPr>
          <w:noProof/>
        </w:rPr>
        <w:t>09.01 až</w:t>
      </w:r>
      <w:r>
        <w:rPr>
          <w:noProof/>
        </w:rPr>
        <w:t xml:space="preserve"> Z </w:t>
      </w:r>
      <w:r w:rsidR="003F636B" w:rsidRPr="006051E3">
        <w:rPr>
          <w:noProof/>
        </w:rPr>
        <w:t>09.04 najneskôr do 30</w:t>
      </w:r>
      <w:r>
        <w:rPr>
          <w:noProof/>
        </w:rPr>
        <w:t>. apríla</w:t>
      </w:r>
      <w:r w:rsidR="003F636B" w:rsidRPr="006051E3">
        <w:rPr>
          <w:noProof/>
        </w:rPr>
        <w:t xml:space="preserve"> každého roka za posledný deň predchádzajúceho kalendárneho roka</w:t>
      </w:r>
      <w:r>
        <w:rPr>
          <w:noProof/>
        </w:rPr>
        <w:t>.</w:t>
      </w:r>
    </w:p>
    <w:p w:rsidR="003F636B" w:rsidRPr="006051E3" w:rsidRDefault="003F636B" w:rsidP="00184085">
      <w:pPr>
        <w:pStyle w:val="Text1"/>
        <w:rPr>
          <w:noProof/>
        </w:rPr>
      </w:pPr>
      <w:r w:rsidRPr="006051E3">
        <w:rPr>
          <w:noProof/>
        </w:rPr>
        <w:t>Ak 31. marec nie je pracovným dňom, informácie na účely písmena a) sa predkladajú nasledujúci pracovný deň.</w:t>
      </w:r>
    </w:p>
    <w:p w:rsidR="003F636B" w:rsidRPr="006051E3" w:rsidRDefault="003F636B" w:rsidP="00184085">
      <w:pPr>
        <w:pStyle w:val="Text1"/>
        <w:rPr>
          <w:noProof/>
        </w:rPr>
      </w:pPr>
      <w:r w:rsidRPr="006051E3">
        <w:rPr>
          <w:noProof/>
        </w:rPr>
        <w:t>Ak 30. apríl nie je pracovným dňom, informácie na účely písmena b) sa predkladajú nasledujúci pracovný deň.</w:t>
      </w:r>
    </w:p>
    <w:p w:rsidR="00E522C4" w:rsidRPr="006051E3" w:rsidRDefault="000F7F38" w:rsidP="000F7F38">
      <w:pPr>
        <w:pStyle w:val="ManualNumPar1"/>
        <w:rPr>
          <w:noProof/>
        </w:rPr>
      </w:pPr>
      <w:r w:rsidRPr="000F7F38">
        <w:rPr>
          <w:noProof/>
        </w:rPr>
        <w:t>2.</w:t>
      </w:r>
      <w:r w:rsidRPr="000F7F38">
        <w:rPr>
          <w:noProof/>
        </w:rPr>
        <w:tab/>
      </w:r>
      <w:r w:rsidR="00E522C4" w:rsidRPr="006051E3">
        <w:rPr>
          <w:noProof/>
        </w:rPr>
        <w:t>Orgány pre riešenie krízových situácií bližšie určia, či sa informácie predkladajú priamo orgánu pre riešenie krízových situácií alebo či sa prípadne namiesto toho predkladajú príslušnému orgánu.</w:t>
      </w:r>
    </w:p>
    <w:p w:rsidR="006051E3" w:rsidRDefault="000F7F38" w:rsidP="000F7F38">
      <w:pPr>
        <w:pStyle w:val="ManualNumPar1"/>
        <w:rPr>
          <w:noProof/>
        </w:rPr>
      </w:pPr>
      <w:r w:rsidRPr="000F7F38">
        <w:rPr>
          <w:noProof/>
        </w:rPr>
        <w:t>3.</w:t>
      </w:r>
      <w:r w:rsidRPr="000F7F38">
        <w:rPr>
          <w:noProof/>
        </w:rPr>
        <w:tab/>
      </w:r>
      <w:r w:rsidR="00E522C4" w:rsidRPr="006051E3">
        <w:rPr>
          <w:noProof/>
        </w:rPr>
        <w:t>Inštitúcie alebo</w:t>
      </w:r>
      <w:r w:rsidR="006051E3">
        <w:rPr>
          <w:noProof/>
        </w:rPr>
        <w:t xml:space="preserve"> v </w:t>
      </w:r>
      <w:r w:rsidR="00E522C4" w:rsidRPr="006051E3">
        <w:rPr>
          <w:noProof/>
        </w:rPr>
        <w:t>prípade skupín materské spoločnosti</w:t>
      </w:r>
      <w:r w:rsidR="006051E3">
        <w:rPr>
          <w:noProof/>
        </w:rPr>
        <w:t xml:space="preserve"> v </w:t>
      </w:r>
      <w:r w:rsidR="00E522C4" w:rsidRPr="006051E3">
        <w:rPr>
          <w:noProof/>
        </w:rPr>
        <w:t>Únii môžu predkladať neauditované údaje. Ak sa auditované údaje líšia od predložených neauditovaných údajov, revidované, auditované údaje sa predkladajú bez zbytočného odkladu</w:t>
      </w:r>
      <w:r w:rsidR="006051E3">
        <w:rPr>
          <w:noProof/>
        </w:rPr>
        <w:t>.</w:t>
      </w:r>
    </w:p>
    <w:p w:rsidR="006051E3" w:rsidRDefault="000F7F38" w:rsidP="000F7F38">
      <w:pPr>
        <w:pStyle w:val="ManualNumPar1"/>
        <w:rPr>
          <w:noProof/>
        </w:rPr>
      </w:pPr>
      <w:r w:rsidRPr="000F7F38">
        <w:rPr>
          <w:noProof/>
        </w:rPr>
        <w:t>4.</w:t>
      </w:r>
      <w:r w:rsidRPr="000F7F38">
        <w:rPr>
          <w:noProof/>
        </w:rPr>
        <w:tab/>
      </w:r>
      <w:r w:rsidR="00E522C4" w:rsidRPr="006051E3">
        <w:rPr>
          <w:noProof/>
        </w:rPr>
        <w:t>Na účely odseku 3 neauditované údaje sú údaje, ku ktorým externý audítor neposkytol stanovisko,</w:t>
      </w:r>
      <w:r w:rsidR="006051E3">
        <w:rPr>
          <w:noProof/>
        </w:rPr>
        <w:t xml:space="preserve"> a </w:t>
      </w:r>
      <w:r w:rsidR="00E522C4" w:rsidRPr="006051E3">
        <w:rPr>
          <w:noProof/>
        </w:rPr>
        <w:t>auditované údaje sú údaje podrobené auditu externého audítora, ktorý vyjadril audítorské stanovisko</w:t>
      </w:r>
      <w:r w:rsidR="006051E3">
        <w:rPr>
          <w:noProof/>
        </w:rPr>
        <w:t>.</w:t>
      </w:r>
    </w:p>
    <w:p w:rsidR="00E522C4" w:rsidRPr="006051E3" w:rsidRDefault="000F7F38" w:rsidP="000F7F38">
      <w:pPr>
        <w:pStyle w:val="ManualNumPar1"/>
        <w:rPr>
          <w:noProof/>
        </w:rPr>
      </w:pPr>
      <w:r w:rsidRPr="000F7F38">
        <w:rPr>
          <w:noProof/>
        </w:rPr>
        <w:t>5.</w:t>
      </w:r>
      <w:r w:rsidRPr="000F7F38">
        <w:rPr>
          <w:noProof/>
        </w:rPr>
        <w:tab/>
      </w:r>
      <w:r w:rsidR="00E522C4" w:rsidRPr="006051E3">
        <w:rPr>
          <w:noProof/>
        </w:rPr>
        <w:t>Opravy predložených správ sa predkladajú bez zbytočného odkladu.</w:t>
      </w:r>
    </w:p>
    <w:p w:rsidR="00E522C4" w:rsidRPr="006051E3" w:rsidRDefault="00E522C4" w:rsidP="00184085">
      <w:pPr>
        <w:pStyle w:val="Titrearticle"/>
        <w:rPr>
          <w:noProof/>
        </w:rPr>
      </w:pPr>
      <w:r w:rsidRPr="006051E3">
        <w:rPr>
          <w:noProof/>
        </w:rPr>
        <w:t>Článok 7</w:t>
      </w:r>
    </w:p>
    <w:p w:rsidR="00E522C4" w:rsidRPr="006051E3" w:rsidRDefault="00E522C4" w:rsidP="00184085">
      <w:pPr>
        <w:pStyle w:val="Titrearticle"/>
        <w:spacing w:before="0"/>
        <w:rPr>
          <w:b/>
          <w:bCs/>
          <w:i w:val="0"/>
          <w:iCs/>
          <w:noProof/>
        </w:rPr>
      </w:pPr>
      <w:r w:rsidRPr="006051E3">
        <w:rPr>
          <w:b/>
          <w:i w:val="0"/>
          <w:noProof/>
        </w:rPr>
        <w:t>Formáty výmeny údajov</w:t>
      </w:r>
      <w:r w:rsidR="006051E3">
        <w:rPr>
          <w:b/>
          <w:i w:val="0"/>
          <w:noProof/>
        </w:rPr>
        <w:t xml:space="preserve"> a </w:t>
      </w:r>
      <w:r w:rsidRPr="006051E3">
        <w:rPr>
          <w:b/>
          <w:i w:val="0"/>
          <w:noProof/>
        </w:rPr>
        <w:t>informácie priložené</w:t>
      </w:r>
      <w:r w:rsidR="006051E3">
        <w:rPr>
          <w:b/>
          <w:i w:val="0"/>
          <w:noProof/>
        </w:rPr>
        <w:t xml:space="preserve"> k </w:t>
      </w:r>
      <w:r w:rsidRPr="006051E3">
        <w:rPr>
          <w:b/>
          <w:i w:val="0"/>
          <w:noProof/>
        </w:rPr>
        <w:t>predkladaným údajom</w:t>
      </w:r>
    </w:p>
    <w:p w:rsidR="006051E3" w:rsidRDefault="000F7F38" w:rsidP="000F7F38">
      <w:pPr>
        <w:pStyle w:val="ManualNumPar1"/>
        <w:rPr>
          <w:noProof/>
        </w:rPr>
      </w:pPr>
      <w:r w:rsidRPr="000F7F38">
        <w:rPr>
          <w:noProof/>
        </w:rPr>
        <w:t>1.</w:t>
      </w:r>
      <w:r w:rsidRPr="000F7F38">
        <w:rPr>
          <w:noProof/>
        </w:rPr>
        <w:tab/>
      </w:r>
      <w:r w:rsidR="00E522C4" w:rsidRPr="006051E3">
        <w:rPr>
          <w:noProof/>
        </w:rPr>
        <w:t>Inštitúcie alebo</w:t>
      </w:r>
      <w:r w:rsidR="006051E3">
        <w:rPr>
          <w:noProof/>
        </w:rPr>
        <w:t xml:space="preserve"> v </w:t>
      </w:r>
      <w:r w:rsidR="00E522C4" w:rsidRPr="006051E3">
        <w:rPr>
          <w:noProof/>
        </w:rPr>
        <w:t>prípade skupín materské spoločnosti</w:t>
      </w:r>
      <w:r w:rsidR="006051E3">
        <w:rPr>
          <w:noProof/>
        </w:rPr>
        <w:t xml:space="preserve"> v </w:t>
      </w:r>
      <w:r w:rsidR="00E522C4" w:rsidRPr="006051E3">
        <w:rPr>
          <w:noProof/>
        </w:rPr>
        <w:t>Únii predkladajú informácie uvedené</w:t>
      </w:r>
      <w:r w:rsidR="006051E3">
        <w:rPr>
          <w:noProof/>
        </w:rPr>
        <w:t xml:space="preserve"> v </w:t>
      </w:r>
      <w:r w:rsidR="00E522C4" w:rsidRPr="006051E3">
        <w:rPr>
          <w:noProof/>
        </w:rPr>
        <w:t>článkoch 2 až 5, ako sa bližšie určuje vo vzoroch stanovených</w:t>
      </w:r>
      <w:r w:rsidR="006051E3">
        <w:rPr>
          <w:noProof/>
        </w:rPr>
        <w:t xml:space="preserve"> v </w:t>
      </w:r>
      <w:r w:rsidR="00E522C4" w:rsidRPr="006051E3">
        <w:rPr>
          <w:noProof/>
        </w:rPr>
        <w:t>prílohe I, vo formátoch výmeny údajov</w:t>
      </w:r>
      <w:r w:rsidR="006051E3">
        <w:rPr>
          <w:noProof/>
        </w:rPr>
        <w:t xml:space="preserve"> a v </w:t>
      </w:r>
      <w:r w:rsidR="00E522C4" w:rsidRPr="006051E3">
        <w:rPr>
          <w:noProof/>
        </w:rPr>
        <w:t>zobrazeniach špecifikovaných orgánmi pre riešenie krízových situácií, pričom dodržiavajú vymedzenia údajových bodov zahrnuté</w:t>
      </w:r>
      <w:r w:rsidR="006051E3">
        <w:rPr>
          <w:noProof/>
        </w:rPr>
        <w:t xml:space="preserve"> v </w:t>
      </w:r>
      <w:r w:rsidR="00E522C4" w:rsidRPr="006051E3">
        <w:rPr>
          <w:noProof/>
        </w:rPr>
        <w:t>jednotnom modeli údajových bodov uvedenom</w:t>
      </w:r>
      <w:r w:rsidR="006051E3">
        <w:rPr>
          <w:noProof/>
        </w:rPr>
        <w:t xml:space="preserve"> v </w:t>
      </w:r>
      <w:r w:rsidR="00E522C4" w:rsidRPr="006051E3">
        <w:rPr>
          <w:noProof/>
        </w:rPr>
        <w:t>prílohe II</w:t>
      </w:r>
      <w:r w:rsidR="006051E3">
        <w:rPr>
          <w:noProof/>
        </w:rPr>
        <w:t xml:space="preserve"> a </w:t>
      </w:r>
      <w:r w:rsidR="00E522C4" w:rsidRPr="006051E3">
        <w:rPr>
          <w:noProof/>
        </w:rPr>
        <w:t>pravidlá validácie uvedené</w:t>
      </w:r>
      <w:r w:rsidR="006051E3">
        <w:rPr>
          <w:noProof/>
        </w:rPr>
        <w:t xml:space="preserve"> v </w:t>
      </w:r>
      <w:r w:rsidR="00E522C4" w:rsidRPr="006051E3">
        <w:rPr>
          <w:noProof/>
        </w:rPr>
        <w:t>prílohe III</w:t>
      </w:r>
      <w:r w:rsidR="006051E3">
        <w:rPr>
          <w:noProof/>
        </w:rPr>
        <w:t>.</w:t>
      </w:r>
    </w:p>
    <w:p w:rsidR="00E522C4" w:rsidRPr="006051E3" w:rsidRDefault="000F7F38" w:rsidP="000F7F38">
      <w:pPr>
        <w:pStyle w:val="ManualNumPar1"/>
        <w:rPr>
          <w:noProof/>
        </w:rPr>
      </w:pPr>
      <w:r w:rsidRPr="000F7F38">
        <w:rPr>
          <w:noProof/>
        </w:rPr>
        <w:t>2.</w:t>
      </w:r>
      <w:r w:rsidRPr="000F7F38">
        <w:rPr>
          <w:noProof/>
        </w:rPr>
        <w:tab/>
      </w:r>
      <w:r w:rsidR="00E522C4" w:rsidRPr="006051E3">
        <w:rPr>
          <w:noProof/>
        </w:rPr>
        <w:t>Okrem povinnosti uvedenej</w:t>
      </w:r>
      <w:r w:rsidR="006051E3">
        <w:rPr>
          <w:noProof/>
        </w:rPr>
        <w:t xml:space="preserve"> v </w:t>
      </w:r>
      <w:r w:rsidR="00E522C4" w:rsidRPr="006051E3">
        <w:rPr>
          <w:noProof/>
        </w:rPr>
        <w:t>odseku 1 inštitúcie alebo</w:t>
      </w:r>
      <w:r w:rsidR="006051E3">
        <w:rPr>
          <w:noProof/>
        </w:rPr>
        <w:t xml:space="preserve"> v </w:t>
      </w:r>
      <w:r w:rsidR="00E522C4" w:rsidRPr="006051E3">
        <w:rPr>
          <w:noProof/>
        </w:rPr>
        <w:t>prípade skupín materské spoločnosti</w:t>
      </w:r>
      <w:r w:rsidR="006051E3">
        <w:rPr>
          <w:noProof/>
        </w:rPr>
        <w:t xml:space="preserve"> v </w:t>
      </w:r>
      <w:r w:rsidR="00E522C4" w:rsidRPr="006051E3">
        <w:rPr>
          <w:noProof/>
        </w:rPr>
        <w:t>Únii zabezpečujú toto:</w:t>
      </w:r>
    </w:p>
    <w:p w:rsidR="00E522C4" w:rsidRPr="006051E3" w:rsidRDefault="006051E3" w:rsidP="006051E3">
      <w:pPr>
        <w:pStyle w:val="Point1"/>
        <w:rPr>
          <w:noProof/>
        </w:rPr>
      </w:pPr>
      <w:r>
        <w:rPr>
          <w:noProof/>
        </w:rPr>
        <w:t>a)</w:t>
      </w:r>
      <w:r>
        <w:rPr>
          <w:noProof/>
        </w:rPr>
        <w:tab/>
      </w:r>
      <w:r w:rsidR="00E522C4" w:rsidRPr="006051E3">
        <w:rPr>
          <w:noProof/>
        </w:rPr>
        <w:t>číselné hodnoty sa predkladajú takto:</w:t>
      </w:r>
    </w:p>
    <w:p w:rsidR="006051E3" w:rsidRDefault="00E522C4" w:rsidP="00184085">
      <w:pPr>
        <w:pStyle w:val="Point2"/>
        <w:rPr>
          <w:noProof/>
        </w:rPr>
      </w:pPr>
      <w:r w:rsidRPr="006051E3">
        <w:rPr>
          <w:noProof/>
        </w:rPr>
        <w:t>i)</w:t>
      </w:r>
      <w:r w:rsidRPr="006051E3">
        <w:rPr>
          <w:noProof/>
        </w:rPr>
        <w:tab/>
        <w:t>údajové body</w:t>
      </w:r>
      <w:r w:rsidR="006051E3">
        <w:rPr>
          <w:noProof/>
        </w:rPr>
        <w:t xml:space="preserve"> s </w:t>
      </w:r>
      <w:r w:rsidRPr="006051E3">
        <w:rPr>
          <w:noProof/>
        </w:rPr>
        <w:t>druhom údajov „peňažné“ sa vykazujú</w:t>
      </w:r>
      <w:r w:rsidR="006051E3">
        <w:rPr>
          <w:noProof/>
        </w:rPr>
        <w:t xml:space="preserve"> s </w:t>
      </w:r>
      <w:r w:rsidRPr="006051E3">
        <w:rPr>
          <w:noProof/>
        </w:rPr>
        <w:t>minimálnou presnosťou zodpovedajúcou desaťtisícom jednotiek</w:t>
      </w:r>
      <w:r w:rsidR="006051E3">
        <w:rPr>
          <w:noProof/>
        </w:rPr>
        <w:t>;</w:t>
      </w:r>
    </w:p>
    <w:p w:rsidR="00E522C4" w:rsidRPr="006051E3" w:rsidRDefault="00E522C4" w:rsidP="00184085">
      <w:pPr>
        <w:pStyle w:val="Point2"/>
        <w:rPr>
          <w:noProof/>
        </w:rPr>
      </w:pPr>
      <w:r w:rsidRPr="006051E3">
        <w:rPr>
          <w:noProof/>
        </w:rPr>
        <w:t>ii)</w:t>
      </w:r>
      <w:r w:rsidRPr="006051E3">
        <w:rPr>
          <w:noProof/>
        </w:rPr>
        <w:tab/>
        <w:t>údajové body</w:t>
      </w:r>
      <w:r w:rsidR="006051E3">
        <w:rPr>
          <w:noProof/>
        </w:rPr>
        <w:t xml:space="preserve"> s </w:t>
      </w:r>
      <w:r w:rsidRPr="006051E3">
        <w:rPr>
          <w:noProof/>
        </w:rPr>
        <w:t>druhom údajov „percentuálny podiel“ sa vyjadrujú vo formáte podielu</w:t>
      </w:r>
      <w:r w:rsidR="006051E3">
        <w:rPr>
          <w:noProof/>
        </w:rPr>
        <w:t xml:space="preserve"> s </w:t>
      </w:r>
      <w:r w:rsidRPr="006051E3">
        <w:rPr>
          <w:noProof/>
        </w:rPr>
        <w:t>minimálnou presnosťou zodpovedajúcou štyrom desatinným miestam;</w:t>
      </w:r>
    </w:p>
    <w:p w:rsidR="00E522C4" w:rsidRPr="006051E3" w:rsidRDefault="00E522C4" w:rsidP="00184085">
      <w:pPr>
        <w:pStyle w:val="Point2"/>
        <w:rPr>
          <w:noProof/>
        </w:rPr>
      </w:pPr>
      <w:r w:rsidRPr="006051E3">
        <w:rPr>
          <w:noProof/>
        </w:rPr>
        <w:t>iii)</w:t>
      </w:r>
      <w:r w:rsidRPr="006051E3">
        <w:rPr>
          <w:noProof/>
        </w:rPr>
        <w:tab/>
        <w:t>údajové body</w:t>
      </w:r>
      <w:r w:rsidR="006051E3">
        <w:rPr>
          <w:noProof/>
        </w:rPr>
        <w:t xml:space="preserve"> s </w:t>
      </w:r>
      <w:r w:rsidRPr="006051E3">
        <w:rPr>
          <w:noProof/>
        </w:rPr>
        <w:t>druhom údajov „celé číslo“ sa vykazujú bez použitia desatinných čísel</w:t>
      </w:r>
      <w:r w:rsidR="006051E3">
        <w:rPr>
          <w:noProof/>
        </w:rPr>
        <w:t xml:space="preserve"> a s </w:t>
      </w:r>
      <w:r w:rsidRPr="006051E3">
        <w:rPr>
          <w:noProof/>
        </w:rPr>
        <w:t>presnosťou zodpovedajúcou jednotkám;</w:t>
      </w:r>
    </w:p>
    <w:p w:rsidR="00E522C4" w:rsidRPr="006051E3" w:rsidRDefault="006051E3" w:rsidP="006051E3">
      <w:pPr>
        <w:pStyle w:val="Point1"/>
        <w:rPr>
          <w:noProof/>
        </w:rPr>
      </w:pPr>
      <w:r>
        <w:rPr>
          <w:noProof/>
        </w:rPr>
        <w:t>b)</w:t>
      </w:r>
      <w:r>
        <w:rPr>
          <w:noProof/>
        </w:rPr>
        <w:tab/>
      </w:r>
      <w:r w:rsidR="00E522C4" w:rsidRPr="006051E3">
        <w:rPr>
          <w:noProof/>
        </w:rPr>
        <w:t>inštitúcie</w:t>
      </w:r>
      <w:r>
        <w:rPr>
          <w:noProof/>
        </w:rPr>
        <w:t xml:space="preserve"> a </w:t>
      </w:r>
      <w:r w:rsidR="00E522C4" w:rsidRPr="006051E3">
        <w:rPr>
          <w:noProof/>
        </w:rPr>
        <w:t>poisťovne sa identifikujú výhradne svojimi identifikátormi právnickej osoby (LEI);</w:t>
      </w:r>
    </w:p>
    <w:p w:rsidR="00E522C4" w:rsidRPr="006051E3" w:rsidRDefault="006051E3" w:rsidP="006051E3">
      <w:pPr>
        <w:pStyle w:val="Point1"/>
        <w:rPr>
          <w:noProof/>
        </w:rPr>
      </w:pPr>
      <w:r>
        <w:rPr>
          <w:noProof/>
        </w:rPr>
        <w:t>c)</w:t>
      </w:r>
      <w:r>
        <w:rPr>
          <w:noProof/>
        </w:rPr>
        <w:tab/>
      </w:r>
      <w:r w:rsidR="00E522C4" w:rsidRPr="006051E3">
        <w:rPr>
          <w:noProof/>
        </w:rPr>
        <w:t>právnické osoby</w:t>
      </w:r>
      <w:r>
        <w:rPr>
          <w:noProof/>
        </w:rPr>
        <w:t xml:space="preserve"> a </w:t>
      </w:r>
      <w:r w:rsidR="00E522C4" w:rsidRPr="006051E3">
        <w:rPr>
          <w:noProof/>
        </w:rPr>
        <w:t>protistrany, ktoré nie sú inštitúciami</w:t>
      </w:r>
      <w:r>
        <w:rPr>
          <w:noProof/>
        </w:rPr>
        <w:t xml:space="preserve"> a </w:t>
      </w:r>
      <w:r w:rsidR="00E522C4" w:rsidRPr="006051E3">
        <w:rPr>
          <w:noProof/>
        </w:rPr>
        <w:t>poisťovňami, sa identifikujú svojimi identifikátormi právnickej osoby (LEI), ak sú</w:t>
      </w:r>
      <w:r>
        <w:rPr>
          <w:noProof/>
        </w:rPr>
        <w:t xml:space="preserve"> k </w:t>
      </w:r>
      <w:r w:rsidR="00E522C4" w:rsidRPr="006051E3">
        <w:rPr>
          <w:noProof/>
        </w:rPr>
        <w:t>dispozícii;</w:t>
      </w:r>
    </w:p>
    <w:p w:rsidR="0046629F" w:rsidRPr="006051E3" w:rsidRDefault="006051E3" w:rsidP="006051E3">
      <w:pPr>
        <w:pStyle w:val="Point1"/>
        <w:rPr>
          <w:noProof/>
        </w:rPr>
      </w:pPr>
      <w:r>
        <w:rPr>
          <w:noProof/>
        </w:rPr>
        <w:t>d)</w:t>
      </w:r>
      <w:r>
        <w:rPr>
          <w:noProof/>
        </w:rPr>
        <w:tab/>
      </w:r>
      <w:r w:rsidR="0046629F" w:rsidRPr="006051E3">
        <w:rPr>
          <w:noProof/>
        </w:rPr>
        <w:t>informácie, ktoré sa nepožadujú alebo neuplatňujú, sa do predkladaných údajov nezahŕňajú.</w:t>
      </w:r>
    </w:p>
    <w:p w:rsidR="00E522C4" w:rsidRPr="006051E3" w:rsidRDefault="000F7F38" w:rsidP="000F7F38">
      <w:pPr>
        <w:pStyle w:val="ManualNumPar1"/>
        <w:rPr>
          <w:noProof/>
        </w:rPr>
      </w:pPr>
      <w:r w:rsidRPr="000F7F38">
        <w:rPr>
          <w:noProof/>
        </w:rPr>
        <w:t>3.</w:t>
      </w:r>
      <w:r w:rsidRPr="000F7F38">
        <w:rPr>
          <w:noProof/>
        </w:rPr>
        <w:tab/>
      </w:r>
      <w:r w:rsidR="004B472A" w:rsidRPr="006051E3">
        <w:rPr>
          <w:noProof/>
        </w:rPr>
        <w:t>Inštitúcie alebo</w:t>
      </w:r>
      <w:r w:rsidR="006051E3">
        <w:rPr>
          <w:noProof/>
        </w:rPr>
        <w:t xml:space="preserve"> v </w:t>
      </w:r>
      <w:r w:rsidR="004B472A" w:rsidRPr="006051E3">
        <w:rPr>
          <w:noProof/>
        </w:rPr>
        <w:t>prípade skupín materské spoločnosti</w:t>
      </w:r>
      <w:r w:rsidR="006051E3">
        <w:rPr>
          <w:noProof/>
        </w:rPr>
        <w:t xml:space="preserve"> v </w:t>
      </w:r>
      <w:r w:rsidR="004B472A" w:rsidRPr="006051E3">
        <w:rPr>
          <w:noProof/>
        </w:rPr>
        <w:t>Únii priložia</w:t>
      </w:r>
      <w:r w:rsidR="006051E3">
        <w:rPr>
          <w:noProof/>
        </w:rPr>
        <w:t xml:space="preserve"> k </w:t>
      </w:r>
      <w:r w:rsidR="004B472A" w:rsidRPr="006051E3">
        <w:rPr>
          <w:noProof/>
        </w:rPr>
        <w:t>predkladaným údajom tieto informácie:</w:t>
      </w:r>
    </w:p>
    <w:p w:rsidR="004B472A" w:rsidRPr="006051E3" w:rsidRDefault="006051E3" w:rsidP="006051E3">
      <w:pPr>
        <w:pStyle w:val="Point1"/>
        <w:rPr>
          <w:noProof/>
        </w:rPr>
      </w:pPr>
      <w:r>
        <w:rPr>
          <w:noProof/>
        </w:rPr>
        <w:t>a)</w:t>
      </w:r>
      <w:r>
        <w:rPr>
          <w:noProof/>
        </w:rPr>
        <w:tab/>
      </w:r>
      <w:r w:rsidR="004B472A" w:rsidRPr="006051E3">
        <w:rPr>
          <w:noProof/>
        </w:rPr>
        <w:t>referenčný dátum;</w:t>
      </w:r>
    </w:p>
    <w:p w:rsidR="004B472A" w:rsidRPr="006051E3" w:rsidRDefault="006051E3" w:rsidP="006051E3">
      <w:pPr>
        <w:pStyle w:val="Point1"/>
        <w:rPr>
          <w:noProof/>
        </w:rPr>
      </w:pPr>
      <w:r>
        <w:rPr>
          <w:noProof/>
        </w:rPr>
        <w:t>b)</w:t>
      </w:r>
      <w:r>
        <w:rPr>
          <w:noProof/>
        </w:rPr>
        <w:tab/>
      </w:r>
      <w:r w:rsidR="004B472A" w:rsidRPr="006051E3">
        <w:rPr>
          <w:noProof/>
        </w:rPr>
        <w:t>menu vykazovania;</w:t>
      </w:r>
    </w:p>
    <w:p w:rsidR="004B472A" w:rsidRPr="006051E3" w:rsidRDefault="006051E3" w:rsidP="006051E3">
      <w:pPr>
        <w:pStyle w:val="Point1"/>
        <w:rPr>
          <w:noProof/>
        </w:rPr>
      </w:pPr>
      <w:r>
        <w:rPr>
          <w:noProof/>
        </w:rPr>
        <w:t>c)</w:t>
      </w:r>
      <w:r>
        <w:rPr>
          <w:noProof/>
        </w:rPr>
        <w:tab/>
      </w:r>
      <w:r w:rsidR="004B472A" w:rsidRPr="006051E3">
        <w:rPr>
          <w:noProof/>
        </w:rPr>
        <w:t>účtovný štandard;</w:t>
      </w:r>
    </w:p>
    <w:p w:rsidR="004B472A" w:rsidRPr="006051E3" w:rsidRDefault="006051E3" w:rsidP="006051E3">
      <w:pPr>
        <w:pStyle w:val="Point1"/>
        <w:rPr>
          <w:noProof/>
        </w:rPr>
      </w:pPr>
      <w:r>
        <w:rPr>
          <w:noProof/>
        </w:rPr>
        <w:t>d)</w:t>
      </w:r>
      <w:r>
        <w:rPr>
          <w:noProof/>
        </w:rPr>
        <w:tab/>
      </w:r>
      <w:r w:rsidR="004B472A" w:rsidRPr="006051E3">
        <w:rPr>
          <w:noProof/>
        </w:rPr>
        <w:t>identifikátor právnickej osoby (LEI) vykazujúceho subjektu;</w:t>
      </w:r>
    </w:p>
    <w:p w:rsidR="004B472A" w:rsidRPr="006051E3" w:rsidRDefault="006051E3" w:rsidP="006051E3">
      <w:pPr>
        <w:pStyle w:val="Point1"/>
        <w:rPr>
          <w:noProof/>
        </w:rPr>
      </w:pPr>
      <w:r>
        <w:rPr>
          <w:noProof/>
        </w:rPr>
        <w:t>e)</w:t>
      </w:r>
      <w:r>
        <w:rPr>
          <w:noProof/>
        </w:rPr>
        <w:tab/>
      </w:r>
      <w:r w:rsidR="004B472A" w:rsidRPr="006051E3">
        <w:rPr>
          <w:noProof/>
        </w:rPr>
        <w:t>úroveň uplatňovania stanovenú</w:t>
      </w:r>
      <w:r>
        <w:rPr>
          <w:noProof/>
        </w:rPr>
        <w:t xml:space="preserve"> v </w:t>
      </w:r>
      <w:r w:rsidR="004B472A" w:rsidRPr="006051E3">
        <w:rPr>
          <w:noProof/>
        </w:rPr>
        <w:t>článkoch 2, 3</w:t>
      </w:r>
      <w:r>
        <w:rPr>
          <w:noProof/>
        </w:rPr>
        <w:t xml:space="preserve"> a </w:t>
      </w:r>
      <w:r w:rsidR="004B472A" w:rsidRPr="006051E3">
        <w:rPr>
          <w:noProof/>
        </w:rPr>
        <w:t>4.</w:t>
      </w:r>
    </w:p>
    <w:p w:rsidR="004B472A" w:rsidRPr="006051E3" w:rsidRDefault="004B472A" w:rsidP="00184085">
      <w:pPr>
        <w:pStyle w:val="Titrearticle"/>
        <w:rPr>
          <w:noProof/>
        </w:rPr>
      </w:pPr>
      <w:bookmarkStart w:id="3" w:name="_Hlk169616472"/>
      <w:r w:rsidRPr="006051E3">
        <w:rPr>
          <w:noProof/>
        </w:rPr>
        <w:t>Článok 8</w:t>
      </w:r>
    </w:p>
    <w:p w:rsidR="006051E3" w:rsidRDefault="004B472A" w:rsidP="00184085">
      <w:pPr>
        <w:pStyle w:val="Titrearticle"/>
        <w:spacing w:before="0"/>
        <w:rPr>
          <w:b/>
          <w:i w:val="0"/>
          <w:noProof/>
        </w:rPr>
      </w:pPr>
      <w:r w:rsidRPr="006051E3">
        <w:rPr>
          <w:b/>
          <w:i w:val="0"/>
          <w:noProof/>
        </w:rPr>
        <w:t>Poskytovanie dodatočných informácií</w:t>
      </w:r>
      <w:r w:rsidR="006051E3">
        <w:rPr>
          <w:b/>
          <w:i w:val="0"/>
          <w:noProof/>
        </w:rPr>
        <w:t xml:space="preserve"> v </w:t>
      </w:r>
      <w:r w:rsidRPr="006051E3">
        <w:rPr>
          <w:b/>
          <w:i w:val="0"/>
          <w:noProof/>
        </w:rPr>
        <w:t>prípade individuálnych plánov riešenia krízových situácií alebo plánov riešenia krízových situácií na úrovni skupiny</w:t>
      </w:r>
    </w:p>
    <w:bookmarkEnd w:id="3"/>
    <w:p w:rsidR="00FA69C1" w:rsidRPr="006051E3" w:rsidRDefault="000F7F38" w:rsidP="000F7F38">
      <w:pPr>
        <w:pStyle w:val="ManualNumPar1"/>
        <w:rPr>
          <w:noProof/>
        </w:rPr>
      </w:pPr>
      <w:r w:rsidRPr="000F7F38">
        <w:rPr>
          <w:noProof/>
        </w:rPr>
        <w:t>1.</w:t>
      </w:r>
      <w:r w:rsidRPr="000F7F38">
        <w:rPr>
          <w:noProof/>
        </w:rPr>
        <w:tab/>
      </w:r>
      <w:r w:rsidR="00C747E3" w:rsidRPr="006051E3">
        <w:rPr>
          <w:noProof/>
        </w:rPr>
        <w:t>Orgán pre riešenie krízových situácií alebo orgán pre riešenie krízových situácií na úrovni skupiny požiadajú príslušnú inštitúciu alebo materskú spoločnosť</w:t>
      </w:r>
      <w:r w:rsidR="006051E3">
        <w:rPr>
          <w:noProof/>
        </w:rPr>
        <w:t xml:space="preserve"> v </w:t>
      </w:r>
      <w:r w:rsidR="00C747E3" w:rsidRPr="006051E3">
        <w:rPr>
          <w:noProof/>
        </w:rPr>
        <w:t>Únii</w:t>
      </w:r>
      <w:r w:rsidR="006051E3">
        <w:rPr>
          <w:noProof/>
        </w:rPr>
        <w:t xml:space="preserve"> o </w:t>
      </w:r>
      <w:r w:rsidR="00C747E3" w:rsidRPr="006051E3">
        <w:rPr>
          <w:noProof/>
        </w:rPr>
        <w:t>dodatočné informácie alebo informácie</w:t>
      </w:r>
      <w:r w:rsidR="006051E3">
        <w:rPr>
          <w:noProof/>
        </w:rPr>
        <w:t xml:space="preserve"> v </w:t>
      </w:r>
      <w:r w:rsidR="00C747E3" w:rsidRPr="006051E3">
        <w:rPr>
          <w:noProof/>
        </w:rPr>
        <w:t>novom formáte, ak je splnená ktorákoľvek</w:t>
      </w:r>
      <w:r w:rsidR="006051E3">
        <w:rPr>
          <w:noProof/>
        </w:rPr>
        <w:t xml:space="preserve"> z </w:t>
      </w:r>
      <w:r w:rsidR="00C747E3" w:rsidRPr="006051E3">
        <w:rPr>
          <w:noProof/>
        </w:rPr>
        <w:t>týchto podmienok:</w:t>
      </w:r>
    </w:p>
    <w:p w:rsidR="00FA69C1" w:rsidRPr="006051E3" w:rsidRDefault="006051E3" w:rsidP="006051E3">
      <w:pPr>
        <w:pStyle w:val="Point1"/>
        <w:rPr>
          <w:noProof/>
        </w:rPr>
      </w:pPr>
      <w:r>
        <w:rPr>
          <w:noProof/>
        </w:rPr>
        <w:t>a)</w:t>
      </w:r>
      <w:r>
        <w:rPr>
          <w:noProof/>
        </w:rPr>
        <w:tab/>
      </w:r>
      <w:r w:rsidR="00FA69C1" w:rsidRPr="006051E3">
        <w:rPr>
          <w:noProof/>
        </w:rPr>
        <w:t>orgán pre riešenie krízových situácií alebo orgán pre riešenie krízových situácií na úrovni skupiny sa domnieva, že na takéto informácie sa nevzťahuje žiadny vzor stanovený</w:t>
      </w:r>
      <w:r>
        <w:rPr>
          <w:noProof/>
        </w:rPr>
        <w:t xml:space="preserve"> v </w:t>
      </w:r>
      <w:r w:rsidR="00FA69C1" w:rsidRPr="006051E3">
        <w:rPr>
          <w:noProof/>
        </w:rPr>
        <w:t>prílohe I</w:t>
      </w:r>
      <w:r>
        <w:rPr>
          <w:noProof/>
        </w:rPr>
        <w:t xml:space="preserve"> a </w:t>
      </w:r>
      <w:r w:rsidR="00FA69C1" w:rsidRPr="006051E3">
        <w:rPr>
          <w:noProof/>
        </w:rPr>
        <w:t>sú potrebné na vypracovanie</w:t>
      </w:r>
      <w:r>
        <w:rPr>
          <w:noProof/>
        </w:rPr>
        <w:t xml:space="preserve"> a </w:t>
      </w:r>
      <w:r w:rsidR="00FA69C1" w:rsidRPr="006051E3">
        <w:rPr>
          <w:noProof/>
        </w:rPr>
        <w:t>vykonávanie plánov riešenia krízových situácií;</w:t>
      </w:r>
    </w:p>
    <w:p w:rsidR="00FA69C1" w:rsidRPr="006051E3" w:rsidRDefault="006051E3" w:rsidP="006051E3">
      <w:pPr>
        <w:pStyle w:val="Point1"/>
        <w:rPr>
          <w:noProof/>
        </w:rPr>
      </w:pPr>
      <w:r>
        <w:rPr>
          <w:noProof/>
        </w:rPr>
        <w:t>b)</w:t>
      </w:r>
      <w:r>
        <w:rPr>
          <w:noProof/>
        </w:rPr>
        <w:tab/>
      </w:r>
      <w:r w:rsidR="00FA69C1" w:rsidRPr="006051E3">
        <w:rPr>
          <w:noProof/>
        </w:rPr>
        <w:t>orgán pre riešenie krízových situácií alebo orgán pre riešenie krízových situácií na úrovni skupiny sa domnieva, že získanie takýchto informácií od subjektov, na ktoré sa vzťahujú zjednodušené povinnosti, je potrebné na vypracovanie</w:t>
      </w:r>
      <w:r>
        <w:rPr>
          <w:noProof/>
        </w:rPr>
        <w:t xml:space="preserve"> a </w:t>
      </w:r>
      <w:r w:rsidR="00FA69C1" w:rsidRPr="006051E3">
        <w:rPr>
          <w:noProof/>
        </w:rPr>
        <w:t>vykonávanie plánov riešenia krízových situácií;</w:t>
      </w:r>
    </w:p>
    <w:p w:rsidR="00FA69C1" w:rsidRPr="006051E3" w:rsidRDefault="006051E3" w:rsidP="006051E3">
      <w:pPr>
        <w:pStyle w:val="Point1"/>
        <w:rPr>
          <w:noProof/>
        </w:rPr>
      </w:pPr>
      <w:r>
        <w:rPr>
          <w:noProof/>
        </w:rPr>
        <w:t>c)</w:t>
      </w:r>
      <w:r>
        <w:rPr>
          <w:noProof/>
        </w:rPr>
        <w:tab/>
      </w:r>
      <w:r w:rsidR="00FA69C1" w:rsidRPr="006051E3">
        <w:rPr>
          <w:noProof/>
        </w:rPr>
        <w:t>formát,</w:t>
      </w:r>
      <w:r>
        <w:rPr>
          <w:noProof/>
        </w:rPr>
        <w:t xml:space="preserve"> v </w:t>
      </w:r>
      <w:r w:rsidR="00FA69C1" w:rsidRPr="006051E3">
        <w:rPr>
          <w:noProof/>
        </w:rPr>
        <w:t>ktorom príslušný orgán poskytuje informácie podľa článku 9 ods. 2, nie je vhodný na vypracovanie alebo vykonávanie plánov riešenia krízových situácií.</w:t>
      </w:r>
    </w:p>
    <w:p w:rsidR="004B472A" w:rsidRPr="006051E3" w:rsidRDefault="000F7F38" w:rsidP="000F7F38">
      <w:pPr>
        <w:pStyle w:val="ManualNumPar1"/>
        <w:rPr>
          <w:noProof/>
        </w:rPr>
      </w:pPr>
      <w:r w:rsidRPr="000F7F38">
        <w:rPr>
          <w:noProof/>
        </w:rPr>
        <w:t>2.</w:t>
      </w:r>
      <w:r w:rsidRPr="000F7F38">
        <w:rPr>
          <w:noProof/>
        </w:rPr>
        <w:tab/>
      </w:r>
      <w:r w:rsidR="004B472A" w:rsidRPr="006051E3">
        <w:rPr>
          <w:noProof/>
        </w:rPr>
        <w:t>V prípade žiadosti uvedenej</w:t>
      </w:r>
      <w:r w:rsidR="006051E3">
        <w:rPr>
          <w:noProof/>
        </w:rPr>
        <w:t xml:space="preserve"> v </w:t>
      </w:r>
      <w:r w:rsidR="004B472A" w:rsidRPr="006051E3">
        <w:rPr>
          <w:noProof/>
        </w:rPr>
        <w:t>odseku 1 orgán pre riešenie krízových situácií:</w:t>
      </w:r>
    </w:p>
    <w:p w:rsidR="004B472A" w:rsidRPr="006051E3" w:rsidRDefault="006051E3" w:rsidP="006051E3">
      <w:pPr>
        <w:pStyle w:val="Point1"/>
        <w:rPr>
          <w:noProof/>
        </w:rPr>
      </w:pPr>
      <w:r>
        <w:rPr>
          <w:noProof/>
        </w:rPr>
        <w:t>a)</w:t>
      </w:r>
      <w:r>
        <w:rPr>
          <w:noProof/>
        </w:rPr>
        <w:tab/>
      </w:r>
      <w:r w:rsidR="004B472A" w:rsidRPr="006051E3">
        <w:rPr>
          <w:noProof/>
        </w:rPr>
        <w:t>určuje dodatočné informácie, ktoré sa majú poskytnúť;</w:t>
      </w:r>
    </w:p>
    <w:p w:rsidR="004B472A" w:rsidRPr="006051E3" w:rsidRDefault="006051E3" w:rsidP="006051E3">
      <w:pPr>
        <w:pStyle w:val="Point1"/>
        <w:rPr>
          <w:noProof/>
        </w:rPr>
      </w:pPr>
      <w:r>
        <w:rPr>
          <w:noProof/>
        </w:rPr>
        <w:t>b)</w:t>
      </w:r>
      <w:r>
        <w:rPr>
          <w:noProof/>
        </w:rPr>
        <w:tab/>
      </w:r>
      <w:r w:rsidR="004B472A" w:rsidRPr="006051E3">
        <w:rPr>
          <w:noProof/>
        </w:rPr>
        <w:t>stanovuje primeraný časový rámec,</w:t>
      </w:r>
      <w:r>
        <w:rPr>
          <w:noProof/>
        </w:rPr>
        <w:t xml:space="preserve"> v </w:t>
      </w:r>
      <w:r w:rsidR="004B472A" w:rsidRPr="006051E3">
        <w:rPr>
          <w:noProof/>
        </w:rPr>
        <w:t>ktorom inštitúcia alebo</w:t>
      </w:r>
      <w:r>
        <w:rPr>
          <w:noProof/>
        </w:rPr>
        <w:t xml:space="preserve"> v </w:t>
      </w:r>
      <w:r w:rsidR="004B472A" w:rsidRPr="006051E3">
        <w:rPr>
          <w:noProof/>
        </w:rPr>
        <w:t>prípade skupín materská spoločnosť</w:t>
      </w:r>
      <w:r>
        <w:rPr>
          <w:noProof/>
        </w:rPr>
        <w:t xml:space="preserve"> v </w:t>
      </w:r>
      <w:r w:rsidR="004B472A" w:rsidRPr="006051E3">
        <w:rPr>
          <w:noProof/>
        </w:rPr>
        <w:t>Únii poskytuje informácie orgánu pre riešenie krízových situácií, pričom zohľadňuje objem</w:t>
      </w:r>
      <w:r>
        <w:rPr>
          <w:noProof/>
        </w:rPr>
        <w:t xml:space="preserve"> a </w:t>
      </w:r>
      <w:r w:rsidR="004B472A" w:rsidRPr="006051E3">
        <w:rPr>
          <w:noProof/>
        </w:rPr>
        <w:t>zložitosť požadovaných informácií;</w:t>
      </w:r>
    </w:p>
    <w:p w:rsidR="004B472A" w:rsidRPr="006051E3" w:rsidRDefault="006051E3" w:rsidP="006051E3">
      <w:pPr>
        <w:pStyle w:val="Point1"/>
        <w:rPr>
          <w:noProof/>
        </w:rPr>
      </w:pPr>
      <w:r>
        <w:rPr>
          <w:noProof/>
        </w:rPr>
        <w:t>c)</w:t>
      </w:r>
      <w:r>
        <w:rPr>
          <w:noProof/>
        </w:rPr>
        <w:tab/>
      </w:r>
      <w:r w:rsidR="004B472A" w:rsidRPr="006051E3">
        <w:rPr>
          <w:noProof/>
        </w:rPr>
        <w:t>stanovuje formát, ktorý majú používať inštitúcie alebo</w:t>
      </w:r>
      <w:r>
        <w:rPr>
          <w:noProof/>
        </w:rPr>
        <w:t xml:space="preserve"> v </w:t>
      </w:r>
      <w:r w:rsidR="004B472A" w:rsidRPr="006051E3">
        <w:rPr>
          <w:noProof/>
        </w:rPr>
        <w:t>prípade skupín materské spoločnosti</w:t>
      </w:r>
      <w:r>
        <w:rPr>
          <w:noProof/>
        </w:rPr>
        <w:t xml:space="preserve"> v </w:t>
      </w:r>
      <w:r w:rsidR="004B472A" w:rsidRPr="006051E3">
        <w:rPr>
          <w:noProof/>
        </w:rPr>
        <w:t>Únii pri poskytovaní informácií orgánu pre riešenie krízových situácií;</w:t>
      </w:r>
    </w:p>
    <w:p w:rsidR="004B472A" w:rsidRPr="006051E3" w:rsidRDefault="006051E3" w:rsidP="006051E3">
      <w:pPr>
        <w:pStyle w:val="Point1"/>
        <w:rPr>
          <w:noProof/>
        </w:rPr>
      </w:pPr>
      <w:r>
        <w:rPr>
          <w:noProof/>
        </w:rPr>
        <w:t>d)</w:t>
      </w:r>
      <w:r>
        <w:rPr>
          <w:noProof/>
        </w:rPr>
        <w:tab/>
      </w:r>
      <w:r w:rsidR="004B472A" w:rsidRPr="006051E3">
        <w:rPr>
          <w:noProof/>
        </w:rPr>
        <w:t>stanovuje, či sa informácie musia poskytovať na individuálnom, subkonsolidovanom alebo konsolidovanom základe, ako aj či je ich rozsah miestny, celoúniový alebo globálny;</w:t>
      </w:r>
    </w:p>
    <w:p w:rsidR="004B472A" w:rsidRPr="006051E3" w:rsidRDefault="006051E3" w:rsidP="006051E3">
      <w:pPr>
        <w:pStyle w:val="Point1"/>
        <w:rPr>
          <w:noProof/>
        </w:rPr>
      </w:pPr>
      <w:r>
        <w:rPr>
          <w:noProof/>
        </w:rPr>
        <w:t>e)</w:t>
      </w:r>
      <w:r>
        <w:rPr>
          <w:noProof/>
        </w:rPr>
        <w:tab/>
      </w:r>
      <w:r w:rsidR="004B472A" w:rsidRPr="006051E3">
        <w:rPr>
          <w:noProof/>
        </w:rPr>
        <w:t>stanovuje presného príjemcu, formáty výmeny údajov</w:t>
      </w:r>
      <w:r>
        <w:rPr>
          <w:noProof/>
        </w:rPr>
        <w:t xml:space="preserve"> a </w:t>
      </w:r>
      <w:r w:rsidR="004B472A" w:rsidRPr="006051E3">
        <w:rPr>
          <w:noProof/>
        </w:rPr>
        <w:t>informácie, ktoré sa majú priložiť</w:t>
      </w:r>
      <w:r>
        <w:rPr>
          <w:noProof/>
        </w:rPr>
        <w:t xml:space="preserve"> k </w:t>
      </w:r>
      <w:r w:rsidR="004B472A" w:rsidRPr="006051E3">
        <w:rPr>
          <w:noProof/>
        </w:rPr>
        <w:t>predkladaným údajom, ak sa majú poskytovať dodatočné informácie.</w:t>
      </w:r>
    </w:p>
    <w:p w:rsidR="004B472A" w:rsidRPr="006051E3" w:rsidRDefault="004B472A" w:rsidP="00184085">
      <w:pPr>
        <w:pStyle w:val="Titrearticle"/>
        <w:rPr>
          <w:noProof/>
        </w:rPr>
      </w:pPr>
      <w:r w:rsidRPr="006051E3">
        <w:rPr>
          <w:noProof/>
        </w:rPr>
        <w:t>Článok 9</w:t>
      </w:r>
    </w:p>
    <w:p w:rsidR="004B472A" w:rsidRPr="006051E3" w:rsidRDefault="004B472A" w:rsidP="00184085">
      <w:pPr>
        <w:pStyle w:val="Titrearticle"/>
        <w:spacing w:before="0"/>
        <w:rPr>
          <w:b/>
          <w:bCs/>
          <w:i w:val="0"/>
          <w:iCs/>
          <w:noProof/>
        </w:rPr>
      </w:pPr>
      <w:r w:rsidRPr="006051E3">
        <w:rPr>
          <w:b/>
          <w:i w:val="0"/>
          <w:noProof/>
        </w:rPr>
        <w:t>Spolupráca medzi príslušnými orgánmi</w:t>
      </w:r>
      <w:r w:rsidR="006051E3">
        <w:rPr>
          <w:b/>
          <w:i w:val="0"/>
          <w:noProof/>
        </w:rPr>
        <w:t xml:space="preserve"> a </w:t>
      </w:r>
      <w:r w:rsidRPr="006051E3">
        <w:rPr>
          <w:b/>
          <w:i w:val="0"/>
          <w:noProof/>
        </w:rPr>
        <w:t>orgánmi pre riešenie krízových situácií</w:t>
      </w:r>
    </w:p>
    <w:p w:rsidR="004B472A" w:rsidRPr="006051E3" w:rsidRDefault="000F7F38" w:rsidP="000F7F38">
      <w:pPr>
        <w:pStyle w:val="ManualNumPar1"/>
        <w:rPr>
          <w:noProof/>
        </w:rPr>
      </w:pPr>
      <w:r w:rsidRPr="000F7F38">
        <w:rPr>
          <w:noProof/>
        </w:rPr>
        <w:t>1.</w:t>
      </w:r>
      <w:r w:rsidRPr="000F7F38">
        <w:rPr>
          <w:noProof/>
        </w:rPr>
        <w:tab/>
      </w:r>
      <w:r w:rsidR="004B472A" w:rsidRPr="006051E3">
        <w:rPr>
          <w:noProof/>
        </w:rPr>
        <w:t>Príslušné orgány</w:t>
      </w:r>
      <w:r w:rsidR="006051E3">
        <w:rPr>
          <w:noProof/>
        </w:rPr>
        <w:t xml:space="preserve"> a </w:t>
      </w:r>
      <w:r w:rsidR="004B472A" w:rsidRPr="006051E3">
        <w:rPr>
          <w:noProof/>
        </w:rPr>
        <w:t>orgány pre riešenie krízových situácií spoločne overujú, či niektoré alebo všetky informácie, ktoré sa majú poskytnúť orgánu pre riešenie krízových situácií podľa článkov 2 až 5</w:t>
      </w:r>
      <w:r w:rsidR="006051E3">
        <w:rPr>
          <w:noProof/>
        </w:rPr>
        <w:t xml:space="preserve"> a </w:t>
      </w:r>
      <w:r w:rsidR="004B472A" w:rsidRPr="006051E3">
        <w:rPr>
          <w:noProof/>
        </w:rPr>
        <w:t>článkov 7</w:t>
      </w:r>
      <w:r w:rsidR="006051E3">
        <w:rPr>
          <w:noProof/>
        </w:rPr>
        <w:t xml:space="preserve"> a </w:t>
      </w:r>
      <w:r w:rsidR="004B472A" w:rsidRPr="006051E3">
        <w:rPr>
          <w:noProof/>
        </w:rPr>
        <w:t>8, už sú</w:t>
      </w:r>
      <w:r w:rsidR="006051E3">
        <w:rPr>
          <w:noProof/>
        </w:rPr>
        <w:t xml:space="preserve"> k </w:t>
      </w:r>
      <w:r w:rsidR="004B472A" w:rsidRPr="006051E3">
        <w:rPr>
          <w:noProof/>
        </w:rPr>
        <w:t>dispozícii príslušnému orgánu.</w:t>
      </w:r>
    </w:p>
    <w:p w:rsidR="006051E3" w:rsidRDefault="000F7F38" w:rsidP="000F7F38">
      <w:pPr>
        <w:pStyle w:val="ManualNumPar1"/>
        <w:rPr>
          <w:noProof/>
        </w:rPr>
      </w:pPr>
      <w:r w:rsidRPr="000F7F38">
        <w:rPr>
          <w:noProof/>
        </w:rPr>
        <w:t>2.</w:t>
      </w:r>
      <w:r w:rsidRPr="000F7F38">
        <w:rPr>
          <w:noProof/>
        </w:rPr>
        <w:tab/>
      </w:r>
      <w:r w:rsidR="004B472A" w:rsidRPr="006051E3">
        <w:rPr>
          <w:noProof/>
        </w:rPr>
        <w:t>Ak niektoré alebo všetky informácie už sú</w:t>
      </w:r>
      <w:r w:rsidR="006051E3">
        <w:rPr>
          <w:noProof/>
        </w:rPr>
        <w:t xml:space="preserve"> k </w:t>
      </w:r>
      <w:r w:rsidR="004B472A" w:rsidRPr="006051E3">
        <w:rPr>
          <w:noProof/>
        </w:rPr>
        <w:t>dispozícii príslušnému orgánu, uvedený orgán včas poskytne takéto informácie orgánu pre riešenie krízových situácií</w:t>
      </w:r>
      <w:r w:rsidR="006051E3">
        <w:rPr>
          <w:noProof/>
        </w:rPr>
        <w:t>.</w:t>
      </w:r>
    </w:p>
    <w:p w:rsidR="004B472A" w:rsidRPr="006051E3" w:rsidRDefault="000F7F38" w:rsidP="000F7F38">
      <w:pPr>
        <w:pStyle w:val="ManualNumPar1"/>
        <w:rPr>
          <w:noProof/>
        </w:rPr>
      </w:pPr>
      <w:r w:rsidRPr="000F7F38">
        <w:rPr>
          <w:noProof/>
        </w:rPr>
        <w:t>3.</w:t>
      </w:r>
      <w:r w:rsidRPr="000F7F38">
        <w:rPr>
          <w:noProof/>
        </w:rPr>
        <w:tab/>
      </w:r>
      <w:r w:rsidR="00914032" w:rsidRPr="006051E3">
        <w:rPr>
          <w:noProof/>
        </w:rPr>
        <w:t>Na účely odseku 2 orgány pre riešenie krízových situácií informujú inštitúcie alebo</w:t>
      </w:r>
      <w:r w:rsidR="006051E3">
        <w:rPr>
          <w:noProof/>
        </w:rPr>
        <w:t xml:space="preserve"> v </w:t>
      </w:r>
      <w:r w:rsidR="00914032" w:rsidRPr="006051E3">
        <w:rPr>
          <w:noProof/>
        </w:rPr>
        <w:t>prípade skupín materské spoločnosti</w:t>
      </w:r>
      <w:r w:rsidR="006051E3">
        <w:rPr>
          <w:noProof/>
        </w:rPr>
        <w:t xml:space="preserve"> v </w:t>
      </w:r>
      <w:r w:rsidR="00914032" w:rsidRPr="006051E3">
        <w:rPr>
          <w:noProof/>
        </w:rPr>
        <w:t>Únii</w:t>
      </w:r>
      <w:r w:rsidR="006051E3">
        <w:rPr>
          <w:noProof/>
        </w:rPr>
        <w:t xml:space="preserve"> o </w:t>
      </w:r>
      <w:r w:rsidR="00914032" w:rsidRPr="006051E3">
        <w:rPr>
          <w:noProof/>
        </w:rPr>
        <w:t>tom, ktoré informácie majú byť zahrnuté do predkladania informácií podľa tohto nariadenia. Orgány pre riešenie krízových situácií identifikujú dané informácie odkazom na vzory stanovené</w:t>
      </w:r>
      <w:r w:rsidR="006051E3">
        <w:rPr>
          <w:noProof/>
        </w:rPr>
        <w:t xml:space="preserve"> v </w:t>
      </w:r>
      <w:r w:rsidR="00914032" w:rsidRPr="006051E3">
        <w:rPr>
          <w:noProof/>
        </w:rPr>
        <w:t>prílohe I.</w:t>
      </w:r>
    </w:p>
    <w:p w:rsidR="004B472A" w:rsidRPr="006051E3" w:rsidRDefault="004B472A" w:rsidP="00184085">
      <w:pPr>
        <w:pStyle w:val="Titrearticle"/>
        <w:rPr>
          <w:noProof/>
        </w:rPr>
      </w:pPr>
      <w:r w:rsidRPr="006051E3">
        <w:rPr>
          <w:noProof/>
        </w:rPr>
        <w:t>Článok 10</w:t>
      </w:r>
    </w:p>
    <w:p w:rsidR="004B472A" w:rsidRPr="006051E3" w:rsidRDefault="004B472A" w:rsidP="00184085">
      <w:pPr>
        <w:pStyle w:val="Titrearticle"/>
        <w:spacing w:before="0"/>
        <w:rPr>
          <w:b/>
          <w:bCs/>
          <w:i w:val="0"/>
          <w:iCs/>
          <w:noProof/>
        </w:rPr>
      </w:pPr>
      <w:r w:rsidRPr="006051E3">
        <w:rPr>
          <w:b/>
          <w:i w:val="0"/>
          <w:noProof/>
        </w:rPr>
        <w:t>Zrušenie</w:t>
      </w:r>
    </w:p>
    <w:p w:rsidR="004B472A" w:rsidRPr="006051E3" w:rsidRDefault="004B472A" w:rsidP="00184085">
      <w:pPr>
        <w:rPr>
          <w:noProof/>
        </w:rPr>
      </w:pPr>
      <w:r w:rsidRPr="006051E3">
        <w:rPr>
          <w:noProof/>
        </w:rPr>
        <w:t>Vykonávacie nariadenie (EÚ) 2018/1624 sa zrušuje.</w:t>
      </w:r>
    </w:p>
    <w:p w:rsidR="004B472A" w:rsidRPr="006051E3" w:rsidRDefault="004B472A" w:rsidP="00184085">
      <w:pPr>
        <w:rPr>
          <w:noProof/>
        </w:rPr>
      </w:pPr>
      <w:r w:rsidRPr="006051E3">
        <w:rPr>
          <w:noProof/>
        </w:rPr>
        <w:t>Odkazy na zrušené vykonávacie nariadenie sa považujú za odkazy na toto nariadenie.</w:t>
      </w:r>
    </w:p>
    <w:p w:rsidR="00860655" w:rsidRPr="006051E3" w:rsidRDefault="00860655" w:rsidP="00184085">
      <w:pPr>
        <w:pStyle w:val="Titrearticle"/>
        <w:rPr>
          <w:noProof/>
        </w:rPr>
      </w:pPr>
      <w:r w:rsidRPr="006051E3">
        <w:rPr>
          <w:noProof/>
        </w:rPr>
        <w:t>Článok 11</w:t>
      </w:r>
    </w:p>
    <w:p w:rsidR="004B472A" w:rsidRPr="006051E3" w:rsidRDefault="004B472A" w:rsidP="00184085">
      <w:pPr>
        <w:pStyle w:val="Titrearticle"/>
        <w:spacing w:before="0"/>
        <w:rPr>
          <w:b/>
          <w:bCs/>
          <w:i w:val="0"/>
          <w:iCs/>
          <w:noProof/>
        </w:rPr>
      </w:pPr>
      <w:r w:rsidRPr="006051E3">
        <w:rPr>
          <w:b/>
          <w:i w:val="0"/>
          <w:noProof/>
        </w:rPr>
        <w:t>Nadobudnutie účinnosti</w:t>
      </w:r>
    </w:p>
    <w:p w:rsidR="00860655" w:rsidRPr="006051E3" w:rsidRDefault="00860655" w:rsidP="00184085">
      <w:pPr>
        <w:rPr>
          <w:noProof/>
        </w:rPr>
      </w:pPr>
      <w:r w:rsidRPr="006051E3">
        <w:rPr>
          <w:noProof/>
        </w:rPr>
        <w:t>Toto nariadenie nadobúda účinnosť dvadsiatym dňom nasledujúcim po jeho uverejnení</w:t>
      </w:r>
      <w:r w:rsidR="006051E3">
        <w:rPr>
          <w:noProof/>
        </w:rPr>
        <w:t xml:space="preserve"> v </w:t>
      </w:r>
      <w:r w:rsidRPr="006051E3">
        <w:rPr>
          <w:i/>
          <w:noProof/>
        </w:rPr>
        <w:t>Úradnom vestníku Európskej únie</w:t>
      </w:r>
      <w:r w:rsidRPr="006051E3">
        <w:rPr>
          <w:noProof/>
        </w:rPr>
        <w:t>.</w:t>
      </w:r>
    </w:p>
    <w:p w:rsidR="00860655" w:rsidRPr="006051E3" w:rsidRDefault="00860655" w:rsidP="00184085">
      <w:pPr>
        <w:pStyle w:val="Applicationdirecte"/>
        <w:rPr>
          <w:noProof/>
        </w:rPr>
      </w:pPr>
      <w:r w:rsidRPr="006051E3">
        <w:rPr>
          <w:noProof/>
        </w:rPr>
        <w:t>Toto nariadenie je záväzné</w:t>
      </w:r>
      <w:r w:rsidR="006051E3">
        <w:rPr>
          <w:noProof/>
        </w:rPr>
        <w:t xml:space="preserve"> v </w:t>
      </w:r>
      <w:r w:rsidRPr="006051E3">
        <w:rPr>
          <w:noProof/>
        </w:rPr>
        <w:t>celom rozsahu</w:t>
      </w:r>
      <w:r w:rsidR="006051E3">
        <w:rPr>
          <w:noProof/>
        </w:rPr>
        <w:t xml:space="preserve"> a </w:t>
      </w:r>
      <w:r w:rsidRPr="006051E3">
        <w:rPr>
          <w:noProof/>
        </w:rPr>
        <w:t>priamo uplatniteľné vo všetkých členských štátoch.</w:t>
      </w:r>
    </w:p>
    <w:p w:rsidR="00860655" w:rsidRPr="006051E3" w:rsidRDefault="002A0967" w:rsidP="00F05B79">
      <w:pPr>
        <w:pStyle w:val="Fait"/>
        <w:rPr>
          <w:noProof/>
        </w:rPr>
      </w:pPr>
      <w:r>
        <w:rPr>
          <w:noProof/>
        </w:rPr>
        <w:t>V Bruseli 14. 11. 2025</w:t>
      </w:r>
    </w:p>
    <w:p w:rsidR="00860655" w:rsidRPr="006051E3" w:rsidRDefault="00860655" w:rsidP="00F05B79">
      <w:pPr>
        <w:pStyle w:val="Institutionquisigne"/>
        <w:rPr>
          <w:noProof/>
        </w:rPr>
      </w:pPr>
      <w:r w:rsidRPr="006051E3">
        <w:rPr>
          <w:noProof/>
        </w:rPr>
        <w:tab/>
        <w:t>Za Komisiu</w:t>
      </w:r>
    </w:p>
    <w:p w:rsidR="00860655" w:rsidRPr="006051E3" w:rsidRDefault="00936A08" w:rsidP="00184085">
      <w:pPr>
        <w:pStyle w:val="Personnequisigne"/>
        <w:rPr>
          <w:noProof/>
        </w:rPr>
      </w:pPr>
      <w:r>
        <w:rPr>
          <w:noProof/>
        </w:rPr>
        <w:tab/>
        <w:t>predsedníčka</w:t>
      </w:r>
      <w:r>
        <w:rPr>
          <w:noProof/>
        </w:rPr>
        <w:br/>
      </w:r>
      <w:r>
        <w:rPr>
          <w:noProof/>
        </w:rPr>
        <w:tab/>
        <w:t>Ursula VON DER LEYEN</w:t>
      </w:r>
    </w:p>
    <w:sectPr w:rsidR="00860655" w:rsidRPr="006051E3" w:rsidSect="0042658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Pr="00426586" w:rsidRDefault="00426586" w:rsidP="00426586">
    <w:pPr>
      <w:pStyle w:val="Footer"/>
      <w:rPr>
        <w:rFonts w:ascii="Arial" w:hAnsi="Arial" w:cs="Arial"/>
        <w:b/>
        <w:sz w:val="48"/>
      </w:rPr>
    </w:pPr>
    <w:r w:rsidRPr="00426586">
      <w:rPr>
        <w:rFonts w:ascii="Arial" w:hAnsi="Arial" w:cs="Arial"/>
        <w:b/>
        <w:sz w:val="48"/>
      </w:rPr>
      <w:t>SK</w:t>
    </w:r>
    <w:r w:rsidRPr="00426586">
      <w:rPr>
        <w:rFonts w:ascii="Arial" w:hAnsi="Arial" w:cs="Arial"/>
        <w:b/>
        <w:sz w:val="48"/>
      </w:rPr>
      <w:tab/>
    </w:r>
    <w:r w:rsidRPr="00426586">
      <w:rPr>
        <w:rFonts w:ascii="Arial" w:hAnsi="Arial" w:cs="Arial"/>
        <w:b/>
        <w:sz w:val="48"/>
      </w:rPr>
      <w:tab/>
    </w:r>
    <w:r w:rsidRPr="00426586">
      <w:tab/>
    </w:r>
    <w:r w:rsidRPr="00426586">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Pr="00426586" w:rsidRDefault="00426586" w:rsidP="00426586">
    <w:pPr>
      <w:pStyle w:val="Footer"/>
      <w:rPr>
        <w:rFonts w:ascii="Arial" w:hAnsi="Arial" w:cs="Arial"/>
        <w:b/>
        <w:sz w:val="48"/>
      </w:rPr>
    </w:pPr>
    <w:r w:rsidRPr="00426586">
      <w:rPr>
        <w:rFonts w:ascii="Arial" w:hAnsi="Arial" w:cs="Arial"/>
        <w:b/>
        <w:sz w:val="48"/>
      </w:rPr>
      <w:t>SK</w:t>
    </w:r>
    <w:r w:rsidRPr="00426586">
      <w:rPr>
        <w:rFonts w:ascii="Arial" w:hAnsi="Arial" w:cs="Arial"/>
        <w:b/>
        <w:sz w:val="48"/>
      </w:rPr>
      <w:tab/>
    </w:r>
    <w:r w:rsidRPr="00426586">
      <w:rPr>
        <w:rFonts w:ascii="Arial" w:hAnsi="Arial" w:cs="Arial"/>
        <w:b/>
        <w:sz w:val="48"/>
      </w:rPr>
      <w:tab/>
    </w:r>
    <w:r w:rsidRPr="00426586">
      <w:tab/>
    </w:r>
    <w:r w:rsidRPr="00426586">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Default="004265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Pr="00426586" w:rsidRDefault="00426586" w:rsidP="00426586">
    <w:pPr>
      <w:pStyle w:val="Footer"/>
      <w:rPr>
        <w:rFonts w:ascii="Arial" w:hAnsi="Arial" w:cs="Arial"/>
        <w:b/>
        <w:sz w:val="48"/>
      </w:rPr>
    </w:pPr>
    <w:r w:rsidRPr="00426586">
      <w:rPr>
        <w:rFonts w:ascii="Arial" w:hAnsi="Arial" w:cs="Arial"/>
        <w:b/>
        <w:sz w:val="48"/>
      </w:rPr>
      <w:t>SK</w:t>
    </w:r>
    <w:r w:rsidRPr="00426586">
      <w:rPr>
        <w:rFonts w:ascii="Arial" w:hAnsi="Arial" w:cs="Arial"/>
        <w:b/>
        <w:sz w:val="48"/>
      </w:rPr>
      <w:tab/>
    </w:r>
    <w:r>
      <w:fldChar w:fldCharType="begin"/>
    </w:r>
    <w:r>
      <w:instrText xml:space="preserve"> PAGE  \* MERGEFORMAT </w:instrText>
    </w:r>
    <w:r>
      <w:fldChar w:fldCharType="separate"/>
    </w:r>
    <w:r w:rsidR="00F05B79">
      <w:rPr>
        <w:noProof/>
      </w:rPr>
      <w:t>10</w:t>
    </w:r>
    <w:r>
      <w:fldChar w:fldCharType="end"/>
    </w:r>
    <w:r>
      <w:tab/>
    </w:r>
    <w:r w:rsidRPr="00426586">
      <w:tab/>
    </w:r>
    <w:r w:rsidRPr="00426586">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Default="00426586" w:rsidP="0042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6051E3" w:rsidRDefault="00860655" w:rsidP="00730DBE">
      <w:pPr>
        <w:pStyle w:val="FootnoteText"/>
      </w:pPr>
      <w:r w:rsidRPr="006051E3">
        <w:rPr>
          <w:rStyle w:val="FootnoteReference"/>
        </w:rPr>
        <w:footnoteRef/>
      </w:r>
      <w:r w:rsidRPr="006051E3">
        <w:tab/>
        <w:t>Ú. v. EÚ L 173, 12.6.2014, s. 190, ELI: http://data.europa.eu/eli/dir/2014/59/oj.</w:t>
      </w:r>
    </w:p>
  </w:footnote>
  <w:footnote w:id="3">
    <w:p w:rsidR="00736C47" w:rsidRPr="006051E3" w:rsidRDefault="00736C47">
      <w:pPr>
        <w:pStyle w:val="FootnoteText"/>
      </w:pPr>
      <w:r w:rsidRPr="006051E3">
        <w:rPr>
          <w:rStyle w:val="FootnoteReference"/>
        </w:rPr>
        <w:footnoteRef/>
      </w:r>
      <w:r w:rsidRPr="006051E3">
        <w:tab/>
        <w:t>Vykonávacie nariadenie Komisie (EÚ) 2018/1624</w:t>
      </w:r>
      <w:r w:rsidR="006051E3">
        <w:t xml:space="preserve"> z </w:t>
      </w:r>
      <w:r w:rsidRPr="006051E3">
        <w:t>23</w:t>
      </w:r>
      <w:r w:rsidR="006051E3">
        <w:t>. októbra</w:t>
      </w:r>
      <w:r w:rsidRPr="006051E3">
        <w:t xml:space="preserve"> 2018, ktorým sa stanovujú vykonávacie technické predpisy, pokiaľ ide</w:t>
      </w:r>
      <w:r w:rsidR="006051E3">
        <w:t xml:space="preserve"> o </w:t>
      </w:r>
      <w:r w:rsidRPr="006051E3">
        <w:t>postupy, štandardné formy</w:t>
      </w:r>
      <w:r w:rsidR="006051E3">
        <w:t xml:space="preserve"> a </w:t>
      </w:r>
      <w:r w:rsidRPr="006051E3">
        <w:t>vzory na poskytovanie informácií na účely plánov riešenia krízových situácií pre úverové inštitúcie</w:t>
      </w:r>
      <w:r w:rsidR="006051E3">
        <w:t xml:space="preserve"> a </w:t>
      </w:r>
      <w:r w:rsidRPr="006051E3">
        <w:t>investičné spoločnosti podľa smernice Európskeho parlamentu</w:t>
      </w:r>
      <w:r w:rsidR="006051E3">
        <w:t xml:space="preserve"> a </w:t>
      </w:r>
      <w:r w:rsidRPr="006051E3">
        <w:t>Rady 2014/59/EÚ,</w:t>
      </w:r>
      <w:r w:rsidR="006051E3">
        <w:t xml:space="preserve"> a </w:t>
      </w:r>
      <w:r w:rsidRPr="006051E3">
        <w:t>ktorým sa zrušuje vykonávacie nariadenie Komisie (EÚ) 2016/1066 (Ú. v. EÚ L 277, 7.11.2018, s. 1, ELI: http://data.europa.eu/eli/reg_impl/2018/1624/oj).</w:t>
      </w:r>
    </w:p>
  </w:footnote>
  <w:footnote w:id="4">
    <w:p w:rsidR="00736C47" w:rsidRPr="006051E3" w:rsidRDefault="00736C47">
      <w:pPr>
        <w:pStyle w:val="FootnoteText"/>
      </w:pPr>
      <w:r w:rsidRPr="006051E3">
        <w:rPr>
          <w:rStyle w:val="FootnoteReference"/>
        </w:rPr>
        <w:footnoteRef/>
      </w:r>
      <w:r w:rsidRPr="006051E3">
        <w:tab/>
        <w:t>Smernica Európskeho parlamentu</w:t>
      </w:r>
      <w:r w:rsidR="006051E3">
        <w:t xml:space="preserve"> a </w:t>
      </w:r>
      <w:r w:rsidRPr="006051E3">
        <w:t>Rady (EÚ) 2024/1174</w:t>
      </w:r>
      <w:r w:rsidR="006051E3">
        <w:t xml:space="preserve"> z </w:t>
      </w:r>
      <w:r w:rsidRPr="006051E3">
        <w:t>11</w:t>
      </w:r>
      <w:r w:rsidR="006051E3">
        <w:t>. apríla</w:t>
      </w:r>
      <w:r w:rsidRPr="006051E3">
        <w:t xml:space="preserve"> 2024, ktorou sa mení smernica 2014/59/EÚ</w:t>
      </w:r>
      <w:r w:rsidR="006051E3">
        <w:t xml:space="preserve"> a </w:t>
      </w:r>
      <w:r w:rsidRPr="006051E3">
        <w:t xml:space="preserve">nariadenie (EÚ) </w:t>
      </w:r>
      <w:r w:rsidR="006051E3">
        <w:t>č. </w:t>
      </w:r>
      <w:r w:rsidRPr="006051E3">
        <w:t>806/2014, pokiaľ ide</w:t>
      </w:r>
      <w:r w:rsidR="006051E3">
        <w:t xml:space="preserve"> o </w:t>
      </w:r>
      <w:r w:rsidRPr="006051E3">
        <w:t>určité aspekty minimálnej požiadavky na vlastné zdroje</w:t>
      </w:r>
      <w:r w:rsidR="006051E3">
        <w:t xml:space="preserve"> a </w:t>
      </w:r>
      <w:r w:rsidRPr="006051E3">
        <w:t>oprávnené záväzky (Ú. v. EÚ L 2024/1174, 22.4.2024, s. 1, ELI: http://data.europa.eu/eli/dir/2024/1174/oj).</w:t>
      </w:r>
    </w:p>
  </w:footnote>
  <w:footnote w:id="5">
    <w:p w:rsidR="00736C47" w:rsidRPr="006051E3" w:rsidRDefault="00736C47">
      <w:pPr>
        <w:pStyle w:val="FootnoteText"/>
      </w:pPr>
      <w:r w:rsidRPr="006051E3">
        <w:rPr>
          <w:rStyle w:val="FootnoteReference"/>
        </w:rPr>
        <w:footnoteRef/>
      </w:r>
      <w:r w:rsidRPr="006051E3">
        <w:tab/>
        <w:t>Nariadenie Európskeho parlamentu</w:t>
      </w:r>
      <w:r w:rsidR="006051E3">
        <w:t xml:space="preserve"> a </w:t>
      </w:r>
      <w:r w:rsidRPr="006051E3">
        <w:t xml:space="preserve">Rady (EÚ) </w:t>
      </w:r>
      <w:r w:rsidR="006051E3">
        <w:t>č. </w:t>
      </w:r>
      <w:r w:rsidRPr="006051E3">
        <w:t>1093/2010</w:t>
      </w:r>
      <w:r w:rsidR="006051E3">
        <w:t xml:space="preserve"> z </w:t>
      </w:r>
      <w:r w:rsidRPr="006051E3">
        <w:t>24</w:t>
      </w:r>
      <w:r w:rsidR="006051E3">
        <w:t>. novembra</w:t>
      </w:r>
      <w:r w:rsidRPr="006051E3">
        <w:t xml:space="preserve"> 2010, ktorým sa zriaďuje Európsky orgán dohľadu (Európsky orgán pre bankovníctvo)</w:t>
      </w:r>
      <w:r w:rsidR="006051E3">
        <w:t xml:space="preserve"> a </w:t>
      </w:r>
      <w:r w:rsidRPr="006051E3">
        <w:t>ktorým sa mení</w:t>
      </w:r>
      <w:r w:rsidR="006051E3">
        <w:t xml:space="preserve"> a </w:t>
      </w:r>
      <w:r w:rsidRPr="006051E3">
        <w:t xml:space="preserve">dopĺňa rozhodnutie </w:t>
      </w:r>
      <w:r w:rsidR="006051E3">
        <w:t>č. </w:t>
      </w:r>
      <w:r w:rsidRPr="006051E3">
        <w:t>716/2009/ES</w:t>
      </w:r>
      <w:r w:rsidR="006051E3">
        <w:t xml:space="preserve"> a </w:t>
      </w:r>
      <w:r w:rsidRPr="006051E3">
        <w:t>zrušuje rozhodnutie Komisie 2009/78/ES (Ú. v. EÚ L 331, 15.12.2010, s. 12, ELI: http://data.europa.eu/eli/reg/2010/1093/oj).</w:t>
      </w:r>
    </w:p>
  </w:footnote>
  <w:footnote w:id="6">
    <w:p w:rsidR="00736C47" w:rsidRPr="006051E3" w:rsidRDefault="00736C47">
      <w:pPr>
        <w:pStyle w:val="FootnoteText"/>
      </w:pPr>
      <w:r w:rsidRPr="006051E3">
        <w:rPr>
          <w:rStyle w:val="FootnoteReference"/>
        </w:rPr>
        <w:footnoteRef/>
      </w:r>
      <w:r w:rsidRPr="006051E3">
        <w:tab/>
        <w:t>Nariadenie Európskeho parlamentu</w:t>
      </w:r>
      <w:r w:rsidR="006051E3">
        <w:t xml:space="preserve"> a </w:t>
      </w:r>
      <w:r w:rsidRPr="006051E3">
        <w:t xml:space="preserve">Rady (EÚ) </w:t>
      </w:r>
      <w:r w:rsidR="006051E3">
        <w:t>č. </w:t>
      </w:r>
      <w:r w:rsidRPr="006051E3">
        <w:t>575/2013</w:t>
      </w:r>
      <w:r w:rsidR="006051E3">
        <w:t xml:space="preserve"> z </w:t>
      </w:r>
      <w:r w:rsidRPr="006051E3">
        <w:t>26</w:t>
      </w:r>
      <w:r w:rsidR="006051E3">
        <w:t>. júna</w:t>
      </w:r>
      <w:r w:rsidRPr="006051E3">
        <w:t xml:space="preserve"> 2013</w:t>
      </w:r>
      <w:r w:rsidR="006051E3">
        <w:t xml:space="preserve"> o </w:t>
      </w:r>
      <w:r w:rsidRPr="006051E3">
        <w:t>prudenciálnych požiadavkách na úverové inštitúcie</w:t>
      </w:r>
      <w:r w:rsidR="006051E3">
        <w:t xml:space="preserve"> a o </w:t>
      </w:r>
      <w:r w:rsidRPr="006051E3">
        <w:t xml:space="preserve">zmene nariadenia (EÚ) </w:t>
      </w:r>
      <w:r w:rsidR="006051E3">
        <w:t>č. </w:t>
      </w:r>
      <w:r w:rsidRPr="006051E3">
        <w:t>648/2012 (Ú. v. EÚ L 176, 27.6.2013, s. 1, ELI: http://data.europa.eu/eli/reg/2013/575/oj).</w:t>
      </w:r>
    </w:p>
  </w:footnote>
  <w:footnote w:id="7">
    <w:p w:rsidR="00736C47" w:rsidRPr="006051E3" w:rsidRDefault="00736C47">
      <w:pPr>
        <w:pStyle w:val="FootnoteText"/>
      </w:pPr>
      <w:r w:rsidRPr="006051E3">
        <w:rPr>
          <w:rStyle w:val="FootnoteReference"/>
        </w:rPr>
        <w:footnoteRef/>
      </w:r>
      <w:r w:rsidRPr="006051E3">
        <w:tab/>
        <w:t>Smernica Európskeho parlamentu</w:t>
      </w:r>
      <w:r w:rsidR="006051E3">
        <w:t xml:space="preserve"> a </w:t>
      </w:r>
      <w:r w:rsidRPr="006051E3">
        <w:t>Rady 2013/36/EÚ</w:t>
      </w:r>
      <w:r w:rsidR="006051E3">
        <w:t xml:space="preserve"> z </w:t>
      </w:r>
      <w:r w:rsidRPr="006051E3">
        <w:t>26</w:t>
      </w:r>
      <w:r w:rsidR="006051E3">
        <w:t>. júna</w:t>
      </w:r>
      <w:r w:rsidRPr="006051E3">
        <w:t xml:space="preserve"> 2013</w:t>
      </w:r>
      <w:r w:rsidR="006051E3">
        <w:t xml:space="preserve"> o </w:t>
      </w:r>
      <w:r w:rsidRPr="006051E3">
        <w:t>prístupe</w:t>
      </w:r>
      <w:r w:rsidR="006051E3">
        <w:t xml:space="preserve"> k </w:t>
      </w:r>
      <w:r w:rsidRPr="006051E3">
        <w:t>činnosti úverových inštitúcií</w:t>
      </w:r>
      <w:r w:rsidR="006051E3">
        <w:t xml:space="preserve"> a </w:t>
      </w:r>
      <w:r w:rsidRPr="006051E3">
        <w:t>prudenciálnom dohľade nad úverovými inštitúciami,</w:t>
      </w:r>
      <w:r w:rsidR="006051E3">
        <w:t xml:space="preserve"> o </w:t>
      </w:r>
      <w:r w:rsidRPr="006051E3">
        <w:t>zmene smernice 2002/87/ES</w:t>
      </w:r>
      <w:r w:rsidR="006051E3">
        <w:t xml:space="preserve"> a o </w:t>
      </w:r>
      <w:r w:rsidRPr="006051E3">
        <w:t>zrušení smerníc 2006/48/ES</w:t>
      </w:r>
      <w:r w:rsidR="006051E3">
        <w:t xml:space="preserve"> a </w:t>
      </w:r>
      <w:r w:rsidRPr="006051E3">
        <w:t>2006/49/ES (Ú. v. EÚ L 176, 27.6.2013, s. 338, ELI: http://data.europa.eu/eli/dir/2013/36/oj).</w:t>
      </w:r>
    </w:p>
  </w:footnote>
  <w:footnote w:id="8">
    <w:p w:rsidR="00736C47" w:rsidRPr="006051E3" w:rsidRDefault="00736C47">
      <w:pPr>
        <w:pStyle w:val="FootnoteText"/>
      </w:pPr>
      <w:r w:rsidRPr="006051E3">
        <w:rPr>
          <w:rStyle w:val="FootnoteReference"/>
        </w:rPr>
        <w:footnoteRef/>
      </w:r>
      <w:r w:rsidRPr="006051E3">
        <w:tab/>
        <w:t>Nariadenie Európskeho parlamentu</w:t>
      </w:r>
      <w:r w:rsidR="006051E3">
        <w:t xml:space="preserve"> a </w:t>
      </w:r>
      <w:r w:rsidRPr="006051E3">
        <w:t>Rady (EÚ) 2019/2033</w:t>
      </w:r>
      <w:r w:rsidR="006051E3">
        <w:t xml:space="preserve"> z </w:t>
      </w:r>
      <w:r w:rsidRPr="006051E3">
        <w:t>27</w:t>
      </w:r>
      <w:r w:rsidR="006051E3">
        <w:t>. novembra</w:t>
      </w:r>
      <w:r w:rsidRPr="006051E3">
        <w:t xml:space="preserve"> 2019</w:t>
      </w:r>
      <w:r w:rsidR="006051E3">
        <w:t xml:space="preserve"> o </w:t>
      </w:r>
      <w:r w:rsidRPr="006051E3">
        <w:t>prudenciálnych požiadavkách na investičné spoločnosti</w:t>
      </w:r>
      <w:r w:rsidR="006051E3">
        <w:t xml:space="preserve"> a o </w:t>
      </w:r>
      <w:r w:rsidRPr="006051E3">
        <w:t xml:space="preserve">zmene nariadení (EÚ) </w:t>
      </w:r>
      <w:r w:rsidR="006051E3">
        <w:t>č. </w:t>
      </w:r>
      <w:r w:rsidRPr="006051E3">
        <w:t xml:space="preserve">1093/2010, (EÚ) </w:t>
      </w:r>
      <w:r w:rsidR="006051E3">
        <w:t>č. </w:t>
      </w:r>
      <w:r w:rsidRPr="006051E3">
        <w:t xml:space="preserve">575/2013, (EÚ) </w:t>
      </w:r>
      <w:r w:rsidR="006051E3">
        <w:t>č. </w:t>
      </w:r>
      <w:r w:rsidRPr="006051E3">
        <w:t>600/2014</w:t>
      </w:r>
      <w:r w:rsidR="006051E3">
        <w:t xml:space="preserve"> a </w:t>
      </w:r>
      <w:r w:rsidRPr="006051E3">
        <w:t xml:space="preserve">(EÚ) </w:t>
      </w:r>
      <w:r w:rsidR="006051E3">
        <w:t>č. </w:t>
      </w:r>
      <w:r w:rsidRPr="006051E3">
        <w:t>806/2014 (Ú. v. EÚ L 314, 5.12.2019,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Default="00426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86" w:rsidRDefault="0042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6: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3A41516-C4BE-47BE-B86C-2504ECE058DE"/>
    <w:docVar w:name="LW_COVERPAGE_TYPE" w:val="1"/>
    <w:docVar w:name="LW_CreatedUtc" w:val="2025-04-09T13:24:10.7425134Z"/>
    <w:docVar w:name="LW_CROSSREFERENCE" w:val="&lt;UNUSED&gt;"/>
    <w:docVar w:name="LW_DATE.ADOPT.CP" w:val="z 14. 11. 2025,"/>
    <w:docVar w:name="LW_DATE.ADOPT.CP_DATEFORMAT" w:val="z %DATE%,"/>
    <w:docVar w:name="LW_DATE.ADOPT.CP_ISODATE" w:val="2025-11-14"/>
    <w:docVar w:name="LW_DocType" w:val="COM"/>
    <w:docVar w:name="LW_EMISSION" w:val="14. 11. 2025"/>
    <w:docVar w:name="LW_EMISSION_ISODATE" w:val="2025-11-14"/>
    <w:docVar w:name="LW_EMISSION_LOCATION" w:val="BRX"/>
    <w:docVar w:name="LW_EMISSION_PREFIX" w:val="V Bruseli"/>
    <w:docVar w:name="LW_EMISSION_SUFFIX" w:val=" "/>
    <w:docVar w:name="LW_ID_DOCMODEL" w:val="SJ-004"/>
    <w:docVar w:name="LW_ID_DOCSIGNATURE" w:val="SJ-004"/>
    <w:docVar w:name="LW_ID_DOCSTRUCTURE" w:val="COM/AA"/>
    <w:docVar w:name="LW_ID_DOCTYPE" w:val="SJ-004"/>
    <w:docVar w:name="LW_INTERETEEE.CP" w:val="(Text s významom pre EHP)"/>
    <w:docVar w:name="LW_LANGUE" w:val="SK"/>
    <w:docVar w:name="LW_LANGUESFAISANTFOI.CP" w:val="&lt;UNUSED&gt;"/>
    <w:docVar w:name="LW_LEVEL_OF_SENSITIVITY" w:val="Standard treatment"/>
    <w:docVar w:name="LW_NOM.INST" w:val="EURÓPSKA KOMISI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orým sa stanovujú vykonávacie technické predpisy, pokia\u318? ide o postupy, \u353?tandardné formy a vzory na poskytovanie informácií na ú\u269?ely plánov rie\u353?enia krízových situácií pre úverové in\u353?titúcie a investi\u269?né spolo\u269?nosti pod\u318?a smernice Európskeho parlamentu a Rady 2014/59/EÚ, a ktorým sa zru\u353?uje vykonávacie nariadenie Komisie (EÚ) 2018/1624"/>
    <w:docVar w:name="LW_TYPE.DOC.CP" w:val="VYKONÁVACIE NARIADENIE KOMISIE (EÚ) \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12C"/>
    <w:rsid w:val="000669F1"/>
    <w:rsid w:val="0007008A"/>
    <w:rsid w:val="0007047E"/>
    <w:rsid w:val="000707FA"/>
    <w:rsid w:val="0007248A"/>
    <w:rsid w:val="000727CE"/>
    <w:rsid w:val="0007402A"/>
    <w:rsid w:val="000754EB"/>
    <w:rsid w:val="000767F8"/>
    <w:rsid w:val="0008385B"/>
    <w:rsid w:val="0008510D"/>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0F7F38"/>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96FC9"/>
    <w:rsid w:val="002A0037"/>
    <w:rsid w:val="002A096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6586"/>
    <w:rsid w:val="00427E69"/>
    <w:rsid w:val="0043050E"/>
    <w:rsid w:val="004308A2"/>
    <w:rsid w:val="00430F7C"/>
    <w:rsid w:val="00433059"/>
    <w:rsid w:val="00434D8E"/>
    <w:rsid w:val="004357BF"/>
    <w:rsid w:val="00436F80"/>
    <w:rsid w:val="0043768A"/>
    <w:rsid w:val="00437AA5"/>
    <w:rsid w:val="00441165"/>
    <w:rsid w:val="00444367"/>
    <w:rsid w:val="004454FE"/>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20E"/>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A45C7"/>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051E3"/>
    <w:rsid w:val="00610E8E"/>
    <w:rsid w:val="00611E70"/>
    <w:rsid w:val="00611F25"/>
    <w:rsid w:val="00612BC5"/>
    <w:rsid w:val="00624324"/>
    <w:rsid w:val="006265C3"/>
    <w:rsid w:val="00626A19"/>
    <w:rsid w:val="00626D86"/>
    <w:rsid w:val="00626F10"/>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57FE5"/>
    <w:rsid w:val="007609C1"/>
    <w:rsid w:val="00761DB6"/>
    <w:rsid w:val="00765EED"/>
    <w:rsid w:val="007700C8"/>
    <w:rsid w:val="0077255A"/>
    <w:rsid w:val="00773331"/>
    <w:rsid w:val="00774809"/>
    <w:rsid w:val="0077575B"/>
    <w:rsid w:val="007757D4"/>
    <w:rsid w:val="00776EF4"/>
    <w:rsid w:val="0077775E"/>
    <w:rsid w:val="00777D73"/>
    <w:rsid w:val="00780B67"/>
    <w:rsid w:val="00781A0F"/>
    <w:rsid w:val="00781CC8"/>
    <w:rsid w:val="00782CA4"/>
    <w:rsid w:val="0078349B"/>
    <w:rsid w:val="00783A46"/>
    <w:rsid w:val="007876EA"/>
    <w:rsid w:val="00791412"/>
    <w:rsid w:val="007929CD"/>
    <w:rsid w:val="007932EF"/>
    <w:rsid w:val="00793E16"/>
    <w:rsid w:val="007945A5"/>
    <w:rsid w:val="00794C86"/>
    <w:rsid w:val="007A42DC"/>
    <w:rsid w:val="007A4E37"/>
    <w:rsid w:val="007A594B"/>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36A08"/>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B4242"/>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165E6"/>
    <w:rsid w:val="00C2013D"/>
    <w:rsid w:val="00C2185D"/>
    <w:rsid w:val="00C22E8F"/>
    <w:rsid w:val="00C266AB"/>
    <w:rsid w:val="00C26C17"/>
    <w:rsid w:val="00C34622"/>
    <w:rsid w:val="00C3622F"/>
    <w:rsid w:val="00C3685D"/>
    <w:rsid w:val="00C3731F"/>
    <w:rsid w:val="00C37740"/>
    <w:rsid w:val="00C40C01"/>
    <w:rsid w:val="00C4386D"/>
    <w:rsid w:val="00C4438B"/>
    <w:rsid w:val="00C460C5"/>
    <w:rsid w:val="00C50C85"/>
    <w:rsid w:val="00C524CE"/>
    <w:rsid w:val="00C56DE0"/>
    <w:rsid w:val="00C57A2B"/>
    <w:rsid w:val="00C60B7C"/>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516"/>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5A2E"/>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29B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5B79"/>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3597"/>
    <w:rsid w:val="00FD6440"/>
    <w:rsid w:val="00FE5C95"/>
    <w:rsid w:val="00FF13F1"/>
    <w:rsid w:val="00FF21F4"/>
    <w:rsid w:val="00FF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sk-SK"/>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sk-SK"/>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426586"/>
    <w:rPr>
      <w:rFonts w:ascii="Times New Roman" w:hAnsi="Times New Roman" w:cs="Times New Roman"/>
      <w:sz w:val="24"/>
      <w:lang w:val="sk-SK"/>
    </w:rPr>
  </w:style>
  <w:style w:type="character" w:customStyle="1" w:styleId="FooterChar">
    <w:name w:val="Footer Char"/>
    <w:basedOn w:val="DefaultParagraphFont"/>
    <w:link w:val="Footer"/>
    <w:uiPriority w:val="99"/>
    <w:rsid w:val="00426586"/>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2658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26586"/>
    <w:pPr>
      <w:spacing w:before="0"/>
      <w:jc w:val="right"/>
    </w:pPr>
    <w:rPr>
      <w:sz w:val="28"/>
    </w:rPr>
  </w:style>
  <w:style w:type="paragraph" w:customStyle="1" w:styleId="FooterSensitivity">
    <w:name w:val="Footer Sensitivity"/>
    <w:basedOn w:val="Normal"/>
    <w:rsid w:val="0042658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26586"/>
    <w:pPr>
      <w:tabs>
        <w:tab w:val="center" w:pos="4535"/>
        <w:tab w:val="right" w:pos="9071"/>
      </w:tabs>
      <w:spacing w:before="0"/>
    </w:pPr>
  </w:style>
  <w:style w:type="paragraph" w:customStyle="1" w:styleId="HeaderLandscape">
    <w:name w:val="HeaderLandscape"/>
    <w:basedOn w:val="Normal"/>
    <w:rsid w:val="00426586"/>
    <w:pPr>
      <w:tabs>
        <w:tab w:val="center" w:pos="7285"/>
        <w:tab w:val="right" w:pos="14003"/>
      </w:tabs>
      <w:spacing w:before="0"/>
    </w:pPr>
  </w:style>
  <w:style w:type="paragraph" w:styleId="Footer">
    <w:name w:val="footer"/>
    <w:basedOn w:val="Normal"/>
    <w:link w:val="FooterChar"/>
    <w:uiPriority w:val="99"/>
    <w:unhideWhenUsed/>
    <w:rsid w:val="0042658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2658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ABF85235-4B09-498E-BBC1-620CA58C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11</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61</cp:revision>
  <dcterms:created xsi:type="dcterms:W3CDTF">2025-08-04T13:17:00Z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