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330556" w:rsidRDefault="00117F6A" w:rsidP="00117F6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71E6F13-1009-4C0A-B00F-D11C8327122C" style="width:455.25pt;height:426pt">
            <v:imagedata r:id="rId10" o:title=""/>
          </v:shape>
        </w:pict>
      </w:r>
    </w:p>
    <w:p w:rsidR="00860655" w:rsidRPr="00330556" w:rsidRDefault="00860655" w:rsidP="00184085">
      <w:pPr>
        <w:rPr>
          <w:noProof/>
        </w:rPr>
        <w:sectPr w:rsidR="00860655" w:rsidRPr="00330556" w:rsidSect="00117F6A">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330556" w:rsidRDefault="00330556" w:rsidP="00330556">
      <w:pPr>
        <w:pStyle w:val="Typedudocument"/>
        <w:rPr>
          <w:noProof/>
        </w:rPr>
      </w:pPr>
      <w:bookmarkStart w:id="0" w:name="_GoBack"/>
      <w:bookmarkEnd w:id="0"/>
      <w:r w:rsidRPr="00330556">
        <w:rPr>
          <w:noProof/>
        </w:rPr>
        <w:lastRenderedPageBreak/>
        <w:t>REGULAMENTO DE EXECUÇÃO (UE) …/... DA COMISSÃO</w:t>
      </w:r>
    </w:p>
    <w:p w:rsidR="00860655" w:rsidRPr="00330556" w:rsidRDefault="00C407D2" w:rsidP="00330556">
      <w:pPr>
        <w:pStyle w:val="Datedadoption"/>
        <w:rPr>
          <w:noProof/>
        </w:rPr>
      </w:pPr>
      <w:r>
        <w:rPr>
          <w:noProof/>
        </w:rPr>
        <w:t>de 14.11.2025</w:t>
      </w:r>
    </w:p>
    <w:p w:rsidR="00860655" w:rsidRPr="00330556" w:rsidRDefault="00330556" w:rsidP="00330556">
      <w:pPr>
        <w:pStyle w:val="Titreobjet"/>
        <w:rPr>
          <w:noProof/>
        </w:rPr>
      </w:pPr>
      <w:r w:rsidRPr="00330556">
        <w:rPr>
          <w:noProof/>
        </w:rPr>
        <w:t>que estabelece normas técnicas de execução no que respeita aos procedimentos, aos formulários e aos modelos normalizados para a apresentação de informações para efeitos dos planos de resolução de instituições de crédito e de empresas de investimento nos termos da Diretiva 2014/59/UE do Parlamento Europeu e do Conselho e que revoga o Regulamento de Execução (UE) 2018/1624 da Comissão</w:t>
      </w:r>
    </w:p>
    <w:p w:rsidR="00860655" w:rsidRPr="00330556" w:rsidRDefault="00330556" w:rsidP="00330556">
      <w:pPr>
        <w:pStyle w:val="IntrtEEE"/>
        <w:rPr>
          <w:noProof/>
        </w:rPr>
      </w:pPr>
      <w:r w:rsidRPr="00330556">
        <w:rPr>
          <w:noProof/>
        </w:rPr>
        <w:t>(Texto relevante para efeitos do EEE)</w:t>
      </w:r>
    </w:p>
    <w:p w:rsidR="00860655" w:rsidRPr="00330556" w:rsidRDefault="00860655" w:rsidP="00184085">
      <w:pPr>
        <w:pStyle w:val="Institutionquiagit"/>
        <w:rPr>
          <w:noProof/>
        </w:rPr>
      </w:pPr>
      <w:r w:rsidRPr="00330556">
        <w:rPr>
          <w:noProof/>
        </w:rPr>
        <w:t>A COMISSÃO EUROPEIA,</w:t>
      </w:r>
    </w:p>
    <w:p w:rsidR="00860655" w:rsidRPr="00330556" w:rsidRDefault="00860655" w:rsidP="00184085">
      <w:pPr>
        <w:rPr>
          <w:noProof/>
        </w:rPr>
      </w:pPr>
      <w:r w:rsidRPr="00330556">
        <w:rPr>
          <w:noProof/>
        </w:rPr>
        <w:t>Tendo em conta o Tratado sobre o Funcionamento da União Europeia,</w:t>
      </w:r>
    </w:p>
    <w:p w:rsidR="00860655" w:rsidRPr="00330556" w:rsidRDefault="00860655" w:rsidP="00184085">
      <w:pPr>
        <w:rPr>
          <w:noProof/>
        </w:rPr>
      </w:pPr>
      <w:r w:rsidRPr="00330556">
        <w:rPr>
          <w:noProof/>
        </w:rPr>
        <w:t>Tendo em conta a Diretiva 2014/59/UE do Parlamento Europeu e do Conselho, de 15 de maio de 2014, que estabelece um enquadramento para a recuperação e a resolução de instituições de crédito e de empresas de investimento e que altera a Diretiva 82/891/CEE do Conselho, e as Diretivas 2001/24/CE, 2002/47/CE, 2004/25/CE, 2005/56/CE, 2007/36/CE, 2011/35/CE, 2012/30/UE e 2013/36/UE e os Regulamentos (UE) n.º 1093/2010 e (UE) n.º 648/2012 do Parlamento Europeu e do Conselho</w:t>
      </w:r>
      <w:r w:rsidRPr="00330556">
        <w:rPr>
          <w:rStyle w:val="FootnoteReference"/>
          <w:noProof/>
        </w:rPr>
        <w:footnoteReference w:id="2"/>
      </w:r>
      <w:r w:rsidRPr="00330556">
        <w:rPr>
          <w:noProof/>
        </w:rPr>
        <w:t>, nomeadamente o artigo 11.º, n.º 3,</w:t>
      </w:r>
    </w:p>
    <w:p w:rsidR="00860655" w:rsidRPr="00330556" w:rsidRDefault="00860655" w:rsidP="00184085">
      <w:pPr>
        <w:rPr>
          <w:noProof/>
        </w:rPr>
      </w:pPr>
      <w:r w:rsidRPr="00330556">
        <w:rPr>
          <w:noProof/>
        </w:rPr>
        <w:t>Considerando o seguinte:</w:t>
      </w:r>
    </w:p>
    <w:p w:rsidR="00860655" w:rsidRPr="00330556" w:rsidRDefault="00C9665C" w:rsidP="00C9665C">
      <w:pPr>
        <w:pStyle w:val="ManualConsidrant"/>
        <w:rPr>
          <w:noProof/>
        </w:rPr>
      </w:pPr>
      <w:r w:rsidRPr="00C9665C">
        <w:rPr>
          <w:noProof/>
        </w:rPr>
        <w:t>(1)</w:t>
      </w:r>
      <w:r w:rsidRPr="00C9665C">
        <w:rPr>
          <w:noProof/>
        </w:rPr>
        <w:tab/>
      </w:r>
      <w:r w:rsidR="00860655" w:rsidRPr="00330556">
        <w:rPr>
          <w:noProof/>
        </w:rPr>
        <w:t>O Regulamento de Execução (UE) 2018/1624 da Comissão</w:t>
      </w:r>
      <w:r w:rsidR="00860655" w:rsidRPr="00330556">
        <w:rPr>
          <w:rStyle w:val="FootnoteReference"/>
          <w:noProof/>
        </w:rPr>
        <w:footnoteReference w:id="3"/>
      </w:r>
      <w:r w:rsidR="00860655" w:rsidRPr="00330556">
        <w:rPr>
          <w:noProof/>
        </w:rPr>
        <w:t xml:space="preserve"> especifica o procedimento e introduz um conjunto mínimo de modelos para a prestação de informações às autoridades de resolução pelas instituições de crédito ou empresas de investimento para efeitos de elaboração e execução dos planos de resolução dessas instituições. Desde a adoção desse regulamento, as autoridades de resolução adquiriram experiência no domínio do planeamento da resolução e a Diretiva 2014/59/UE foi alterada. À luz dessa experiência e tendo em conta as novas disposições da referida diretiva, é necessário atualizar o conjunto mínimo de modelos para a recolha de informações para fins de planeamento da resolução.</w:t>
      </w:r>
    </w:p>
    <w:p w:rsidR="003B410C" w:rsidRPr="00330556" w:rsidRDefault="00C9665C" w:rsidP="00C9665C">
      <w:pPr>
        <w:pStyle w:val="ManualConsidrant"/>
        <w:rPr>
          <w:noProof/>
        </w:rPr>
      </w:pPr>
      <w:r w:rsidRPr="00C9665C">
        <w:rPr>
          <w:noProof/>
        </w:rPr>
        <w:t>(2)</w:t>
      </w:r>
      <w:r w:rsidRPr="00C9665C">
        <w:rPr>
          <w:noProof/>
        </w:rPr>
        <w:tab/>
      </w:r>
      <w:r w:rsidR="003B410C" w:rsidRPr="00330556">
        <w:rPr>
          <w:noProof/>
        </w:rPr>
        <w:t>O Regulamento de Execução (UE) 2018/1624 estabelece um procedimento e um conjunto mínimo de modelos para a prestação de informações pelas instituições às autoridades de resolução de uma forma que permita às autoridades de resolução recolher essas informações de forma coerente em toda a União e que facilite o intercâmbio de informações entre as autoridades relevantes. Contudo, a experiência demonstrou que uma abordagem harmonizada da recolha dessa informação ainda só foi parcialmente atingida. Por conseguinte, é necessário rever o referido regulamento de execução a fim de promover a harmonização das obrigações de comunicação de informações em toda a União, com base num conjunto revisto de modelos que captem melhor as necessidades das autoridades de resolução de forma coerente. Tal não deverá impedir as autoridades de resolução de recolher quaisquer informações adicionais que considerem necessárias para elaborar e executar planos de resolução ou para estabelecer obrigações de informação simplificadas em conformidade com o artigo 4.º da Diretiva 2014/59/UE.</w:t>
      </w:r>
    </w:p>
    <w:p w:rsidR="003B410C" w:rsidRPr="00330556" w:rsidRDefault="00C9665C" w:rsidP="00C9665C">
      <w:pPr>
        <w:pStyle w:val="ManualConsidrant"/>
        <w:rPr>
          <w:noProof/>
        </w:rPr>
      </w:pPr>
      <w:r w:rsidRPr="00C9665C">
        <w:rPr>
          <w:noProof/>
        </w:rPr>
        <w:t>(3)</w:t>
      </w:r>
      <w:r w:rsidRPr="00C9665C">
        <w:rPr>
          <w:noProof/>
        </w:rPr>
        <w:tab/>
      </w:r>
      <w:r w:rsidR="003B410C" w:rsidRPr="00330556">
        <w:rPr>
          <w:noProof/>
        </w:rPr>
        <w:t>A fim de assegurar que os planos de resolução de um grupo abrangem efetivamente o grupo em causa, as obrigações de comunicação impostas às empresas-mãe na União não deverão limitar-se apenas às entidades de resolução, devendo também incluir outras entidades jurídicas relevantes. Essa relevância deve, no entanto, ser devidamente delineada de modo a excluir a comunicação de informações para entidades que não sejam relevantes para o grupo ou que não sejam sistemicamente importantes. Para o efeito, deverão ser estabelecidos limiares para identificar as entidades jurídicas do grupo às quais devem ser impostos requisitos de comunicação de informações sobre a resolução. Além disso, a Diretiva (UE) 2024/1174 do Parlamento Europeu e do Conselho</w:t>
      </w:r>
      <w:r w:rsidR="003B410C" w:rsidRPr="00330556">
        <w:rPr>
          <w:rStyle w:val="FootnoteReference"/>
          <w:noProof/>
        </w:rPr>
        <w:footnoteReference w:id="4"/>
      </w:r>
      <w:r w:rsidR="003B410C" w:rsidRPr="00330556">
        <w:rPr>
          <w:noProof/>
        </w:rPr>
        <w:t xml:space="preserve"> alterou a Diretiva 2014/59/</w:t>
      </w:r>
      <w:r w:rsidR="002F75D6" w:rsidRPr="00330556">
        <w:rPr>
          <w:noProof/>
        </w:rPr>
        <w:t>UE, nomeadamente</w:t>
      </w:r>
      <w:r w:rsidR="003B410C" w:rsidRPr="00330556">
        <w:rPr>
          <w:noProof/>
        </w:rPr>
        <w:t xml:space="preserve"> introduzindo uma definição de «entidade de liquidação». A fim de ter em conta essa nova definição, é necessário estabelecer uma distinção entre os requisitos de comunicação de informações em matéria de resolução aplicáveis às entidades de liquidação, às entidades de resolução e às entidades pertencentes a grupos de resolução. Em especial, é necessário especificar as obrigações de comunicação de informações tendo em conta se as entidades em causa são entidades autónomas, pertencem a grupos e se essas entidades ou grupos foram identificados, ou incluem entidades que tenham sido identificadas, como entidades de liquidação. Essas obrigações de comunicação de informações devem ser estabelecidas a nível individual, subconsolidado ou consolidado de uma forma que garanta a proporcionalidade, não comprometa um planeamento eficaz da resolução, liberte as entidades da necessidade de recolher em paralelo dados provenientes de diferentes autoridades e elimine a sobreposição dos pontos de dados com os quadros de comunicação de informações para fins de supervisão. Tal deverá ser alcançado através da aplicação de uma abordagem que module o número de modelos em função do tipo de entidade que comunica informações em causa. Deverá também ser dada especial atenção aos grupos de resolução constituídos por instituições de crédito associadas de modo permanente a um organismo central e pelo próprio organismo central, a fim de assegurar que a comunicação de informações sobre a resolução abranja efetivamente todas as instituições de crédito associadas de modo permanente ao organismo central desse grupo de resolução, o próprio organismo central e as respetivas filiais, a nível individual, subconsolidado e consolidado.</w:t>
      </w:r>
    </w:p>
    <w:p w:rsidR="003B410C" w:rsidRPr="00330556" w:rsidRDefault="00C9665C" w:rsidP="00C9665C">
      <w:pPr>
        <w:pStyle w:val="ManualConsidrant"/>
        <w:rPr>
          <w:noProof/>
        </w:rPr>
      </w:pPr>
      <w:r w:rsidRPr="00C9665C">
        <w:rPr>
          <w:noProof/>
        </w:rPr>
        <w:t>(4)</w:t>
      </w:r>
      <w:r w:rsidRPr="00C9665C">
        <w:rPr>
          <w:noProof/>
        </w:rPr>
        <w:tab/>
      </w:r>
      <w:r w:rsidR="003B410C" w:rsidRPr="00330556">
        <w:rPr>
          <w:noProof/>
        </w:rPr>
        <w:t>A fim de assegurar um planeamento eficiente da resolução, preservando simultaneamente a proporcionalidade, o âmbito dos requisitos de comunicação de informações sobre a resolução pode ter de diferir do âmbito dos requisitos de comunicação de informações para fins prudenciais, sempre que necessário para assegurar que as autoridades de resolução dispõem de dados adequados e credíveis para o desempenho das suas funções. Neste contexto, é necessário assegurar que a comunicação de informações sobre a resolução não seja dificultada por derrogações prudenciais ou por grupos de resolução não sujeitos a requisitos de consolidação prudencial.</w:t>
      </w:r>
    </w:p>
    <w:p w:rsidR="003B410C" w:rsidRPr="00330556" w:rsidRDefault="00C9665C" w:rsidP="00C9665C">
      <w:pPr>
        <w:pStyle w:val="ManualConsidrant"/>
        <w:rPr>
          <w:noProof/>
        </w:rPr>
      </w:pPr>
      <w:r w:rsidRPr="00C9665C">
        <w:rPr>
          <w:noProof/>
        </w:rPr>
        <w:t>(5)</w:t>
      </w:r>
      <w:r w:rsidRPr="00C9665C">
        <w:rPr>
          <w:noProof/>
        </w:rPr>
        <w:tab/>
      </w:r>
      <w:r w:rsidR="00012E4C" w:rsidRPr="00330556">
        <w:rPr>
          <w:noProof/>
        </w:rPr>
        <w:t>A fim de assegurar que os planos de resolução se baseiam num conjunto mínimo de dados de qualidade e precisão consistentemente elevadas, deve ser adotado um modelo único de pontos de dados, tal como é prática na comunicação de informações para fins de supervisão. O modelo único de dados deve consistir numa representação estrutural dos elementos informativos e identificar todos os conceitos comerciais pertinentes com vista a uma comunicação uniforme de informações para fins de planeamento da resolução, devendo conter todas as especificações pertinentes necessárias para promover a conceção de soluções de TI uniformes em matéria de comunicação de informações.</w:t>
      </w:r>
    </w:p>
    <w:p w:rsidR="003B410C" w:rsidRPr="00330556" w:rsidRDefault="00C9665C" w:rsidP="00C9665C">
      <w:pPr>
        <w:pStyle w:val="ManualConsidrant"/>
        <w:rPr>
          <w:noProof/>
        </w:rPr>
      </w:pPr>
      <w:r w:rsidRPr="00C9665C">
        <w:rPr>
          <w:noProof/>
        </w:rPr>
        <w:t>(6)</w:t>
      </w:r>
      <w:r w:rsidRPr="00C9665C">
        <w:rPr>
          <w:noProof/>
        </w:rPr>
        <w:tab/>
      </w:r>
      <w:r w:rsidR="00980E18" w:rsidRPr="00330556">
        <w:rPr>
          <w:noProof/>
        </w:rPr>
        <w:t>A fim de salvaguardar a qualidade, a consistência e a exatidão dos elementos informativos comunicados pelas instituições, esses elementos informativos devem estar sujeitos a regras de validação comuns.</w:t>
      </w:r>
    </w:p>
    <w:p w:rsidR="003B410C" w:rsidRPr="00330556" w:rsidRDefault="00C9665C" w:rsidP="00C9665C">
      <w:pPr>
        <w:pStyle w:val="ManualConsidrant"/>
        <w:rPr>
          <w:noProof/>
        </w:rPr>
      </w:pPr>
      <w:r w:rsidRPr="00C9665C">
        <w:rPr>
          <w:noProof/>
        </w:rPr>
        <w:t>(7)</w:t>
      </w:r>
      <w:r w:rsidRPr="00C9665C">
        <w:rPr>
          <w:noProof/>
        </w:rPr>
        <w:tab/>
      </w:r>
      <w:r w:rsidR="003B410C" w:rsidRPr="00330556">
        <w:rPr>
          <w:noProof/>
        </w:rPr>
        <w:t>Em virtude da sua natureza intrínseca, as regras de validação e as definições dos dados devem ser atualizadas regularmente, a fim de garantir a sua constante conformidade com os requisitos aplicáveis no domínio da regulamentação, da análise e das tecnologias da informação. No entanto, o tempo que é atualmente necessário para adotar e publicar o modelo único de dados e as regras de validação torna impossível introduzir as alterações de modo suficientemente rápido e oportuno para assegurar em permanência uma comunicação de informações para fins de supervisão uniforme no que respeita aos planos de resolução na União. Por conseguinte, convém estabelecer critérios qualitativos rigorosos para o modelo único de dados pormenorizado e para as regras de validação comuns, também elas pormenorizadas, que deverão, nos dois casos, ser publicados por via eletrónica pela Autoridade Bancária Europeia (EBA), no seu sítio Web. O que precede não exclui que a EBA possa também publicar no seu sítio Web instruções técnicas para preencher os formulários e modelos especificados no presente regulamento.</w:t>
      </w:r>
    </w:p>
    <w:p w:rsidR="003B410C" w:rsidRPr="00330556" w:rsidRDefault="00C9665C" w:rsidP="00C9665C">
      <w:pPr>
        <w:pStyle w:val="ManualConsidrant"/>
        <w:rPr>
          <w:noProof/>
        </w:rPr>
      </w:pPr>
      <w:r w:rsidRPr="00C9665C">
        <w:rPr>
          <w:noProof/>
        </w:rPr>
        <w:t>(8)</w:t>
      </w:r>
      <w:r w:rsidRPr="00C9665C">
        <w:rPr>
          <w:noProof/>
        </w:rPr>
        <w:tab/>
      </w:r>
      <w:r w:rsidR="003B410C" w:rsidRPr="00330556">
        <w:rPr>
          <w:noProof/>
        </w:rPr>
        <w:t>O artigo 11.º, n.º 2, da Diretiva 2014/59/UE obriga as autoridades competentes e as autoridades de resolução a cooperarem para minimizar a duplicação dos requisitos de informação. Para esse efeito, o Regulamento de Execução (UE) 2018/1624 introduz um procedimento de cooperação entre as autoridades competentes e de resolução, cooperação essa que deve ser mantida de modo a que as autoridades em causa verifiquem conjuntamente se algumas ou todas as informações solicitadas já se encontram à disposição da autoridade competente. Se a autoridade competente dispuser da informação, é adequado que a transmita à autoridade de resolução diretamente.</w:t>
      </w:r>
    </w:p>
    <w:p w:rsidR="003B410C" w:rsidRPr="00330556" w:rsidRDefault="00C9665C" w:rsidP="00C9665C">
      <w:pPr>
        <w:pStyle w:val="ManualConsidrant"/>
        <w:rPr>
          <w:noProof/>
        </w:rPr>
      </w:pPr>
      <w:r w:rsidRPr="00C9665C">
        <w:rPr>
          <w:noProof/>
        </w:rPr>
        <w:t>(9)</w:t>
      </w:r>
      <w:r w:rsidRPr="00C9665C">
        <w:rPr>
          <w:noProof/>
        </w:rPr>
        <w:tab/>
      </w:r>
      <w:r w:rsidR="003B410C" w:rsidRPr="00330556">
        <w:rPr>
          <w:noProof/>
        </w:rPr>
        <w:t>Dada a extensão das alterações ao Regulamento de Execução (UE) 2018/1624, é adequado, por razões de clareza e segurança jurídica, adotar um novo regulamento de execução e, por conseguinte, revogar e substituir o Regulamento de Execução (UE) 2018/1624.</w:t>
      </w:r>
    </w:p>
    <w:p w:rsidR="003B410C" w:rsidRPr="00330556" w:rsidRDefault="00C9665C" w:rsidP="00C9665C">
      <w:pPr>
        <w:pStyle w:val="ManualConsidrant"/>
        <w:rPr>
          <w:noProof/>
        </w:rPr>
      </w:pPr>
      <w:r w:rsidRPr="00C9665C">
        <w:rPr>
          <w:noProof/>
        </w:rPr>
        <w:t>(10)</w:t>
      </w:r>
      <w:r w:rsidRPr="00C9665C">
        <w:rPr>
          <w:noProof/>
        </w:rPr>
        <w:tab/>
      </w:r>
      <w:r w:rsidR="003B410C" w:rsidRPr="00330556">
        <w:rPr>
          <w:noProof/>
        </w:rPr>
        <w:t>O presente regulamento tem por base as normas técnicas de execução apresentadas pela EBA à Comissão.</w:t>
      </w:r>
    </w:p>
    <w:p w:rsidR="00860655" w:rsidRPr="00330556" w:rsidRDefault="00C9665C" w:rsidP="00C9665C">
      <w:pPr>
        <w:pStyle w:val="ManualConsidrant"/>
        <w:rPr>
          <w:noProof/>
        </w:rPr>
      </w:pPr>
      <w:r w:rsidRPr="00C9665C">
        <w:rPr>
          <w:noProof/>
        </w:rPr>
        <w:t>(11)</w:t>
      </w:r>
      <w:r w:rsidRPr="00C9665C">
        <w:rPr>
          <w:noProof/>
        </w:rPr>
        <w:tab/>
      </w:r>
      <w:r w:rsidR="003B410C" w:rsidRPr="00330556">
        <w:rPr>
          <w:noProof/>
        </w:rPr>
        <w:t>A EBA efetuou consultas públicas abertas sobre as normas técnicas de execução em que o presente regulamento se baseia, analisou os potenciais custos e benefícios associados e solicitou o parecer do Grupo de Partes Interessadas do Setor Bancário criado nos termos do artigo 37.º do Regulamento (UE) n.º 1093/2010 do Parlamento Europeu e do Conselho</w:t>
      </w:r>
      <w:r w:rsidR="003B410C" w:rsidRPr="00330556">
        <w:rPr>
          <w:rStyle w:val="FootnoteReference"/>
          <w:noProof/>
        </w:rPr>
        <w:footnoteReference w:id="5"/>
      </w:r>
      <w:r w:rsidR="003B410C" w:rsidRPr="00330556">
        <w:rPr>
          <w:noProof/>
        </w:rPr>
        <w:t>,</w:t>
      </w:r>
    </w:p>
    <w:p w:rsidR="00860655" w:rsidRPr="00330556" w:rsidRDefault="00860655" w:rsidP="00184085">
      <w:pPr>
        <w:pStyle w:val="Formuledadoption"/>
        <w:rPr>
          <w:noProof/>
        </w:rPr>
      </w:pPr>
      <w:r w:rsidRPr="00330556">
        <w:rPr>
          <w:noProof/>
        </w:rPr>
        <w:t>ADOTOU O PRESENTE REGULAMENTO:</w:t>
      </w:r>
    </w:p>
    <w:p w:rsidR="00860655" w:rsidRPr="00330556" w:rsidRDefault="00860655" w:rsidP="00184085">
      <w:pPr>
        <w:pStyle w:val="Titrearticle"/>
        <w:rPr>
          <w:noProof/>
        </w:rPr>
      </w:pPr>
      <w:r w:rsidRPr="00330556">
        <w:rPr>
          <w:noProof/>
        </w:rPr>
        <w:t>Artigo 1.º</w:t>
      </w:r>
    </w:p>
    <w:p w:rsidR="00860655" w:rsidRPr="00330556" w:rsidRDefault="003B410C" w:rsidP="00184085">
      <w:pPr>
        <w:pStyle w:val="Titrearticle"/>
        <w:rPr>
          <w:noProof/>
        </w:rPr>
      </w:pPr>
      <w:r w:rsidRPr="00330556">
        <w:rPr>
          <w:b/>
          <w:i w:val="0"/>
          <w:noProof/>
        </w:rPr>
        <w:t>Definição</w:t>
      </w:r>
    </w:p>
    <w:p w:rsidR="003B410C" w:rsidRPr="00330556" w:rsidRDefault="003B410C" w:rsidP="00184085">
      <w:pPr>
        <w:rPr>
          <w:noProof/>
        </w:rPr>
      </w:pPr>
      <w:r w:rsidRPr="00330556">
        <w:rPr>
          <w:noProof/>
        </w:rPr>
        <w:t>Para efeitos do presente regulamento, entende-se por «entidade jurídica relevante» uma entidade de um grupo na aceção do artigo 2.º, n.º 1, ponto 31, da Diretiva 2014/59/UE, que não seja uma entidade de resolução, estabelecida na União e que preencha qualquer uma das seguintes condições:</w:t>
      </w:r>
    </w:p>
    <w:p w:rsidR="003B410C" w:rsidRPr="00330556" w:rsidRDefault="00330556" w:rsidP="00330556">
      <w:pPr>
        <w:pStyle w:val="Point0"/>
        <w:rPr>
          <w:noProof/>
        </w:rPr>
      </w:pPr>
      <w:r w:rsidRPr="00330556">
        <w:rPr>
          <w:noProof/>
        </w:rPr>
        <w:t>a)</w:t>
      </w:r>
      <w:r w:rsidRPr="00330556">
        <w:rPr>
          <w:noProof/>
        </w:rPr>
        <w:tab/>
      </w:r>
      <w:r w:rsidR="003B410C" w:rsidRPr="00330556">
        <w:rPr>
          <w:noProof/>
        </w:rPr>
        <w:t>Desempenha funções críticas;</w:t>
      </w:r>
    </w:p>
    <w:p w:rsidR="003B410C" w:rsidRPr="00330556" w:rsidRDefault="00330556" w:rsidP="00330556">
      <w:pPr>
        <w:pStyle w:val="Point0"/>
        <w:rPr>
          <w:noProof/>
        </w:rPr>
      </w:pPr>
      <w:r w:rsidRPr="00330556">
        <w:rPr>
          <w:noProof/>
        </w:rPr>
        <w:t>b)</w:t>
      </w:r>
      <w:r w:rsidRPr="00330556">
        <w:rPr>
          <w:noProof/>
        </w:rPr>
        <w:tab/>
      </w:r>
      <w:r w:rsidR="003B410C" w:rsidRPr="00330556">
        <w:rPr>
          <w:noProof/>
        </w:rPr>
        <w:t>O montante total das suas posições em risco individuais, calculado nos termos do artigo 92.º, n.º 3, do Regulamento (UE) n.º 575/2013 do Parlamento Europeu e do Conselho</w:t>
      </w:r>
      <w:r w:rsidR="003B410C" w:rsidRPr="005E3EB3">
        <w:rPr>
          <w:rStyle w:val="FootnoteReference"/>
          <w:noProof/>
        </w:rPr>
        <w:footnoteReference w:id="6"/>
      </w:r>
      <w:r w:rsidR="003B410C" w:rsidRPr="00330556">
        <w:rPr>
          <w:noProof/>
        </w:rPr>
        <w:t>, é igual ou superior a 2 % do montante total consolidado das posições em risco da empresa-mãe na União;</w:t>
      </w:r>
    </w:p>
    <w:p w:rsidR="003B410C" w:rsidRPr="00330556" w:rsidRDefault="00330556" w:rsidP="00330556">
      <w:pPr>
        <w:pStyle w:val="Point0"/>
        <w:rPr>
          <w:noProof/>
        </w:rPr>
      </w:pPr>
      <w:r w:rsidRPr="00330556">
        <w:rPr>
          <w:noProof/>
        </w:rPr>
        <w:t>c)</w:t>
      </w:r>
      <w:r w:rsidRPr="00330556">
        <w:rPr>
          <w:noProof/>
        </w:rPr>
        <w:tab/>
      </w:r>
      <w:r w:rsidR="003B410C" w:rsidRPr="00330556">
        <w:rPr>
          <w:noProof/>
        </w:rPr>
        <w:t>A medida da sua exposição total individual a que se refere o artigo 429.º, n.º 4, do Regulamento (UE) n.º 575/2013 é igual ou superior a 2 % da medida de exposição total consolidada da empresa-mãe na União;</w:t>
      </w:r>
    </w:p>
    <w:p w:rsidR="003B410C" w:rsidRPr="00330556" w:rsidRDefault="00330556" w:rsidP="00330556">
      <w:pPr>
        <w:pStyle w:val="Point0"/>
        <w:rPr>
          <w:noProof/>
        </w:rPr>
      </w:pPr>
      <w:r w:rsidRPr="00330556">
        <w:rPr>
          <w:noProof/>
        </w:rPr>
        <w:t>d)</w:t>
      </w:r>
      <w:r w:rsidRPr="00330556">
        <w:rPr>
          <w:noProof/>
        </w:rPr>
        <w:tab/>
      </w:r>
      <w:r w:rsidR="003B410C" w:rsidRPr="00330556">
        <w:rPr>
          <w:noProof/>
        </w:rPr>
        <w:t>Os seus rendimentos de exploração individuais são iguais ou superiores a 2 % do rendimento operacional total consolidado do grupo calculado a nível da empresa-mãe na União;</w:t>
      </w:r>
    </w:p>
    <w:p w:rsidR="003B410C" w:rsidRPr="00330556" w:rsidRDefault="00330556" w:rsidP="00330556">
      <w:pPr>
        <w:pStyle w:val="Point0"/>
        <w:rPr>
          <w:noProof/>
        </w:rPr>
      </w:pPr>
      <w:r w:rsidRPr="00330556">
        <w:rPr>
          <w:noProof/>
        </w:rPr>
        <w:t>e)</w:t>
      </w:r>
      <w:r w:rsidRPr="00330556">
        <w:rPr>
          <w:noProof/>
        </w:rPr>
        <w:tab/>
      </w:r>
      <w:r w:rsidR="003B410C" w:rsidRPr="00330556">
        <w:rPr>
          <w:noProof/>
        </w:rPr>
        <w:t>Os seus ativos totais individuais excedem 5 mil milhões de EUR;</w:t>
      </w:r>
    </w:p>
    <w:p w:rsidR="008F1E98" w:rsidRPr="00330556" w:rsidRDefault="00330556" w:rsidP="00330556">
      <w:pPr>
        <w:pStyle w:val="Point0"/>
        <w:rPr>
          <w:noProof/>
        </w:rPr>
      </w:pPr>
      <w:r w:rsidRPr="00330556">
        <w:rPr>
          <w:noProof/>
        </w:rPr>
        <w:t>f)</w:t>
      </w:r>
      <w:r w:rsidRPr="00330556">
        <w:rPr>
          <w:noProof/>
        </w:rPr>
        <w:tab/>
      </w:r>
      <w:r w:rsidR="003B410C" w:rsidRPr="00330556">
        <w:rPr>
          <w:noProof/>
        </w:rPr>
        <w:t>É importante para a estabilidade financeira de pelo menos um Estado-Membro.</w:t>
      </w:r>
    </w:p>
    <w:p w:rsidR="00A803C4" w:rsidRPr="00330556" w:rsidRDefault="008F1E98" w:rsidP="00184085">
      <w:pPr>
        <w:pStyle w:val="Text1"/>
        <w:rPr>
          <w:noProof/>
        </w:rPr>
      </w:pPr>
      <w:r w:rsidRPr="00330556">
        <w:rPr>
          <w:noProof/>
        </w:rPr>
        <w:t xml:space="preserve">Para efeitos da alínea b), para um grupo que inclua mais do que uma entidade de resolução, uma entidade é considerada uma entidade jurídica relevante se o seu montante total individual de exposição ao risco for igual ou superior a 2 % do montante total da </w:t>
      </w:r>
      <w:r w:rsidR="00106775" w:rsidRPr="00330556">
        <w:rPr>
          <w:noProof/>
        </w:rPr>
        <w:t>exposição</w:t>
      </w:r>
      <w:r w:rsidRPr="00330556">
        <w:rPr>
          <w:noProof/>
        </w:rPr>
        <w:t xml:space="preserve"> ao risco da entidade de resolução a nível do grupo de resolução em base consolidada.</w:t>
      </w:r>
    </w:p>
    <w:p w:rsidR="008F1E98" w:rsidRPr="00330556" w:rsidRDefault="008F1E98" w:rsidP="00184085">
      <w:pPr>
        <w:pStyle w:val="Text1"/>
        <w:rPr>
          <w:noProof/>
        </w:rPr>
      </w:pPr>
      <w:r w:rsidRPr="00330556">
        <w:rPr>
          <w:noProof/>
        </w:rPr>
        <w:t>Para efeitos da alínea c), para um grupo que inclua mais do que uma entidade de resolução, uma entidade é considerada entidade jurídica relevante se a medida da sua exposição total individual for igual ou superior a 2 % da medida da exposição total da entidade de resolução a nível do grupo de resolução em base consolidada.</w:t>
      </w:r>
    </w:p>
    <w:p w:rsidR="003B410C" w:rsidRPr="00330556" w:rsidRDefault="003B410C" w:rsidP="00184085">
      <w:pPr>
        <w:pStyle w:val="Titrearticle"/>
        <w:rPr>
          <w:noProof/>
        </w:rPr>
      </w:pPr>
      <w:r w:rsidRPr="00330556">
        <w:rPr>
          <w:noProof/>
        </w:rPr>
        <w:t>A</w:t>
      </w:r>
      <w:bookmarkStart w:id="1" w:name="_Hlk168321151"/>
      <w:r w:rsidRPr="00330556">
        <w:rPr>
          <w:noProof/>
        </w:rPr>
        <w:t>rtigo 2.º</w:t>
      </w:r>
    </w:p>
    <w:p w:rsidR="003B410C" w:rsidRPr="00330556" w:rsidRDefault="003B410C" w:rsidP="00184085">
      <w:pPr>
        <w:pStyle w:val="Titrearticle"/>
        <w:spacing w:before="0"/>
        <w:rPr>
          <w:b/>
          <w:bCs/>
          <w:i w:val="0"/>
          <w:iCs/>
          <w:noProof/>
        </w:rPr>
      </w:pPr>
      <w:r w:rsidRPr="00330556">
        <w:rPr>
          <w:b/>
          <w:i w:val="0"/>
          <w:noProof/>
        </w:rPr>
        <w:t>Comunicação de informações sobre a resolução por instituições que não fazem parte de um grupo sujeito a supervisão em base consolidada nos termos dos artigos 111.º e 112.º da Diretiva 2013/36/UE</w:t>
      </w:r>
      <w:bookmarkEnd w:id="1"/>
    </w:p>
    <w:p w:rsidR="003B410C" w:rsidRPr="00330556" w:rsidRDefault="00C9665C" w:rsidP="00C9665C">
      <w:pPr>
        <w:pStyle w:val="ManualNumPar1"/>
        <w:rPr>
          <w:noProof/>
        </w:rPr>
      </w:pPr>
      <w:r w:rsidRPr="00C9665C">
        <w:rPr>
          <w:noProof/>
        </w:rPr>
        <w:t>1.</w:t>
      </w:r>
      <w:r w:rsidRPr="00C9665C">
        <w:rPr>
          <w:noProof/>
        </w:rPr>
        <w:tab/>
      </w:r>
      <w:r w:rsidR="005E4DBA" w:rsidRPr="00330556">
        <w:rPr>
          <w:noProof/>
        </w:rPr>
        <w:t>As entidades de resolução que não façam parte de um grupo sujeito a supervisão em base consolidada nos termos dos artigos 111.º e 112.º da Diretiva 2013/36/UE do Parlamento Europeu e do Conselho</w:t>
      </w:r>
      <w:r w:rsidR="005E4DBA" w:rsidRPr="00330556">
        <w:rPr>
          <w:rStyle w:val="FootnoteReference"/>
          <w:noProof/>
        </w:rPr>
        <w:footnoteReference w:id="7"/>
      </w:r>
      <w:r w:rsidR="005E4DBA" w:rsidRPr="00330556">
        <w:rPr>
          <w:noProof/>
        </w:rPr>
        <w:t xml:space="preserve"> devem apresentar à autoridade de resolução, em base individual, as informações especificadas em todos os modelos constantes do anexo I do presente regulamento, com exceção das informações referidas nos modelos Z 01.01, Z 04.00, Z 07.02, Z 07.03 e Z 11.00.</w:t>
      </w:r>
    </w:p>
    <w:p w:rsidR="003B410C" w:rsidRPr="00330556" w:rsidRDefault="00C9665C" w:rsidP="00C9665C">
      <w:pPr>
        <w:pStyle w:val="ManualNumPar1"/>
        <w:rPr>
          <w:noProof/>
        </w:rPr>
      </w:pPr>
      <w:r w:rsidRPr="00C9665C">
        <w:rPr>
          <w:noProof/>
        </w:rPr>
        <w:t>2.</w:t>
      </w:r>
      <w:r w:rsidRPr="00C9665C">
        <w:rPr>
          <w:noProof/>
        </w:rPr>
        <w:tab/>
      </w:r>
      <w:r w:rsidR="0017578A" w:rsidRPr="00330556">
        <w:rPr>
          <w:noProof/>
        </w:rPr>
        <w:t>As entidades de liquidação que não estejam sujeitas a obrigações simplificadas, que não façam parte de um grupo sujeito a supervisão em base consolidada nos termos dos artigos 111.º e 112.º da Diretiva 2013/36/UE e para as quais a autoridade de resolução não tenha determinado o requisito referido no artigo 45.º, n.º 1, da Diretiva 2014/59/UE em conformidade com o artigo 45.º-C, n.º 2-A, segundo parágrafo, dessa diretiva, devem apresentar à autoridade de resolução, em base individual, as informações especificadas nos modelos Z 01.02, Z 02.00, Z 05.01, Z 05.02, Z 06.00, Z 07.01.1 a Z 07.01.5, Z 07.04 e Z 09.01 constantes do anexo I do presente regulamento.</w:t>
      </w:r>
    </w:p>
    <w:p w:rsidR="003B410C" w:rsidRPr="00330556" w:rsidRDefault="00C9665C" w:rsidP="00C9665C">
      <w:pPr>
        <w:pStyle w:val="ManualNumPar1"/>
        <w:rPr>
          <w:noProof/>
        </w:rPr>
      </w:pPr>
      <w:r w:rsidRPr="00C9665C">
        <w:rPr>
          <w:noProof/>
        </w:rPr>
        <w:t>3.</w:t>
      </w:r>
      <w:r w:rsidRPr="00C9665C">
        <w:rPr>
          <w:noProof/>
        </w:rPr>
        <w:tab/>
      </w:r>
      <w:r w:rsidR="00436F80" w:rsidRPr="00330556">
        <w:rPr>
          <w:noProof/>
        </w:rPr>
        <w:t>As entidades de liquidação que não estejam sujeitas a obrigações simplificadas, que não façam parte de um grupo sujeito a supervisão em base consolidada nos termos dos artigos 111.º e 112.º da Diretiva 2013/36/UE e para as quais a autoridade de resolução tenha determinado o requisito referido no artigo 45.º, n.º 1, da Diretiva 2014/59/UE em conformidade com o artigo 45.º-C, n.º 2-A, segundo parágrafo, dessa diretiva devem apresentar à autoridade de resolução, em base individual, as informações especificadas nos modelos Z 01.02, Z 02.00, Z 03.01, Z 03.02, Z 05.01, Z 05.02, Z 06.00, Z 07.01.1 a Z 07.01.5, Z 07.04 e Z 09.01 constantes do anexo I do presente regulamento.</w:t>
      </w:r>
    </w:p>
    <w:p w:rsidR="003B410C" w:rsidRPr="00330556" w:rsidRDefault="003B410C" w:rsidP="00184085">
      <w:pPr>
        <w:pStyle w:val="Titrearticle"/>
        <w:rPr>
          <w:noProof/>
        </w:rPr>
      </w:pPr>
      <w:r w:rsidRPr="00330556">
        <w:rPr>
          <w:noProof/>
        </w:rPr>
        <w:t>Artigo 3.º</w:t>
      </w:r>
    </w:p>
    <w:p w:rsidR="003B410C" w:rsidRPr="00330556" w:rsidRDefault="003B410C" w:rsidP="00184085">
      <w:pPr>
        <w:pStyle w:val="Titrearticle"/>
        <w:spacing w:before="0"/>
        <w:rPr>
          <w:b/>
          <w:bCs/>
          <w:i w:val="0"/>
          <w:iCs/>
          <w:noProof/>
        </w:rPr>
      </w:pPr>
      <w:r w:rsidRPr="00330556">
        <w:rPr>
          <w:b/>
          <w:i w:val="0"/>
          <w:noProof/>
        </w:rPr>
        <w:t>Comunicação de informações sobre a resolução de grupos — grupos de resolução</w:t>
      </w:r>
    </w:p>
    <w:p w:rsidR="003B410C" w:rsidRPr="00330556" w:rsidRDefault="00C9665C" w:rsidP="00C9665C">
      <w:pPr>
        <w:pStyle w:val="ManualNumPar1"/>
        <w:rPr>
          <w:noProof/>
        </w:rPr>
      </w:pPr>
      <w:r w:rsidRPr="00C9665C">
        <w:rPr>
          <w:noProof/>
        </w:rPr>
        <w:t>1.</w:t>
      </w:r>
      <w:r w:rsidRPr="00C9665C">
        <w:rPr>
          <w:noProof/>
        </w:rPr>
        <w:tab/>
      </w:r>
      <w:r w:rsidR="00873C72" w:rsidRPr="00330556">
        <w:rPr>
          <w:noProof/>
        </w:rPr>
        <w:t>Uma empresa-mãe na União deve apresentar à autoridade de resolução a nível do grupo as informações especificadas nos modelos Z 01.01, Z 01.02 e Z 08.01 a Z 09.04 constantes do anexo I em relação a todas as entidades do grupo.</w:t>
      </w:r>
    </w:p>
    <w:p w:rsidR="003B410C" w:rsidRPr="00330556" w:rsidRDefault="00C9665C" w:rsidP="00C9665C">
      <w:pPr>
        <w:pStyle w:val="ManualNumPar1"/>
        <w:rPr>
          <w:noProof/>
        </w:rPr>
      </w:pPr>
      <w:r w:rsidRPr="00C9665C">
        <w:rPr>
          <w:noProof/>
        </w:rPr>
        <w:t>2.</w:t>
      </w:r>
      <w:r w:rsidRPr="00C9665C">
        <w:rPr>
          <w:noProof/>
        </w:rPr>
        <w:tab/>
      </w:r>
      <w:r w:rsidR="00873C72" w:rsidRPr="00330556">
        <w:rPr>
          <w:noProof/>
        </w:rPr>
        <w:t>Uma empresa-mãe na União deve apresentar à autoridade de resolução a nível do grupo as informações sobre as interligações financeiras entre todas as entidades do grupo, conforme especificado no modelo Z 04.00 constante do anexo I.</w:t>
      </w:r>
    </w:p>
    <w:p w:rsidR="003B410C" w:rsidRPr="00330556" w:rsidRDefault="00C9665C" w:rsidP="00C9665C">
      <w:pPr>
        <w:pStyle w:val="ManualNumPar1"/>
        <w:rPr>
          <w:noProof/>
        </w:rPr>
      </w:pPr>
      <w:r w:rsidRPr="00C9665C">
        <w:rPr>
          <w:noProof/>
        </w:rPr>
        <w:t>3.</w:t>
      </w:r>
      <w:r w:rsidRPr="00C9665C">
        <w:rPr>
          <w:noProof/>
        </w:rPr>
        <w:tab/>
      </w:r>
      <w:r w:rsidR="001744A5" w:rsidRPr="00330556">
        <w:rPr>
          <w:noProof/>
        </w:rPr>
        <w:t>Uma empresa-mãe na União deve apresentar à autoridade de resolução a nível do grupo as informações especificadas no modelo Z 02.00 constante do anexo I do seguinte modo:</w:t>
      </w:r>
    </w:p>
    <w:p w:rsidR="003B410C" w:rsidRPr="00330556" w:rsidRDefault="00330556" w:rsidP="00330556">
      <w:pPr>
        <w:pStyle w:val="Point1"/>
        <w:rPr>
          <w:noProof/>
        </w:rPr>
      </w:pPr>
      <w:r w:rsidRPr="00330556">
        <w:rPr>
          <w:noProof/>
        </w:rPr>
        <w:t>a)</w:t>
      </w:r>
      <w:r w:rsidRPr="00330556">
        <w:rPr>
          <w:noProof/>
        </w:rPr>
        <w:tab/>
      </w:r>
      <w:r w:rsidR="003B410C" w:rsidRPr="00330556">
        <w:rPr>
          <w:noProof/>
        </w:rPr>
        <w:t>Numa base individual para todas as entidades de resolução do grupo, incluindo a empresa-mãe na União, e para todas as entidades jurídicas relevantes que sejam instituições;</w:t>
      </w:r>
    </w:p>
    <w:p w:rsidR="003B410C" w:rsidRPr="00330556" w:rsidRDefault="00330556" w:rsidP="00330556">
      <w:pPr>
        <w:pStyle w:val="Point1"/>
        <w:rPr>
          <w:noProof/>
        </w:rPr>
      </w:pPr>
      <w:r w:rsidRPr="00330556">
        <w:rPr>
          <w:noProof/>
        </w:rPr>
        <w:t>b)</w:t>
      </w:r>
      <w:r w:rsidRPr="00330556">
        <w:rPr>
          <w:noProof/>
        </w:rPr>
        <w:tab/>
      </w:r>
      <w:r w:rsidR="003B410C" w:rsidRPr="00330556">
        <w:rPr>
          <w:noProof/>
        </w:rPr>
        <w:t>Em base consolidada ou, se aplicável, em base subconsolidada, para todas as entidades de resolução do grupo, incluindo a empresa-mãe na União, e para todas as entidades jurídicas relevantes relativamente às quais a autoridade de resolução tenha determinado um requisito a que se refere o artigo 45.º, n.º 1, da Diretiva 2014/59/UE em base consolidada ou subconsolidada, independentemente de essas entidades estarem ou não sujeitas à parte I, título II, capítulo 2, do Regulamento (UE) n.º 575/2013.</w:t>
      </w:r>
    </w:p>
    <w:p w:rsidR="003B410C" w:rsidRPr="00330556" w:rsidRDefault="00C9665C" w:rsidP="00C9665C">
      <w:pPr>
        <w:pStyle w:val="ManualNumPar1"/>
        <w:rPr>
          <w:noProof/>
        </w:rPr>
      </w:pPr>
      <w:r w:rsidRPr="00C9665C">
        <w:rPr>
          <w:noProof/>
        </w:rPr>
        <w:t>4.</w:t>
      </w:r>
      <w:r w:rsidRPr="00C9665C">
        <w:rPr>
          <w:noProof/>
        </w:rPr>
        <w:tab/>
      </w:r>
      <w:r w:rsidR="00207905" w:rsidRPr="00330556">
        <w:rPr>
          <w:noProof/>
        </w:rPr>
        <w:t>Uma empresa-mãe na União deve apresentar à autoridade de resolução a nível do grupo as informações especificadas nos modelos Z 03.01 ou Z 03.02 constantes do anexo I, do seguinte modo:</w:t>
      </w:r>
    </w:p>
    <w:p w:rsidR="003B410C" w:rsidRPr="00330556" w:rsidRDefault="00330556" w:rsidP="00330556">
      <w:pPr>
        <w:pStyle w:val="Point1"/>
        <w:rPr>
          <w:noProof/>
        </w:rPr>
      </w:pPr>
      <w:r w:rsidRPr="00330556">
        <w:rPr>
          <w:noProof/>
        </w:rPr>
        <w:t>a)</w:t>
      </w:r>
      <w:r w:rsidRPr="00330556">
        <w:rPr>
          <w:noProof/>
        </w:rPr>
        <w:tab/>
      </w:r>
      <w:r w:rsidR="003B410C" w:rsidRPr="00330556">
        <w:rPr>
          <w:noProof/>
        </w:rPr>
        <w:t>Em base individual, para todas as entidades de resolução do grupo, incluindo a empresa-mãe na União, e para todas as entidades jurídicas relevantes que sejam instituições relativamente às quais a autoridade de resolução tenha determinado um requisito a que se refere o artigo 45.º, n.º 1, da Diretiva 2014/59/UE;</w:t>
      </w:r>
    </w:p>
    <w:p w:rsidR="003B410C" w:rsidRPr="00330556" w:rsidRDefault="00330556" w:rsidP="00330556">
      <w:pPr>
        <w:pStyle w:val="Point1"/>
        <w:rPr>
          <w:noProof/>
        </w:rPr>
      </w:pPr>
      <w:r w:rsidRPr="00330556">
        <w:rPr>
          <w:noProof/>
        </w:rPr>
        <w:t>b)</w:t>
      </w:r>
      <w:r w:rsidRPr="00330556">
        <w:rPr>
          <w:noProof/>
        </w:rPr>
        <w:tab/>
      </w:r>
      <w:r w:rsidR="003B410C" w:rsidRPr="00330556">
        <w:rPr>
          <w:noProof/>
        </w:rPr>
        <w:t>Em base consolidada ou subconsolidada, para todas as entidades de resolução do grupo, incluindo a empresa-mãe na União, e para todas as entidades jurídicas relevantes que sejam instituições relativamente às quais a autoridade de resolução tenha determinado um requisito a que se refere o artigo 45.º, n.º 1, da Diretiva 2014/59/UE, independentemente de essas entidades estarem ou não sujeitas à parte I, título II, capítulo 2, do Regulamento (UE) n.º 575/2013.</w:t>
      </w:r>
    </w:p>
    <w:p w:rsidR="003B410C" w:rsidRPr="00330556" w:rsidRDefault="00C9665C" w:rsidP="00C9665C">
      <w:pPr>
        <w:pStyle w:val="ManualNumPar1"/>
        <w:rPr>
          <w:noProof/>
        </w:rPr>
      </w:pPr>
      <w:r w:rsidRPr="00C9665C">
        <w:rPr>
          <w:noProof/>
        </w:rPr>
        <w:t>5.</w:t>
      </w:r>
      <w:r w:rsidRPr="00C9665C">
        <w:rPr>
          <w:noProof/>
        </w:rPr>
        <w:tab/>
      </w:r>
      <w:r w:rsidR="006E7726" w:rsidRPr="00330556">
        <w:rPr>
          <w:noProof/>
        </w:rPr>
        <w:t>Uma empresa-mãe na União deve apresentar à autoridade de resolução a nível do grupo as informações referidas nos modelos Z 07.01.1, Z 07.01.2, Z 07.01.3, Z 07.01.4 e Z 07.01.5 constantes do anexo I ao nível de cada Estado-Membro em que o grupo opera.</w:t>
      </w:r>
    </w:p>
    <w:p w:rsidR="003B410C" w:rsidRPr="00330556" w:rsidRDefault="00C9665C" w:rsidP="00C9665C">
      <w:pPr>
        <w:pStyle w:val="ManualNumPar1"/>
        <w:rPr>
          <w:noProof/>
        </w:rPr>
      </w:pPr>
      <w:r w:rsidRPr="00C9665C">
        <w:rPr>
          <w:noProof/>
        </w:rPr>
        <w:t>6.</w:t>
      </w:r>
      <w:r w:rsidRPr="00C9665C">
        <w:rPr>
          <w:noProof/>
        </w:rPr>
        <w:tab/>
      </w:r>
      <w:r w:rsidR="006E7726" w:rsidRPr="00330556">
        <w:rPr>
          <w:noProof/>
        </w:rPr>
        <w:t>Uma empresa-mãe na União deve apresentar à autoridade de resolução a nível do grupo as informações referidas nos modelos Z 07.02, Z 07.03 e Z 07.04 estabelecidos no anexo I em relação às funções críticas e linhas de negócio críticas fornecidas por qualquer entidade do grupo.</w:t>
      </w:r>
    </w:p>
    <w:p w:rsidR="003B410C" w:rsidRPr="00330556" w:rsidRDefault="00C9665C" w:rsidP="00C9665C">
      <w:pPr>
        <w:pStyle w:val="ManualNumPar1"/>
        <w:rPr>
          <w:noProof/>
        </w:rPr>
      </w:pPr>
      <w:r w:rsidRPr="00C9665C">
        <w:rPr>
          <w:noProof/>
        </w:rPr>
        <w:t>7.</w:t>
      </w:r>
      <w:r w:rsidRPr="00C9665C">
        <w:rPr>
          <w:noProof/>
        </w:rPr>
        <w:tab/>
      </w:r>
      <w:r w:rsidR="006E7726" w:rsidRPr="00330556">
        <w:rPr>
          <w:noProof/>
        </w:rPr>
        <w:t>Uma empresa-mãe na União deve apresentar à autoridade de resolução a nível do grupo, em base individual, as informações especificadas nos modelos Z 05.01, Z 05.02, Z 06.00, Z 07.01.1 a Z 07.01.5, Z 07.04 e Z 11.00 a Z 17.00 constantes do anexo I para todas as entidades de resolução do grupo, incluindo a empresa-mãe na União.</w:t>
      </w:r>
    </w:p>
    <w:p w:rsidR="003B410C" w:rsidRPr="00330556" w:rsidRDefault="00C9665C" w:rsidP="00C9665C">
      <w:pPr>
        <w:pStyle w:val="ManualNumPar1"/>
        <w:rPr>
          <w:noProof/>
        </w:rPr>
      </w:pPr>
      <w:r w:rsidRPr="00C9665C">
        <w:rPr>
          <w:noProof/>
        </w:rPr>
        <w:t>8.</w:t>
      </w:r>
      <w:r w:rsidRPr="00C9665C">
        <w:rPr>
          <w:noProof/>
        </w:rPr>
        <w:tab/>
      </w:r>
      <w:r w:rsidR="003B410C" w:rsidRPr="00330556">
        <w:rPr>
          <w:noProof/>
        </w:rPr>
        <w:t>A empresa-mãe na União deve apresentar à autoridade de resolução a nível do grupo, em base individual, as informações especificadas nos modelos Z 05.01, Z 05.02, Z 06.00, Z 07.01.1 a Z 07.01.5 e Z 07.04 constantes do anexo I para todas as entidades jurídicas relevantes que sejam instituições.</w:t>
      </w:r>
    </w:p>
    <w:p w:rsidR="003B410C" w:rsidRPr="00330556" w:rsidRDefault="00C9665C" w:rsidP="00C9665C">
      <w:pPr>
        <w:pStyle w:val="ManualNumPar1"/>
        <w:rPr>
          <w:noProof/>
        </w:rPr>
      </w:pPr>
      <w:r w:rsidRPr="00C9665C">
        <w:rPr>
          <w:noProof/>
        </w:rPr>
        <w:t>9.</w:t>
      </w:r>
      <w:r w:rsidRPr="00C9665C">
        <w:rPr>
          <w:noProof/>
        </w:rPr>
        <w:tab/>
      </w:r>
      <w:r w:rsidR="003B410C" w:rsidRPr="00330556">
        <w:rPr>
          <w:noProof/>
        </w:rPr>
        <w:t>O n.º 2, o n.º 3, alínea a), e os n.º</w:t>
      </w:r>
      <w:r w:rsidR="003B410C" w:rsidRPr="00330556">
        <w:rPr>
          <w:noProof/>
          <w:vertAlign w:val="superscript"/>
        </w:rPr>
        <w:t>s</w:t>
      </w:r>
      <w:r w:rsidR="003B410C" w:rsidRPr="00330556">
        <w:rPr>
          <w:noProof/>
        </w:rPr>
        <w:t xml:space="preserve"> 4, 5 e 6 do presente artigo aplicam-se independentemente de qualquer derrogação à aplicação dos requisitos prudenciais concedida nos termos do artigo 7.º, n.º 1 ou n.º 3, do Regulamento (UE) n.º 575/2013 ou do artigo 8.º do Regulamento (UE</w:t>
      </w:r>
      <w:r w:rsidR="003B410C" w:rsidRPr="00330556">
        <w:rPr>
          <w:noProof/>
          <w:shd w:val="clear" w:color="auto" w:fill="FFFFFF" w:themeFill="background1"/>
        </w:rPr>
        <w:t>) 2019/2033 do Parlamento Europeu e do Conselho</w:t>
      </w:r>
      <w:r w:rsidR="003B410C" w:rsidRPr="00330556">
        <w:rPr>
          <w:rStyle w:val="FootnoteReference"/>
          <w:noProof/>
          <w:shd w:val="clear" w:color="auto" w:fill="FFFFFF" w:themeFill="background1"/>
        </w:rPr>
        <w:footnoteReference w:id="8"/>
      </w:r>
      <w:r w:rsidR="003B410C" w:rsidRPr="00330556">
        <w:rPr>
          <w:noProof/>
          <w:shd w:val="clear" w:color="auto" w:fill="FFFFFF" w:themeFill="background1"/>
        </w:rPr>
        <w:t>, ou de qualquer derrogação à aplicação do</w:t>
      </w:r>
      <w:r w:rsidR="003B410C" w:rsidRPr="00330556">
        <w:rPr>
          <w:noProof/>
        </w:rPr>
        <w:t xml:space="preserve"> requisito mínimo de fundos próprios e passivos elegíveis concedida nos termos do artigo 45.º-F da Diretiva 2014/59/UE.</w:t>
      </w:r>
    </w:p>
    <w:p w:rsidR="003B410C" w:rsidRPr="00330556" w:rsidRDefault="003B410C" w:rsidP="00184085">
      <w:pPr>
        <w:pStyle w:val="Titrearticle"/>
        <w:rPr>
          <w:noProof/>
        </w:rPr>
      </w:pPr>
      <w:r w:rsidRPr="00330556">
        <w:rPr>
          <w:noProof/>
        </w:rPr>
        <w:t>Artigo 4.º</w:t>
      </w:r>
    </w:p>
    <w:p w:rsidR="003B410C" w:rsidRPr="00330556" w:rsidRDefault="003B410C" w:rsidP="00184085">
      <w:pPr>
        <w:pStyle w:val="Titrearticle"/>
        <w:spacing w:before="0"/>
        <w:rPr>
          <w:b/>
          <w:bCs/>
          <w:i w:val="0"/>
          <w:iCs/>
          <w:noProof/>
        </w:rPr>
      </w:pPr>
      <w:r w:rsidRPr="00330556">
        <w:rPr>
          <w:b/>
          <w:i w:val="0"/>
          <w:noProof/>
        </w:rPr>
        <w:t>Comunicação de informações sobre a resolução de grupos — grupos que incluem apenas entidades de liquidação</w:t>
      </w:r>
    </w:p>
    <w:p w:rsidR="003B410C" w:rsidRPr="00330556" w:rsidRDefault="00F95432" w:rsidP="00184085">
      <w:pPr>
        <w:rPr>
          <w:noProof/>
        </w:rPr>
      </w:pPr>
      <w:r w:rsidRPr="00330556">
        <w:rPr>
          <w:noProof/>
        </w:rPr>
        <w:t>Uma empresa-mãe na União de um grupo que inclua apenas entidades de liquidação que não estejam sujeitas a obrigações simplificadas deve apresentar à autoridade de resolução a nível do grupo:</w:t>
      </w:r>
    </w:p>
    <w:p w:rsidR="003B410C" w:rsidRPr="00330556" w:rsidRDefault="00330556" w:rsidP="00330556">
      <w:pPr>
        <w:pStyle w:val="Point0"/>
        <w:rPr>
          <w:noProof/>
        </w:rPr>
      </w:pPr>
      <w:r w:rsidRPr="00330556">
        <w:rPr>
          <w:noProof/>
        </w:rPr>
        <w:t>a)</w:t>
      </w:r>
      <w:r w:rsidRPr="00330556">
        <w:rPr>
          <w:noProof/>
        </w:rPr>
        <w:tab/>
      </w:r>
      <w:r w:rsidR="003B410C" w:rsidRPr="00330556">
        <w:rPr>
          <w:noProof/>
        </w:rPr>
        <w:t>As informações especificadas nos modelos Z 01.01, Z 01.02, Z 07.01.1 a Z 07.01.5 e Z 09.01 constantes do anexo I em relação a todas as entidades do grupo, o modelo Z 02.00 em base consolidada e o modelo Z 04.00 em relação às interligações financeiras entre todas as entidades do grupo;</w:t>
      </w:r>
    </w:p>
    <w:p w:rsidR="003B410C" w:rsidRPr="00330556" w:rsidRDefault="00330556" w:rsidP="00330556">
      <w:pPr>
        <w:pStyle w:val="Point0"/>
        <w:rPr>
          <w:noProof/>
        </w:rPr>
      </w:pPr>
      <w:r w:rsidRPr="00330556">
        <w:rPr>
          <w:noProof/>
        </w:rPr>
        <w:t>b)</w:t>
      </w:r>
      <w:r w:rsidRPr="00330556">
        <w:rPr>
          <w:noProof/>
        </w:rPr>
        <w:tab/>
      </w:r>
      <w:r w:rsidR="009F0766" w:rsidRPr="00330556">
        <w:rPr>
          <w:noProof/>
        </w:rPr>
        <w:t>Em base individual, para si própria e para cada entidade jurídica relevante relativamente à qual a autoridade de resolução não tenha determinado o requisito referido no artigo 45.º, n.º 1, da Diretiva 2014/59/UE, em conformidade com o artigo 45.º-C, n.º 2-A, segundo parágrafo, dessa diretiva, as informações especificadas nos modelos Z 02.00, Z 05.01, Z 05.02, Z 06.00, Z 07.01.1 a Z 07.01.5 e Z 07.04 constantes do anexo I do presente regulamento;</w:t>
      </w:r>
    </w:p>
    <w:p w:rsidR="00E522C4" w:rsidRPr="00330556" w:rsidRDefault="00330556" w:rsidP="00330556">
      <w:pPr>
        <w:pStyle w:val="Point0"/>
        <w:rPr>
          <w:noProof/>
        </w:rPr>
      </w:pPr>
      <w:r w:rsidRPr="00330556">
        <w:rPr>
          <w:noProof/>
        </w:rPr>
        <w:t>c)</w:t>
      </w:r>
      <w:r w:rsidRPr="00330556">
        <w:rPr>
          <w:noProof/>
        </w:rPr>
        <w:tab/>
      </w:r>
      <w:r w:rsidR="009F0766" w:rsidRPr="00330556">
        <w:rPr>
          <w:noProof/>
        </w:rPr>
        <w:t>Em base individual, para si própria e para cada entidade jurídica relevante relativamente à qual a autoridade de resolução tenha determinado o requisito referido no artigo 45.º, n.º 1, da Diretiva 2014/59/UE, em conformidade com o artigo 45.º-C, n.º 2-A, segundo parágrafo, dessa diretiva, as informações especificadas nos modelos Z 02.00, Z 03.01, Z 03.02, Z 05.01, Z 05.02, Z 06.00, Z 07.01.1 a Z 07.01.5 e Z 07.04 constantes do anexo I do presente regulamento.</w:t>
      </w:r>
    </w:p>
    <w:p w:rsidR="00E522C4" w:rsidRPr="00330556" w:rsidRDefault="00E522C4" w:rsidP="00184085">
      <w:pPr>
        <w:pStyle w:val="Titrearticle"/>
        <w:rPr>
          <w:noProof/>
        </w:rPr>
      </w:pPr>
      <w:r w:rsidRPr="00330556">
        <w:rPr>
          <w:noProof/>
        </w:rPr>
        <w:t>Artigo 5.º</w:t>
      </w:r>
    </w:p>
    <w:p w:rsidR="00E522C4" w:rsidRPr="00330556" w:rsidRDefault="00E522C4" w:rsidP="00184085">
      <w:pPr>
        <w:pStyle w:val="Titrearticle"/>
        <w:spacing w:before="0"/>
        <w:rPr>
          <w:b/>
          <w:bCs/>
          <w:i w:val="0"/>
          <w:iCs/>
          <w:noProof/>
        </w:rPr>
      </w:pPr>
      <w:r w:rsidRPr="00330556">
        <w:rPr>
          <w:b/>
          <w:i w:val="0"/>
          <w:noProof/>
        </w:rPr>
        <w:t>Ajustamentos à comunicação de informações sobre a resolução de grupos</w:t>
      </w:r>
    </w:p>
    <w:p w:rsidR="00E522C4" w:rsidRPr="00330556" w:rsidRDefault="00C9665C" w:rsidP="00C9665C">
      <w:pPr>
        <w:pStyle w:val="ManualNumPar1"/>
        <w:rPr>
          <w:noProof/>
        </w:rPr>
      </w:pPr>
      <w:r w:rsidRPr="00C9665C">
        <w:rPr>
          <w:noProof/>
        </w:rPr>
        <w:t>1.</w:t>
      </w:r>
      <w:r w:rsidRPr="00C9665C">
        <w:rPr>
          <w:noProof/>
        </w:rPr>
        <w:tab/>
      </w:r>
      <w:r w:rsidR="00E522C4" w:rsidRPr="00330556">
        <w:rPr>
          <w:noProof/>
        </w:rPr>
        <w:t>No caso de um grupo cuja empresa-mãe na União seja uma entidade de liquidação e que inclua entidades de resolução, a empresa-mãe na União deve apresentar:</w:t>
      </w:r>
    </w:p>
    <w:p w:rsidR="00E522C4" w:rsidRPr="00330556" w:rsidRDefault="00330556" w:rsidP="00330556">
      <w:pPr>
        <w:pStyle w:val="Point1"/>
        <w:rPr>
          <w:noProof/>
        </w:rPr>
      </w:pPr>
      <w:r w:rsidRPr="00330556">
        <w:rPr>
          <w:noProof/>
        </w:rPr>
        <w:t>a)</w:t>
      </w:r>
      <w:r w:rsidRPr="00330556">
        <w:rPr>
          <w:noProof/>
        </w:rPr>
        <w:tab/>
      </w:r>
      <w:r w:rsidR="000C210A" w:rsidRPr="00330556">
        <w:rPr>
          <w:noProof/>
        </w:rPr>
        <w:t>Para as entidades pertencentes a grupos de resolução, as informações a que se refere o artigo 3.º;</w:t>
      </w:r>
    </w:p>
    <w:p w:rsidR="00E522C4" w:rsidRPr="00330556" w:rsidRDefault="00330556" w:rsidP="00330556">
      <w:pPr>
        <w:pStyle w:val="Point1"/>
        <w:rPr>
          <w:noProof/>
        </w:rPr>
      </w:pPr>
      <w:r w:rsidRPr="00330556">
        <w:rPr>
          <w:noProof/>
        </w:rPr>
        <w:t>b)</w:t>
      </w:r>
      <w:r w:rsidRPr="00330556">
        <w:rPr>
          <w:noProof/>
        </w:rPr>
        <w:tab/>
      </w:r>
      <w:r w:rsidR="000C210A" w:rsidRPr="00330556">
        <w:rPr>
          <w:noProof/>
        </w:rPr>
        <w:t>Para as entidades de liquidação não sujeitas a obrigações simplificadas e que não fazem parte de qualquer grupo de resolução, as informações a que se refere o artigo 4.º.</w:t>
      </w:r>
    </w:p>
    <w:p w:rsidR="00E522C4" w:rsidRPr="00330556" w:rsidRDefault="00C9665C" w:rsidP="00C9665C">
      <w:pPr>
        <w:pStyle w:val="ManualNumPar1"/>
        <w:rPr>
          <w:noProof/>
        </w:rPr>
      </w:pPr>
      <w:r w:rsidRPr="00C9665C">
        <w:rPr>
          <w:noProof/>
        </w:rPr>
        <w:t>2.</w:t>
      </w:r>
      <w:r w:rsidRPr="00C9665C">
        <w:rPr>
          <w:noProof/>
        </w:rPr>
        <w:tab/>
      </w:r>
      <w:r w:rsidR="00E522C4" w:rsidRPr="00330556">
        <w:rPr>
          <w:noProof/>
        </w:rPr>
        <w:t>No caso de um grupo de resolução a que se refere o artigo 2.º, n.º 1, ponto 83-B, alínea b), da Diretiva 2014/59/UE, as informações referidas no artigo 3.º do presente regulamento devem ser apresentadas por pelo menos uma das entidades de resolução do grupo. Essas informações devem abranger efetivamente todas as instituições de crédito associadas de modo permanente ao organismo central desse grupo de resolução, o próprio organismo central e as respetivas filiais, em base individual, subconsolidada e consolidada, consoante o caso.</w:t>
      </w:r>
    </w:p>
    <w:p w:rsidR="00E522C4" w:rsidRPr="00330556" w:rsidRDefault="00E522C4" w:rsidP="00184085">
      <w:pPr>
        <w:pStyle w:val="Titrearticle"/>
        <w:rPr>
          <w:noProof/>
        </w:rPr>
      </w:pPr>
      <w:r w:rsidRPr="00330556">
        <w:rPr>
          <w:noProof/>
        </w:rPr>
        <w:t>Artigo 6.º</w:t>
      </w:r>
    </w:p>
    <w:p w:rsidR="00E522C4" w:rsidRPr="00330556" w:rsidRDefault="00E522C4" w:rsidP="00184085">
      <w:pPr>
        <w:pStyle w:val="Titrearticle"/>
        <w:spacing w:before="0"/>
        <w:rPr>
          <w:b/>
          <w:bCs/>
          <w:i w:val="0"/>
          <w:iCs/>
          <w:noProof/>
        </w:rPr>
      </w:pPr>
      <w:r w:rsidRPr="00330556">
        <w:rPr>
          <w:b/>
          <w:i w:val="0"/>
          <w:noProof/>
        </w:rPr>
        <w:t>Frequência, datas de referência e datas de envio</w:t>
      </w:r>
    </w:p>
    <w:p w:rsidR="00E522C4" w:rsidRPr="00330556" w:rsidRDefault="00C9665C" w:rsidP="00C9665C">
      <w:pPr>
        <w:pStyle w:val="ManualNumPar1"/>
        <w:rPr>
          <w:noProof/>
        </w:rPr>
      </w:pPr>
      <w:r w:rsidRPr="00C9665C">
        <w:rPr>
          <w:noProof/>
        </w:rPr>
        <w:t>1.</w:t>
      </w:r>
      <w:r w:rsidRPr="00C9665C">
        <w:rPr>
          <w:noProof/>
        </w:rPr>
        <w:tab/>
      </w:r>
      <w:r w:rsidR="00E522C4" w:rsidRPr="00330556">
        <w:rPr>
          <w:noProof/>
        </w:rPr>
        <w:t>As instituições ou, no caso dos grupos, as empresas-mãe na União devem apresentar as informações a que se referem os artigos 2.º a 5.º do seguinte modo:</w:t>
      </w:r>
    </w:p>
    <w:p w:rsidR="00E522C4" w:rsidRPr="00330556" w:rsidRDefault="00330556" w:rsidP="00330556">
      <w:pPr>
        <w:pStyle w:val="Point1"/>
        <w:rPr>
          <w:noProof/>
        </w:rPr>
      </w:pPr>
      <w:r w:rsidRPr="00330556">
        <w:rPr>
          <w:noProof/>
        </w:rPr>
        <w:t>a)</w:t>
      </w:r>
      <w:r w:rsidRPr="00330556">
        <w:rPr>
          <w:noProof/>
        </w:rPr>
        <w:tab/>
      </w:r>
      <w:r w:rsidR="00A071C3" w:rsidRPr="00330556">
        <w:rPr>
          <w:noProof/>
        </w:rPr>
        <w:t xml:space="preserve">Para os </w:t>
      </w:r>
      <w:bookmarkStart w:id="2" w:name="_Hlk188952542"/>
      <w:r w:rsidR="00A071C3" w:rsidRPr="00330556">
        <w:rPr>
          <w:noProof/>
        </w:rPr>
        <w:t>modelos Z 01.01, Z 01.02, Z 02.00, Z 03.01, Z 03.02, Z 04.00, Z 05.01, Z 05.02, Z 06.00 e Z 11.00 a Z 17.</w:t>
      </w:r>
      <w:bookmarkEnd w:id="2"/>
      <w:r w:rsidR="00A071C3" w:rsidRPr="00330556">
        <w:rPr>
          <w:noProof/>
        </w:rPr>
        <w:t>00, o mais tardar até 31 de março de cada ano, em relação ao último dia do ano civil anterior;</w:t>
      </w:r>
    </w:p>
    <w:p w:rsidR="00E522C4" w:rsidRPr="00330556" w:rsidRDefault="00330556" w:rsidP="00330556">
      <w:pPr>
        <w:pStyle w:val="Point1"/>
        <w:rPr>
          <w:noProof/>
        </w:rPr>
      </w:pPr>
      <w:r w:rsidRPr="00330556">
        <w:rPr>
          <w:noProof/>
        </w:rPr>
        <w:t>b)</w:t>
      </w:r>
      <w:r w:rsidRPr="00330556">
        <w:rPr>
          <w:noProof/>
        </w:rPr>
        <w:tab/>
      </w:r>
      <w:r w:rsidR="003F636B" w:rsidRPr="00330556">
        <w:rPr>
          <w:noProof/>
        </w:rPr>
        <w:t xml:space="preserve">Para os modelos Z 07.01.1 a Z 07.04, Z 08.01 a Z 08.05 e Z 09.01 a Z 09.04, o mais tardar até 30 de abril de cada ano, em relação ao último dia do ano civil anterior. </w:t>
      </w:r>
    </w:p>
    <w:p w:rsidR="003F636B" w:rsidRPr="00330556" w:rsidRDefault="003F636B" w:rsidP="00184085">
      <w:pPr>
        <w:pStyle w:val="Text1"/>
        <w:rPr>
          <w:noProof/>
        </w:rPr>
      </w:pPr>
      <w:r w:rsidRPr="00330556">
        <w:rPr>
          <w:noProof/>
        </w:rPr>
        <w:t>Para efeitos da alínea a), caso o dia 31 de março não seja um dia útil, as informações devem ser prestadas no dia útil seguinte.</w:t>
      </w:r>
    </w:p>
    <w:p w:rsidR="003F636B" w:rsidRPr="00330556" w:rsidRDefault="003F636B" w:rsidP="00184085">
      <w:pPr>
        <w:pStyle w:val="Text1"/>
        <w:rPr>
          <w:noProof/>
        </w:rPr>
      </w:pPr>
      <w:r w:rsidRPr="00330556">
        <w:rPr>
          <w:noProof/>
        </w:rPr>
        <w:t>Para efeitos da alínea b), caso o dia 30 de abril não seja um dia útil, essas informações devem ser fornecidas no dia útil subsequente.</w:t>
      </w:r>
    </w:p>
    <w:p w:rsidR="00E522C4" w:rsidRPr="00330556" w:rsidRDefault="00C9665C" w:rsidP="00C9665C">
      <w:pPr>
        <w:pStyle w:val="ManualNumPar1"/>
        <w:rPr>
          <w:noProof/>
        </w:rPr>
      </w:pPr>
      <w:r w:rsidRPr="00C9665C">
        <w:rPr>
          <w:noProof/>
        </w:rPr>
        <w:t>2.</w:t>
      </w:r>
      <w:r w:rsidRPr="00C9665C">
        <w:rPr>
          <w:noProof/>
        </w:rPr>
        <w:tab/>
      </w:r>
      <w:r w:rsidR="00E522C4" w:rsidRPr="00330556">
        <w:rPr>
          <w:noProof/>
        </w:rPr>
        <w:t>As autoridades de resolução especificam se as informações devem ser apresentadas diretamente à autoridade de resolução ou se devem em alternativa ser apresentadas à autoridade competente, se for caso disso.</w:t>
      </w:r>
    </w:p>
    <w:p w:rsidR="00E522C4" w:rsidRPr="00330556" w:rsidRDefault="00C9665C" w:rsidP="00C9665C">
      <w:pPr>
        <w:pStyle w:val="ManualNumPar1"/>
        <w:rPr>
          <w:noProof/>
        </w:rPr>
      </w:pPr>
      <w:r w:rsidRPr="00C9665C">
        <w:rPr>
          <w:noProof/>
        </w:rPr>
        <w:t>3.</w:t>
      </w:r>
      <w:r w:rsidRPr="00C9665C">
        <w:rPr>
          <w:noProof/>
        </w:rPr>
        <w:tab/>
      </w:r>
      <w:r w:rsidR="00E522C4" w:rsidRPr="00330556">
        <w:rPr>
          <w:noProof/>
        </w:rPr>
        <w:t xml:space="preserve">As instituições ou, no caso dos grupos, as empresas-mãe na União podem apresentar valores não auditados. Nos casos em que os dados auditados sejam diferentes dos dados não auditados relatados, devem ser apresentados sem demora injustificada dados auditados revistos. </w:t>
      </w:r>
    </w:p>
    <w:p w:rsidR="00E522C4" w:rsidRPr="00330556" w:rsidRDefault="00C9665C" w:rsidP="00C9665C">
      <w:pPr>
        <w:pStyle w:val="ManualNumPar1"/>
        <w:rPr>
          <w:noProof/>
        </w:rPr>
      </w:pPr>
      <w:r w:rsidRPr="00C9665C">
        <w:rPr>
          <w:noProof/>
        </w:rPr>
        <w:t>4.</w:t>
      </w:r>
      <w:r w:rsidRPr="00C9665C">
        <w:rPr>
          <w:noProof/>
        </w:rPr>
        <w:tab/>
      </w:r>
      <w:r w:rsidR="00E522C4" w:rsidRPr="00330556">
        <w:rPr>
          <w:noProof/>
        </w:rPr>
        <w:t xml:space="preserve">Para efeitos do presente n.º 3, entende-se por «valores não auditados» os valores que não foram objeto de parecer de um auditor externo, ao passo que os valores auditados são valores auditados por um auditor externo que expressou um parecer de auditoria sobre os mesmos. </w:t>
      </w:r>
    </w:p>
    <w:p w:rsidR="00E522C4" w:rsidRPr="00330556" w:rsidRDefault="00C9665C" w:rsidP="00C9665C">
      <w:pPr>
        <w:pStyle w:val="ManualNumPar1"/>
        <w:rPr>
          <w:noProof/>
        </w:rPr>
      </w:pPr>
      <w:r w:rsidRPr="00C9665C">
        <w:rPr>
          <w:noProof/>
        </w:rPr>
        <w:t>5.</w:t>
      </w:r>
      <w:r w:rsidRPr="00C9665C">
        <w:rPr>
          <w:noProof/>
        </w:rPr>
        <w:tab/>
      </w:r>
      <w:r w:rsidR="00E522C4" w:rsidRPr="00330556">
        <w:rPr>
          <w:noProof/>
        </w:rPr>
        <w:t>As correções aos relatórios apresentados devem ser apresentadas sem demora injustificada.</w:t>
      </w:r>
    </w:p>
    <w:p w:rsidR="00E522C4" w:rsidRPr="00330556" w:rsidRDefault="00E522C4" w:rsidP="00184085">
      <w:pPr>
        <w:pStyle w:val="Titrearticle"/>
        <w:rPr>
          <w:noProof/>
        </w:rPr>
      </w:pPr>
      <w:r w:rsidRPr="00330556">
        <w:rPr>
          <w:noProof/>
        </w:rPr>
        <w:t>Artigo 7.º</w:t>
      </w:r>
    </w:p>
    <w:p w:rsidR="00E522C4" w:rsidRPr="00330556" w:rsidRDefault="00E522C4" w:rsidP="00184085">
      <w:pPr>
        <w:pStyle w:val="Titrearticle"/>
        <w:spacing w:before="0"/>
        <w:rPr>
          <w:b/>
          <w:bCs/>
          <w:i w:val="0"/>
          <w:iCs/>
          <w:noProof/>
        </w:rPr>
      </w:pPr>
      <w:r w:rsidRPr="00330556">
        <w:rPr>
          <w:b/>
          <w:i w:val="0"/>
          <w:noProof/>
        </w:rPr>
        <w:t>Formatos para o intercâmbio de dados e informações que acompanham a apresentação de dados</w:t>
      </w:r>
    </w:p>
    <w:p w:rsidR="00E522C4" w:rsidRPr="00330556" w:rsidRDefault="00C9665C" w:rsidP="00C9665C">
      <w:pPr>
        <w:pStyle w:val="ManualNumPar1"/>
        <w:rPr>
          <w:noProof/>
        </w:rPr>
      </w:pPr>
      <w:r w:rsidRPr="00C9665C">
        <w:rPr>
          <w:noProof/>
        </w:rPr>
        <w:t>1.</w:t>
      </w:r>
      <w:r w:rsidRPr="00C9665C">
        <w:rPr>
          <w:noProof/>
        </w:rPr>
        <w:tab/>
      </w:r>
      <w:r w:rsidR="00E522C4" w:rsidRPr="00330556">
        <w:rPr>
          <w:noProof/>
        </w:rPr>
        <w:t xml:space="preserve">As instituições ou, no caso dos grupos, as respetivas instituições-mãe na União, devem apresentar as informações a que se referem os artigos 2.º a 5.º, conforme especificado nos modelos constantes do anexo I, de acordo com os formatos e representações para o intercâmbio de dados especificados pelas autoridades de resolução, devendo nesse processo respeitar as definições dos dados incluídas no modelo único de dados referido no anexo II e as regras de validação referidas no anexo III. </w:t>
      </w:r>
    </w:p>
    <w:p w:rsidR="00E522C4" w:rsidRPr="00330556" w:rsidRDefault="00C9665C" w:rsidP="00C9665C">
      <w:pPr>
        <w:pStyle w:val="ManualNumPar1"/>
        <w:rPr>
          <w:noProof/>
        </w:rPr>
      </w:pPr>
      <w:r w:rsidRPr="00C9665C">
        <w:rPr>
          <w:noProof/>
        </w:rPr>
        <w:t>2.</w:t>
      </w:r>
      <w:r w:rsidRPr="00C9665C">
        <w:rPr>
          <w:noProof/>
        </w:rPr>
        <w:tab/>
      </w:r>
      <w:r w:rsidR="00E522C4" w:rsidRPr="00330556">
        <w:rPr>
          <w:noProof/>
        </w:rPr>
        <w:t>Para além da obrigação a que se refere o n.º 1, as instituições ou, no caso dos grupos, as empresas-mãe na União asseguram que:</w:t>
      </w:r>
    </w:p>
    <w:p w:rsidR="00E522C4" w:rsidRPr="00330556" w:rsidRDefault="00330556" w:rsidP="00330556">
      <w:pPr>
        <w:pStyle w:val="Point1"/>
        <w:rPr>
          <w:noProof/>
        </w:rPr>
      </w:pPr>
      <w:r w:rsidRPr="00330556">
        <w:rPr>
          <w:noProof/>
        </w:rPr>
        <w:t>a)</w:t>
      </w:r>
      <w:r w:rsidRPr="00330556">
        <w:rPr>
          <w:noProof/>
        </w:rPr>
        <w:tab/>
      </w:r>
      <w:r w:rsidR="00E522C4" w:rsidRPr="00330556">
        <w:rPr>
          <w:noProof/>
        </w:rPr>
        <w:t>Os valores numéricos devem ser apresentados da seguinte forma:</w:t>
      </w:r>
    </w:p>
    <w:p w:rsidR="00E522C4" w:rsidRPr="00330556" w:rsidRDefault="00E522C4" w:rsidP="00184085">
      <w:pPr>
        <w:pStyle w:val="Point2"/>
        <w:rPr>
          <w:noProof/>
        </w:rPr>
      </w:pPr>
      <w:r w:rsidRPr="00330556">
        <w:rPr>
          <w:noProof/>
        </w:rPr>
        <w:t>i)</w:t>
      </w:r>
      <w:r w:rsidRPr="00330556">
        <w:rPr>
          <w:noProof/>
        </w:rPr>
        <w:tab/>
        <w:t xml:space="preserve">os dados do tipo «Monetário» devem ser comunicados com uma precisão mínima equivalente às dezenas de milhar de unidades, </w:t>
      </w:r>
    </w:p>
    <w:p w:rsidR="00E522C4" w:rsidRPr="00330556" w:rsidRDefault="00E522C4" w:rsidP="00184085">
      <w:pPr>
        <w:pStyle w:val="Point2"/>
        <w:rPr>
          <w:noProof/>
        </w:rPr>
      </w:pPr>
      <w:r w:rsidRPr="00330556">
        <w:rPr>
          <w:noProof/>
        </w:rPr>
        <w:t>ii)</w:t>
      </w:r>
      <w:r w:rsidRPr="00330556">
        <w:rPr>
          <w:noProof/>
        </w:rPr>
        <w:tab/>
        <w:t>os dados de tipo «Percentagem» são expressos por unidade com uma precisão mínima equivalente a quatro casas decimais,</w:t>
      </w:r>
    </w:p>
    <w:p w:rsidR="00E522C4" w:rsidRPr="00330556" w:rsidRDefault="00E522C4" w:rsidP="00184085">
      <w:pPr>
        <w:pStyle w:val="Point2"/>
        <w:rPr>
          <w:noProof/>
        </w:rPr>
      </w:pPr>
      <w:r w:rsidRPr="00330556">
        <w:rPr>
          <w:noProof/>
        </w:rPr>
        <w:t>iii)</w:t>
      </w:r>
      <w:r w:rsidRPr="00330556">
        <w:rPr>
          <w:noProof/>
        </w:rPr>
        <w:tab/>
        <w:t>Os dados do tipo «Inteiro» devem ser relatados sem casas decimais e com uma precisão equivalente à unidade;</w:t>
      </w:r>
    </w:p>
    <w:p w:rsidR="00E522C4" w:rsidRPr="00330556" w:rsidRDefault="00330556" w:rsidP="00330556">
      <w:pPr>
        <w:pStyle w:val="Point1"/>
        <w:rPr>
          <w:noProof/>
        </w:rPr>
      </w:pPr>
      <w:r w:rsidRPr="00330556">
        <w:rPr>
          <w:noProof/>
        </w:rPr>
        <w:t>b)</w:t>
      </w:r>
      <w:r w:rsidRPr="00330556">
        <w:rPr>
          <w:noProof/>
        </w:rPr>
        <w:tab/>
      </w:r>
      <w:r w:rsidR="00E522C4" w:rsidRPr="00330556">
        <w:rPr>
          <w:noProof/>
        </w:rPr>
        <w:t>As instituições e as empresas de seguros devem ser identificadas exclusivamente pelo seu identificador de entidade jurídica;</w:t>
      </w:r>
    </w:p>
    <w:p w:rsidR="00E522C4" w:rsidRPr="00330556" w:rsidRDefault="00330556" w:rsidP="00330556">
      <w:pPr>
        <w:pStyle w:val="Point1"/>
        <w:rPr>
          <w:noProof/>
        </w:rPr>
      </w:pPr>
      <w:r w:rsidRPr="00330556">
        <w:rPr>
          <w:noProof/>
        </w:rPr>
        <w:t>c)</w:t>
      </w:r>
      <w:r w:rsidRPr="00330556">
        <w:rPr>
          <w:noProof/>
        </w:rPr>
        <w:tab/>
      </w:r>
      <w:r w:rsidR="00E522C4" w:rsidRPr="00330556">
        <w:rPr>
          <w:noProof/>
        </w:rPr>
        <w:t>As entidades jurídicas e contrapartes que não sejam instituições e empresas de seguros devem ser identificadas pelo seu identificador de entidade jurídica, se disponível;</w:t>
      </w:r>
    </w:p>
    <w:p w:rsidR="0046629F" w:rsidRPr="00330556" w:rsidRDefault="00330556" w:rsidP="00330556">
      <w:pPr>
        <w:pStyle w:val="Point1"/>
        <w:rPr>
          <w:noProof/>
        </w:rPr>
      </w:pPr>
      <w:r w:rsidRPr="00330556">
        <w:rPr>
          <w:noProof/>
        </w:rPr>
        <w:t>d)</w:t>
      </w:r>
      <w:r w:rsidRPr="00330556">
        <w:rPr>
          <w:noProof/>
        </w:rPr>
        <w:tab/>
      </w:r>
      <w:r w:rsidR="0046629F" w:rsidRPr="00330556">
        <w:rPr>
          <w:noProof/>
        </w:rPr>
        <w:t>Os dados apresentados não podem incluir informações não exigidas ou não aplicáveis;</w:t>
      </w:r>
    </w:p>
    <w:p w:rsidR="00E522C4" w:rsidRPr="00330556" w:rsidRDefault="00C9665C" w:rsidP="00C9665C">
      <w:pPr>
        <w:pStyle w:val="ManualNumPar1"/>
        <w:rPr>
          <w:noProof/>
        </w:rPr>
      </w:pPr>
      <w:r w:rsidRPr="00C9665C">
        <w:rPr>
          <w:noProof/>
        </w:rPr>
        <w:t>3.</w:t>
      </w:r>
      <w:r w:rsidRPr="00C9665C">
        <w:rPr>
          <w:noProof/>
        </w:rPr>
        <w:tab/>
      </w:r>
      <w:r w:rsidR="004B472A" w:rsidRPr="00330556">
        <w:rPr>
          <w:noProof/>
        </w:rPr>
        <w:t>As instituições ou, no caso dos grupos, as empresas-mãe na União, acompanham os dados apresentados com as seguintes informações:</w:t>
      </w:r>
    </w:p>
    <w:p w:rsidR="004B472A" w:rsidRPr="00330556" w:rsidRDefault="00330556" w:rsidP="00330556">
      <w:pPr>
        <w:pStyle w:val="Point1"/>
        <w:rPr>
          <w:noProof/>
        </w:rPr>
      </w:pPr>
      <w:r w:rsidRPr="00330556">
        <w:rPr>
          <w:noProof/>
        </w:rPr>
        <w:t>a)</w:t>
      </w:r>
      <w:r w:rsidRPr="00330556">
        <w:rPr>
          <w:noProof/>
        </w:rPr>
        <w:tab/>
      </w:r>
      <w:r w:rsidR="004B472A" w:rsidRPr="00330556">
        <w:rPr>
          <w:noProof/>
        </w:rPr>
        <w:t>Data de referência;</w:t>
      </w:r>
    </w:p>
    <w:p w:rsidR="004B472A" w:rsidRPr="00330556" w:rsidRDefault="00330556" w:rsidP="00330556">
      <w:pPr>
        <w:pStyle w:val="Point1"/>
        <w:rPr>
          <w:noProof/>
        </w:rPr>
      </w:pPr>
      <w:r w:rsidRPr="00330556">
        <w:rPr>
          <w:noProof/>
        </w:rPr>
        <w:t>b)</w:t>
      </w:r>
      <w:r w:rsidRPr="00330556">
        <w:rPr>
          <w:noProof/>
        </w:rPr>
        <w:tab/>
      </w:r>
      <w:r w:rsidR="004B472A" w:rsidRPr="00330556">
        <w:rPr>
          <w:noProof/>
        </w:rPr>
        <w:t>Moeda da comunicação;</w:t>
      </w:r>
    </w:p>
    <w:p w:rsidR="004B472A" w:rsidRPr="00330556" w:rsidRDefault="00330556" w:rsidP="00330556">
      <w:pPr>
        <w:pStyle w:val="Point1"/>
        <w:rPr>
          <w:noProof/>
        </w:rPr>
      </w:pPr>
      <w:r w:rsidRPr="00330556">
        <w:rPr>
          <w:noProof/>
        </w:rPr>
        <w:t>c)</w:t>
      </w:r>
      <w:r w:rsidRPr="00330556">
        <w:rPr>
          <w:noProof/>
        </w:rPr>
        <w:tab/>
      </w:r>
      <w:r w:rsidR="004B472A" w:rsidRPr="00330556">
        <w:rPr>
          <w:noProof/>
        </w:rPr>
        <w:t>Norma contabilística;</w:t>
      </w:r>
    </w:p>
    <w:p w:rsidR="004B472A" w:rsidRPr="00330556" w:rsidRDefault="00330556" w:rsidP="00330556">
      <w:pPr>
        <w:pStyle w:val="Point1"/>
        <w:rPr>
          <w:noProof/>
        </w:rPr>
      </w:pPr>
      <w:r w:rsidRPr="00330556">
        <w:rPr>
          <w:noProof/>
        </w:rPr>
        <w:t>d)</w:t>
      </w:r>
      <w:r w:rsidRPr="00330556">
        <w:rPr>
          <w:noProof/>
        </w:rPr>
        <w:tab/>
      </w:r>
      <w:r w:rsidR="004B472A" w:rsidRPr="00330556">
        <w:rPr>
          <w:noProof/>
        </w:rPr>
        <w:t>Identificador de entidade jurídica da entidade que comunica as informações;</w:t>
      </w:r>
    </w:p>
    <w:p w:rsidR="004B472A" w:rsidRPr="00330556" w:rsidRDefault="00330556" w:rsidP="00330556">
      <w:pPr>
        <w:pStyle w:val="Point1"/>
        <w:rPr>
          <w:noProof/>
        </w:rPr>
      </w:pPr>
      <w:r w:rsidRPr="00330556">
        <w:rPr>
          <w:noProof/>
        </w:rPr>
        <w:t>e)</w:t>
      </w:r>
      <w:r w:rsidRPr="00330556">
        <w:rPr>
          <w:noProof/>
        </w:rPr>
        <w:tab/>
      </w:r>
      <w:r w:rsidR="004B472A" w:rsidRPr="00330556">
        <w:rPr>
          <w:noProof/>
        </w:rPr>
        <w:t>Nível de aplicação, tal como estabelecido nos artigos 2.º, 3.º e 4.º.</w:t>
      </w:r>
    </w:p>
    <w:p w:rsidR="004B472A" w:rsidRPr="00330556" w:rsidRDefault="004B472A" w:rsidP="00184085">
      <w:pPr>
        <w:pStyle w:val="Titrearticle"/>
        <w:rPr>
          <w:noProof/>
        </w:rPr>
      </w:pPr>
      <w:bookmarkStart w:id="3" w:name="_Hlk169616472"/>
      <w:r w:rsidRPr="00330556">
        <w:rPr>
          <w:noProof/>
        </w:rPr>
        <w:t>Artigo 8.º</w:t>
      </w:r>
    </w:p>
    <w:p w:rsidR="004B472A" w:rsidRPr="00330556" w:rsidRDefault="004B472A" w:rsidP="00184085">
      <w:pPr>
        <w:pStyle w:val="Titrearticle"/>
        <w:spacing w:before="0"/>
        <w:rPr>
          <w:b/>
          <w:bCs/>
          <w:i w:val="0"/>
          <w:iCs/>
          <w:noProof/>
        </w:rPr>
      </w:pPr>
      <w:r w:rsidRPr="00330556">
        <w:rPr>
          <w:b/>
          <w:i w:val="0"/>
          <w:noProof/>
        </w:rPr>
        <w:t xml:space="preserve">Apresentação de informações adicionais para os planos de resolução individuais e dos grupos </w:t>
      </w:r>
    </w:p>
    <w:bookmarkEnd w:id="3"/>
    <w:p w:rsidR="00FA69C1" w:rsidRPr="00330556" w:rsidRDefault="00C9665C" w:rsidP="00C9665C">
      <w:pPr>
        <w:pStyle w:val="ManualNumPar1"/>
        <w:rPr>
          <w:noProof/>
        </w:rPr>
      </w:pPr>
      <w:r w:rsidRPr="00C9665C">
        <w:rPr>
          <w:noProof/>
        </w:rPr>
        <w:t>1.</w:t>
      </w:r>
      <w:r w:rsidRPr="00C9665C">
        <w:rPr>
          <w:noProof/>
        </w:rPr>
        <w:tab/>
      </w:r>
      <w:r w:rsidR="00C747E3" w:rsidRPr="00330556">
        <w:rPr>
          <w:noProof/>
        </w:rPr>
        <w:t>A autoridade de resolução ou a autoridade de resolução a nível do grupo deve solicitar informações adicionais ou informações num novo formato à instituição relevante ou à empresa-mãe na União, caso se verifique uma das seguintes situações:</w:t>
      </w:r>
    </w:p>
    <w:p w:rsidR="00FA69C1" w:rsidRPr="00330556" w:rsidRDefault="00330556" w:rsidP="00330556">
      <w:pPr>
        <w:pStyle w:val="Point1"/>
        <w:rPr>
          <w:noProof/>
        </w:rPr>
      </w:pPr>
      <w:r w:rsidRPr="00330556">
        <w:rPr>
          <w:noProof/>
        </w:rPr>
        <w:t>a)</w:t>
      </w:r>
      <w:r w:rsidRPr="00330556">
        <w:rPr>
          <w:noProof/>
        </w:rPr>
        <w:tab/>
      </w:r>
      <w:r w:rsidR="00FA69C1" w:rsidRPr="00330556">
        <w:rPr>
          <w:noProof/>
        </w:rPr>
        <w:t>A autoridade de resolução ou a autoridade de resolução a nível do grupo considera que essas informações não estão abrangidas por qualquer modelo constante do anexo I e são necessárias para elaborar e executar planos de resolução;</w:t>
      </w:r>
    </w:p>
    <w:p w:rsidR="00FA69C1" w:rsidRPr="00330556" w:rsidRDefault="00330556" w:rsidP="00330556">
      <w:pPr>
        <w:pStyle w:val="Point1"/>
        <w:rPr>
          <w:noProof/>
        </w:rPr>
      </w:pPr>
      <w:r w:rsidRPr="00330556">
        <w:rPr>
          <w:noProof/>
        </w:rPr>
        <w:t>b)</w:t>
      </w:r>
      <w:r w:rsidRPr="00330556">
        <w:rPr>
          <w:noProof/>
        </w:rPr>
        <w:tab/>
      </w:r>
      <w:r w:rsidR="00FA69C1" w:rsidRPr="00330556">
        <w:rPr>
          <w:noProof/>
        </w:rPr>
        <w:t>A autoridade de resolução ou a autoridade de resolução a nível do grupo considera que a obtenção dessas informações junto das entidades sujeitas a obrigações simplificadas é necessária para elaborar e executar planos de resolução;</w:t>
      </w:r>
    </w:p>
    <w:p w:rsidR="00FA69C1" w:rsidRPr="00330556" w:rsidRDefault="00330556" w:rsidP="00330556">
      <w:pPr>
        <w:pStyle w:val="Point1"/>
        <w:rPr>
          <w:noProof/>
        </w:rPr>
      </w:pPr>
      <w:r w:rsidRPr="00330556">
        <w:rPr>
          <w:noProof/>
        </w:rPr>
        <w:t>c)</w:t>
      </w:r>
      <w:r w:rsidRPr="00330556">
        <w:rPr>
          <w:noProof/>
        </w:rPr>
        <w:tab/>
      </w:r>
      <w:r w:rsidR="00FA69C1" w:rsidRPr="00330556">
        <w:rPr>
          <w:noProof/>
        </w:rPr>
        <w:t>O formato em que as informações são fornecidas pela autoridade competente nos termos do artigo 9.º, n.º 2, não é adequado para a elaboração ou execução de planos de resolução.</w:t>
      </w:r>
    </w:p>
    <w:p w:rsidR="004B472A" w:rsidRPr="00330556" w:rsidRDefault="00C9665C" w:rsidP="00C9665C">
      <w:pPr>
        <w:pStyle w:val="ManualNumPar1"/>
        <w:rPr>
          <w:noProof/>
        </w:rPr>
      </w:pPr>
      <w:r w:rsidRPr="00C9665C">
        <w:rPr>
          <w:noProof/>
        </w:rPr>
        <w:t>2.</w:t>
      </w:r>
      <w:r w:rsidRPr="00C9665C">
        <w:rPr>
          <w:noProof/>
        </w:rPr>
        <w:tab/>
      </w:r>
      <w:r w:rsidR="004B472A" w:rsidRPr="00330556">
        <w:rPr>
          <w:noProof/>
        </w:rPr>
        <w:t>Relativamente ao pedido a que se refere o n.º 1, a autoridade de resolução deve:</w:t>
      </w:r>
    </w:p>
    <w:p w:rsidR="004B472A" w:rsidRPr="00330556" w:rsidRDefault="00330556" w:rsidP="00330556">
      <w:pPr>
        <w:pStyle w:val="Point1"/>
        <w:rPr>
          <w:noProof/>
        </w:rPr>
      </w:pPr>
      <w:r w:rsidRPr="00330556">
        <w:rPr>
          <w:noProof/>
        </w:rPr>
        <w:t>a)</w:t>
      </w:r>
      <w:r w:rsidRPr="00330556">
        <w:rPr>
          <w:noProof/>
        </w:rPr>
        <w:tab/>
      </w:r>
      <w:r w:rsidR="004B472A" w:rsidRPr="00330556">
        <w:rPr>
          <w:noProof/>
        </w:rPr>
        <w:t>Identificar as informações adicionais a fornecer;</w:t>
      </w:r>
    </w:p>
    <w:p w:rsidR="004B472A" w:rsidRPr="00330556" w:rsidRDefault="00330556" w:rsidP="00330556">
      <w:pPr>
        <w:pStyle w:val="Point1"/>
        <w:rPr>
          <w:noProof/>
        </w:rPr>
      </w:pPr>
      <w:r w:rsidRPr="00330556">
        <w:rPr>
          <w:noProof/>
        </w:rPr>
        <w:t>b)</w:t>
      </w:r>
      <w:r w:rsidRPr="00330556">
        <w:rPr>
          <w:noProof/>
        </w:rPr>
        <w:tab/>
      </w:r>
      <w:r w:rsidR="004B472A" w:rsidRPr="00330556">
        <w:rPr>
          <w:noProof/>
        </w:rPr>
        <w:t>Especificar o prazo adequado em que a instituição ou, no caso dos grupos, a empresa-mãe na União deve fornecer as informações à autoridade de resolução, tendo em conta o volume e a complexidade das informações exigidas;</w:t>
      </w:r>
    </w:p>
    <w:p w:rsidR="004B472A" w:rsidRPr="00330556" w:rsidRDefault="00330556" w:rsidP="00330556">
      <w:pPr>
        <w:pStyle w:val="Point1"/>
        <w:rPr>
          <w:noProof/>
        </w:rPr>
      </w:pPr>
      <w:r w:rsidRPr="00330556">
        <w:rPr>
          <w:noProof/>
        </w:rPr>
        <w:t>c)</w:t>
      </w:r>
      <w:r w:rsidRPr="00330556">
        <w:rPr>
          <w:noProof/>
        </w:rPr>
        <w:tab/>
      </w:r>
      <w:r w:rsidR="004B472A" w:rsidRPr="00330556">
        <w:rPr>
          <w:noProof/>
        </w:rPr>
        <w:t>Especificar o formato a utilizar pelas instituições ou, no caso dos grupos, pelas empresas-mãe na União, a fim de fornecer as informações à autoridade de resolução;</w:t>
      </w:r>
    </w:p>
    <w:p w:rsidR="004B472A" w:rsidRPr="00330556" w:rsidRDefault="00330556" w:rsidP="00330556">
      <w:pPr>
        <w:pStyle w:val="Point1"/>
        <w:rPr>
          <w:noProof/>
        </w:rPr>
      </w:pPr>
      <w:r w:rsidRPr="00330556">
        <w:rPr>
          <w:noProof/>
        </w:rPr>
        <w:t>d)</w:t>
      </w:r>
      <w:r w:rsidRPr="00330556">
        <w:rPr>
          <w:noProof/>
        </w:rPr>
        <w:tab/>
      </w:r>
      <w:r w:rsidR="004B472A" w:rsidRPr="00330556">
        <w:rPr>
          <w:noProof/>
        </w:rPr>
        <w:t>Especificar se as informações têm de ser fornecidas em base individual, subconsolidada ou consolidada e se o seu âmbito é local, à escala da União ou mundial;</w:t>
      </w:r>
    </w:p>
    <w:p w:rsidR="004B472A" w:rsidRPr="00330556" w:rsidRDefault="00330556" w:rsidP="00330556">
      <w:pPr>
        <w:pStyle w:val="Point1"/>
        <w:rPr>
          <w:noProof/>
        </w:rPr>
      </w:pPr>
      <w:r w:rsidRPr="00330556">
        <w:rPr>
          <w:noProof/>
        </w:rPr>
        <w:t>e)</w:t>
      </w:r>
      <w:r w:rsidRPr="00330556">
        <w:rPr>
          <w:noProof/>
        </w:rPr>
        <w:tab/>
      </w:r>
      <w:r w:rsidR="004B472A" w:rsidRPr="00330556">
        <w:rPr>
          <w:noProof/>
        </w:rPr>
        <w:t>Especificar o destinatário exato, os formatos de intercâmbio de dados e as informações que devem acompanhar as apresentações caso devam ser fornecidas informações adicionais.</w:t>
      </w:r>
    </w:p>
    <w:p w:rsidR="004B472A" w:rsidRPr="00330556" w:rsidRDefault="004B472A" w:rsidP="00184085">
      <w:pPr>
        <w:pStyle w:val="Titrearticle"/>
        <w:rPr>
          <w:noProof/>
        </w:rPr>
      </w:pPr>
      <w:r w:rsidRPr="00330556">
        <w:rPr>
          <w:noProof/>
        </w:rPr>
        <w:t>Artigo 9.º</w:t>
      </w:r>
    </w:p>
    <w:p w:rsidR="004B472A" w:rsidRPr="00330556" w:rsidRDefault="004B472A" w:rsidP="00184085">
      <w:pPr>
        <w:pStyle w:val="Titrearticle"/>
        <w:spacing w:before="0"/>
        <w:rPr>
          <w:b/>
          <w:bCs/>
          <w:i w:val="0"/>
          <w:iCs/>
          <w:noProof/>
        </w:rPr>
      </w:pPr>
      <w:r w:rsidRPr="00330556">
        <w:rPr>
          <w:b/>
          <w:i w:val="0"/>
          <w:noProof/>
        </w:rPr>
        <w:t>Cooperação entre as autoridades competentes e de resolução</w:t>
      </w:r>
    </w:p>
    <w:p w:rsidR="004B472A" w:rsidRPr="00330556" w:rsidRDefault="00C9665C" w:rsidP="00C9665C">
      <w:pPr>
        <w:pStyle w:val="ManualNumPar1"/>
        <w:rPr>
          <w:noProof/>
        </w:rPr>
      </w:pPr>
      <w:r w:rsidRPr="00C9665C">
        <w:rPr>
          <w:noProof/>
        </w:rPr>
        <w:t>1.</w:t>
      </w:r>
      <w:r w:rsidRPr="00C9665C">
        <w:rPr>
          <w:noProof/>
        </w:rPr>
        <w:tab/>
      </w:r>
      <w:r w:rsidR="004B472A" w:rsidRPr="00330556">
        <w:rPr>
          <w:noProof/>
        </w:rPr>
        <w:t>As autoridades competentes e de resolução verificam conjuntamente se a autoridade competente não dispõe já da totalidade ou de parte das informações a prestar à autoridade de resolução em conformidade com os artigos 2.º a 5.º e com os artigos 7.º e 8.º.</w:t>
      </w:r>
    </w:p>
    <w:p w:rsidR="004B472A" w:rsidRPr="00330556" w:rsidRDefault="00C9665C" w:rsidP="00C9665C">
      <w:pPr>
        <w:pStyle w:val="ManualNumPar1"/>
        <w:rPr>
          <w:noProof/>
        </w:rPr>
      </w:pPr>
      <w:r w:rsidRPr="00C9665C">
        <w:rPr>
          <w:noProof/>
        </w:rPr>
        <w:t>2.</w:t>
      </w:r>
      <w:r w:rsidRPr="00C9665C">
        <w:rPr>
          <w:noProof/>
        </w:rPr>
        <w:tab/>
      </w:r>
      <w:r w:rsidR="004B472A" w:rsidRPr="00330556">
        <w:rPr>
          <w:noProof/>
        </w:rPr>
        <w:t xml:space="preserve">Quando uma parte ou todas as informações já se encontrarem à disposição da autoridade competente, esta última deve prestar essas informações à autoridade de resolução em tempo útil. </w:t>
      </w:r>
    </w:p>
    <w:p w:rsidR="004B472A" w:rsidRPr="00330556" w:rsidRDefault="00C9665C" w:rsidP="00C9665C">
      <w:pPr>
        <w:pStyle w:val="ManualNumPar1"/>
        <w:rPr>
          <w:noProof/>
        </w:rPr>
      </w:pPr>
      <w:r w:rsidRPr="00C9665C">
        <w:rPr>
          <w:noProof/>
        </w:rPr>
        <w:t>3.</w:t>
      </w:r>
      <w:r w:rsidRPr="00C9665C">
        <w:rPr>
          <w:noProof/>
        </w:rPr>
        <w:tab/>
      </w:r>
      <w:r w:rsidR="00914032" w:rsidRPr="00330556">
        <w:rPr>
          <w:noProof/>
        </w:rPr>
        <w:t>Para efeitos do n.º 2, as autoridades de resolução informam as instituições ou, no caso de grupos, as empresas-mãe na União, das informações que devem ser incluídas na apresentação de informações nos termos do presente regulamento. As autoridades de resolução devem identificar essas informações por referência aos modelos estabelecidos no anexo I.</w:t>
      </w:r>
    </w:p>
    <w:p w:rsidR="004B472A" w:rsidRPr="00330556" w:rsidRDefault="004B472A" w:rsidP="00184085">
      <w:pPr>
        <w:pStyle w:val="Titrearticle"/>
        <w:rPr>
          <w:noProof/>
        </w:rPr>
      </w:pPr>
      <w:r w:rsidRPr="00330556">
        <w:rPr>
          <w:noProof/>
        </w:rPr>
        <w:t>Artigo 10.º</w:t>
      </w:r>
    </w:p>
    <w:p w:rsidR="004B472A" w:rsidRPr="00330556" w:rsidRDefault="004B472A" w:rsidP="00184085">
      <w:pPr>
        <w:pStyle w:val="Titrearticle"/>
        <w:spacing w:before="0"/>
        <w:rPr>
          <w:b/>
          <w:bCs/>
          <w:i w:val="0"/>
          <w:iCs/>
          <w:noProof/>
        </w:rPr>
      </w:pPr>
      <w:r w:rsidRPr="00330556">
        <w:rPr>
          <w:b/>
          <w:i w:val="0"/>
          <w:noProof/>
        </w:rPr>
        <w:t>Revogação</w:t>
      </w:r>
    </w:p>
    <w:p w:rsidR="004B472A" w:rsidRPr="00330556" w:rsidRDefault="004B472A" w:rsidP="00184085">
      <w:pPr>
        <w:rPr>
          <w:noProof/>
        </w:rPr>
      </w:pPr>
      <w:r w:rsidRPr="00330556">
        <w:rPr>
          <w:noProof/>
        </w:rPr>
        <w:t>É revogado o Regulamento de Execução (UE) 2018/1624.</w:t>
      </w:r>
    </w:p>
    <w:p w:rsidR="004B472A" w:rsidRPr="00330556" w:rsidRDefault="004B472A" w:rsidP="00184085">
      <w:pPr>
        <w:rPr>
          <w:noProof/>
        </w:rPr>
      </w:pPr>
      <w:r w:rsidRPr="00330556">
        <w:rPr>
          <w:noProof/>
        </w:rPr>
        <w:t>As referências ao regulamento de execução revogado devem entender-se como referências ao presente regulamento.</w:t>
      </w:r>
    </w:p>
    <w:p w:rsidR="00860655" w:rsidRPr="00330556" w:rsidRDefault="00860655" w:rsidP="00184085">
      <w:pPr>
        <w:pStyle w:val="Titrearticle"/>
        <w:rPr>
          <w:noProof/>
        </w:rPr>
      </w:pPr>
      <w:r w:rsidRPr="00330556">
        <w:rPr>
          <w:noProof/>
        </w:rPr>
        <w:t>Artigo 11.º</w:t>
      </w:r>
    </w:p>
    <w:p w:rsidR="004B472A" w:rsidRPr="00330556" w:rsidRDefault="004B472A" w:rsidP="00184085">
      <w:pPr>
        <w:pStyle w:val="Titrearticle"/>
        <w:spacing w:before="0"/>
        <w:rPr>
          <w:b/>
          <w:bCs/>
          <w:i w:val="0"/>
          <w:iCs/>
          <w:noProof/>
        </w:rPr>
      </w:pPr>
      <w:r w:rsidRPr="00330556">
        <w:rPr>
          <w:b/>
          <w:i w:val="0"/>
          <w:noProof/>
        </w:rPr>
        <w:t>Entrada em vigor</w:t>
      </w:r>
    </w:p>
    <w:p w:rsidR="00860655" w:rsidRPr="00330556" w:rsidRDefault="00860655" w:rsidP="00184085">
      <w:pPr>
        <w:rPr>
          <w:noProof/>
        </w:rPr>
      </w:pPr>
      <w:r w:rsidRPr="00330556">
        <w:rPr>
          <w:noProof/>
        </w:rPr>
        <w:t xml:space="preserve">O presente regulamento entra em vigor no vigésimo dia seguinte ao da sua publicação no </w:t>
      </w:r>
      <w:r w:rsidRPr="00330556">
        <w:rPr>
          <w:i/>
          <w:iCs/>
          <w:noProof/>
        </w:rPr>
        <w:t>Jornal Oficial da União Europeia</w:t>
      </w:r>
      <w:r w:rsidRPr="00330556">
        <w:rPr>
          <w:noProof/>
        </w:rPr>
        <w:t>.</w:t>
      </w:r>
    </w:p>
    <w:p w:rsidR="00860655" w:rsidRPr="00330556" w:rsidRDefault="00860655" w:rsidP="00F47213">
      <w:pPr>
        <w:pStyle w:val="Applicationdirecte"/>
        <w:keepNext/>
        <w:keepLines/>
        <w:rPr>
          <w:noProof/>
        </w:rPr>
      </w:pPr>
      <w:r w:rsidRPr="00330556">
        <w:rPr>
          <w:noProof/>
        </w:rPr>
        <w:t>O presente regulamento é obrigatório em todos os seus elementos e diretamente aplicável em todos os Estados-Membros.</w:t>
      </w:r>
    </w:p>
    <w:p w:rsidR="00860655" w:rsidRPr="00330556" w:rsidRDefault="00C407D2" w:rsidP="00F47213">
      <w:pPr>
        <w:pStyle w:val="Fait"/>
        <w:rPr>
          <w:noProof/>
        </w:rPr>
      </w:pPr>
      <w:r>
        <w:rPr>
          <w:noProof/>
        </w:rPr>
        <w:t>Feito em Bruxelas, em 14.11.2025</w:t>
      </w:r>
    </w:p>
    <w:p w:rsidR="00860655" w:rsidRPr="00330556" w:rsidRDefault="00860655" w:rsidP="00F47213">
      <w:pPr>
        <w:pStyle w:val="Institutionquisigne"/>
        <w:rPr>
          <w:noProof/>
        </w:rPr>
      </w:pPr>
      <w:r w:rsidRPr="00330556">
        <w:rPr>
          <w:noProof/>
        </w:rPr>
        <w:tab/>
        <w:t>Pela Comissão</w:t>
      </w:r>
    </w:p>
    <w:p w:rsidR="00860655" w:rsidRPr="00330556" w:rsidRDefault="00E12A99" w:rsidP="00184085">
      <w:pPr>
        <w:pStyle w:val="Personnequisigne"/>
        <w:rPr>
          <w:noProof/>
        </w:rPr>
      </w:pPr>
      <w:r>
        <w:rPr>
          <w:noProof/>
        </w:rPr>
        <w:tab/>
        <w:t>A Presidente</w:t>
      </w:r>
      <w:r>
        <w:rPr>
          <w:noProof/>
        </w:rPr>
        <w:br/>
      </w:r>
      <w:r>
        <w:rPr>
          <w:noProof/>
        </w:rPr>
        <w:tab/>
        <w:t>Ursula VON DER LEYEN</w:t>
      </w:r>
    </w:p>
    <w:sectPr w:rsidR="00860655" w:rsidRPr="00330556" w:rsidSect="00117F6A">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Pr="00117F6A" w:rsidRDefault="00117F6A" w:rsidP="00117F6A">
    <w:pPr>
      <w:pStyle w:val="Footer"/>
      <w:rPr>
        <w:rFonts w:ascii="Arial" w:hAnsi="Arial" w:cs="Arial"/>
        <w:b/>
        <w:sz w:val="48"/>
      </w:rPr>
    </w:pPr>
    <w:r w:rsidRPr="00117F6A">
      <w:rPr>
        <w:rFonts w:ascii="Arial" w:hAnsi="Arial" w:cs="Arial"/>
        <w:b/>
        <w:sz w:val="48"/>
      </w:rPr>
      <w:t>PT</w:t>
    </w:r>
    <w:r w:rsidRPr="00117F6A">
      <w:rPr>
        <w:rFonts w:ascii="Arial" w:hAnsi="Arial" w:cs="Arial"/>
        <w:b/>
        <w:sz w:val="48"/>
      </w:rPr>
      <w:tab/>
    </w:r>
    <w:r w:rsidRPr="00117F6A">
      <w:rPr>
        <w:rFonts w:ascii="Arial" w:hAnsi="Arial" w:cs="Arial"/>
        <w:b/>
        <w:sz w:val="48"/>
      </w:rPr>
      <w:tab/>
    </w:r>
    <w:r w:rsidRPr="00117F6A">
      <w:tab/>
    </w:r>
    <w:r w:rsidRPr="00117F6A">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Pr="00117F6A" w:rsidRDefault="00117F6A" w:rsidP="00117F6A">
    <w:pPr>
      <w:pStyle w:val="Footer"/>
      <w:rPr>
        <w:rFonts w:ascii="Arial" w:hAnsi="Arial" w:cs="Arial"/>
        <w:b/>
        <w:sz w:val="48"/>
      </w:rPr>
    </w:pPr>
    <w:r w:rsidRPr="00117F6A">
      <w:rPr>
        <w:rFonts w:ascii="Arial" w:hAnsi="Arial" w:cs="Arial"/>
        <w:b/>
        <w:sz w:val="48"/>
      </w:rPr>
      <w:t>PT</w:t>
    </w:r>
    <w:r w:rsidRPr="00117F6A">
      <w:rPr>
        <w:rFonts w:ascii="Arial" w:hAnsi="Arial" w:cs="Arial"/>
        <w:b/>
        <w:sz w:val="48"/>
      </w:rPr>
      <w:tab/>
    </w:r>
    <w:r w:rsidRPr="00117F6A">
      <w:rPr>
        <w:rFonts w:ascii="Arial" w:hAnsi="Arial" w:cs="Arial"/>
        <w:b/>
        <w:sz w:val="48"/>
      </w:rPr>
      <w:tab/>
    </w:r>
    <w:r w:rsidRPr="00117F6A">
      <w:tab/>
    </w:r>
    <w:r w:rsidRPr="00117F6A">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Default="00117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Pr="00117F6A" w:rsidRDefault="00117F6A" w:rsidP="00117F6A">
    <w:pPr>
      <w:pStyle w:val="Footer"/>
      <w:rPr>
        <w:rFonts w:ascii="Arial" w:hAnsi="Arial" w:cs="Arial"/>
        <w:b/>
        <w:sz w:val="48"/>
      </w:rPr>
    </w:pPr>
    <w:r w:rsidRPr="00117F6A">
      <w:rPr>
        <w:rFonts w:ascii="Arial" w:hAnsi="Arial" w:cs="Arial"/>
        <w:b/>
        <w:sz w:val="48"/>
      </w:rPr>
      <w:t>PT</w:t>
    </w:r>
    <w:r w:rsidRPr="00117F6A">
      <w:rPr>
        <w:rFonts w:ascii="Arial" w:hAnsi="Arial" w:cs="Arial"/>
        <w:b/>
        <w:sz w:val="48"/>
      </w:rPr>
      <w:tab/>
    </w:r>
    <w:r>
      <w:fldChar w:fldCharType="begin"/>
    </w:r>
    <w:r>
      <w:instrText xml:space="preserve"> PAGE  \* MERGEFORMAT </w:instrText>
    </w:r>
    <w:r>
      <w:fldChar w:fldCharType="separate"/>
    </w:r>
    <w:r w:rsidR="00F47213">
      <w:rPr>
        <w:noProof/>
      </w:rPr>
      <w:t>11</w:t>
    </w:r>
    <w:r>
      <w:fldChar w:fldCharType="end"/>
    </w:r>
    <w:r>
      <w:tab/>
    </w:r>
    <w:r w:rsidRPr="00117F6A">
      <w:tab/>
    </w:r>
    <w:r w:rsidRPr="00117F6A">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Default="00117F6A" w:rsidP="0011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30556" w:rsidRDefault="00860655" w:rsidP="00730DBE">
      <w:pPr>
        <w:pStyle w:val="FootnoteText"/>
      </w:pPr>
      <w:r>
        <w:rPr>
          <w:rStyle w:val="FootnoteReference"/>
        </w:rPr>
        <w:footnoteRef/>
      </w:r>
      <w:r w:rsidRPr="00330556">
        <w:tab/>
        <w:t>JO L 173 de 12.6.2014, p. 190, ELI: http://data.europa.eu/eli/dir/2014/59/oj.</w:t>
      </w:r>
    </w:p>
  </w:footnote>
  <w:footnote w:id="3">
    <w:p w:rsidR="00736C47" w:rsidRPr="00330556" w:rsidRDefault="00736C47">
      <w:pPr>
        <w:pStyle w:val="FootnoteText"/>
      </w:pPr>
      <w:r>
        <w:rPr>
          <w:rStyle w:val="FootnoteReference"/>
        </w:rPr>
        <w:footnoteRef/>
      </w:r>
      <w:r w:rsidRPr="00330556">
        <w:tab/>
        <w:t>Regulamento de Execução (UE) 2018/1624 da Comissão, de 23 de outubro de 2018, que estabelece normas técnicas de execução no que respeita aos procedimentos e aos formulários e modelos normalizados para a apresentação de informações para efeitos dos planos de resolução de instituições de crédito e de empresas de investimento nos termos da Diretiva 2014/59/UE do Parlamento Europeu e do Conselho e revoga o Regulamento de Execução (UE) 2016/1066 da Comissão (JO L 277 de 7.11.2018, p. 1, ELI: http://data.europa.eu/eli/reg_impl/2018/1624/oj).</w:t>
      </w:r>
    </w:p>
  </w:footnote>
  <w:footnote w:id="4">
    <w:p w:rsidR="00736C47" w:rsidRPr="00330556" w:rsidRDefault="00736C47">
      <w:pPr>
        <w:pStyle w:val="FootnoteText"/>
      </w:pPr>
      <w:r>
        <w:rPr>
          <w:rStyle w:val="FootnoteReference"/>
        </w:rPr>
        <w:footnoteRef/>
      </w:r>
      <w:r w:rsidRPr="00330556">
        <w:tab/>
        <w:t>Diretiva (UE) 2024/1174 do Parlamento Europeu e do Conselho, de 11 de abril de 2024, que altera a Diretiva 2014/59/UE e o Regulamento (UE) n.º 806/2014 no que diz respeito a determinados aspetos do requisito mínimo de fundos próprios e passivos elegíveis (JO L, 2024/1174, 22.4.2024, p.1, ELI: http://data.europa.eu/eli/dir/2024/1174/oj).</w:t>
      </w:r>
    </w:p>
  </w:footnote>
  <w:footnote w:id="5">
    <w:p w:rsidR="00736C47" w:rsidRPr="00330556" w:rsidRDefault="00736C47">
      <w:pPr>
        <w:pStyle w:val="FootnoteText"/>
      </w:pPr>
      <w:r>
        <w:rPr>
          <w:rStyle w:val="FootnoteReference"/>
        </w:rPr>
        <w:footnoteRef/>
      </w:r>
      <w:r w:rsidRPr="00330556">
        <w:tab/>
        <w:t>Regulamento (UE) n.º 1093/2010 do Parlamento Europeu e do Conselho, de 24 de novembro de 2010, que cria uma Autoridade Europeia de Supervisão (Autoridade Bancária Europeia), altera a Decisão n.º</w:t>
      </w:r>
      <w:r w:rsidR="002F75D6">
        <w:t> </w:t>
      </w:r>
      <w:r w:rsidRPr="00330556">
        <w:t>716/2009/CE e revoga a Decisão 2009/78/CE da Comissão (JO L 331 de 15.12.2010, p. 12, ELI: http://data.europa.eu/eli/reg/2010/1093/oj).</w:t>
      </w:r>
    </w:p>
  </w:footnote>
  <w:footnote w:id="6">
    <w:p w:rsidR="00736C47" w:rsidRPr="00330556" w:rsidRDefault="00736C47">
      <w:pPr>
        <w:pStyle w:val="FootnoteText"/>
      </w:pPr>
      <w:r>
        <w:rPr>
          <w:rStyle w:val="FootnoteReference"/>
        </w:rPr>
        <w:footnoteRef/>
      </w:r>
      <w:r w:rsidRPr="00330556">
        <w:tab/>
        <w:t>Regulamento (UE) n.º 575/2013 do Parlamento Europeu e do Conselho, de 26 de junho de 2013, relativo aos requisitos prudenciais para as instituições de crédito e que altera o Regulamento (UE) n.º 648/2012 (JO L 176 de 27.6.2013, p. 1, ELI: http://data.europa.eu/eli/reg/2013/575/oj).</w:t>
      </w:r>
    </w:p>
  </w:footnote>
  <w:footnote w:id="7">
    <w:p w:rsidR="00736C47" w:rsidRPr="00330556" w:rsidRDefault="00736C47">
      <w:pPr>
        <w:pStyle w:val="FootnoteText"/>
      </w:pPr>
      <w:r>
        <w:rPr>
          <w:rStyle w:val="FootnoteReference"/>
        </w:rPr>
        <w:footnoteRef/>
      </w:r>
      <w:r w:rsidRPr="00330556">
        <w:tab/>
        <w:t>Diretiva 2013/36/UE do Parlamento Europeu e do Conselho, de 26 de junho de 2013, relativa ao acesso à atividade das instituições de crédito e à supervisão prudencial das instituições de crédito, que altera a Diretiva 2002/87/CE e revoga as Diretivas 2006/48/CE e 2006/49/CE (JO L 176 de 27.6.2013, p. 338, ELI: http://data.europa.eu/eli/dir/2013/36/oj).</w:t>
      </w:r>
    </w:p>
  </w:footnote>
  <w:footnote w:id="8">
    <w:p w:rsidR="00736C47" w:rsidRPr="00330556" w:rsidRDefault="00736C47">
      <w:pPr>
        <w:pStyle w:val="FootnoteText"/>
      </w:pPr>
      <w:r>
        <w:rPr>
          <w:rStyle w:val="FootnoteReference"/>
        </w:rPr>
        <w:footnoteRef/>
      </w:r>
      <w:r w:rsidRPr="00330556">
        <w:tab/>
        <w:t>Regulamento (UE) n.º 2019/2033 do Parlamento Europeu e do Conselho, de 27 de novembro de 2019, relativo às exigências prudenciais das empresas de investimento e que altera os Regulamentos (UE) n.º</w:t>
      </w:r>
      <w:r w:rsidR="002F75D6">
        <w:t> </w:t>
      </w:r>
      <w:r w:rsidRPr="00330556">
        <w:t>1093/2010, (UE) n.º 575/2013 (UE) n.º 600/2014 e (UE) n.º 806/2014 (JO L 314 de 5.12.2019, p.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Default="0011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6A" w:rsidRDefault="0011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6: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71E6F13-1009-4C0A-B00F-D11C8327122C"/>
    <w:docVar w:name="LW_COVERPAGE_TYPE" w:val="1"/>
    <w:docVar w:name="LW_CreatedUtc" w:val="2025-04-09T13:24:10.7425134Z"/>
    <w:docVar w:name="LW_CROSSREFERENCE" w:val="&lt;UNUSED&gt;"/>
    <w:docVar w:name="LW_DATE.ADOPT.CP" w:val="de 14.11.2025"/>
    <w:docVar w:name="LW_DATE.ADOPT.CP_DATEFORMAT" w:val="de %DATE%"/>
    <w:docVar w:name="LW_DATE.ADOPT.CP_ISODATE" w:val="2025-11-14"/>
    <w:docVar w:name="LW_DocType" w:val="COM"/>
    <w:docVar w:name="LW_EMISSION" w:val="14.11.2025"/>
    <w:docVar w:name="LW_EMISSION_ISODATE" w:val="2025-11-14"/>
    <w:docVar w:name="LW_EMISSION_LOCATION" w:val="BRX"/>
    <w:docVar w:name="LW_EMISSION_PREFIX" w:val="Bruxelas, "/>
    <w:docVar w:name="LW_EMISSION_SUFFIX" w:val=" "/>
    <w:docVar w:name="LW_ID_DOCMODEL" w:val="SJ-004"/>
    <w:docVar w:name="LW_ID_DOCSIGNATURE" w:val="SJ-004"/>
    <w:docVar w:name="LW_ID_DOCSTRUCTURE" w:val="COM/AA"/>
    <w:docVar w:name="LW_ID_DOCTYPE" w:val="SJ-004"/>
    <w:docVar w:name="LW_INTERETEEE.CP" w:val="(Texto relevante para efeitos do EEE)"/>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que estabelece normas técnicas de execução no que respeita aos procedimentos, aos formulários e aos modelos normalizados para a apresentação de informações para efeitos dos planos de resolução de instituições de crédito e de empresas de investimento nos termos da Diretiva 2014/59/UE do Parlamento Europeu e do Conselho e que revoga o Regulamento de Execução (UE) 2018/1624 da Comissão"/>
    <w:docVar w:name="LW_TYPE.DOC.CP" w:val="REGULAMENTO DE EXECUÇÃO (UE) \u8230?/... DA COMISSÃO"/>
    <w:docVar w:name="LwApiVersions" w:val="LW4CoDe 1.24.5.0; LW 9.0, Build 20240221"/>
  </w:docVars>
  <w:rsids>
    <w:rsidRoot w:val="00860655"/>
    <w:rsid w:val="00003E9B"/>
    <w:rsid w:val="00010444"/>
    <w:rsid w:val="00011152"/>
    <w:rsid w:val="00011674"/>
    <w:rsid w:val="00012E4C"/>
    <w:rsid w:val="00013A27"/>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6775"/>
    <w:rsid w:val="00107070"/>
    <w:rsid w:val="001075F2"/>
    <w:rsid w:val="00111B75"/>
    <w:rsid w:val="001133CE"/>
    <w:rsid w:val="00114B18"/>
    <w:rsid w:val="00116FC0"/>
    <w:rsid w:val="0011724D"/>
    <w:rsid w:val="00117F6A"/>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B784A"/>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5DDF"/>
    <w:rsid w:val="002E68E1"/>
    <w:rsid w:val="002E74B0"/>
    <w:rsid w:val="002F1560"/>
    <w:rsid w:val="002F1851"/>
    <w:rsid w:val="002F1900"/>
    <w:rsid w:val="002F25EA"/>
    <w:rsid w:val="002F38E7"/>
    <w:rsid w:val="002F656E"/>
    <w:rsid w:val="002F75D6"/>
    <w:rsid w:val="002F78D9"/>
    <w:rsid w:val="002F7929"/>
    <w:rsid w:val="00302C98"/>
    <w:rsid w:val="00303126"/>
    <w:rsid w:val="00303644"/>
    <w:rsid w:val="00311F1E"/>
    <w:rsid w:val="003136DC"/>
    <w:rsid w:val="00315946"/>
    <w:rsid w:val="00316773"/>
    <w:rsid w:val="00322949"/>
    <w:rsid w:val="00325642"/>
    <w:rsid w:val="0032641B"/>
    <w:rsid w:val="00327C58"/>
    <w:rsid w:val="00330556"/>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86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3CF7"/>
    <w:rsid w:val="005E3EB3"/>
    <w:rsid w:val="005E4C22"/>
    <w:rsid w:val="005E4DBA"/>
    <w:rsid w:val="005E6BF0"/>
    <w:rsid w:val="005F2AF0"/>
    <w:rsid w:val="005F3B98"/>
    <w:rsid w:val="005F4567"/>
    <w:rsid w:val="005F6877"/>
    <w:rsid w:val="005F6C9E"/>
    <w:rsid w:val="006026E0"/>
    <w:rsid w:val="00602A82"/>
    <w:rsid w:val="00602AB8"/>
    <w:rsid w:val="006076FC"/>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2D48"/>
    <w:rsid w:val="00693932"/>
    <w:rsid w:val="00694AFE"/>
    <w:rsid w:val="00694F0B"/>
    <w:rsid w:val="00696893"/>
    <w:rsid w:val="00697E0E"/>
    <w:rsid w:val="006A0137"/>
    <w:rsid w:val="006A0F10"/>
    <w:rsid w:val="006A269B"/>
    <w:rsid w:val="006A5DD5"/>
    <w:rsid w:val="006B0188"/>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793"/>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3CB"/>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674B"/>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375"/>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A76CD"/>
    <w:rsid w:val="009B3320"/>
    <w:rsid w:val="009B4623"/>
    <w:rsid w:val="009B5048"/>
    <w:rsid w:val="009B5878"/>
    <w:rsid w:val="009B6887"/>
    <w:rsid w:val="009B7970"/>
    <w:rsid w:val="009C3882"/>
    <w:rsid w:val="009C3C55"/>
    <w:rsid w:val="009C4AA1"/>
    <w:rsid w:val="009D050A"/>
    <w:rsid w:val="009D0D09"/>
    <w:rsid w:val="009D2BE4"/>
    <w:rsid w:val="009E1B3F"/>
    <w:rsid w:val="009E3C0D"/>
    <w:rsid w:val="009E3E39"/>
    <w:rsid w:val="009F034F"/>
    <w:rsid w:val="009F0766"/>
    <w:rsid w:val="009F0864"/>
    <w:rsid w:val="009F0D40"/>
    <w:rsid w:val="009F41D3"/>
    <w:rsid w:val="009F59D3"/>
    <w:rsid w:val="009F6C7C"/>
    <w:rsid w:val="00A00058"/>
    <w:rsid w:val="00A003BB"/>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861E4"/>
    <w:rsid w:val="00A93F8D"/>
    <w:rsid w:val="00A95E76"/>
    <w:rsid w:val="00AA112B"/>
    <w:rsid w:val="00AA1EA4"/>
    <w:rsid w:val="00AB3503"/>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04F4"/>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7D2"/>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9665C"/>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191"/>
    <w:rsid w:val="00DF4A20"/>
    <w:rsid w:val="00DF589B"/>
    <w:rsid w:val="00DF6014"/>
    <w:rsid w:val="00E0068D"/>
    <w:rsid w:val="00E01F26"/>
    <w:rsid w:val="00E03986"/>
    <w:rsid w:val="00E07235"/>
    <w:rsid w:val="00E11317"/>
    <w:rsid w:val="00E12A99"/>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119E"/>
    <w:rsid w:val="00F260A6"/>
    <w:rsid w:val="00F336AC"/>
    <w:rsid w:val="00F411AA"/>
    <w:rsid w:val="00F4455F"/>
    <w:rsid w:val="00F47213"/>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644B"/>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pt-PT"/>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pt-PT"/>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117F6A"/>
    <w:rPr>
      <w:rFonts w:ascii="Times New Roman" w:hAnsi="Times New Roman" w:cs="Times New Roman"/>
      <w:sz w:val="24"/>
      <w:lang w:val="pt-PT"/>
    </w:rPr>
  </w:style>
  <w:style w:type="character" w:customStyle="1" w:styleId="FooterChar">
    <w:name w:val="Footer Char"/>
    <w:basedOn w:val="DefaultParagraphFont"/>
    <w:link w:val="Footer"/>
    <w:uiPriority w:val="99"/>
    <w:rsid w:val="00117F6A"/>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17F6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17F6A"/>
    <w:pPr>
      <w:spacing w:before="0"/>
      <w:jc w:val="right"/>
    </w:pPr>
    <w:rPr>
      <w:sz w:val="28"/>
    </w:rPr>
  </w:style>
  <w:style w:type="paragraph" w:customStyle="1" w:styleId="FooterSensitivity">
    <w:name w:val="Footer Sensitivity"/>
    <w:basedOn w:val="Normal"/>
    <w:rsid w:val="00117F6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17F6A"/>
    <w:pPr>
      <w:tabs>
        <w:tab w:val="center" w:pos="4535"/>
        <w:tab w:val="right" w:pos="9071"/>
      </w:tabs>
      <w:spacing w:before="0"/>
    </w:pPr>
  </w:style>
  <w:style w:type="paragraph" w:customStyle="1" w:styleId="HeaderLandscape">
    <w:name w:val="HeaderLandscape"/>
    <w:basedOn w:val="Normal"/>
    <w:rsid w:val="00117F6A"/>
    <w:pPr>
      <w:tabs>
        <w:tab w:val="center" w:pos="7285"/>
        <w:tab w:val="right" w:pos="14003"/>
      </w:tabs>
      <w:spacing w:before="0"/>
    </w:pPr>
  </w:style>
  <w:style w:type="paragraph" w:styleId="Footer">
    <w:name w:val="footer"/>
    <w:basedOn w:val="Normal"/>
    <w:link w:val="FooterChar"/>
    <w:uiPriority w:val="99"/>
    <w:unhideWhenUsed/>
    <w:rsid w:val="00117F6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17F6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11</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62</cp:revision>
  <dcterms:created xsi:type="dcterms:W3CDTF">2025-08-04T13:17:00Z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