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9450D8" w:rsidRDefault="00593A1E" w:rsidP="00593A1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E7EE956-369B-4F0E-BEEC-EDB5F9128E0B" style="width:455.25pt;height:441pt">
            <v:imagedata r:id="rId10" o:title=""/>
          </v:shape>
        </w:pict>
      </w:r>
    </w:p>
    <w:p w:rsidR="00860655" w:rsidRPr="009450D8" w:rsidRDefault="00860655" w:rsidP="00184085">
      <w:pPr>
        <w:rPr>
          <w:noProof/>
        </w:rPr>
        <w:sectPr w:rsidR="00860655" w:rsidRPr="009450D8" w:rsidSect="00593A1E">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9450D8" w:rsidRDefault="009450D8" w:rsidP="009450D8">
      <w:pPr>
        <w:pStyle w:val="Typedudocument"/>
        <w:rPr>
          <w:noProof/>
        </w:rPr>
      </w:pPr>
      <w:bookmarkStart w:id="0" w:name="_GoBack"/>
      <w:bookmarkEnd w:id="0"/>
      <w:r w:rsidRPr="009450D8">
        <w:rPr>
          <w:noProof/>
        </w:rPr>
        <w:lastRenderedPageBreak/>
        <w:t>UITVOERINGSVERORDENING (EU) …/... VAN DE COMMISSIE</w:t>
      </w:r>
    </w:p>
    <w:p w:rsidR="00860655" w:rsidRPr="009450D8" w:rsidRDefault="00865E9A" w:rsidP="009450D8">
      <w:pPr>
        <w:pStyle w:val="Datedadoption"/>
        <w:rPr>
          <w:noProof/>
        </w:rPr>
      </w:pPr>
      <w:r>
        <w:rPr>
          <w:noProof/>
        </w:rPr>
        <w:t>van 14.11.2025</w:t>
      </w:r>
    </w:p>
    <w:p w:rsidR="00860655" w:rsidRPr="009450D8" w:rsidRDefault="009450D8" w:rsidP="009450D8">
      <w:pPr>
        <w:pStyle w:val="Titreobjet"/>
        <w:rPr>
          <w:noProof/>
        </w:rPr>
      </w:pPr>
      <w:r w:rsidRPr="009450D8">
        <w:rPr>
          <w:noProof/>
        </w:rPr>
        <w:t>tot vaststelling van technische uitvoeringsnormen met betrekking tot procedures, standaardformulieren en templates ten behoeve van de informatieverstrekking voor de opstelling en uitvoering van afwikkelingsplannen voor kredietinstellingen en beleggingsondernemingen overeenkomstig Richtlijn 2014/59/EU van het Europees Parlement en de Raad, en tot intrekking van Uitvoeringsverordening (EU) 2018/1624 van de Commissie</w:t>
      </w:r>
    </w:p>
    <w:p w:rsidR="00860655" w:rsidRPr="009450D8" w:rsidRDefault="009450D8" w:rsidP="009450D8">
      <w:pPr>
        <w:pStyle w:val="IntrtEEE"/>
        <w:rPr>
          <w:noProof/>
        </w:rPr>
      </w:pPr>
      <w:r w:rsidRPr="009450D8">
        <w:rPr>
          <w:noProof/>
        </w:rPr>
        <w:t>(Voor de EER relevante tekst)</w:t>
      </w:r>
    </w:p>
    <w:p w:rsidR="00860655" w:rsidRPr="009450D8" w:rsidRDefault="00860655" w:rsidP="00184085">
      <w:pPr>
        <w:pStyle w:val="Institutionquiagit"/>
        <w:rPr>
          <w:noProof/>
        </w:rPr>
      </w:pPr>
      <w:r w:rsidRPr="009450D8">
        <w:rPr>
          <w:noProof/>
        </w:rPr>
        <w:t>DE EUROPESE COMMISSIE,</w:t>
      </w:r>
    </w:p>
    <w:p w:rsidR="00860655" w:rsidRPr="009450D8" w:rsidRDefault="00860655" w:rsidP="00184085">
      <w:pPr>
        <w:rPr>
          <w:noProof/>
        </w:rPr>
      </w:pPr>
      <w:r w:rsidRPr="009450D8">
        <w:rPr>
          <w:noProof/>
          <w:color w:val="000000"/>
        </w:rPr>
        <w:t>Gezien het Verdrag betreffende de werking van de Europese Unie</w:t>
      </w:r>
      <w:r w:rsidRPr="009450D8">
        <w:rPr>
          <w:noProof/>
        </w:rPr>
        <w:t>,</w:t>
      </w:r>
    </w:p>
    <w:p w:rsidR="00860655" w:rsidRPr="009450D8" w:rsidRDefault="00860655" w:rsidP="00184085">
      <w:pPr>
        <w:rPr>
          <w:noProof/>
        </w:rPr>
      </w:pPr>
      <w:r w:rsidRPr="009450D8">
        <w:rPr>
          <w:noProof/>
        </w:rPr>
        <w:t>Gezien 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w:t>
      </w:r>
      <w:r w:rsidRPr="009450D8">
        <w:rPr>
          <w:rStyle w:val="FootnoteReference"/>
          <w:noProof/>
        </w:rPr>
        <w:footnoteReference w:id="2"/>
      </w:r>
      <w:r w:rsidRPr="009450D8">
        <w:rPr>
          <w:noProof/>
        </w:rPr>
        <w:t>, en met name artikel 11, lid 3,</w:t>
      </w:r>
    </w:p>
    <w:p w:rsidR="00860655" w:rsidRPr="009450D8" w:rsidRDefault="00860655" w:rsidP="00184085">
      <w:pPr>
        <w:rPr>
          <w:noProof/>
        </w:rPr>
      </w:pPr>
      <w:r w:rsidRPr="009450D8">
        <w:rPr>
          <w:noProof/>
        </w:rPr>
        <w:t>Overwegende hetgeen volgt:</w:t>
      </w:r>
    </w:p>
    <w:p w:rsidR="00860655" w:rsidRPr="009450D8" w:rsidRDefault="00956778" w:rsidP="00956778">
      <w:pPr>
        <w:pStyle w:val="ManualConsidrant"/>
        <w:rPr>
          <w:noProof/>
        </w:rPr>
      </w:pPr>
      <w:r w:rsidRPr="00956778">
        <w:rPr>
          <w:noProof/>
        </w:rPr>
        <w:t>(1)</w:t>
      </w:r>
      <w:r w:rsidRPr="00956778">
        <w:rPr>
          <w:noProof/>
        </w:rPr>
        <w:tab/>
      </w:r>
      <w:r w:rsidR="00860655" w:rsidRPr="009450D8">
        <w:rPr>
          <w:noProof/>
        </w:rPr>
        <w:t>In Uitvoeringsverordening (EU) 2018/1624 van de Commissie</w:t>
      </w:r>
      <w:r w:rsidR="00860655" w:rsidRPr="009450D8">
        <w:rPr>
          <w:rStyle w:val="FootnoteReference"/>
          <w:noProof/>
        </w:rPr>
        <w:footnoteReference w:id="3"/>
      </w:r>
      <w:r w:rsidR="00860655" w:rsidRPr="009450D8">
        <w:rPr>
          <w:noProof/>
        </w:rPr>
        <w:t xml:space="preserve"> wordt de procedure vastgesteld en wordt een minimumaantal templates geïntroduceerd voor de verstrekking door kredietinstellingen of beleggingsondernemingen aan afwikkelingsautoriteiten van informatie ten behoeve van de opstelling en uitvoering van afwikkelingsplannen voor instellingen. Sinds de vaststelling van die verordening hebben de afwikkelingsautoriteiten ervaring opgedaan op het gebied van afwikkelingsplanning, en is Richtlijn 2014/59/EU gewijzigd. In het licht van die ervaring, en teneinde rekening te kunnen houden met de nieuwe bepalingen van die richtlijn, dient het minimumaantal templates voor het verzamelen van informatie ten behoeve van afwikkelingsplanning te worden bijgewerkt.</w:t>
      </w:r>
    </w:p>
    <w:p w:rsidR="003B410C" w:rsidRPr="009450D8" w:rsidRDefault="00956778" w:rsidP="00956778">
      <w:pPr>
        <w:pStyle w:val="ManualConsidrant"/>
        <w:rPr>
          <w:noProof/>
        </w:rPr>
      </w:pPr>
      <w:r w:rsidRPr="00956778">
        <w:rPr>
          <w:noProof/>
        </w:rPr>
        <w:t>(2)</w:t>
      </w:r>
      <w:r w:rsidRPr="00956778">
        <w:rPr>
          <w:noProof/>
        </w:rPr>
        <w:tab/>
      </w:r>
      <w:r w:rsidR="003B410C" w:rsidRPr="009450D8">
        <w:rPr>
          <w:noProof/>
        </w:rPr>
        <w:t>Uitvoeringsverordening (EU) 2018/1624 van de Commissie voorziet in een procedure en een minimumreeks templates voor de informatieverstrekking door instellingen aan afwikkelingsautoriteiten, en wel in zodanige vorm dat de afwikkelingsautoriteiten die informatie op een consistente wijze in de hele Unie kunnen verzamelen en dat de uitwisseling van informatie tussen de betrokken autoriteiten wordt vergemakkelijkt. De ervaring heeft evenwel geleerd dat een geharmoniseerde benadering van het verzamelen van die informatie slechts ten dele is verwezenlijkt. Die uitvoeringsverordening moet dan ook worden herzien teneinde de harmonisatie van rapportageverplichtingen in de hele Unie te bevorderen op basis van een herziene reeks templates waarmee de behoeften van de afwikkelingsautoriteiten op consistentere wijze in kaart kunnen worden gebracht. Een en ander zou er niet aan in de weg mogen staan dat de afwikkelingsautoriteiten alle aanvullende informatie verzamelen die zij nodig achten om afwikkelingsplannen op te stellen en uit te voeren, of om vereenvoudigde informatieverplichtingen vast te stellen overeenkomstig artikel 4 van Richtlijn 2014/59/EU.</w:t>
      </w:r>
    </w:p>
    <w:p w:rsidR="003B410C" w:rsidRPr="009450D8" w:rsidRDefault="00956778" w:rsidP="00956778">
      <w:pPr>
        <w:pStyle w:val="ManualConsidrant"/>
        <w:rPr>
          <w:noProof/>
        </w:rPr>
      </w:pPr>
      <w:r w:rsidRPr="00956778">
        <w:rPr>
          <w:noProof/>
        </w:rPr>
        <w:t>(3)</w:t>
      </w:r>
      <w:r w:rsidRPr="00956778">
        <w:rPr>
          <w:noProof/>
        </w:rPr>
        <w:tab/>
      </w:r>
      <w:r w:rsidR="003B410C" w:rsidRPr="009450D8">
        <w:rPr>
          <w:noProof/>
        </w:rPr>
        <w:t>Teneinde te waarborgen dat de groepsafwikkelingsplannen de desbetreffende groep afdoende bestrijken, mogen de aan de EU-moederondernemingen opgelegde rapportageverplichtingen niet beperkt blijven tot afwikkelingsentiteiten, maar moeten deze ook van toepassing zijn op andere relevante juridische entiteiten. Die relevantie moet echter duidelijk worden omlijnd zodat entiteiten die niet relevant voor de groep of niet systeemrelevant zijn, van de rapportageverplichting worden uitgesloten. Hiertoe dienen er drempels te worden vastgesteld om aan te geven welke juridische entiteiten in de groep onderhevig zijn aan rapportageverplichtingen betreffende afwikkeling. Daarnaast is Richtlijn 2014/59/EU gewijzigd bij Richtlijn (EU) 2024/1174 van het Europees Parlement en de Raad</w:t>
      </w:r>
      <w:r w:rsidR="003B410C" w:rsidRPr="009450D8">
        <w:rPr>
          <w:rStyle w:val="FootnoteReference"/>
          <w:noProof/>
        </w:rPr>
        <w:footnoteReference w:id="4"/>
      </w:r>
      <w:r w:rsidR="003B410C" w:rsidRPr="009450D8">
        <w:rPr>
          <w:noProof/>
        </w:rPr>
        <w:t>, onder meer in de vorm van de invoering van een definitie van het begrip “liquidatie-entiteit”. Met het oog op die nieuwe definitie moet er onderscheid worden gemaakt tussen rapportageverplichtingen betreffende afwikkeling voor liquidatie-entiteiten, voor afwikkelingsentiteiten en voor entiteiten die tot afwikkelingsgroepen behoren. Zo is het bij het opleggen van rapportageverplichtingen met name van belang aan te duiden of de betreffende entiteiten op zichzelf staande entiteiten zijn of tot een groep behoren, en of dergelijke entiteiten of groepen zijn aangemerkt als liquidatie-entiteiten of entiteiten omvatten die als zodanig zijn aangemerkt. Die rapportageverplichtingen moeten op individueel, gesubconsolideerd of geconsolideerd niveau worden vastgesteld, en wel op zodanige wijze dat de evenredigheid wordt gewaarborgd, dat een doeltreffende afwikkelingsplanning niet wordt belemmerd, dat wordt voorkomen dat entiteiten door verschillende autoriteiten worden gevraagd om parallelle gegevensverzameling, en dat overlappende gegevenspunten worden vermeden door middel van kaders voor toezichtrapportage. Dit moet worden bereikt middels een aanpak waarbij het aantal templates wordt afgestemd op het type rapporterende entiteit. Daarnaast moet bijzondere aandacht uitgaan naar afwikkelingsgroepen bestaande uit kredietinstellingen die blijvend aangesloten zijn bij een centraal orgaan en naar het centrale orgaan zelf, teneinde te waarborgen dat de rapportageverplichtingen betreffende afwikkeling alle kredietinstellingen die blijvend aangesloten zijn bij het centrale orgaan van die afwikkelingsgroep, het centrale orgaan zelf, alsook de dochterondernemingen ervan, op individueel, gesubconsolideerd of geconsolideerd niveau op doeltreffende wijze bestrijken.</w:t>
      </w:r>
    </w:p>
    <w:p w:rsidR="003B410C" w:rsidRPr="009450D8" w:rsidRDefault="00956778" w:rsidP="00956778">
      <w:pPr>
        <w:pStyle w:val="ManualConsidrant"/>
        <w:rPr>
          <w:noProof/>
        </w:rPr>
      </w:pPr>
      <w:r w:rsidRPr="00956778">
        <w:rPr>
          <w:noProof/>
        </w:rPr>
        <w:t>(4)</w:t>
      </w:r>
      <w:r w:rsidRPr="00956778">
        <w:rPr>
          <w:noProof/>
        </w:rPr>
        <w:tab/>
      </w:r>
      <w:r w:rsidR="003B410C" w:rsidRPr="009450D8">
        <w:rPr>
          <w:noProof/>
        </w:rPr>
        <w:t>Teneinde efficiënte afwikkelingsplanning te waarborgen met behoud van evenredigheid, kan het toepassingsgebied van rapportageverplichtingen betreffende afwikkeling mogelijk afwijken van het toepassingsgebied van rapportageverplichtingen betreffende prudentiële rapportage, voor zover dit nodig is om ervoor te zorgen dat afwikkelingsautoriteiten over voldoende en geloofwaardige gegevens beschikken om hun taken uit te voeren. In dat kader moet worden gewaarborgd dat de afwikkelingsrapportage niet wordt belemmerd door prudentiële ontheffingen of door het feit dat afwikkelingsgroepen niet onder prudentiële consolidatievereisten vallen.</w:t>
      </w:r>
    </w:p>
    <w:p w:rsidR="003B410C" w:rsidRPr="009450D8" w:rsidRDefault="00956778" w:rsidP="00956778">
      <w:pPr>
        <w:pStyle w:val="ManualConsidrant"/>
        <w:rPr>
          <w:noProof/>
        </w:rPr>
      </w:pPr>
      <w:r w:rsidRPr="00956778">
        <w:rPr>
          <w:noProof/>
        </w:rPr>
        <w:t>(5)</w:t>
      </w:r>
      <w:r w:rsidRPr="00956778">
        <w:rPr>
          <w:noProof/>
        </w:rPr>
        <w:tab/>
      </w:r>
      <w:r w:rsidR="00012E4C" w:rsidRPr="009450D8">
        <w:rPr>
          <w:noProof/>
        </w:rPr>
        <w:t>Teneinde ervoor te zorgen dat afwikkelingsplannen zijn gebaseerd op een minimumaantal gegevens van consistent hoge kwaliteit en nauwkeurigheid, dient een gemeenschappelijk gegevenspuntenmodel te worden toegepast, zoals bij rapportage voor toezichtsdoeleinden de praktijk is. Het gemeenschappelijke gegevenspuntenmodel dient de vorm aan te nemen van een gestructureerde voorstelling van de gegevensitems en tevens alle relevante bedrijfsconcepten weer te geven om tot een eenvormige rapportage ten behoeve van de afwikkelingsplanning te komen. Voorts dient het model alle relevante specificaties te bevatten die voor een verdere ontwikkeling van uniforme IT-rapportageoplossingen zijn vereist.</w:t>
      </w:r>
    </w:p>
    <w:p w:rsidR="003B410C" w:rsidRPr="009450D8" w:rsidRDefault="00956778" w:rsidP="00956778">
      <w:pPr>
        <w:pStyle w:val="ManualConsidrant"/>
        <w:rPr>
          <w:noProof/>
        </w:rPr>
      </w:pPr>
      <w:r w:rsidRPr="00956778">
        <w:rPr>
          <w:noProof/>
        </w:rPr>
        <w:t>(6)</w:t>
      </w:r>
      <w:r w:rsidRPr="00956778">
        <w:rPr>
          <w:noProof/>
        </w:rPr>
        <w:tab/>
      </w:r>
      <w:r w:rsidR="00980E18" w:rsidRPr="009450D8">
        <w:rPr>
          <w:noProof/>
        </w:rPr>
        <w:t>Teneinde de kwaliteit, de consistentie en de juistheid van de door de instellingen gerapporteerde gegevens te waarborgen, dienen voor die gegevensitems gemeenschappelijke validatievoorschriften te gelden.</w:t>
      </w:r>
    </w:p>
    <w:p w:rsidR="003B410C" w:rsidRPr="009450D8" w:rsidRDefault="00956778" w:rsidP="00956778">
      <w:pPr>
        <w:pStyle w:val="ManualConsidrant"/>
        <w:rPr>
          <w:noProof/>
        </w:rPr>
      </w:pPr>
      <w:r w:rsidRPr="00956778">
        <w:rPr>
          <w:noProof/>
        </w:rPr>
        <w:t>(7)</w:t>
      </w:r>
      <w:r w:rsidRPr="00956778">
        <w:rPr>
          <w:noProof/>
        </w:rPr>
        <w:tab/>
      </w:r>
      <w:r w:rsidR="003B410C" w:rsidRPr="009450D8">
        <w:rPr>
          <w:noProof/>
        </w:rPr>
        <w:t>Validatievoorschriften en gegevenspuntendefinities worden, naar hun aard, periodiek geactualiseerd zodat zij te allen tijde aan de toepasselijke regulerings-, analytische en IT-vereisten voldoen. De vaststelling en publicatie van het gedetailleerde gemeenschappelijke gegevenspuntenmodel en de gedetailleerde validatievoorschriften nemen thans echter zoveel tijd in beslag dat wijzigingen niet snel en tijdig genoeg kunnen worden aangebracht om in de gehele Unie een permanente eenvormige informatieverstrekking ten behoeve van afwikkelingsplanning te verzekeren. Daarom dienen strenge kwalitatieve criteria te worden vastgesteld voor het gedetailleerde gemeenschappelijke gegevenspuntenmodel en de gedetailleerde validatievoorschriften, die de Europese Bankautoriteit (EBA) in elektronische vorm op haar website zal publiceren. Bovenstaande sluit niet uit dat de EBA ook technische voorschriften op haar website kan publiceren voor het invullen van de in deze verordening genoemde formulieren en templates.</w:t>
      </w:r>
    </w:p>
    <w:p w:rsidR="003B410C" w:rsidRPr="009450D8" w:rsidRDefault="00956778" w:rsidP="00956778">
      <w:pPr>
        <w:pStyle w:val="ManualConsidrant"/>
        <w:rPr>
          <w:noProof/>
        </w:rPr>
      </w:pPr>
      <w:r w:rsidRPr="00956778">
        <w:rPr>
          <w:noProof/>
        </w:rPr>
        <w:t>(8)</w:t>
      </w:r>
      <w:r w:rsidRPr="00956778">
        <w:rPr>
          <w:noProof/>
        </w:rPr>
        <w:tab/>
      </w:r>
      <w:r w:rsidR="003B410C" w:rsidRPr="009450D8">
        <w:rPr>
          <w:noProof/>
        </w:rPr>
        <w:t>Overeenkomstig artikel 11, lid 2, van Richtlijn 2014/59/EU, zijn bevoegde autoriteiten en afwikkelingsautoriteiten verplicht samen te werken om duplicering van informatievereisten tot een minimum te beperken. Met het oog daarop is in Uitvoeringsverordening (EU) 2018/1624 van de Commissie een procedure ingesteld voor samenwerking tussen bevoegde autoriteiten en afwikkelingsautoriteiten, die gehandhaafd dient te worden zodat bevoegde autoriteiten en afwikkelingsautoriteiten gezamenlijk kunnen nagaan of de verlangde informatie niet reeds geheel of gedeeltelijk beschikbaar is voor de bevoegde autoriteit. Wanneer de informatie voor de bevoegde autoriteit beschikbaar is, is het passend dat deze die rechtstreeks naar de afwikkelingsautoriteit doorzendt.</w:t>
      </w:r>
    </w:p>
    <w:p w:rsidR="003B410C" w:rsidRPr="009450D8" w:rsidRDefault="00956778" w:rsidP="00956778">
      <w:pPr>
        <w:pStyle w:val="ManualConsidrant"/>
        <w:rPr>
          <w:noProof/>
        </w:rPr>
      </w:pPr>
      <w:r w:rsidRPr="00956778">
        <w:rPr>
          <w:noProof/>
        </w:rPr>
        <w:t>(9)</w:t>
      </w:r>
      <w:r w:rsidRPr="00956778">
        <w:rPr>
          <w:noProof/>
        </w:rPr>
        <w:tab/>
      </w:r>
      <w:r w:rsidR="003B410C" w:rsidRPr="009450D8">
        <w:rPr>
          <w:noProof/>
        </w:rPr>
        <w:t>Gezien de omvang van de wijzigingen van Uitvoeringsverordening (EU) 2018/1624 van de Commissie is het, om redenen van rechtszekerheid en duidelijkheid, passend om een nieuwe uitvoeringsverordening vast te stellen, en derhalve Uitvoeringsverordening (EU) 2018/1624 van de Commissie in te trekken en te vervangen.</w:t>
      </w:r>
    </w:p>
    <w:p w:rsidR="003B410C" w:rsidRPr="009450D8" w:rsidRDefault="00956778" w:rsidP="00956778">
      <w:pPr>
        <w:pStyle w:val="ManualConsidrant"/>
        <w:rPr>
          <w:noProof/>
        </w:rPr>
      </w:pPr>
      <w:r w:rsidRPr="00956778">
        <w:rPr>
          <w:noProof/>
        </w:rPr>
        <w:t>(10)</w:t>
      </w:r>
      <w:r w:rsidRPr="00956778">
        <w:rPr>
          <w:noProof/>
        </w:rPr>
        <w:tab/>
      </w:r>
      <w:r w:rsidR="003B410C" w:rsidRPr="009450D8">
        <w:rPr>
          <w:noProof/>
        </w:rPr>
        <w:t>Deze verordening is gebaseerd op de technische uitvoeringsnormen die de EBA aan de Commissie heeft voorgelegd.</w:t>
      </w:r>
    </w:p>
    <w:p w:rsidR="00860655" w:rsidRPr="009450D8" w:rsidRDefault="00956778" w:rsidP="00956778">
      <w:pPr>
        <w:pStyle w:val="ManualConsidrant"/>
        <w:rPr>
          <w:noProof/>
        </w:rPr>
      </w:pPr>
      <w:r w:rsidRPr="00956778">
        <w:rPr>
          <w:noProof/>
        </w:rPr>
        <w:t>(11)</w:t>
      </w:r>
      <w:r w:rsidRPr="00956778">
        <w:rPr>
          <w:noProof/>
        </w:rPr>
        <w:tab/>
      </w:r>
      <w:r w:rsidR="003B410C" w:rsidRPr="009450D8">
        <w:rPr>
          <w:noProof/>
        </w:rPr>
        <w:t>De EBA heeft open publieksconsultaties georganiseerd over de technische uitvoeringsnormen waarop deze verordening is gebaseerd, heeft de mogelijke kosten en baten ervan geanalyseerd en heeft het advies van de overeenkomstig artikel 37 van Verordening (EU) nr. 1093/2010 van het Europees Parlement en de Raad</w:t>
      </w:r>
      <w:r w:rsidR="003B410C" w:rsidRPr="009450D8">
        <w:rPr>
          <w:rStyle w:val="FootnoteReference"/>
          <w:noProof/>
        </w:rPr>
        <w:footnoteReference w:id="5"/>
      </w:r>
      <w:r w:rsidR="003B410C" w:rsidRPr="009450D8">
        <w:rPr>
          <w:noProof/>
        </w:rPr>
        <w:t xml:space="preserve"> opgerichte Stakeholdergroep bankwezen ingewonnen,</w:t>
      </w:r>
    </w:p>
    <w:p w:rsidR="00860655" w:rsidRPr="009450D8" w:rsidRDefault="00860655" w:rsidP="00184085">
      <w:pPr>
        <w:pStyle w:val="Formuledadoption"/>
        <w:rPr>
          <w:noProof/>
        </w:rPr>
      </w:pPr>
      <w:r w:rsidRPr="009450D8">
        <w:rPr>
          <w:noProof/>
        </w:rPr>
        <w:t>HEEFT DE VOLGENDE VERORDENING VASTGESTELD:</w:t>
      </w:r>
    </w:p>
    <w:p w:rsidR="00860655" w:rsidRPr="009450D8" w:rsidRDefault="00860655" w:rsidP="00184085">
      <w:pPr>
        <w:pStyle w:val="Titrearticle"/>
        <w:rPr>
          <w:noProof/>
        </w:rPr>
      </w:pPr>
      <w:r w:rsidRPr="009450D8">
        <w:rPr>
          <w:noProof/>
        </w:rPr>
        <w:t>Artikel 1</w:t>
      </w:r>
    </w:p>
    <w:p w:rsidR="00860655" w:rsidRPr="009450D8" w:rsidRDefault="003B410C" w:rsidP="00184085">
      <w:pPr>
        <w:pStyle w:val="Titrearticle"/>
        <w:rPr>
          <w:noProof/>
        </w:rPr>
      </w:pPr>
      <w:r w:rsidRPr="009450D8">
        <w:rPr>
          <w:b/>
          <w:i w:val="0"/>
          <w:noProof/>
        </w:rPr>
        <w:t>Definitie</w:t>
      </w:r>
    </w:p>
    <w:p w:rsidR="003B410C" w:rsidRPr="009450D8" w:rsidRDefault="003B410C" w:rsidP="00184085">
      <w:pPr>
        <w:rPr>
          <w:noProof/>
        </w:rPr>
      </w:pPr>
      <w:r w:rsidRPr="009450D8">
        <w:rPr>
          <w:noProof/>
        </w:rPr>
        <w:t>Voor de toepassing van deze verordening wordt verstaan onder “relevante juridische entiteit” een groepsentiteit die geen afwikkelingsentiteit is en overeenkomstig artikel 2, lid 1, punt 31, van Richtlijn 2014/59/EU, in de Unie is gevestigd en aan een of meer van de volgende voorwaarden voldoet:</w:t>
      </w:r>
    </w:p>
    <w:p w:rsidR="003B410C" w:rsidRPr="009450D8" w:rsidRDefault="00956778" w:rsidP="00956778">
      <w:pPr>
        <w:pStyle w:val="Point0"/>
        <w:rPr>
          <w:noProof/>
        </w:rPr>
      </w:pPr>
      <w:r w:rsidRPr="00956778">
        <w:rPr>
          <w:noProof/>
        </w:rPr>
        <w:t>(a)</w:t>
      </w:r>
      <w:r w:rsidRPr="00956778">
        <w:rPr>
          <w:noProof/>
        </w:rPr>
        <w:tab/>
      </w:r>
      <w:r w:rsidR="003B410C" w:rsidRPr="009450D8">
        <w:rPr>
          <w:noProof/>
        </w:rPr>
        <w:t>zij voert kritieke functies uit;</w:t>
      </w:r>
    </w:p>
    <w:p w:rsidR="003B410C" w:rsidRPr="009450D8" w:rsidRDefault="00956778" w:rsidP="00956778">
      <w:pPr>
        <w:pStyle w:val="Point0"/>
        <w:rPr>
          <w:noProof/>
        </w:rPr>
      </w:pPr>
      <w:r w:rsidRPr="00956778">
        <w:rPr>
          <w:noProof/>
        </w:rPr>
        <w:t>(b)</w:t>
      </w:r>
      <w:r w:rsidRPr="00956778">
        <w:rPr>
          <w:noProof/>
        </w:rPr>
        <w:tab/>
      </w:r>
      <w:r w:rsidR="003B410C" w:rsidRPr="009450D8">
        <w:rPr>
          <w:noProof/>
        </w:rPr>
        <w:t>het individuele totaal van de risicoposten van de entiteit, berekend overeenkomstig artikel 92, lid 3, van Verordening (EU) nr. 575/2013 van het Europees Parlement en de Raad</w:t>
      </w:r>
      <w:r w:rsidR="003B410C" w:rsidRPr="009450D8">
        <w:rPr>
          <w:rStyle w:val="FootnoteReference"/>
          <w:noProof/>
        </w:rPr>
        <w:footnoteReference w:id="6"/>
      </w:r>
      <w:r w:rsidR="003B410C" w:rsidRPr="009450D8">
        <w:rPr>
          <w:noProof/>
        </w:rPr>
        <w:t>, is gelijk aan of groter dan 2 % van het geconsolideerde totaal van de risicoposten van de EU-moederonderneming;</w:t>
      </w:r>
    </w:p>
    <w:p w:rsidR="003B410C" w:rsidRPr="009450D8" w:rsidRDefault="00956778" w:rsidP="00956778">
      <w:pPr>
        <w:pStyle w:val="Point0"/>
        <w:rPr>
          <w:noProof/>
        </w:rPr>
      </w:pPr>
      <w:r w:rsidRPr="00956778">
        <w:rPr>
          <w:noProof/>
        </w:rPr>
        <w:t>(c)</w:t>
      </w:r>
      <w:r w:rsidRPr="00956778">
        <w:rPr>
          <w:noProof/>
        </w:rPr>
        <w:tab/>
      </w:r>
      <w:r w:rsidR="003B410C" w:rsidRPr="009450D8">
        <w:rPr>
          <w:noProof/>
        </w:rPr>
        <w:t>de individuele maatstaf voor de totale risicoblootstelling zoals bedoeld in artikel 429, lid 4, van Verordening (EU) nr. 575/2013, is gelijk aan of groter dan 2 % van het geconsolideerde totaal van de maatstaf voor de totale risicoblootstelling van de EU-moederonderneming;</w:t>
      </w:r>
    </w:p>
    <w:p w:rsidR="003B410C" w:rsidRPr="009450D8" w:rsidRDefault="00956778" w:rsidP="00956778">
      <w:pPr>
        <w:pStyle w:val="Point0"/>
        <w:rPr>
          <w:noProof/>
        </w:rPr>
      </w:pPr>
      <w:r w:rsidRPr="00956778">
        <w:rPr>
          <w:noProof/>
        </w:rPr>
        <w:t>(d)</w:t>
      </w:r>
      <w:r w:rsidRPr="00956778">
        <w:rPr>
          <w:noProof/>
        </w:rPr>
        <w:tab/>
      </w:r>
      <w:r w:rsidR="003B410C" w:rsidRPr="009450D8">
        <w:rPr>
          <w:noProof/>
        </w:rPr>
        <w:t>de individuele bedrijfsopbrengsten zijn gelijk aan of hoger dan 2 % van de totale bedrijfsopbrengsten van de groep op geconsolideerde basis, berekend op het niveau van de EU-moederonderneming;</w:t>
      </w:r>
    </w:p>
    <w:p w:rsidR="003B410C" w:rsidRPr="009450D8" w:rsidRDefault="00956778" w:rsidP="00956778">
      <w:pPr>
        <w:pStyle w:val="Point0"/>
        <w:rPr>
          <w:noProof/>
        </w:rPr>
      </w:pPr>
      <w:r w:rsidRPr="00956778">
        <w:rPr>
          <w:noProof/>
        </w:rPr>
        <w:t>(e)</w:t>
      </w:r>
      <w:r w:rsidRPr="00956778">
        <w:rPr>
          <w:noProof/>
        </w:rPr>
        <w:tab/>
      </w:r>
      <w:r w:rsidR="003B410C" w:rsidRPr="009450D8">
        <w:rPr>
          <w:noProof/>
        </w:rPr>
        <w:t>de totale activa bedragen meer dan 5 miljard EUR;</w:t>
      </w:r>
    </w:p>
    <w:p w:rsidR="008F1E98" w:rsidRPr="009450D8" w:rsidRDefault="00956778" w:rsidP="00956778">
      <w:pPr>
        <w:pStyle w:val="Point0"/>
        <w:rPr>
          <w:noProof/>
        </w:rPr>
      </w:pPr>
      <w:r w:rsidRPr="00956778">
        <w:rPr>
          <w:noProof/>
        </w:rPr>
        <w:t>(f)</w:t>
      </w:r>
      <w:r w:rsidRPr="00956778">
        <w:rPr>
          <w:noProof/>
        </w:rPr>
        <w:tab/>
      </w:r>
      <w:r w:rsidR="003B410C" w:rsidRPr="009450D8">
        <w:rPr>
          <w:noProof/>
        </w:rPr>
        <w:t>zij is van belang voor de financiële stabiliteit van minstens één lidstaat.</w:t>
      </w:r>
    </w:p>
    <w:p w:rsidR="00A803C4" w:rsidRPr="009450D8" w:rsidRDefault="008F1E98" w:rsidP="00184085">
      <w:pPr>
        <w:pStyle w:val="Text1"/>
        <w:rPr>
          <w:noProof/>
        </w:rPr>
      </w:pPr>
      <w:r w:rsidRPr="009450D8">
        <w:rPr>
          <w:noProof/>
        </w:rPr>
        <w:t>Voor de toepassing van punt b) wordt wat betreft een groep die uit meer dan één afwikkelingsentiteit bestaat, onder een “entiteit” verstaan een relevante juridische entiteit waarvan het individuele totaal van de risicoposten gelijk aan of groter is dan 2 % van het totaal van de risicoposten van de afwikkelingsautoriteit op het geconsolideerde niveau van de af te wikkelen groep.</w:t>
      </w:r>
    </w:p>
    <w:p w:rsidR="008F1E98" w:rsidRPr="009450D8" w:rsidRDefault="008F1E98" w:rsidP="00184085">
      <w:pPr>
        <w:pStyle w:val="Text1"/>
        <w:rPr>
          <w:noProof/>
        </w:rPr>
      </w:pPr>
      <w:r w:rsidRPr="009450D8">
        <w:rPr>
          <w:noProof/>
        </w:rPr>
        <w:t>Voor de toepassing van punt c) wordt wat betreft een groep die uit meer dan één afwikkelingsentiteit bestaat, onder een “entiteit” verstaan een relevante juridische entiteit waarvan de individuele maatstaf voor de totale risicoblootstelling gelijk is aan of groter is dan 2% van de maatstaf voor de totale risicoblootstelling van de afwikkelingsautoriteit op het geconsolideerde niveau van de af te wikkelen groep.</w:t>
      </w:r>
    </w:p>
    <w:p w:rsidR="003B410C" w:rsidRPr="009450D8" w:rsidRDefault="003B410C" w:rsidP="00184085">
      <w:pPr>
        <w:pStyle w:val="Titrearticle"/>
        <w:rPr>
          <w:noProof/>
        </w:rPr>
      </w:pPr>
      <w:r w:rsidRPr="009450D8">
        <w:rPr>
          <w:noProof/>
        </w:rPr>
        <w:t>A</w:t>
      </w:r>
      <w:bookmarkStart w:id="1" w:name="_Hlk168321151"/>
      <w:r w:rsidRPr="009450D8">
        <w:rPr>
          <w:noProof/>
        </w:rPr>
        <w:t>rtikel 2</w:t>
      </w:r>
    </w:p>
    <w:p w:rsidR="003B410C" w:rsidRPr="009450D8" w:rsidRDefault="003B410C" w:rsidP="00184085">
      <w:pPr>
        <w:pStyle w:val="Titrearticle"/>
        <w:spacing w:before="0"/>
        <w:rPr>
          <w:b/>
          <w:bCs/>
          <w:i w:val="0"/>
          <w:iCs/>
          <w:noProof/>
        </w:rPr>
      </w:pPr>
      <w:r w:rsidRPr="009450D8">
        <w:rPr>
          <w:b/>
          <w:i w:val="0"/>
          <w:noProof/>
        </w:rPr>
        <w:t>Afwikkelingsrapportage door instellingen die geen deel uitmaken van een groep die overeenkomstig de artikelen 111 en 112 van Richtlijn 2013/36/EU onderworpen is aan toezicht op geconsolideerde basis</w:t>
      </w:r>
      <w:bookmarkEnd w:id="1"/>
    </w:p>
    <w:p w:rsidR="003B410C" w:rsidRPr="009450D8" w:rsidRDefault="00956778" w:rsidP="00956778">
      <w:pPr>
        <w:pStyle w:val="ManualNumPar1"/>
        <w:rPr>
          <w:noProof/>
        </w:rPr>
      </w:pPr>
      <w:r w:rsidRPr="00956778">
        <w:rPr>
          <w:noProof/>
        </w:rPr>
        <w:t>1.</w:t>
      </w:r>
      <w:r w:rsidRPr="00956778">
        <w:rPr>
          <w:noProof/>
        </w:rPr>
        <w:tab/>
      </w:r>
      <w:r w:rsidR="005E4DBA" w:rsidRPr="009450D8">
        <w:rPr>
          <w:noProof/>
        </w:rPr>
        <w:t>Afwikkelingsentiteiten die overeenkomstig de artikelen 111 en 112 van Richtlijn 2013/36/EU van het Europees Parlement en de Raad</w:t>
      </w:r>
      <w:r w:rsidR="005E4DBA" w:rsidRPr="009450D8">
        <w:rPr>
          <w:rStyle w:val="FootnoteReference"/>
          <w:noProof/>
        </w:rPr>
        <w:footnoteReference w:id="7"/>
      </w:r>
      <w:r w:rsidR="005E4DBA" w:rsidRPr="009450D8">
        <w:rPr>
          <w:noProof/>
        </w:rPr>
        <w:t xml:space="preserve"> geen deel uitmaken van een groep die onderworpen is aan toezicht op geconsolideerde basis, moeten de afwikkelingsautoriteit op individuele basis voorzien van de in alle templates in bijlage I bij de verordening genoemde informatie, met uitzondering van de informatie genoemd in de templates Z 01.01, Z 04.00, Z 07.02, Z 07.03 en Z 11.00.</w:t>
      </w:r>
    </w:p>
    <w:p w:rsidR="003B410C" w:rsidRPr="009450D8" w:rsidRDefault="00956778" w:rsidP="00956778">
      <w:pPr>
        <w:pStyle w:val="ManualNumPar1"/>
        <w:rPr>
          <w:noProof/>
        </w:rPr>
      </w:pPr>
      <w:r w:rsidRPr="00956778">
        <w:rPr>
          <w:noProof/>
        </w:rPr>
        <w:t>2.</w:t>
      </w:r>
      <w:r w:rsidRPr="00956778">
        <w:rPr>
          <w:noProof/>
        </w:rPr>
        <w:tab/>
      </w:r>
      <w:r w:rsidR="0017578A" w:rsidRPr="009450D8">
        <w:rPr>
          <w:noProof/>
        </w:rPr>
        <w:t>Liquidatie-entiteiten waarop geen vereenvoudigde verplichtingen van toepassing zijn, die geen deel uitmaken van een groep die onderworpen is aan toezicht op geconsolideerde basis overeenkomstig de artikelen 111 en 112 van Richtlijn 2013/36/EU, en waarvoor de afwikkelingsautoriteit niet de vereiste heeft vastgesteld overeenkomstig artikel 45, lid 1, van Richtlijn 2014/59/EU, in overeenstemming met artikel 45 quater, lid 2 bis, tweede alinea, van die richtlijn, moeten de afwikkelingsautoriteit op individuele basis voorzien van de in de templates Z 01.02, Z 02.00, Z 05.01, Z 05.02, Z 06.00, Z 07.01.1 tot en met Z 07.01.5, Z 07.04 en Z 09.01 van bijlage I bij deze verordening genoemde informatie.</w:t>
      </w:r>
    </w:p>
    <w:p w:rsidR="003B410C" w:rsidRPr="009450D8" w:rsidRDefault="00956778" w:rsidP="00956778">
      <w:pPr>
        <w:pStyle w:val="ManualNumPar1"/>
        <w:rPr>
          <w:noProof/>
        </w:rPr>
      </w:pPr>
      <w:r w:rsidRPr="00956778">
        <w:rPr>
          <w:noProof/>
        </w:rPr>
        <w:t>3.</w:t>
      </w:r>
      <w:r w:rsidRPr="00956778">
        <w:rPr>
          <w:noProof/>
        </w:rPr>
        <w:tab/>
      </w:r>
      <w:r w:rsidR="00436F80" w:rsidRPr="009450D8">
        <w:rPr>
          <w:noProof/>
        </w:rPr>
        <w:t>Liquidatie-entiteiten waarop geen vereenvoudigde verplichtingen van toepassing zijn, die geen deel uitmaken van een groep die onderworpen is aan toezicht op geconsolideerde basis overeenkomstig de artikelen 111 en 112 van Richtlijn 2013/36/EU, en waarvoor de afwikkelingsautoriteit de vereiste heeft vastgesteld overeenkomstig artikel 45, lid 1, van Richtlijn 2014/59/EU, in overeenstemming met artikel 45 quater, lid 2 bis, tweede alinea, van die richtlijn, moeten de afwikkelingsautoriteit op individuele basis voorzien van de in de templates Z 01.02, Z 02.00, Z 03.01, Z 03.02, Z 05.01, Z 05.02, Z 06.00, Z 07.01.1 tot en met Z 07.01.5, Z 07.04 en Z 09.01 van bijlage I bij deze verordening genoemde informatie.</w:t>
      </w:r>
    </w:p>
    <w:p w:rsidR="003B410C" w:rsidRPr="009450D8" w:rsidRDefault="003B410C" w:rsidP="00184085">
      <w:pPr>
        <w:pStyle w:val="Titrearticle"/>
        <w:rPr>
          <w:noProof/>
        </w:rPr>
      </w:pPr>
      <w:r w:rsidRPr="009450D8">
        <w:rPr>
          <w:noProof/>
        </w:rPr>
        <w:t>Artikel 3</w:t>
      </w:r>
    </w:p>
    <w:p w:rsidR="003B410C" w:rsidRPr="009450D8" w:rsidRDefault="003B410C" w:rsidP="00184085">
      <w:pPr>
        <w:pStyle w:val="Titrearticle"/>
        <w:spacing w:before="0"/>
        <w:rPr>
          <w:b/>
          <w:bCs/>
          <w:i w:val="0"/>
          <w:iCs/>
          <w:noProof/>
        </w:rPr>
      </w:pPr>
      <w:r w:rsidRPr="009450D8">
        <w:rPr>
          <w:b/>
          <w:i w:val="0"/>
          <w:noProof/>
        </w:rPr>
        <w:t>Groepsafwikkelingsrapportage — afwikkelingsgroepen</w:t>
      </w:r>
    </w:p>
    <w:p w:rsidR="003B410C" w:rsidRPr="009450D8" w:rsidRDefault="00956778" w:rsidP="00956778">
      <w:pPr>
        <w:pStyle w:val="ManualNumPar1"/>
        <w:rPr>
          <w:noProof/>
        </w:rPr>
      </w:pPr>
      <w:r w:rsidRPr="00956778">
        <w:rPr>
          <w:noProof/>
        </w:rPr>
        <w:t>1.</w:t>
      </w:r>
      <w:r w:rsidRPr="00956778">
        <w:rPr>
          <w:noProof/>
        </w:rPr>
        <w:tab/>
      </w:r>
      <w:r w:rsidR="00873C72" w:rsidRPr="009450D8">
        <w:rPr>
          <w:noProof/>
        </w:rPr>
        <w:t>EU-moederondernemingen doen de afwikkelingsautoriteit op groepsniveau de in de templates Z 01.01, Z 01.02 en Z 08.01 tot en met Z 09.04 van bijlage I genoemde informatie met betrekking tot alle groepsentiteiten toekomen.</w:t>
      </w:r>
    </w:p>
    <w:p w:rsidR="003B410C" w:rsidRPr="009450D8" w:rsidRDefault="00956778" w:rsidP="00956778">
      <w:pPr>
        <w:pStyle w:val="ManualNumPar1"/>
        <w:rPr>
          <w:noProof/>
        </w:rPr>
      </w:pPr>
      <w:r w:rsidRPr="00956778">
        <w:rPr>
          <w:noProof/>
        </w:rPr>
        <w:t>2.</w:t>
      </w:r>
      <w:r w:rsidRPr="00956778">
        <w:rPr>
          <w:noProof/>
        </w:rPr>
        <w:tab/>
      </w:r>
      <w:r w:rsidR="00873C72" w:rsidRPr="009450D8">
        <w:rPr>
          <w:noProof/>
        </w:rPr>
        <w:t>EU-moederondernemingen doen de afwikkelingsautoriteit op groepsniveau de in template Z 04.00 van bijlage I genoemde informatie over de financiële verwevenheid tussen alle groepsentiteiten toekomen.</w:t>
      </w:r>
    </w:p>
    <w:p w:rsidR="003B410C" w:rsidRPr="009450D8" w:rsidRDefault="00956778" w:rsidP="00956778">
      <w:pPr>
        <w:pStyle w:val="ManualNumPar1"/>
        <w:rPr>
          <w:noProof/>
        </w:rPr>
      </w:pPr>
      <w:r w:rsidRPr="00956778">
        <w:rPr>
          <w:noProof/>
        </w:rPr>
        <w:t>3.</w:t>
      </w:r>
      <w:r w:rsidRPr="00956778">
        <w:rPr>
          <w:noProof/>
        </w:rPr>
        <w:tab/>
      </w:r>
      <w:r w:rsidR="001744A5" w:rsidRPr="009450D8">
        <w:rPr>
          <w:noProof/>
        </w:rPr>
        <w:t>EU-moederondernemingen doen de afwikkelingsautoriteit op groepsniveau de in template Z 02.00 van bijlage I genoemde informatie als volgt toekomen:</w:t>
      </w:r>
    </w:p>
    <w:p w:rsidR="003B410C" w:rsidRPr="009450D8" w:rsidRDefault="00956778" w:rsidP="00956778">
      <w:pPr>
        <w:pStyle w:val="Point1"/>
        <w:rPr>
          <w:noProof/>
        </w:rPr>
      </w:pPr>
      <w:r w:rsidRPr="00956778">
        <w:rPr>
          <w:noProof/>
        </w:rPr>
        <w:t>(a)</w:t>
      </w:r>
      <w:r w:rsidRPr="00956778">
        <w:rPr>
          <w:noProof/>
        </w:rPr>
        <w:tab/>
      </w:r>
      <w:r w:rsidR="003B410C" w:rsidRPr="009450D8">
        <w:rPr>
          <w:noProof/>
        </w:rPr>
        <w:t>op individuele basis voor alle afwikkelingsentiteiten van de groep, waaronder de EU-moederonderneming, en voor alle relevante juridische entiteiten die instellingen zijn;</w:t>
      </w:r>
    </w:p>
    <w:p w:rsidR="003B410C" w:rsidRPr="009450D8" w:rsidRDefault="00956778" w:rsidP="00956778">
      <w:pPr>
        <w:pStyle w:val="Point1"/>
        <w:rPr>
          <w:noProof/>
        </w:rPr>
      </w:pPr>
      <w:r w:rsidRPr="00956778">
        <w:rPr>
          <w:noProof/>
        </w:rPr>
        <w:t>(b)</w:t>
      </w:r>
      <w:r w:rsidRPr="00956778">
        <w:rPr>
          <w:noProof/>
        </w:rPr>
        <w:tab/>
      </w:r>
      <w:r w:rsidR="003B410C" w:rsidRPr="009450D8">
        <w:rPr>
          <w:noProof/>
        </w:rPr>
        <w:t xml:space="preserve">op geconsolideerde basis of, in voorkomend geval, op gesubconsolideerde basis, voor alle afwikkelingsentiteiten van de groep, waaronder de EU-moederonderneming, en voor alle relevante juridische entiteiten </w:t>
      </w:r>
      <w:r w:rsidR="003B410C" w:rsidRPr="009450D8">
        <w:rPr>
          <w:noProof/>
          <w:color w:val="000000" w:themeColor="text1"/>
        </w:rPr>
        <w:t xml:space="preserve">waarvoor de afwikkelingsautoriteit een vereiste heeft vastgesteld overeenkomstig artikel 45, lid 1, van Richtlijn 2014/59/EU, </w:t>
      </w:r>
      <w:r w:rsidR="003B410C" w:rsidRPr="009450D8">
        <w:rPr>
          <w:noProof/>
        </w:rPr>
        <w:t>op geconsolideerde of gesubconsolideerde basis, ongeacht de vraag of die entiteiten onder deel 1, titel II, hoofdstuk 2, van Verordening (EU) nr. 575/2013 vallen.</w:t>
      </w:r>
    </w:p>
    <w:p w:rsidR="003B410C" w:rsidRPr="009450D8" w:rsidRDefault="00956778" w:rsidP="00956778">
      <w:pPr>
        <w:pStyle w:val="ManualNumPar1"/>
        <w:rPr>
          <w:noProof/>
        </w:rPr>
      </w:pPr>
      <w:r w:rsidRPr="00956778">
        <w:rPr>
          <w:noProof/>
        </w:rPr>
        <w:t>4.</w:t>
      </w:r>
      <w:r w:rsidRPr="00956778">
        <w:rPr>
          <w:noProof/>
        </w:rPr>
        <w:tab/>
      </w:r>
      <w:r w:rsidR="00207905" w:rsidRPr="009450D8">
        <w:rPr>
          <w:noProof/>
        </w:rPr>
        <w:t>EU-moederondernemingen doen de afwikkelingsautoriteit op groepsniveau de in template Z 03.01 of Z 03.02 van bijlage I genoemde informatie als volgt toekomen:</w:t>
      </w:r>
    </w:p>
    <w:p w:rsidR="003B410C" w:rsidRPr="009450D8" w:rsidRDefault="00956778" w:rsidP="00956778">
      <w:pPr>
        <w:pStyle w:val="Point1"/>
        <w:rPr>
          <w:noProof/>
        </w:rPr>
      </w:pPr>
      <w:r w:rsidRPr="00956778">
        <w:rPr>
          <w:noProof/>
        </w:rPr>
        <w:t>(a)</w:t>
      </w:r>
      <w:r w:rsidRPr="00956778">
        <w:rPr>
          <w:noProof/>
        </w:rPr>
        <w:tab/>
      </w:r>
      <w:r w:rsidR="003B410C" w:rsidRPr="009450D8">
        <w:rPr>
          <w:noProof/>
        </w:rPr>
        <w:t>op individuele basis voor alle afwikkelingsentiteiten van de groep, waaronder de EU-moederonderneming, en voor alle relevante juridische entiteiten die instellingen zijn waarvoor de afwikkelingsautoriteit een vereiste heeft vastgesteld overeenkomstig artikel 45, lid 1, van Richtlijn 2014/59/EU;</w:t>
      </w:r>
    </w:p>
    <w:p w:rsidR="003B410C" w:rsidRPr="009450D8" w:rsidRDefault="00956778" w:rsidP="00956778">
      <w:pPr>
        <w:pStyle w:val="Point1"/>
        <w:rPr>
          <w:noProof/>
        </w:rPr>
      </w:pPr>
      <w:r w:rsidRPr="00956778">
        <w:rPr>
          <w:noProof/>
        </w:rPr>
        <w:t>(b)</w:t>
      </w:r>
      <w:r w:rsidRPr="00956778">
        <w:rPr>
          <w:noProof/>
        </w:rPr>
        <w:tab/>
      </w:r>
      <w:r w:rsidR="003B410C" w:rsidRPr="009450D8">
        <w:rPr>
          <w:noProof/>
        </w:rPr>
        <w:t>op geconsolideerde of gesubconsolideerde basis voor alle afwikkelingsentiteiten van de groep, waaronder de EU-moederonderneming, en voor alle relevante juridische entiteiten die instellingen zijn waarvoor de afwikkelingsautoriteit een vereiste heeft vastgesteld overeenkomstig artikel 45, lid 1, van Richtlijn 2014/59/EU, ongeacht de vraag of die entiteiten onder deel 1, titel II, hoofdstuk 2, van Verordening (EU) nr. 575/2013 vallen.</w:t>
      </w:r>
    </w:p>
    <w:p w:rsidR="003B410C" w:rsidRPr="009450D8" w:rsidRDefault="00956778" w:rsidP="00956778">
      <w:pPr>
        <w:pStyle w:val="ManualNumPar1"/>
        <w:rPr>
          <w:noProof/>
        </w:rPr>
      </w:pPr>
      <w:r w:rsidRPr="00956778">
        <w:rPr>
          <w:noProof/>
        </w:rPr>
        <w:t>5.</w:t>
      </w:r>
      <w:r w:rsidRPr="00956778">
        <w:rPr>
          <w:noProof/>
        </w:rPr>
        <w:tab/>
      </w:r>
      <w:r w:rsidR="006E7726" w:rsidRPr="009450D8">
        <w:rPr>
          <w:noProof/>
        </w:rPr>
        <w:t>EU-moederondernemingen doen de afwikkelingsautoriteit op groepsniveau de in de templates Z 07.01.1, Z 07.01.2, Z 07.01.3, Z 07.01.4 en Z 07.01.5 van bijlage I genoemde informatie toekomen op het niveau van iedere lidstaat waarin de groep actief is.</w:t>
      </w:r>
    </w:p>
    <w:p w:rsidR="003B410C" w:rsidRPr="009450D8" w:rsidRDefault="00956778" w:rsidP="00956778">
      <w:pPr>
        <w:pStyle w:val="ManualNumPar1"/>
        <w:rPr>
          <w:noProof/>
        </w:rPr>
      </w:pPr>
      <w:r w:rsidRPr="00956778">
        <w:rPr>
          <w:noProof/>
        </w:rPr>
        <w:t>6.</w:t>
      </w:r>
      <w:r w:rsidRPr="00956778">
        <w:rPr>
          <w:noProof/>
        </w:rPr>
        <w:tab/>
      </w:r>
      <w:r w:rsidR="006E7726" w:rsidRPr="009450D8">
        <w:rPr>
          <w:noProof/>
        </w:rPr>
        <w:t>EU-moederondernemingen doen de afwikkelingsautoriteit op groepsniveau de in de templates Z 07.02, Z 07.03 en Z 07.04 van bijlage I genoemde informatie met betrekking tot de door groepsentiteiten uitgevoerde kritieke functies en kernbedrijfsonderdelen toekomen.</w:t>
      </w:r>
    </w:p>
    <w:p w:rsidR="003B410C" w:rsidRPr="009450D8" w:rsidRDefault="00956778" w:rsidP="00956778">
      <w:pPr>
        <w:pStyle w:val="ManualNumPar1"/>
        <w:rPr>
          <w:noProof/>
        </w:rPr>
      </w:pPr>
      <w:r w:rsidRPr="00956778">
        <w:rPr>
          <w:noProof/>
        </w:rPr>
        <w:t>7.</w:t>
      </w:r>
      <w:r w:rsidRPr="00956778">
        <w:rPr>
          <w:noProof/>
        </w:rPr>
        <w:tab/>
      </w:r>
      <w:r w:rsidR="006E7726" w:rsidRPr="009450D8">
        <w:rPr>
          <w:noProof/>
        </w:rPr>
        <w:t>EU-moederondernemingen doen voor alle afwikkelingsentiteiten van de groep, waaronder de EU-moederonderneming, de afwikkelingsautoriteit op groepsniveau de in de templates Z 05.01, Z 05.02, Z 06.00, Z 07.01.1 tot en met Z 07.01.5, Z 07.04 en Z 11.00 tot en met Z 17.00 van bijlage I genoemde informatie op individuele basis toekomen.</w:t>
      </w:r>
    </w:p>
    <w:p w:rsidR="003B410C" w:rsidRPr="009450D8" w:rsidRDefault="00956778" w:rsidP="00956778">
      <w:pPr>
        <w:pStyle w:val="ManualNumPar1"/>
        <w:rPr>
          <w:noProof/>
        </w:rPr>
      </w:pPr>
      <w:r w:rsidRPr="00956778">
        <w:rPr>
          <w:noProof/>
        </w:rPr>
        <w:t>8.</w:t>
      </w:r>
      <w:r w:rsidRPr="00956778">
        <w:rPr>
          <w:noProof/>
        </w:rPr>
        <w:tab/>
      </w:r>
      <w:r w:rsidR="003B410C" w:rsidRPr="009450D8">
        <w:rPr>
          <w:noProof/>
        </w:rPr>
        <w:t>EU-moederondernemingen doen voor alle relevante juridische entiteiten die instellingen zijn, de afwikkelingsautoriteit op groepsniveau de in de templates Z 05.01, Z 05.02, Z 06.00, Z 07.01.1 tot en met Z 07.01.5 en Z 07.04 van bijlage I genoemde informatie op individuele basis toekomen.</w:t>
      </w:r>
    </w:p>
    <w:p w:rsidR="003B410C" w:rsidRPr="009450D8" w:rsidRDefault="00956778" w:rsidP="00956778">
      <w:pPr>
        <w:pStyle w:val="ManualNumPar1"/>
        <w:rPr>
          <w:noProof/>
        </w:rPr>
      </w:pPr>
      <w:r w:rsidRPr="00956778">
        <w:rPr>
          <w:noProof/>
        </w:rPr>
        <w:t>9.</w:t>
      </w:r>
      <w:r w:rsidRPr="00956778">
        <w:rPr>
          <w:noProof/>
        </w:rPr>
        <w:tab/>
      </w:r>
      <w:r w:rsidR="003B410C" w:rsidRPr="009450D8">
        <w:rPr>
          <w:noProof/>
        </w:rPr>
        <w:t>Lid 2, lid 3, punt a), en de leden 4, 5 en 6 van dit artikel zijn van toepassing niettegenstaande een eventuele afwijking van de toepassing van prudentiële vereisten uit hoofde van artikel 7, lid 1 of lid 3, van Verordening (EU) nr. 575/2013, of artikel 8 van Verordening (EU) 2019/2033 van het Europees Parlement en de Raad</w:t>
      </w:r>
      <w:r w:rsidR="003B410C" w:rsidRPr="009450D8">
        <w:rPr>
          <w:rStyle w:val="FootnoteReference"/>
          <w:noProof/>
          <w:shd w:val="clear" w:color="auto" w:fill="FFFFFF" w:themeFill="background1"/>
        </w:rPr>
        <w:footnoteReference w:id="8"/>
      </w:r>
      <w:r w:rsidR="003B410C" w:rsidRPr="009450D8">
        <w:rPr>
          <w:noProof/>
        </w:rPr>
        <w:t>, of een ontheffing betreffende de minimumvereisten voor eigen vermogen en in aanmerking komende passiva overeenkomstig artikel 45 septies van Richtlijn 2014/59/EU.</w:t>
      </w:r>
    </w:p>
    <w:p w:rsidR="003B410C" w:rsidRPr="009450D8" w:rsidRDefault="003B410C" w:rsidP="00184085">
      <w:pPr>
        <w:pStyle w:val="Titrearticle"/>
        <w:rPr>
          <w:noProof/>
        </w:rPr>
      </w:pPr>
      <w:r w:rsidRPr="009450D8">
        <w:rPr>
          <w:noProof/>
        </w:rPr>
        <w:t>Artikel 4</w:t>
      </w:r>
    </w:p>
    <w:p w:rsidR="003B410C" w:rsidRPr="009450D8" w:rsidRDefault="003B410C" w:rsidP="00184085">
      <w:pPr>
        <w:pStyle w:val="Titrearticle"/>
        <w:spacing w:before="0"/>
        <w:rPr>
          <w:b/>
          <w:bCs/>
          <w:i w:val="0"/>
          <w:iCs/>
          <w:noProof/>
        </w:rPr>
      </w:pPr>
      <w:r w:rsidRPr="009450D8">
        <w:rPr>
          <w:b/>
          <w:i w:val="0"/>
          <w:noProof/>
        </w:rPr>
        <w:t>Groepsafwikkelingsrapportage — groepen die uitsluitend uit liquidatie-entiteiten bestaan</w:t>
      </w:r>
    </w:p>
    <w:p w:rsidR="003B410C" w:rsidRPr="009450D8" w:rsidRDefault="00F95432" w:rsidP="00184085">
      <w:pPr>
        <w:rPr>
          <w:noProof/>
        </w:rPr>
      </w:pPr>
      <w:r w:rsidRPr="009450D8">
        <w:rPr>
          <w:noProof/>
        </w:rPr>
        <w:t>EU-moederondernemingen van een groep die uitsluitend uit liquidatie-entiteiten bestaat waarop geen vereenvoudigde verplichtingen van toepassing zijn, doen de afwikkelingsautoriteit op groepsniveau het volgende toekomen:</w:t>
      </w:r>
    </w:p>
    <w:p w:rsidR="003B410C" w:rsidRPr="009450D8" w:rsidRDefault="00956778" w:rsidP="00956778">
      <w:pPr>
        <w:pStyle w:val="Point0"/>
        <w:rPr>
          <w:noProof/>
        </w:rPr>
      </w:pPr>
      <w:r w:rsidRPr="00956778">
        <w:rPr>
          <w:noProof/>
        </w:rPr>
        <w:t>(a)</w:t>
      </w:r>
      <w:r w:rsidRPr="00956778">
        <w:rPr>
          <w:noProof/>
        </w:rPr>
        <w:tab/>
      </w:r>
      <w:r w:rsidR="003B410C" w:rsidRPr="009450D8">
        <w:rPr>
          <w:noProof/>
        </w:rPr>
        <w:t>de in de templates Z 01.01, Z 01.02, Z 07.01.1 tot en met Z 07.01.5 en Z 09.01 van bijlage I bij deze verordening genoemde informatie met betrekking tot alle groepsentiteiten, de in template Z 02.00 genoemde informatie op geconsolideerde basis, en de in template Z 04.00 genoemde informatie met betrekking tot de financiële verwevenheid tussen alle groepsentiteiten;</w:t>
      </w:r>
    </w:p>
    <w:p w:rsidR="003B410C" w:rsidRPr="009450D8" w:rsidRDefault="00956778" w:rsidP="00956778">
      <w:pPr>
        <w:pStyle w:val="Point0"/>
        <w:rPr>
          <w:noProof/>
        </w:rPr>
      </w:pPr>
      <w:r w:rsidRPr="00956778">
        <w:rPr>
          <w:noProof/>
        </w:rPr>
        <w:t>(b)</w:t>
      </w:r>
      <w:r w:rsidRPr="00956778">
        <w:rPr>
          <w:noProof/>
        </w:rPr>
        <w:tab/>
      </w:r>
      <w:r w:rsidR="009F0766" w:rsidRPr="009450D8">
        <w:rPr>
          <w:noProof/>
        </w:rPr>
        <w:t>op individuele basis, voor zichzelf en voor iedere relevante juridische entiteit waarvoor de afwikkelingsautoriteit niet de vereiste heeft vastgesteld overeenkomstig artikel 45, lid 1, van Richtlijn 2014/59/EU, in overeenstemming met artikel 45 quater, lid 2 bis, tweede alinea, van die richtlijn, de in de templates Z 02.00, Z 05.01, Z 05.02, Z 06.00, Z 07.01.1 tot en met Z 07.01.5, Z 07.04 van bijlage I bij deze verordening genoemde informatie;</w:t>
      </w:r>
    </w:p>
    <w:p w:rsidR="00E522C4" w:rsidRPr="009450D8" w:rsidRDefault="00956778" w:rsidP="00956778">
      <w:pPr>
        <w:pStyle w:val="Point0"/>
        <w:rPr>
          <w:noProof/>
        </w:rPr>
      </w:pPr>
      <w:r w:rsidRPr="00956778">
        <w:rPr>
          <w:noProof/>
        </w:rPr>
        <w:t>(c)</w:t>
      </w:r>
      <w:r w:rsidRPr="00956778">
        <w:rPr>
          <w:noProof/>
        </w:rPr>
        <w:tab/>
      </w:r>
      <w:r w:rsidR="009F0766" w:rsidRPr="009450D8">
        <w:rPr>
          <w:noProof/>
        </w:rPr>
        <w:t>op individuele basis, voor zichzelf en voor iedere relevante juridische entiteit waarvoor de afwikkelingsautoriteit de vereiste heeft vastgesteld overeenkomstig artikel 45, lid 1, van Richtlijn 2014/59/EU, in overeenstemming met artikel 45 quater, lid 2 bis, tweede alinea, van die richtlijn, de in de templates Z 02.00, Z 03.01, Z 03.02, Z 05.01, Z 05.02, Z 06.00, Z 07.01.1 tot en met Z 07.01.5, Z 07.04 van bijlage I bij deze verordening genoemde informatie.</w:t>
      </w:r>
    </w:p>
    <w:p w:rsidR="00E522C4" w:rsidRPr="009450D8" w:rsidRDefault="00E522C4" w:rsidP="00184085">
      <w:pPr>
        <w:pStyle w:val="Titrearticle"/>
        <w:rPr>
          <w:noProof/>
        </w:rPr>
      </w:pPr>
      <w:r w:rsidRPr="009450D8">
        <w:rPr>
          <w:noProof/>
        </w:rPr>
        <w:t>Artikel 5</w:t>
      </w:r>
    </w:p>
    <w:p w:rsidR="00E522C4" w:rsidRPr="009450D8" w:rsidRDefault="00E522C4" w:rsidP="00184085">
      <w:pPr>
        <w:pStyle w:val="Titrearticle"/>
        <w:spacing w:before="0"/>
        <w:rPr>
          <w:b/>
          <w:bCs/>
          <w:i w:val="0"/>
          <w:iCs/>
          <w:noProof/>
        </w:rPr>
      </w:pPr>
      <w:r w:rsidRPr="009450D8">
        <w:rPr>
          <w:b/>
          <w:i w:val="0"/>
          <w:noProof/>
        </w:rPr>
        <w:t>Aanpassingen betreffende groepsafwikkelingsrapportage</w:t>
      </w:r>
    </w:p>
    <w:p w:rsidR="00E522C4" w:rsidRPr="009450D8" w:rsidRDefault="00956778" w:rsidP="00956778">
      <w:pPr>
        <w:pStyle w:val="ManualNumPar1"/>
        <w:rPr>
          <w:noProof/>
        </w:rPr>
      </w:pPr>
      <w:r w:rsidRPr="00956778">
        <w:rPr>
          <w:noProof/>
        </w:rPr>
        <w:t>1.</w:t>
      </w:r>
      <w:r w:rsidRPr="00956778">
        <w:rPr>
          <w:noProof/>
        </w:rPr>
        <w:tab/>
      </w:r>
      <w:r w:rsidR="00E522C4" w:rsidRPr="009450D8">
        <w:rPr>
          <w:noProof/>
        </w:rPr>
        <w:t>Voor een groep waarvan de EU-moederonderneming een liquidatie-entiteit is en die uit afwikkelingsentiteiten bestaat, dient de EU-moederonderneming het volgende in:</w:t>
      </w:r>
    </w:p>
    <w:p w:rsidR="00E522C4" w:rsidRPr="009450D8" w:rsidRDefault="00956778" w:rsidP="00956778">
      <w:pPr>
        <w:pStyle w:val="Point1"/>
        <w:rPr>
          <w:noProof/>
        </w:rPr>
      </w:pPr>
      <w:r w:rsidRPr="00956778">
        <w:rPr>
          <w:noProof/>
        </w:rPr>
        <w:t>(a)</w:t>
      </w:r>
      <w:r w:rsidRPr="00956778">
        <w:rPr>
          <w:noProof/>
        </w:rPr>
        <w:tab/>
      </w:r>
      <w:r w:rsidR="000C210A" w:rsidRPr="009450D8">
        <w:rPr>
          <w:noProof/>
        </w:rPr>
        <w:t>voor groepsentiteiten die tot afwikkelingsgroepen behoren, de in artikel 3 genoemde informatie;</w:t>
      </w:r>
    </w:p>
    <w:p w:rsidR="00E522C4" w:rsidRPr="009450D8" w:rsidRDefault="00956778" w:rsidP="00956778">
      <w:pPr>
        <w:pStyle w:val="Point1"/>
        <w:rPr>
          <w:noProof/>
        </w:rPr>
      </w:pPr>
      <w:r w:rsidRPr="00956778">
        <w:rPr>
          <w:noProof/>
        </w:rPr>
        <w:t>(b)</w:t>
      </w:r>
      <w:r w:rsidRPr="00956778">
        <w:rPr>
          <w:noProof/>
        </w:rPr>
        <w:tab/>
      </w:r>
      <w:r w:rsidR="000C210A" w:rsidRPr="009450D8">
        <w:rPr>
          <w:noProof/>
        </w:rPr>
        <w:t>voor liquidatie-entiteiten waarop geen vereenvoudigde verplichtingen van toepassing zijn en die geen deel uitmaken van een afwikkelingsgroep, de in artikel 4 genoemde informatie.</w:t>
      </w:r>
    </w:p>
    <w:p w:rsidR="00E522C4" w:rsidRPr="009450D8" w:rsidRDefault="00956778" w:rsidP="00956778">
      <w:pPr>
        <w:pStyle w:val="ManualNumPar1"/>
        <w:rPr>
          <w:noProof/>
        </w:rPr>
      </w:pPr>
      <w:r w:rsidRPr="00956778">
        <w:rPr>
          <w:noProof/>
        </w:rPr>
        <w:t>2.</w:t>
      </w:r>
      <w:r w:rsidRPr="00956778">
        <w:rPr>
          <w:noProof/>
        </w:rPr>
        <w:tab/>
      </w:r>
      <w:r w:rsidR="00E522C4" w:rsidRPr="009450D8">
        <w:rPr>
          <w:noProof/>
        </w:rPr>
        <w:t>Voor een afwikkelingsgroep als bedoeld in artikel 2, lid 1, punt 83 ter, b), van Richtlijn 2014/59/EU, wordt de in artikel 3 van deze verordening genoemde informatie door minstens één van de afwikkelingsentiteiten van de groep ingediend. Die informatie moet alle kredietinstellingen die blijvend aangesloten zijn bij het centrale orgaan van die afwikkelingsgroep, het centrale orgaan zelf, alsook de dochterondernemingen ervan, op doeltreffende wijze bestrijken op individuele, gesubconsolideerde en geconsolideerde basis, naargelang het geval.</w:t>
      </w:r>
    </w:p>
    <w:p w:rsidR="00E522C4" w:rsidRPr="009450D8" w:rsidRDefault="00E522C4" w:rsidP="00184085">
      <w:pPr>
        <w:pStyle w:val="Titrearticle"/>
        <w:rPr>
          <w:noProof/>
        </w:rPr>
      </w:pPr>
      <w:r w:rsidRPr="009450D8">
        <w:rPr>
          <w:noProof/>
        </w:rPr>
        <w:t>Artikel 6</w:t>
      </w:r>
    </w:p>
    <w:p w:rsidR="00E522C4" w:rsidRPr="009450D8" w:rsidRDefault="00E522C4" w:rsidP="00184085">
      <w:pPr>
        <w:pStyle w:val="Titrearticle"/>
        <w:spacing w:before="0"/>
        <w:rPr>
          <w:b/>
          <w:bCs/>
          <w:i w:val="0"/>
          <w:iCs/>
          <w:noProof/>
        </w:rPr>
      </w:pPr>
      <w:r w:rsidRPr="009450D8">
        <w:rPr>
          <w:b/>
          <w:i w:val="0"/>
          <w:noProof/>
        </w:rPr>
        <w:t>Frequentie, referentiedata en indieningsdata</w:t>
      </w:r>
    </w:p>
    <w:p w:rsidR="00E522C4" w:rsidRPr="009450D8" w:rsidRDefault="00956778" w:rsidP="00956778">
      <w:pPr>
        <w:pStyle w:val="ManualNumPar1"/>
        <w:rPr>
          <w:noProof/>
        </w:rPr>
      </w:pPr>
      <w:r w:rsidRPr="00956778">
        <w:rPr>
          <w:noProof/>
        </w:rPr>
        <w:t>1.</w:t>
      </w:r>
      <w:r w:rsidRPr="00956778">
        <w:rPr>
          <w:noProof/>
        </w:rPr>
        <w:tab/>
      </w:r>
      <w:r w:rsidR="00E522C4" w:rsidRPr="009450D8">
        <w:rPr>
          <w:noProof/>
        </w:rPr>
        <w:t>Instellingen of, in het geval van groepen, EU-moederondernemingen, dienen de in de artikelen 2 tot en met 5 bedoelde informatie als volgt in:</w:t>
      </w:r>
    </w:p>
    <w:p w:rsidR="00E522C4" w:rsidRPr="009450D8" w:rsidRDefault="00956778" w:rsidP="00956778">
      <w:pPr>
        <w:pStyle w:val="Point1"/>
        <w:rPr>
          <w:noProof/>
        </w:rPr>
      </w:pPr>
      <w:r w:rsidRPr="00956778">
        <w:rPr>
          <w:noProof/>
        </w:rPr>
        <w:t>(a)</w:t>
      </w:r>
      <w:r w:rsidRPr="00956778">
        <w:rPr>
          <w:noProof/>
        </w:rPr>
        <w:tab/>
      </w:r>
      <w:r w:rsidR="00A071C3" w:rsidRPr="009450D8">
        <w:rPr>
          <w:noProof/>
        </w:rPr>
        <w:t xml:space="preserve">wat betreft de </w:t>
      </w:r>
      <w:bookmarkStart w:id="2" w:name="_Hlk188952542"/>
      <w:r w:rsidR="00A071C3" w:rsidRPr="009450D8">
        <w:rPr>
          <w:noProof/>
        </w:rPr>
        <w:t>templates Z 01.01, Z 01.02, Z 02.00, Z 03.01, Z 03.02, Z 04.00, Z 05.01, Z 05.02, Z 06.00 en Z 11.00 tot en met Z 17</w:t>
      </w:r>
      <w:bookmarkEnd w:id="2"/>
      <w:r w:rsidR="00A071C3" w:rsidRPr="009450D8">
        <w:rPr>
          <w:noProof/>
        </w:rPr>
        <w:t>.00, uiterlijk op 31 maart van elk jaar ten aanzien van de laatste dag van het voorafgaande kalenderjaar;</w:t>
      </w:r>
    </w:p>
    <w:p w:rsidR="00E522C4" w:rsidRPr="009450D8" w:rsidRDefault="00956778" w:rsidP="00956778">
      <w:pPr>
        <w:pStyle w:val="Point1"/>
        <w:rPr>
          <w:noProof/>
        </w:rPr>
      </w:pPr>
      <w:r w:rsidRPr="00956778">
        <w:rPr>
          <w:noProof/>
        </w:rPr>
        <w:t>(b)</w:t>
      </w:r>
      <w:r w:rsidRPr="00956778">
        <w:rPr>
          <w:noProof/>
        </w:rPr>
        <w:tab/>
      </w:r>
      <w:r w:rsidR="003F636B" w:rsidRPr="009450D8">
        <w:rPr>
          <w:noProof/>
        </w:rPr>
        <w:t xml:space="preserve">wat betreft de templates Z 07.01.1 tot en met Z 07.04, Z 08.01 tot en met Z 08.05 en Z 09.01 tot en met Z 09.04, uiterlijk op 30 april van elk jaar ten aanzien van de laatste dag van het voorafgaande kalenderjaar. </w:t>
      </w:r>
    </w:p>
    <w:p w:rsidR="003F636B" w:rsidRPr="009450D8" w:rsidRDefault="003F636B" w:rsidP="00184085">
      <w:pPr>
        <w:pStyle w:val="Text1"/>
        <w:rPr>
          <w:noProof/>
        </w:rPr>
      </w:pPr>
      <w:r w:rsidRPr="009450D8">
        <w:rPr>
          <w:noProof/>
        </w:rPr>
        <w:t>Wat betreft punt a): indien 31 maart geen werkdag is, wordt de informatie op de daaropvolgende werkdag verstrekt.</w:t>
      </w:r>
    </w:p>
    <w:p w:rsidR="003F636B" w:rsidRPr="009450D8" w:rsidRDefault="003F636B" w:rsidP="00184085">
      <w:pPr>
        <w:pStyle w:val="Text1"/>
        <w:rPr>
          <w:noProof/>
        </w:rPr>
      </w:pPr>
      <w:r w:rsidRPr="009450D8">
        <w:rPr>
          <w:noProof/>
        </w:rPr>
        <w:t>Wat betreft punt b): indien 30 april geen werkdag is, wordt de informatie op de daaropvolgende werkdag verstrekt.</w:t>
      </w:r>
    </w:p>
    <w:p w:rsidR="00E522C4" w:rsidRPr="009450D8" w:rsidRDefault="00956778" w:rsidP="00956778">
      <w:pPr>
        <w:pStyle w:val="ManualNumPar1"/>
        <w:rPr>
          <w:noProof/>
        </w:rPr>
      </w:pPr>
      <w:r w:rsidRPr="00956778">
        <w:rPr>
          <w:noProof/>
        </w:rPr>
        <w:t>2.</w:t>
      </w:r>
      <w:r w:rsidRPr="00956778">
        <w:rPr>
          <w:noProof/>
        </w:rPr>
        <w:tab/>
      </w:r>
      <w:r w:rsidR="00E522C4" w:rsidRPr="009450D8">
        <w:rPr>
          <w:noProof/>
        </w:rPr>
        <w:t>De afwikkelingsautoriteiten geven aan of de informatie rechtstreeks moet worden ingediend bij de afwikkelingsautoriteit dan wel, in voorkomend geval, bij de bevoegde autoriteit.</w:t>
      </w:r>
    </w:p>
    <w:p w:rsidR="00E522C4" w:rsidRPr="009450D8" w:rsidRDefault="00956778" w:rsidP="00956778">
      <w:pPr>
        <w:pStyle w:val="ManualNumPar1"/>
        <w:rPr>
          <w:noProof/>
        </w:rPr>
      </w:pPr>
      <w:r w:rsidRPr="00956778">
        <w:rPr>
          <w:noProof/>
        </w:rPr>
        <w:t>3.</w:t>
      </w:r>
      <w:r w:rsidRPr="00956778">
        <w:rPr>
          <w:noProof/>
        </w:rPr>
        <w:tab/>
      </w:r>
      <w:r w:rsidR="00E522C4" w:rsidRPr="009450D8">
        <w:rPr>
          <w:noProof/>
        </w:rPr>
        <w:t xml:space="preserve">Instellingen of, in het geval van groepen, EU-moederondernemingen, mogen ongecontroleerde cijfers indienen. Wanneer gecontroleerde cijfers afwijken van ingediende ongecontroleerde cijfers, worden de herziene, gecontroleerde cijfers onverwijld ingediend. </w:t>
      </w:r>
    </w:p>
    <w:p w:rsidR="00E522C4" w:rsidRPr="009450D8" w:rsidRDefault="00956778" w:rsidP="00956778">
      <w:pPr>
        <w:pStyle w:val="ManualNumPar1"/>
        <w:rPr>
          <w:noProof/>
        </w:rPr>
      </w:pPr>
      <w:r w:rsidRPr="00956778">
        <w:rPr>
          <w:noProof/>
        </w:rPr>
        <w:t>4.</w:t>
      </w:r>
      <w:r w:rsidRPr="00956778">
        <w:rPr>
          <w:noProof/>
        </w:rPr>
        <w:tab/>
      </w:r>
      <w:r w:rsidR="00E522C4" w:rsidRPr="009450D8">
        <w:rPr>
          <w:noProof/>
        </w:rPr>
        <w:t xml:space="preserve">Voor de toepassing van lid 3 worden onder “ongecontroleerde cijfers” verstaan cijfers waarvoor geen verklaring is afgegeven door een externe accountant, terwijl “gecontroleerde cijfers” cijfers zijn die gecontroleerd zijn door een externe accountant die daarbij een verklaring heeft afgegeven. </w:t>
      </w:r>
    </w:p>
    <w:p w:rsidR="00E522C4" w:rsidRPr="009450D8" w:rsidRDefault="00956778" w:rsidP="00956778">
      <w:pPr>
        <w:pStyle w:val="ManualNumPar1"/>
        <w:rPr>
          <w:noProof/>
        </w:rPr>
      </w:pPr>
      <w:r w:rsidRPr="00956778">
        <w:rPr>
          <w:noProof/>
        </w:rPr>
        <w:t>5.</w:t>
      </w:r>
      <w:r w:rsidRPr="00956778">
        <w:rPr>
          <w:noProof/>
        </w:rPr>
        <w:tab/>
      </w:r>
      <w:r w:rsidR="00E522C4" w:rsidRPr="009450D8">
        <w:rPr>
          <w:noProof/>
        </w:rPr>
        <w:t>Correcties van de ingediende rapportages worden onverwijld ingediend.</w:t>
      </w:r>
    </w:p>
    <w:p w:rsidR="00E522C4" w:rsidRPr="009450D8" w:rsidRDefault="00E522C4" w:rsidP="00184085">
      <w:pPr>
        <w:pStyle w:val="Titrearticle"/>
        <w:rPr>
          <w:noProof/>
        </w:rPr>
      </w:pPr>
      <w:r w:rsidRPr="009450D8">
        <w:rPr>
          <w:noProof/>
        </w:rPr>
        <w:t>Artikel 7</w:t>
      </w:r>
    </w:p>
    <w:p w:rsidR="00E522C4" w:rsidRPr="009450D8" w:rsidRDefault="00E522C4" w:rsidP="00184085">
      <w:pPr>
        <w:pStyle w:val="Titrearticle"/>
        <w:spacing w:before="0"/>
        <w:rPr>
          <w:b/>
          <w:bCs/>
          <w:i w:val="0"/>
          <w:iCs/>
          <w:noProof/>
        </w:rPr>
      </w:pPr>
      <w:r w:rsidRPr="009450D8">
        <w:rPr>
          <w:b/>
          <w:i w:val="0"/>
          <w:noProof/>
        </w:rPr>
        <w:t>Formats voor gegevensuitwisseling en bij de indiening te voegen informatie</w:t>
      </w:r>
    </w:p>
    <w:p w:rsidR="00E522C4" w:rsidRPr="009450D8" w:rsidRDefault="00956778" w:rsidP="00956778">
      <w:pPr>
        <w:pStyle w:val="ManualNumPar1"/>
        <w:rPr>
          <w:noProof/>
        </w:rPr>
      </w:pPr>
      <w:r w:rsidRPr="00956778">
        <w:rPr>
          <w:noProof/>
        </w:rPr>
        <w:t>1.</w:t>
      </w:r>
      <w:r w:rsidRPr="00956778">
        <w:rPr>
          <w:noProof/>
        </w:rPr>
        <w:tab/>
      </w:r>
      <w:r w:rsidR="00E522C4" w:rsidRPr="009450D8">
        <w:rPr>
          <w:noProof/>
        </w:rPr>
        <w:t xml:space="preserve">Instellingen of, in het geval van groepen, EU-moederondernemingen, verstrekken de in de artikelen 2 tot en met 5 bedoelde informatie, zoals genoemd in de templates van bijlage I, in de door de afwikkelingsautoriteiten vastgestelde formats voor gegevensuitwisseling en -presentatie, met inachtneming van de definities van gegevenspunten in het in bijlage II bedoelde gemeenschappelijke gegevenspuntenmodel en de in bijlage III bedoelde validatievoorschriften. </w:t>
      </w:r>
    </w:p>
    <w:p w:rsidR="00E522C4" w:rsidRPr="009450D8" w:rsidRDefault="00956778" w:rsidP="00956778">
      <w:pPr>
        <w:pStyle w:val="ManualNumPar1"/>
        <w:rPr>
          <w:noProof/>
        </w:rPr>
      </w:pPr>
      <w:r w:rsidRPr="00956778">
        <w:rPr>
          <w:noProof/>
        </w:rPr>
        <w:t>2.</w:t>
      </w:r>
      <w:r w:rsidRPr="00956778">
        <w:rPr>
          <w:noProof/>
        </w:rPr>
        <w:tab/>
      </w:r>
      <w:r w:rsidR="00E522C4" w:rsidRPr="009450D8">
        <w:rPr>
          <w:noProof/>
        </w:rPr>
        <w:t>Naast de in lid 1 genoemde verplichting zorgen instellingen of, in het geval van groepen, EU-moederondernemingen, ervoor dat:</w:t>
      </w:r>
    </w:p>
    <w:p w:rsidR="00E522C4" w:rsidRPr="009450D8" w:rsidRDefault="00956778" w:rsidP="00956778">
      <w:pPr>
        <w:pStyle w:val="Point1"/>
        <w:rPr>
          <w:noProof/>
        </w:rPr>
      </w:pPr>
      <w:r w:rsidRPr="00956778">
        <w:rPr>
          <w:noProof/>
        </w:rPr>
        <w:t>(a)</w:t>
      </w:r>
      <w:r w:rsidRPr="00956778">
        <w:rPr>
          <w:noProof/>
        </w:rPr>
        <w:tab/>
      </w:r>
      <w:r w:rsidR="00E522C4" w:rsidRPr="009450D8">
        <w:rPr>
          <w:noProof/>
        </w:rPr>
        <w:t>numerieke waarden als volgt worden aangeleverd:</w:t>
      </w:r>
    </w:p>
    <w:p w:rsidR="00E522C4" w:rsidRPr="009450D8" w:rsidRDefault="00E522C4" w:rsidP="00184085">
      <w:pPr>
        <w:pStyle w:val="Point2"/>
        <w:rPr>
          <w:noProof/>
        </w:rPr>
      </w:pPr>
      <w:r w:rsidRPr="009450D8">
        <w:rPr>
          <w:noProof/>
        </w:rPr>
        <w:t>i)</w:t>
      </w:r>
      <w:r w:rsidRPr="009450D8">
        <w:rPr>
          <w:noProof/>
        </w:rPr>
        <w:tab/>
        <w:t xml:space="preserve">gegevenspunten van het gegevenstype “Geldbedrag” worden met een minimale nauwkeurigheid van tienduizendtallen gerapporteerd; </w:t>
      </w:r>
    </w:p>
    <w:p w:rsidR="00E522C4" w:rsidRPr="009450D8" w:rsidRDefault="00E522C4" w:rsidP="00184085">
      <w:pPr>
        <w:pStyle w:val="Point2"/>
        <w:rPr>
          <w:noProof/>
        </w:rPr>
      </w:pPr>
      <w:r w:rsidRPr="009450D8">
        <w:rPr>
          <w:noProof/>
        </w:rPr>
        <w:t>ii)</w:t>
      </w:r>
      <w:r w:rsidRPr="009450D8">
        <w:rPr>
          <w:noProof/>
        </w:rPr>
        <w:tab/>
        <w:t>gegevenspunten van het gegevenstype “Percentage” worden met een minimale nauwkeurigheid van vier cijfers achter de komma uitgedrukt;</w:t>
      </w:r>
    </w:p>
    <w:p w:rsidR="00E522C4" w:rsidRPr="009450D8" w:rsidRDefault="00E522C4" w:rsidP="00184085">
      <w:pPr>
        <w:pStyle w:val="Point2"/>
        <w:rPr>
          <w:noProof/>
        </w:rPr>
      </w:pPr>
      <w:r w:rsidRPr="009450D8">
        <w:rPr>
          <w:noProof/>
        </w:rPr>
        <w:t>iii)</w:t>
      </w:r>
      <w:r w:rsidRPr="009450D8">
        <w:rPr>
          <w:noProof/>
        </w:rPr>
        <w:tab/>
        <w:t>gegevenspunten van het gegevenstype “Geheel getal” worden zonder cijfers achter de komma als gehele getallen gerapporteerd;</w:t>
      </w:r>
    </w:p>
    <w:p w:rsidR="00E522C4" w:rsidRPr="009450D8" w:rsidRDefault="00956778" w:rsidP="00956778">
      <w:pPr>
        <w:pStyle w:val="Point1"/>
        <w:rPr>
          <w:noProof/>
        </w:rPr>
      </w:pPr>
      <w:r w:rsidRPr="00956778">
        <w:rPr>
          <w:noProof/>
        </w:rPr>
        <w:t>(b)</w:t>
      </w:r>
      <w:r w:rsidRPr="00956778">
        <w:rPr>
          <w:noProof/>
        </w:rPr>
        <w:tab/>
      </w:r>
      <w:r w:rsidR="00E522C4" w:rsidRPr="009450D8">
        <w:rPr>
          <w:noProof/>
        </w:rPr>
        <w:t>instellingen en verzekeringsondernemingen uitsluitend worden geïdentificeerd aan de hand van hun identificatiecode voor juridische entiteiten;</w:t>
      </w:r>
    </w:p>
    <w:p w:rsidR="00E522C4" w:rsidRPr="009450D8" w:rsidRDefault="00956778" w:rsidP="00956778">
      <w:pPr>
        <w:pStyle w:val="Point1"/>
        <w:rPr>
          <w:noProof/>
        </w:rPr>
      </w:pPr>
      <w:r w:rsidRPr="00956778">
        <w:rPr>
          <w:noProof/>
        </w:rPr>
        <w:t>(c)</w:t>
      </w:r>
      <w:r w:rsidRPr="00956778">
        <w:rPr>
          <w:noProof/>
        </w:rPr>
        <w:tab/>
      </w:r>
      <w:r w:rsidR="00E522C4" w:rsidRPr="009450D8">
        <w:rPr>
          <w:noProof/>
        </w:rPr>
        <w:t>juridische entiteiten en tegenpartijen, andere dan instellingen en verzekeringsondernemingen, worden geïdentificeerd aan de hand van hun identificatiecode voor juridische entiteiten, indien beschikbaar;</w:t>
      </w:r>
    </w:p>
    <w:p w:rsidR="0046629F" w:rsidRPr="009450D8" w:rsidRDefault="00956778" w:rsidP="00956778">
      <w:pPr>
        <w:pStyle w:val="Point1"/>
        <w:rPr>
          <w:noProof/>
        </w:rPr>
      </w:pPr>
      <w:r w:rsidRPr="00956778">
        <w:rPr>
          <w:noProof/>
        </w:rPr>
        <w:t>(d)</w:t>
      </w:r>
      <w:r w:rsidRPr="00956778">
        <w:rPr>
          <w:noProof/>
        </w:rPr>
        <w:tab/>
      </w:r>
      <w:r w:rsidR="0046629F" w:rsidRPr="009450D8">
        <w:rPr>
          <w:noProof/>
        </w:rPr>
        <w:t>bij het indienen van gegevens niet-gevraagde of niet-toepasselijke informatie achterwege wordt gelaten.</w:t>
      </w:r>
    </w:p>
    <w:p w:rsidR="00E522C4" w:rsidRPr="009450D8" w:rsidRDefault="00956778" w:rsidP="00956778">
      <w:pPr>
        <w:pStyle w:val="ManualNumPar1"/>
        <w:rPr>
          <w:noProof/>
        </w:rPr>
      </w:pPr>
      <w:r w:rsidRPr="00956778">
        <w:rPr>
          <w:noProof/>
        </w:rPr>
        <w:t>3.</w:t>
      </w:r>
      <w:r w:rsidRPr="00956778">
        <w:rPr>
          <w:noProof/>
        </w:rPr>
        <w:tab/>
      </w:r>
      <w:r w:rsidR="004B472A" w:rsidRPr="009450D8">
        <w:rPr>
          <w:noProof/>
        </w:rPr>
        <w:t>Instellingen of, in het geval van groepen, EU-moederondernemingen, voegen de volgende gegevens toe aan de ingediende informatie:</w:t>
      </w:r>
    </w:p>
    <w:p w:rsidR="004B472A" w:rsidRPr="009450D8" w:rsidRDefault="00956778" w:rsidP="00956778">
      <w:pPr>
        <w:pStyle w:val="Point1"/>
        <w:rPr>
          <w:noProof/>
        </w:rPr>
      </w:pPr>
      <w:r w:rsidRPr="00956778">
        <w:rPr>
          <w:noProof/>
        </w:rPr>
        <w:t>(a)</w:t>
      </w:r>
      <w:r w:rsidRPr="00956778">
        <w:rPr>
          <w:noProof/>
        </w:rPr>
        <w:tab/>
      </w:r>
      <w:r w:rsidR="004B472A" w:rsidRPr="009450D8">
        <w:rPr>
          <w:noProof/>
        </w:rPr>
        <w:t>de referentiedatum;</w:t>
      </w:r>
    </w:p>
    <w:p w:rsidR="004B472A" w:rsidRPr="009450D8" w:rsidRDefault="00956778" w:rsidP="00956778">
      <w:pPr>
        <w:pStyle w:val="Point1"/>
        <w:rPr>
          <w:noProof/>
        </w:rPr>
      </w:pPr>
      <w:r w:rsidRPr="00956778">
        <w:rPr>
          <w:noProof/>
        </w:rPr>
        <w:t>(b)</w:t>
      </w:r>
      <w:r w:rsidRPr="00956778">
        <w:rPr>
          <w:noProof/>
        </w:rPr>
        <w:tab/>
      </w:r>
      <w:r w:rsidR="004B472A" w:rsidRPr="009450D8">
        <w:rPr>
          <w:noProof/>
        </w:rPr>
        <w:t>de rapportagevaluta;</w:t>
      </w:r>
    </w:p>
    <w:p w:rsidR="004B472A" w:rsidRPr="009450D8" w:rsidRDefault="00956778" w:rsidP="00956778">
      <w:pPr>
        <w:pStyle w:val="Point1"/>
        <w:rPr>
          <w:noProof/>
        </w:rPr>
      </w:pPr>
      <w:r w:rsidRPr="00956778">
        <w:rPr>
          <w:noProof/>
        </w:rPr>
        <w:t>(c)</w:t>
      </w:r>
      <w:r w:rsidRPr="00956778">
        <w:rPr>
          <w:noProof/>
        </w:rPr>
        <w:tab/>
      </w:r>
      <w:r w:rsidR="004B472A" w:rsidRPr="009450D8">
        <w:rPr>
          <w:noProof/>
        </w:rPr>
        <w:t>de standaard voor jaarrekeningen;</w:t>
      </w:r>
    </w:p>
    <w:p w:rsidR="004B472A" w:rsidRPr="009450D8" w:rsidRDefault="00956778" w:rsidP="00956778">
      <w:pPr>
        <w:pStyle w:val="Point1"/>
        <w:rPr>
          <w:noProof/>
        </w:rPr>
      </w:pPr>
      <w:r w:rsidRPr="00956778">
        <w:rPr>
          <w:noProof/>
        </w:rPr>
        <w:t>(d)</w:t>
      </w:r>
      <w:r w:rsidRPr="00956778">
        <w:rPr>
          <w:noProof/>
        </w:rPr>
        <w:tab/>
      </w:r>
      <w:r w:rsidR="004B472A" w:rsidRPr="009450D8">
        <w:rPr>
          <w:noProof/>
        </w:rPr>
        <w:t>de identificatiecode voor juridische entiteiten van de rapporterende entiteit;</w:t>
      </w:r>
    </w:p>
    <w:p w:rsidR="004B472A" w:rsidRPr="009450D8" w:rsidRDefault="00956778" w:rsidP="00956778">
      <w:pPr>
        <w:pStyle w:val="Point1"/>
        <w:rPr>
          <w:noProof/>
        </w:rPr>
      </w:pPr>
      <w:r w:rsidRPr="00956778">
        <w:rPr>
          <w:noProof/>
        </w:rPr>
        <w:t>(e)</w:t>
      </w:r>
      <w:r w:rsidRPr="00956778">
        <w:rPr>
          <w:noProof/>
        </w:rPr>
        <w:tab/>
      </w:r>
      <w:r w:rsidR="004B472A" w:rsidRPr="009450D8">
        <w:rPr>
          <w:noProof/>
        </w:rPr>
        <w:t>het toepassingsniveau als bedoeld in de artikelen 2, 3 en 4.</w:t>
      </w:r>
    </w:p>
    <w:p w:rsidR="004B472A" w:rsidRPr="009450D8" w:rsidRDefault="004B472A" w:rsidP="00184085">
      <w:pPr>
        <w:pStyle w:val="Titrearticle"/>
        <w:rPr>
          <w:noProof/>
        </w:rPr>
      </w:pPr>
      <w:bookmarkStart w:id="3" w:name="_Hlk169616472"/>
      <w:r w:rsidRPr="009450D8">
        <w:rPr>
          <w:noProof/>
        </w:rPr>
        <w:t>Artikel 8</w:t>
      </w:r>
    </w:p>
    <w:p w:rsidR="004B472A" w:rsidRPr="009450D8" w:rsidRDefault="004B472A" w:rsidP="00184085">
      <w:pPr>
        <w:pStyle w:val="Titrearticle"/>
        <w:spacing w:before="0"/>
        <w:rPr>
          <w:b/>
          <w:bCs/>
          <w:i w:val="0"/>
          <w:iCs/>
          <w:noProof/>
        </w:rPr>
      </w:pPr>
      <w:r w:rsidRPr="009450D8">
        <w:rPr>
          <w:b/>
          <w:i w:val="0"/>
          <w:noProof/>
        </w:rPr>
        <w:t xml:space="preserve">Verstrekking van aanvullende informatie voor individuele afwikkelingsplannen of groepsafwikkelingsplannen </w:t>
      </w:r>
    </w:p>
    <w:bookmarkEnd w:id="3"/>
    <w:p w:rsidR="00FA69C1" w:rsidRPr="009450D8" w:rsidRDefault="00956778" w:rsidP="00956778">
      <w:pPr>
        <w:pStyle w:val="ManualNumPar1"/>
        <w:rPr>
          <w:noProof/>
        </w:rPr>
      </w:pPr>
      <w:r w:rsidRPr="00956778">
        <w:rPr>
          <w:noProof/>
        </w:rPr>
        <w:t>1.</w:t>
      </w:r>
      <w:r w:rsidRPr="00956778">
        <w:rPr>
          <w:noProof/>
        </w:rPr>
        <w:tab/>
      </w:r>
      <w:r w:rsidR="00C747E3" w:rsidRPr="009450D8">
        <w:rPr>
          <w:noProof/>
        </w:rPr>
        <w:t>De afwikkelingsautoriteit of de afwikkelingsautoriteit op groepsniveau verzoekt de betrokken instelling of de EU-moederonderneming om aanvullende informatie of om informatie in een nieuw format, indien een van de volgende situaties van toepassing is:</w:t>
      </w:r>
    </w:p>
    <w:p w:rsidR="00FA69C1" w:rsidRPr="009450D8" w:rsidRDefault="00956778" w:rsidP="00956778">
      <w:pPr>
        <w:pStyle w:val="Point1"/>
        <w:rPr>
          <w:noProof/>
        </w:rPr>
      </w:pPr>
      <w:r w:rsidRPr="00956778">
        <w:rPr>
          <w:noProof/>
        </w:rPr>
        <w:t>(a)</w:t>
      </w:r>
      <w:r w:rsidRPr="00956778">
        <w:rPr>
          <w:noProof/>
        </w:rPr>
        <w:tab/>
      </w:r>
      <w:r w:rsidR="00FA69C1" w:rsidRPr="009450D8">
        <w:rPr>
          <w:noProof/>
        </w:rPr>
        <w:t>de afwikkelingsautoriteit of de afwikkelingsautoriteit op groepsniveau is van oordeel dat dergelijke informatie niet onder een van de templates van bijlage I valt en noodzakelijk is voor de opstelling en uitvoering van afwikkelingsplannen;</w:t>
      </w:r>
    </w:p>
    <w:p w:rsidR="00FA69C1" w:rsidRPr="009450D8" w:rsidRDefault="00956778" w:rsidP="00956778">
      <w:pPr>
        <w:pStyle w:val="Point1"/>
        <w:rPr>
          <w:noProof/>
        </w:rPr>
      </w:pPr>
      <w:r w:rsidRPr="00956778">
        <w:rPr>
          <w:noProof/>
        </w:rPr>
        <w:t>(b)</w:t>
      </w:r>
      <w:r w:rsidRPr="00956778">
        <w:rPr>
          <w:noProof/>
        </w:rPr>
        <w:tab/>
      </w:r>
      <w:r w:rsidR="00FA69C1" w:rsidRPr="009450D8">
        <w:rPr>
          <w:noProof/>
        </w:rPr>
        <w:t>de afwikkelingsautoriteit of de afwikkelingsautoriteit op groepsniveau is van oordeel dat het verkrijgen van dergelijke informatie van entiteiten waarop vereenvoudigde verplichtingen van toepassing zijn, noodzakelijk is voor de opstelling en uitvoering van afwikkelingsplannen;</w:t>
      </w:r>
    </w:p>
    <w:p w:rsidR="00FA69C1" w:rsidRPr="009450D8" w:rsidRDefault="00956778" w:rsidP="00956778">
      <w:pPr>
        <w:pStyle w:val="Point1"/>
        <w:rPr>
          <w:noProof/>
        </w:rPr>
      </w:pPr>
      <w:r w:rsidRPr="00956778">
        <w:rPr>
          <w:noProof/>
        </w:rPr>
        <w:t>(c)</w:t>
      </w:r>
      <w:r w:rsidRPr="00956778">
        <w:rPr>
          <w:noProof/>
        </w:rPr>
        <w:tab/>
      </w:r>
      <w:r w:rsidR="00FA69C1" w:rsidRPr="009450D8">
        <w:rPr>
          <w:noProof/>
        </w:rPr>
        <w:t>het format waarin de bevoegde autoriteit de informatie verstrekt overeenkomstig artikel 9, lid 2, is niet geschikt voor het opstellen of uitvoeren van afwikkelingsplannen.</w:t>
      </w:r>
    </w:p>
    <w:p w:rsidR="004B472A" w:rsidRPr="009450D8" w:rsidRDefault="00956778" w:rsidP="00956778">
      <w:pPr>
        <w:pStyle w:val="ManualNumPar1"/>
        <w:rPr>
          <w:noProof/>
        </w:rPr>
      </w:pPr>
      <w:r w:rsidRPr="00956778">
        <w:rPr>
          <w:noProof/>
        </w:rPr>
        <w:t>2.</w:t>
      </w:r>
      <w:r w:rsidRPr="00956778">
        <w:rPr>
          <w:noProof/>
        </w:rPr>
        <w:tab/>
      </w:r>
      <w:r w:rsidR="004B472A" w:rsidRPr="009450D8">
        <w:rPr>
          <w:noProof/>
        </w:rPr>
        <w:t>Wat betreft het in lid 1 bedoelde verzoek doet de afwikkelingsautoriteit het volgende:</w:t>
      </w:r>
    </w:p>
    <w:p w:rsidR="004B472A" w:rsidRPr="009450D8" w:rsidRDefault="00956778" w:rsidP="00956778">
      <w:pPr>
        <w:pStyle w:val="Point1"/>
        <w:rPr>
          <w:noProof/>
        </w:rPr>
      </w:pPr>
      <w:r w:rsidRPr="00956778">
        <w:rPr>
          <w:noProof/>
        </w:rPr>
        <w:t>(a)</w:t>
      </w:r>
      <w:r w:rsidRPr="00956778">
        <w:rPr>
          <w:noProof/>
        </w:rPr>
        <w:tab/>
      </w:r>
      <w:r w:rsidR="004B472A" w:rsidRPr="009450D8">
        <w:rPr>
          <w:noProof/>
        </w:rPr>
        <w:t>zij geeft aan welke aanvullende informatie dient te worden verstrekt;</w:t>
      </w:r>
    </w:p>
    <w:p w:rsidR="004B472A" w:rsidRPr="009450D8" w:rsidRDefault="00956778" w:rsidP="00956778">
      <w:pPr>
        <w:pStyle w:val="Point1"/>
        <w:rPr>
          <w:noProof/>
        </w:rPr>
      </w:pPr>
      <w:r w:rsidRPr="00956778">
        <w:rPr>
          <w:noProof/>
        </w:rPr>
        <w:t>(b)</w:t>
      </w:r>
      <w:r w:rsidRPr="00956778">
        <w:rPr>
          <w:noProof/>
        </w:rPr>
        <w:tab/>
      </w:r>
      <w:r w:rsidR="004B472A" w:rsidRPr="009450D8">
        <w:rPr>
          <w:noProof/>
        </w:rPr>
        <w:t>zij geeft, rekening houdende met het volume en de complexiteit van de verlangde informatie, nader aan wat het passende tijdsbestek is waarbinnen de instelling of, in het geval van groepen, de EU-moederonderneming, de informatie aan de afwikkelingsautoriteit moet verstrekken;</w:t>
      </w:r>
    </w:p>
    <w:p w:rsidR="004B472A" w:rsidRPr="009450D8" w:rsidRDefault="00956778" w:rsidP="00956778">
      <w:pPr>
        <w:pStyle w:val="Point1"/>
        <w:rPr>
          <w:noProof/>
        </w:rPr>
      </w:pPr>
      <w:r w:rsidRPr="00956778">
        <w:rPr>
          <w:noProof/>
        </w:rPr>
        <w:t>(c)</w:t>
      </w:r>
      <w:r w:rsidRPr="00956778">
        <w:rPr>
          <w:noProof/>
        </w:rPr>
        <w:tab/>
      </w:r>
      <w:r w:rsidR="004B472A" w:rsidRPr="009450D8">
        <w:rPr>
          <w:noProof/>
        </w:rPr>
        <w:t>zij geeft nader aan welk format instellingen of, in het geval van groepen, EU-moederondernemingen, moeten gebruiken om de informatie aan de afwikkelingsautoriteit te verstrekken;</w:t>
      </w:r>
    </w:p>
    <w:p w:rsidR="004B472A" w:rsidRPr="009450D8" w:rsidRDefault="00956778" w:rsidP="00956778">
      <w:pPr>
        <w:pStyle w:val="Point1"/>
        <w:rPr>
          <w:noProof/>
        </w:rPr>
      </w:pPr>
      <w:r w:rsidRPr="00956778">
        <w:rPr>
          <w:noProof/>
        </w:rPr>
        <w:t>(d)</w:t>
      </w:r>
      <w:r w:rsidRPr="00956778">
        <w:rPr>
          <w:noProof/>
        </w:rPr>
        <w:tab/>
      </w:r>
      <w:r w:rsidR="004B472A" w:rsidRPr="009450D8">
        <w:rPr>
          <w:noProof/>
        </w:rPr>
        <w:t>zij vermeldt of de informatie dient te worden verstrekt op individuele, gesubconsolideerde of geconsolideerde basis, en of de reikwijdte ervan lokaal, Uniebreed of mondiaal is;</w:t>
      </w:r>
    </w:p>
    <w:p w:rsidR="004B472A" w:rsidRPr="009450D8" w:rsidRDefault="00956778" w:rsidP="00956778">
      <w:pPr>
        <w:pStyle w:val="Point1"/>
        <w:rPr>
          <w:noProof/>
        </w:rPr>
      </w:pPr>
      <w:r w:rsidRPr="00956778">
        <w:rPr>
          <w:noProof/>
        </w:rPr>
        <w:t>(e)</w:t>
      </w:r>
      <w:r w:rsidRPr="00956778">
        <w:rPr>
          <w:noProof/>
        </w:rPr>
        <w:tab/>
      </w:r>
      <w:r w:rsidR="004B472A" w:rsidRPr="009450D8">
        <w:rPr>
          <w:noProof/>
        </w:rPr>
        <w:t>zij geeft precies aan wie de informatie moet ontvangen, en vermeldt de formats voor gegevensuitwisseling en de informatie die bij de indiening moet worden gevoegd wanneer er aanvullende informatie dient te worden verstrekt.</w:t>
      </w:r>
    </w:p>
    <w:p w:rsidR="004B472A" w:rsidRPr="009450D8" w:rsidRDefault="004B472A" w:rsidP="00184085">
      <w:pPr>
        <w:pStyle w:val="Titrearticle"/>
        <w:rPr>
          <w:noProof/>
        </w:rPr>
      </w:pPr>
      <w:r w:rsidRPr="009450D8">
        <w:rPr>
          <w:noProof/>
        </w:rPr>
        <w:t>Artikel 9</w:t>
      </w:r>
    </w:p>
    <w:p w:rsidR="004B472A" w:rsidRPr="009450D8" w:rsidRDefault="004B472A" w:rsidP="00184085">
      <w:pPr>
        <w:pStyle w:val="Titrearticle"/>
        <w:spacing w:before="0"/>
        <w:rPr>
          <w:b/>
          <w:bCs/>
          <w:i w:val="0"/>
          <w:iCs/>
          <w:noProof/>
        </w:rPr>
      </w:pPr>
      <w:r w:rsidRPr="009450D8">
        <w:rPr>
          <w:b/>
          <w:i w:val="0"/>
          <w:noProof/>
        </w:rPr>
        <w:t>Samenwerking tussen bevoegde autoriteiten en afwikkelingsautoriteiten</w:t>
      </w:r>
    </w:p>
    <w:p w:rsidR="004B472A" w:rsidRPr="009450D8" w:rsidRDefault="00956778" w:rsidP="00956778">
      <w:pPr>
        <w:pStyle w:val="ManualNumPar1"/>
        <w:rPr>
          <w:noProof/>
        </w:rPr>
      </w:pPr>
      <w:r w:rsidRPr="00956778">
        <w:rPr>
          <w:noProof/>
        </w:rPr>
        <w:t>1.</w:t>
      </w:r>
      <w:r w:rsidRPr="00956778">
        <w:rPr>
          <w:noProof/>
        </w:rPr>
        <w:tab/>
      </w:r>
      <w:r w:rsidR="004B472A" w:rsidRPr="009450D8">
        <w:rPr>
          <w:noProof/>
        </w:rPr>
        <w:t>Bevoegde autoriteiten en afwikkelingsautoriteiten gaan samen na of de overeenkomstig de artikelen 2 tot en met 5 en de artikelen 7 en 8 aan de afwikkelingsautoriteit te verstrekken informatie niet reeds geheel of gedeeltelijk beschikbaar is voor de bevoegde autoriteit.</w:t>
      </w:r>
    </w:p>
    <w:p w:rsidR="004B472A" w:rsidRPr="009450D8" w:rsidRDefault="00956778" w:rsidP="00956778">
      <w:pPr>
        <w:pStyle w:val="ManualNumPar1"/>
        <w:rPr>
          <w:noProof/>
        </w:rPr>
      </w:pPr>
      <w:r w:rsidRPr="00956778">
        <w:rPr>
          <w:noProof/>
        </w:rPr>
        <w:t>2.</w:t>
      </w:r>
      <w:r w:rsidRPr="00956778">
        <w:rPr>
          <w:noProof/>
        </w:rPr>
        <w:tab/>
      </w:r>
      <w:r w:rsidR="004B472A" w:rsidRPr="009450D8">
        <w:rPr>
          <w:noProof/>
        </w:rPr>
        <w:t xml:space="preserve">Wanneer de informatie reeds geheel of gedeeltelijk voor de bevoegde autoriteit beschikbaar is, verstrekt die autoriteit de informatie tijdig aan de afwikkelingsautoriteit. </w:t>
      </w:r>
    </w:p>
    <w:p w:rsidR="004B472A" w:rsidRPr="009450D8" w:rsidRDefault="00956778" w:rsidP="00956778">
      <w:pPr>
        <w:pStyle w:val="ManualNumPar1"/>
        <w:rPr>
          <w:noProof/>
        </w:rPr>
      </w:pPr>
      <w:r w:rsidRPr="00956778">
        <w:rPr>
          <w:noProof/>
        </w:rPr>
        <w:t>3.</w:t>
      </w:r>
      <w:r w:rsidRPr="00956778">
        <w:rPr>
          <w:noProof/>
        </w:rPr>
        <w:tab/>
      </w:r>
      <w:r w:rsidR="00914032" w:rsidRPr="009450D8">
        <w:rPr>
          <w:noProof/>
        </w:rPr>
        <w:t>Wat betreft lid 2 stellen afwikkelingsautoriteiten instellingen of, in het geval van groepen, EU-moederondernemingen, in kennis van de informatie die in de overeenkomstig deze verordening te verstrekken informatie moet worden opgenomen. De afwikkelingsautoriteiten identificeren die informatie aan de hand van de templates in bijlage I.</w:t>
      </w:r>
    </w:p>
    <w:p w:rsidR="004B472A" w:rsidRPr="009450D8" w:rsidRDefault="004B472A" w:rsidP="00184085">
      <w:pPr>
        <w:pStyle w:val="Titrearticle"/>
        <w:rPr>
          <w:noProof/>
        </w:rPr>
      </w:pPr>
      <w:r w:rsidRPr="009450D8">
        <w:rPr>
          <w:noProof/>
        </w:rPr>
        <w:t>Artikel 10</w:t>
      </w:r>
    </w:p>
    <w:p w:rsidR="004B472A" w:rsidRPr="009450D8" w:rsidRDefault="004B472A" w:rsidP="00184085">
      <w:pPr>
        <w:pStyle w:val="Titrearticle"/>
        <w:spacing w:before="0"/>
        <w:rPr>
          <w:b/>
          <w:bCs/>
          <w:i w:val="0"/>
          <w:iCs/>
          <w:noProof/>
        </w:rPr>
      </w:pPr>
      <w:r w:rsidRPr="009450D8">
        <w:rPr>
          <w:b/>
          <w:i w:val="0"/>
          <w:noProof/>
        </w:rPr>
        <w:t>Intrekking</w:t>
      </w:r>
    </w:p>
    <w:p w:rsidR="004B472A" w:rsidRPr="009450D8" w:rsidRDefault="004B472A" w:rsidP="00184085">
      <w:pPr>
        <w:rPr>
          <w:noProof/>
        </w:rPr>
      </w:pPr>
      <w:r w:rsidRPr="009450D8">
        <w:rPr>
          <w:noProof/>
        </w:rPr>
        <w:t>Uitvoeringsverordening (EU) 2018/1624 wordt ingetrokken.</w:t>
      </w:r>
    </w:p>
    <w:p w:rsidR="004B472A" w:rsidRPr="009450D8" w:rsidRDefault="004B472A" w:rsidP="00184085">
      <w:pPr>
        <w:rPr>
          <w:noProof/>
        </w:rPr>
      </w:pPr>
      <w:r w:rsidRPr="009450D8">
        <w:rPr>
          <w:noProof/>
        </w:rPr>
        <w:t>Verwijzingen naar de ingetrokken uitvoeringsverordening gelden als verwijzingen naar deze verordening.</w:t>
      </w:r>
    </w:p>
    <w:p w:rsidR="00860655" w:rsidRPr="009450D8" w:rsidRDefault="00860655" w:rsidP="00184085">
      <w:pPr>
        <w:pStyle w:val="Titrearticle"/>
        <w:rPr>
          <w:noProof/>
        </w:rPr>
      </w:pPr>
      <w:r w:rsidRPr="009450D8">
        <w:rPr>
          <w:noProof/>
        </w:rPr>
        <w:t>Artikel 11</w:t>
      </w:r>
    </w:p>
    <w:p w:rsidR="004B472A" w:rsidRPr="009450D8" w:rsidRDefault="004B472A" w:rsidP="00184085">
      <w:pPr>
        <w:pStyle w:val="Titrearticle"/>
        <w:spacing w:before="0"/>
        <w:rPr>
          <w:b/>
          <w:bCs/>
          <w:i w:val="0"/>
          <w:iCs/>
          <w:noProof/>
        </w:rPr>
      </w:pPr>
      <w:r w:rsidRPr="009450D8">
        <w:rPr>
          <w:b/>
          <w:i w:val="0"/>
          <w:noProof/>
        </w:rPr>
        <w:t>Inwerkingtreding</w:t>
      </w:r>
    </w:p>
    <w:p w:rsidR="00860655" w:rsidRPr="009450D8" w:rsidRDefault="00860655" w:rsidP="00184085">
      <w:pPr>
        <w:rPr>
          <w:noProof/>
        </w:rPr>
      </w:pPr>
      <w:r w:rsidRPr="009450D8">
        <w:rPr>
          <w:noProof/>
        </w:rPr>
        <w:t xml:space="preserve">Deze verordening treedt in werking op de twintigste dag na die van de bekendmaking ervan in het </w:t>
      </w:r>
      <w:r w:rsidRPr="009450D8">
        <w:rPr>
          <w:i/>
          <w:noProof/>
        </w:rPr>
        <w:t>Publicatieblad van de Europese Unie</w:t>
      </w:r>
      <w:r w:rsidRPr="009450D8">
        <w:rPr>
          <w:noProof/>
        </w:rPr>
        <w:t>.</w:t>
      </w:r>
    </w:p>
    <w:p w:rsidR="00860655" w:rsidRPr="009450D8" w:rsidRDefault="00860655" w:rsidP="00184085">
      <w:pPr>
        <w:pStyle w:val="Applicationdirecte"/>
        <w:rPr>
          <w:noProof/>
        </w:rPr>
      </w:pPr>
      <w:r w:rsidRPr="009450D8">
        <w:rPr>
          <w:noProof/>
        </w:rPr>
        <w:t>Deze verordening is verbindend in al haar onderdelen en is rechtstreeks toepasselijk in elke lidstaat.</w:t>
      </w:r>
    </w:p>
    <w:p w:rsidR="00860655" w:rsidRPr="009450D8" w:rsidRDefault="00865E9A" w:rsidP="00F733C2">
      <w:pPr>
        <w:pStyle w:val="Fait"/>
        <w:rPr>
          <w:noProof/>
        </w:rPr>
      </w:pPr>
      <w:r>
        <w:rPr>
          <w:noProof/>
        </w:rPr>
        <w:t>Gedaan te Brussel, 14.11.2025</w:t>
      </w:r>
    </w:p>
    <w:p w:rsidR="00860655" w:rsidRPr="009450D8" w:rsidRDefault="00860655" w:rsidP="00F733C2">
      <w:pPr>
        <w:pStyle w:val="Institutionquisigne"/>
        <w:rPr>
          <w:noProof/>
        </w:rPr>
      </w:pPr>
      <w:r w:rsidRPr="009450D8">
        <w:rPr>
          <w:noProof/>
        </w:rPr>
        <w:tab/>
        <w:t>Voor de Commissie</w:t>
      </w:r>
    </w:p>
    <w:p w:rsidR="00860655" w:rsidRPr="009450D8" w:rsidRDefault="009C2E01" w:rsidP="00184085">
      <w:pPr>
        <w:pStyle w:val="Personnequisigne"/>
        <w:rPr>
          <w:noProof/>
        </w:rPr>
      </w:pPr>
      <w:r>
        <w:rPr>
          <w:noProof/>
        </w:rPr>
        <w:tab/>
        <w:t>De voorzitter</w:t>
      </w:r>
      <w:r>
        <w:rPr>
          <w:noProof/>
        </w:rPr>
        <w:br/>
      </w:r>
      <w:r>
        <w:rPr>
          <w:noProof/>
        </w:rPr>
        <w:tab/>
        <w:t>Ursula VON DER LEYEN</w:t>
      </w:r>
    </w:p>
    <w:sectPr w:rsidR="00860655" w:rsidRPr="009450D8" w:rsidSect="00593A1E">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A1E" w:rsidRPr="00593A1E" w:rsidRDefault="00593A1E" w:rsidP="00593A1E">
    <w:pPr>
      <w:pStyle w:val="Footer"/>
      <w:rPr>
        <w:rFonts w:ascii="Arial" w:hAnsi="Arial" w:cs="Arial"/>
        <w:b/>
        <w:sz w:val="48"/>
      </w:rPr>
    </w:pPr>
    <w:r w:rsidRPr="00593A1E">
      <w:rPr>
        <w:rFonts w:ascii="Arial" w:hAnsi="Arial" w:cs="Arial"/>
        <w:b/>
        <w:sz w:val="48"/>
      </w:rPr>
      <w:t>NL</w:t>
    </w:r>
    <w:r w:rsidRPr="00593A1E">
      <w:rPr>
        <w:rFonts w:ascii="Arial" w:hAnsi="Arial" w:cs="Arial"/>
        <w:b/>
        <w:sz w:val="48"/>
      </w:rPr>
      <w:tab/>
    </w:r>
    <w:r w:rsidRPr="00593A1E">
      <w:rPr>
        <w:rFonts w:ascii="Arial" w:hAnsi="Arial" w:cs="Arial"/>
        <w:b/>
        <w:sz w:val="48"/>
      </w:rPr>
      <w:tab/>
    </w:r>
    <w:r w:rsidRPr="00593A1E">
      <w:tab/>
    </w:r>
    <w:r w:rsidRPr="00593A1E">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A1E" w:rsidRPr="00593A1E" w:rsidRDefault="00593A1E" w:rsidP="00593A1E">
    <w:pPr>
      <w:pStyle w:val="Footer"/>
      <w:rPr>
        <w:rFonts w:ascii="Arial" w:hAnsi="Arial" w:cs="Arial"/>
        <w:b/>
        <w:sz w:val="48"/>
      </w:rPr>
    </w:pPr>
    <w:r w:rsidRPr="00593A1E">
      <w:rPr>
        <w:rFonts w:ascii="Arial" w:hAnsi="Arial" w:cs="Arial"/>
        <w:b/>
        <w:sz w:val="48"/>
      </w:rPr>
      <w:t>NL</w:t>
    </w:r>
    <w:r w:rsidRPr="00593A1E">
      <w:rPr>
        <w:rFonts w:ascii="Arial" w:hAnsi="Arial" w:cs="Arial"/>
        <w:b/>
        <w:sz w:val="48"/>
      </w:rPr>
      <w:tab/>
    </w:r>
    <w:r w:rsidRPr="00593A1E">
      <w:rPr>
        <w:rFonts w:ascii="Arial" w:hAnsi="Arial" w:cs="Arial"/>
        <w:b/>
        <w:sz w:val="48"/>
      </w:rPr>
      <w:tab/>
    </w:r>
    <w:r w:rsidRPr="00593A1E">
      <w:tab/>
    </w:r>
    <w:r w:rsidRPr="00593A1E">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A1E" w:rsidRDefault="00593A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A1E" w:rsidRPr="00593A1E" w:rsidRDefault="00593A1E" w:rsidP="00593A1E">
    <w:pPr>
      <w:pStyle w:val="Footer"/>
      <w:rPr>
        <w:rFonts w:ascii="Arial" w:hAnsi="Arial" w:cs="Arial"/>
        <w:b/>
        <w:sz w:val="48"/>
      </w:rPr>
    </w:pPr>
    <w:r w:rsidRPr="00593A1E">
      <w:rPr>
        <w:rFonts w:ascii="Arial" w:hAnsi="Arial" w:cs="Arial"/>
        <w:b/>
        <w:sz w:val="48"/>
      </w:rPr>
      <w:t>NL</w:t>
    </w:r>
    <w:r w:rsidRPr="00593A1E">
      <w:rPr>
        <w:rFonts w:ascii="Arial" w:hAnsi="Arial" w:cs="Arial"/>
        <w:b/>
        <w:sz w:val="48"/>
      </w:rPr>
      <w:tab/>
    </w:r>
    <w:r>
      <w:fldChar w:fldCharType="begin"/>
    </w:r>
    <w:r>
      <w:instrText xml:space="preserve"> PAGE  \* MERGEFORMAT </w:instrText>
    </w:r>
    <w:r>
      <w:fldChar w:fldCharType="separate"/>
    </w:r>
    <w:r w:rsidR="007E506A">
      <w:rPr>
        <w:noProof/>
      </w:rPr>
      <w:t>1</w:t>
    </w:r>
    <w:r>
      <w:fldChar w:fldCharType="end"/>
    </w:r>
    <w:r>
      <w:tab/>
    </w:r>
    <w:r w:rsidRPr="00593A1E">
      <w:tab/>
    </w:r>
    <w:r w:rsidRPr="00593A1E">
      <w:rPr>
        <w:rFonts w:ascii="Arial" w:hAnsi="Arial" w:cs="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A1E" w:rsidRDefault="00593A1E" w:rsidP="00593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9450D8" w:rsidRDefault="00860655" w:rsidP="00730DBE">
      <w:pPr>
        <w:pStyle w:val="FootnoteText"/>
      </w:pPr>
      <w:r>
        <w:rPr>
          <w:rStyle w:val="FootnoteReference"/>
        </w:rPr>
        <w:footnoteRef/>
      </w:r>
      <w:r w:rsidRPr="009450D8">
        <w:tab/>
        <w:t>PB L 173 van 12.6.2014, blz. 190, ELI: http://data.europa.eu/eli/dir/2014/59/oj.</w:t>
      </w:r>
    </w:p>
  </w:footnote>
  <w:footnote w:id="3">
    <w:p w:rsidR="00736C47" w:rsidRPr="009450D8" w:rsidRDefault="00736C47">
      <w:pPr>
        <w:pStyle w:val="FootnoteText"/>
      </w:pPr>
      <w:r>
        <w:rPr>
          <w:rStyle w:val="FootnoteReference"/>
        </w:rPr>
        <w:footnoteRef/>
      </w:r>
      <w:r w:rsidRPr="009450D8">
        <w:tab/>
        <w:t>Uitvoeringsverordening (EU) 2018/1624 van de Commissie van 23 oktober 2018 tot vaststelling van technische uitvoeringsnormen met betrekking tot procedures, standaardformulieren en templates ten behoeve van de informatieverstrekking voor de opstelling en uitvoering van afwikkelingsplannen voor kredietinstellingen en beleggingsondernemingen overeenkomstig Richtlijn 2014/59/EU van het Europees Parlement en de Raad, en tot intrekking van Uitvoeringsverordening (EU) 2016/1066 van de Commissie (PB L 277 van 7.11.2018, blz. 1, ELI: http://data.europa.eu/eli/reg_impl/2018/1624/oj).</w:t>
      </w:r>
    </w:p>
  </w:footnote>
  <w:footnote w:id="4">
    <w:p w:rsidR="00736C47" w:rsidRPr="009450D8" w:rsidRDefault="00736C47">
      <w:pPr>
        <w:pStyle w:val="FootnoteText"/>
      </w:pPr>
      <w:r>
        <w:rPr>
          <w:rStyle w:val="FootnoteReference"/>
        </w:rPr>
        <w:footnoteRef/>
      </w:r>
      <w:r w:rsidRPr="009450D8">
        <w:tab/>
        <w:t>Richtlijn (EU) 2024/1174 van het Europees Parlement en de Raad van 11 april 2024 tot wijziging van Richtlijn 2014/59/EU en Verordening (EU) nr. 806/2014 met betrekking tot bepaalde aspecten van het minimumvereiste voor eigen vermogen en in aanmerking komende passiva (PB L, 2024/1174, 22.4.2024, blz. 1, ELI: http://data.europa.eu/eli/dir/2024/1174/oj).</w:t>
      </w:r>
    </w:p>
  </w:footnote>
  <w:footnote w:id="5">
    <w:p w:rsidR="00736C47" w:rsidRPr="009450D8" w:rsidRDefault="00736C47">
      <w:pPr>
        <w:pStyle w:val="FootnoteText"/>
      </w:pPr>
      <w:r>
        <w:rPr>
          <w:rStyle w:val="FootnoteReference"/>
        </w:rPr>
        <w:footnoteRef/>
      </w:r>
      <w:r w:rsidRPr="009450D8">
        <w:tab/>
        <w:t>Verordening (EU) nr. 1093/2010 van het Europees Parlement en de Raad van 24 november 2010 tot oprichting van een Europese toezichthoudende autoriteit (Europese Bankautoriteit), tot wijziging van Besluit nr. 716/2009/EG en tot intrekking van Besluit 2009/78/EG van de Commissie (PB L 331 van 15.12.2010, blz. 12, ELI: http://data.europa.eu/eli/reg/2010/1093/oj).</w:t>
      </w:r>
    </w:p>
  </w:footnote>
  <w:footnote w:id="6">
    <w:p w:rsidR="00736C47" w:rsidRPr="009450D8" w:rsidRDefault="00736C47">
      <w:pPr>
        <w:pStyle w:val="FootnoteText"/>
      </w:pPr>
      <w:r>
        <w:rPr>
          <w:rStyle w:val="FootnoteReference"/>
        </w:rPr>
        <w:footnoteRef/>
      </w:r>
      <w:r w:rsidRPr="009450D8">
        <w:tab/>
        <w:t>Verordening (EU) nr. 575/2013 van het Europees Parlement en de Raad van 26 juni 2013 betreffende prudentiële vereisten voor kredietinstellingen en beleggingsondernemingen en tot wijziging van Verordening (EU) nr. 648/2012 (PB L 176 van 27.6.2013, blz. 1, ELI: http://data.europa.eu/eli/reg/2013/575/oj).</w:t>
      </w:r>
    </w:p>
  </w:footnote>
  <w:footnote w:id="7">
    <w:p w:rsidR="00736C47" w:rsidRPr="009450D8" w:rsidRDefault="00736C47">
      <w:pPr>
        <w:pStyle w:val="FootnoteText"/>
      </w:pPr>
      <w:r>
        <w:rPr>
          <w:rStyle w:val="FootnoteReference"/>
        </w:rPr>
        <w:footnoteRef/>
      </w:r>
      <w:r w:rsidRPr="009450D8">
        <w:tab/>
        <w:t>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 (PB L 176 van 27.6.2013, blz. 338, ELI: http://data.europa.eu/eli/dir/2013/36/oj).</w:t>
      </w:r>
    </w:p>
  </w:footnote>
  <w:footnote w:id="8">
    <w:p w:rsidR="00736C47" w:rsidRPr="009450D8" w:rsidRDefault="00736C47">
      <w:pPr>
        <w:pStyle w:val="FootnoteText"/>
      </w:pPr>
      <w:r>
        <w:rPr>
          <w:rStyle w:val="FootnoteReference"/>
        </w:rPr>
        <w:footnoteRef/>
      </w:r>
      <w:r w:rsidRPr="009450D8">
        <w:tab/>
        <w:t>Verordening (EU) 2019/2033 van het Europees Parlement en de Raad van 27 november 2019 betreffende prudentiële vereisten voor beleggingsondernemingen en tot wijziging van Verordeningen (EU) nr. 1093/2010, (EU) nr. 575/2013, (EU) nr. 600/2014 en (EU) nr. 806/2014 (PB L 314 van 5.12.2019, blz.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A1E" w:rsidRDefault="00593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A1E" w:rsidRDefault="00593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
  </w:num>
  <w:num w:numId="22">
    <w:abstractNumId w:val="1"/>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7:2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E7EE956-369B-4F0E-BEEC-EDB5F9128E0B"/>
    <w:docVar w:name="LW_COVERPAGE_TYPE" w:val="1"/>
    <w:docVar w:name="LW_CreatedUtc" w:val="2025-04-09T13:24:10.7425134Z"/>
    <w:docVar w:name="LW_CROSSREFERENCE" w:val="&lt;UNUSED&gt;"/>
    <w:docVar w:name="LW_DATE.ADOPT.CP" w:val="van 14.11.2025"/>
    <w:docVar w:name="LW_DATE.ADOPT.CP_DATEFORMAT" w:val="van %DATE%"/>
    <w:docVar w:name="LW_DATE.ADOPT.CP_ISODATE" w:val="2025-11-14"/>
    <w:docVar w:name="LW_DocType" w:val="COM"/>
    <w:docVar w:name="LW_EMISSION" w:val="14.11.2025"/>
    <w:docVar w:name="LW_EMISSION_ISODATE" w:val="2025-11-14"/>
    <w:docVar w:name="LW_EMISSION_LOCATION" w:val="BRX"/>
    <w:docVar w:name="LW_EMISSION_PREFIX" w:val="Brussel, "/>
    <w:docVar w:name="LW_EMISSION_SUFFIX" w:val=" "/>
    <w:docVar w:name="LW_ID_DOCMODEL" w:val="SJ-004"/>
    <w:docVar w:name="LW_ID_DOCSIGNATURE" w:val="SJ-004"/>
    <w:docVar w:name="LW_ID_DOCSTRUCTURE" w:val="COM/AA"/>
    <w:docVar w:name="LW_ID_DOCTYPE" w:val="SJ-004"/>
    <w:docVar w:name="LW_INTERETEEE.CP" w:val="(Voor de EER relevante tekst)"/>
    <w:docVar w:name="LW_LANGUE" w:val="NL"/>
    <w:docVar w:name="LW_LANGUESFAISANTFOI.CP" w:val="&lt;UNUSED&gt;"/>
    <w:docVar w:name="LW_LEVEL_OF_SENSITIVITY" w:val="Standard treatment"/>
    <w:docVar w:name="LW_NOM.INST" w:val="EUROPESE COMMISSIE"/>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ot vaststelling van technische uitvoeringsnormen met betrekking tot procedures, standaardformulieren en templates ten behoeve van de informatieverstrekking voor de opstelling en uitvoering van afwikkelingsplannen voor kredietinstellingen en beleggingsondernemingen overeenkomstig Richtlijn 2014/59/EU van het Europees Parlement en de Raad, en tot intrekking van Uitvoeringsverordening (EU) 2018/1624 van de Commissie"/>
    <w:docVar w:name="LW_TYPE.DOC.CP" w:val="UITVOERINGSVERORDENING (EU) \u8230?/... VAN DE COMMISSIE"/>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3B5"/>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A41"/>
    <w:rsid w:val="00127DAF"/>
    <w:rsid w:val="001307BE"/>
    <w:rsid w:val="001309C3"/>
    <w:rsid w:val="001330E3"/>
    <w:rsid w:val="00134F11"/>
    <w:rsid w:val="00135713"/>
    <w:rsid w:val="00142E17"/>
    <w:rsid w:val="00146F44"/>
    <w:rsid w:val="00147D59"/>
    <w:rsid w:val="00152894"/>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647"/>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0CC4"/>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29BB"/>
    <w:rsid w:val="00242A02"/>
    <w:rsid w:val="00244B76"/>
    <w:rsid w:val="0024597B"/>
    <w:rsid w:val="00247779"/>
    <w:rsid w:val="00255B8B"/>
    <w:rsid w:val="00257211"/>
    <w:rsid w:val="0026031F"/>
    <w:rsid w:val="002609E9"/>
    <w:rsid w:val="00260BAA"/>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2FF1"/>
    <w:rsid w:val="002D7FAC"/>
    <w:rsid w:val="002E3C5D"/>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4B70"/>
    <w:rsid w:val="00375E3B"/>
    <w:rsid w:val="0037668C"/>
    <w:rsid w:val="00377FDC"/>
    <w:rsid w:val="00381AB6"/>
    <w:rsid w:val="003821D3"/>
    <w:rsid w:val="00382A02"/>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87FFB"/>
    <w:rsid w:val="004908DD"/>
    <w:rsid w:val="00492396"/>
    <w:rsid w:val="004936D2"/>
    <w:rsid w:val="00494F92"/>
    <w:rsid w:val="00496AFE"/>
    <w:rsid w:val="004A0EFB"/>
    <w:rsid w:val="004A1F9D"/>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FD8"/>
    <w:rsid w:val="00552022"/>
    <w:rsid w:val="00552EEC"/>
    <w:rsid w:val="00554891"/>
    <w:rsid w:val="005655BA"/>
    <w:rsid w:val="00573EF6"/>
    <w:rsid w:val="005768F5"/>
    <w:rsid w:val="00577772"/>
    <w:rsid w:val="0058118B"/>
    <w:rsid w:val="00582810"/>
    <w:rsid w:val="00582ED2"/>
    <w:rsid w:val="00583D8A"/>
    <w:rsid w:val="005939D3"/>
    <w:rsid w:val="00593A1E"/>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26E0"/>
    <w:rsid w:val="00602A82"/>
    <w:rsid w:val="00602AB8"/>
    <w:rsid w:val="00610E8E"/>
    <w:rsid w:val="00611E70"/>
    <w:rsid w:val="00611F25"/>
    <w:rsid w:val="00612BC5"/>
    <w:rsid w:val="00624324"/>
    <w:rsid w:val="006265C3"/>
    <w:rsid w:val="00626A19"/>
    <w:rsid w:val="00626D86"/>
    <w:rsid w:val="0063050B"/>
    <w:rsid w:val="00635146"/>
    <w:rsid w:val="0063555C"/>
    <w:rsid w:val="00635D32"/>
    <w:rsid w:val="00637F45"/>
    <w:rsid w:val="006417C5"/>
    <w:rsid w:val="00642E44"/>
    <w:rsid w:val="00645C60"/>
    <w:rsid w:val="00650618"/>
    <w:rsid w:val="006556D2"/>
    <w:rsid w:val="00655AF0"/>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20CD"/>
    <w:rsid w:val="00694AFE"/>
    <w:rsid w:val="00694F0B"/>
    <w:rsid w:val="00696893"/>
    <w:rsid w:val="00697E0E"/>
    <w:rsid w:val="006A0137"/>
    <w:rsid w:val="006A0F10"/>
    <w:rsid w:val="006A269B"/>
    <w:rsid w:val="006A5DD5"/>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5EED"/>
    <w:rsid w:val="0077255A"/>
    <w:rsid w:val="00773331"/>
    <w:rsid w:val="00774809"/>
    <w:rsid w:val="0077575B"/>
    <w:rsid w:val="007757D4"/>
    <w:rsid w:val="00776EF4"/>
    <w:rsid w:val="00777D73"/>
    <w:rsid w:val="00780B67"/>
    <w:rsid w:val="00781CC8"/>
    <w:rsid w:val="00782CA4"/>
    <w:rsid w:val="0078349B"/>
    <w:rsid w:val="00783A46"/>
    <w:rsid w:val="007876EA"/>
    <w:rsid w:val="00791412"/>
    <w:rsid w:val="007929CD"/>
    <w:rsid w:val="007932EF"/>
    <w:rsid w:val="00793E16"/>
    <w:rsid w:val="007945A5"/>
    <w:rsid w:val="00794C86"/>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506A"/>
    <w:rsid w:val="007E7B55"/>
    <w:rsid w:val="007F3A84"/>
    <w:rsid w:val="007F54D1"/>
    <w:rsid w:val="007F5EAD"/>
    <w:rsid w:val="007F78AC"/>
    <w:rsid w:val="00801402"/>
    <w:rsid w:val="008014C7"/>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46635"/>
    <w:rsid w:val="00850662"/>
    <w:rsid w:val="00853291"/>
    <w:rsid w:val="00855FA7"/>
    <w:rsid w:val="0085681D"/>
    <w:rsid w:val="00857ECC"/>
    <w:rsid w:val="00860655"/>
    <w:rsid w:val="00860D4A"/>
    <w:rsid w:val="00863FA9"/>
    <w:rsid w:val="008648FF"/>
    <w:rsid w:val="00865D66"/>
    <w:rsid w:val="00865E9A"/>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B64CB"/>
    <w:rsid w:val="008B7352"/>
    <w:rsid w:val="008C00D9"/>
    <w:rsid w:val="008C1416"/>
    <w:rsid w:val="008C22D5"/>
    <w:rsid w:val="008C515F"/>
    <w:rsid w:val="008D2ECA"/>
    <w:rsid w:val="008D4B10"/>
    <w:rsid w:val="008D4CC2"/>
    <w:rsid w:val="008D6F98"/>
    <w:rsid w:val="008E0371"/>
    <w:rsid w:val="008E059F"/>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450D8"/>
    <w:rsid w:val="0095207F"/>
    <w:rsid w:val="00955FFB"/>
    <w:rsid w:val="0095607E"/>
    <w:rsid w:val="00956400"/>
    <w:rsid w:val="00956778"/>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B3320"/>
    <w:rsid w:val="009B4623"/>
    <w:rsid w:val="009B5048"/>
    <w:rsid w:val="009B5878"/>
    <w:rsid w:val="009B6887"/>
    <w:rsid w:val="009B7970"/>
    <w:rsid w:val="009C2E01"/>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B15"/>
    <w:rsid w:val="00A4581A"/>
    <w:rsid w:val="00A46DE3"/>
    <w:rsid w:val="00A546BE"/>
    <w:rsid w:val="00A5534F"/>
    <w:rsid w:val="00A565C7"/>
    <w:rsid w:val="00A61F97"/>
    <w:rsid w:val="00A62D23"/>
    <w:rsid w:val="00A634A0"/>
    <w:rsid w:val="00A642FA"/>
    <w:rsid w:val="00A738E0"/>
    <w:rsid w:val="00A748FA"/>
    <w:rsid w:val="00A803C4"/>
    <w:rsid w:val="00A82F1C"/>
    <w:rsid w:val="00A85B65"/>
    <w:rsid w:val="00A93F8D"/>
    <w:rsid w:val="00A95E76"/>
    <w:rsid w:val="00AA112B"/>
    <w:rsid w:val="00AA1EA4"/>
    <w:rsid w:val="00AC2758"/>
    <w:rsid w:val="00AC295E"/>
    <w:rsid w:val="00AC3770"/>
    <w:rsid w:val="00AC74CC"/>
    <w:rsid w:val="00AC7E59"/>
    <w:rsid w:val="00AD6406"/>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1ADF"/>
    <w:rsid w:val="00B425DE"/>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13FD"/>
    <w:rsid w:val="00BC176E"/>
    <w:rsid w:val="00BC3610"/>
    <w:rsid w:val="00BC4FE7"/>
    <w:rsid w:val="00BC52C4"/>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61120"/>
    <w:rsid w:val="00D62F33"/>
    <w:rsid w:val="00D6446E"/>
    <w:rsid w:val="00D64E86"/>
    <w:rsid w:val="00D65CFB"/>
    <w:rsid w:val="00D708EA"/>
    <w:rsid w:val="00D763CC"/>
    <w:rsid w:val="00D77F5A"/>
    <w:rsid w:val="00D80DDB"/>
    <w:rsid w:val="00D816C1"/>
    <w:rsid w:val="00D837D8"/>
    <w:rsid w:val="00D8563D"/>
    <w:rsid w:val="00D86024"/>
    <w:rsid w:val="00D87E74"/>
    <w:rsid w:val="00D9060D"/>
    <w:rsid w:val="00D96D85"/>
    <w:rsid w:val="00D975AA"/>
    <w:rsid w:val="00DA2214"/>
    <w:rsid w:val="00DA3B8F"/>
    <w:rsid w:val="00DA744D"/>
    <w:rsid w:val="00DB2642"/>
    <w:rsid w:val="00DB4867"/>
    <w:rsid w:val="00DB4B20"/>
    <w:rsid w:val="00DB5830"/>
    <w:rsid w:val="00DC1A68"/>
    <w:rsid w:val="00DC2B49"/>
    <w:rsid w:val="00DC2FF2"/>
    <w:rsid w:val="00DC7883"/>
    <w:rsid w:val="00DC7E05"/>
    <w:rsid w:val="00DD0B0B"/>
    <w:rsid w:val="00DD40EE"/>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7235"/>
    <w:rsid w:val="00E11317"/>
    <w:rsid w:val="00E22DC4"/>
    <w:rsid w:val="00E2669D"/>
    <w:rsid w:val="00E26AB7"/>
    <w:rsid w:val="00E273C1"/>
    <w:rsid w:val="00E277D4"/>
    <w:rsid w:val="00E332EC"/>
    <w:rsid w:val="00E33C9F"/>
    <w:rsid w:val="00E353E4"/>
    <w:rsid w:val="00E35D44"/>
    <w:rsid w:val="00E40170"/>
    <w:rsid w:val="00E50D53"/>
    <w:rsid w:val="00E522C4"/>
    <w:rsid w:val="00E52827"/>
    <w:rsid w:val="00E53824"/>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60A6"/>
    <w:rsid w:val="00F336AC"/>
    <w:rsid w:val="00F411AA"/>
    <w:rsid w:val="00F4455F"/>
    <w:rsid w:val="00F50966"/>
    <w:rsid w:val="00F603E8"/>
    <w:rsid w:val="00F6057B"/>
    <w:rsid w:val="00F62F9E"/>
    <w:rsid w:val="00F62FF5"/>
    <w:rsid w:val="00F658FB"/>
    <w:rsid w:val="00F66A8D"/>
    <w:rsid w:val="00F674E6"/>
    <w:rsid w:val="00F715B9"/>
    <w:rsid w:val="00F71D65"/>
    <w:rsid w:val="00F733C2"/>
    <w:rsid w:val="00F7500C"/>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6440"/>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nl-NL"/>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nl-NL"/>
    </w:rPr>
  </w:style>
  <w:style w:type="paragraph" w:customStyle="1" w:styleId="Numberedtilelevel1">
    <w:name w:val="Numbered tile level 1"/>
    <w:basedOn w:val="Normal"/>
    <w:qFormat/>
    <w:rsid w:val="00F66A8D"/>
    <w:pPr>
      <w:numPr>
        <w:numId w:val="18"/>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8"/>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8"/>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20"/>
      </w:numPr>
      <w:contextualSpacing/>
    </w:pPr>
  </w:style>
  <w:style w:type="paragraph" w:styleId="ListNumber2">
    <w:name w:val="List Number 2"/>
    <w:basedOn w:val="Normal"/>
    <w:uiPriority w:val="99"/>
    <w:semiHidden/>
    <w:unhideWhenUsed/>
    <w:rsid w:val="00F66A8D"/>
    <w:pPr>
      <w:numPr>
        <w:numId w:val="21"/>
      </w:numPr>
      <w:contextualSpacing/>
    </w:pPr>
  </w:style>
  <w:style w:type="paragraph" w:styleId="ListNumber3">
    <w:name w:val="List Number 3"/>
    <w:basedOn w:val="Normal"/>
    <w:uiPriority w:val="99"/>
    <w:semiHidden/>
    <w:unhideWhenUsed/>
    <w:rsid w:val="00F66A8D"/>
    <w:pPr>
      <w:numPr>
        <w:numId w:val="22"/>
      </w:numPr>
      <w:contextualSpacing/>
    </w:pPr>
  </w:style>
  <w:style w:type="paragraph" w:styleId="ListNumber4">
    <w:name w:val="List Number 4"/>
    <w:basedOn w:val="Normal"/>
    <w:uiPriority w:val="99"/>
    <w:semiHidden/>
    <w:unhideWhenUsed/>
    <w:rsid w:val="00F66A8D"/>
    <w:pPr>
      <w:numPr>
        <w:numId w:val="23"/>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593A1E"/>
    <w:rPr>
      <w:rFonts w:ascii="Times New Roman" w:hAnsi="Times New Roman" w:cs="Times New Roman"/>
      <w:sz w:val="24"/>
      <w:lang w:val="nl-NL"/>
    </w:rPr>
  </w:style>
  <w:style w:type="character" w:customStyle="1" w:styleId="FooterChar">
    <w:name w:val="Footer Char"/>
    <w:basedOn w:val="DefaultParagraphFont"/>
    <w:link w:val="Footer"/>
    <w:uiPriority w:val="99"/>
    <w:rsid w:val="00593A1E"/>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nl-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nl-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nl-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nl-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nl-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nl-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nl-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93A1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93A1E"/>
    <w:pPr>
      <w:spacing w:before="0"/>
      <w:jc w:val="right"/>
    </w:pPr>
    <w:rPr>
      <w:sz w:val="28"/>
    </w:rPr>
  </w:style>
  <w:style w:type="paragraph" w:customStyle="1" w:styleId="FooterSensitivity">
    <w:name w:val="Footer Sensitivity"/>
    <w:basedOn w:val="Normal"/>
    <w:rsid w:val="00593A1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93A1E"/>
    <w:pPr>
      <w:tabs>
        <w:tab w:val="center" w:pos="4535"/>
        <w:tab w:val="right" w:pos="9071"/>
      </w:tabs>
      <w:spacing w:before="0"/>
    </w:pPr>
  </w:style>
  <w:style w:type="paragraph" w:customStyle="1" w:styleId="HeaderLandscape">
    <w:name w:val="HeaderLandscape"/>
    <w:basedOn w:val="Normal"/>
    <w:rsid w:val="00593A1E"/>
    <w:pPr>
      <w:tabs>
        <w:tab w:val="center" w:pos="7285"/>
        <w:tab w:val="right" w:pos="14003"/>
      </w:tabs>
      <w:spacing w:before="0"/>
    </w:pPr>
  </w:style>
  <w:style w:type="paragraph" w:styleId="Footer">
    <w:name w:val="footer"/>
    <w:basedOn w:val="Normal"/>
    <w:link w:val="FooterChar"/>
    <w:uiPriority w:val="99"/>
    <w:unhideWhenUsed/>
    <w:rsid w:val="00593A1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93A1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F2460BCE-8EB3-4832-AFC2-329D9AD324F7}">
  <ds:schemaRefs>
    <ds:schemaRef ds:uri="http://schemas.microsoft.com/sharepoint/v3/contenttype/forms"/>
  </ds:schemaRefs>
</ds:datastoreItem>
</file>

<file path=customXml/itemProps3.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16</TotalTime>
  <Pages>11</Pages>
  <Words>4122</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56</cp:revision>
  <dcterms:created xsi:type="dcterms:W3CDTF">2025-08-04T13:17:00Z</dcterms:created>
  <dcterms:modified xsi:type="dcterms:W3CDTF">2025-11-07T09:07:00Z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