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614D0B" w:rsidRDefault="00FB72FD" w:rsidP="00FB72F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5E9302A-B4BE-43D4-837B-39FF3A8BAB0F" style="width:455.25pt;height:414pt">
            <v:imagedata r:id="rId10" o:title=""/>
          </v:shape>
        </w:pict>
      </w:r>
    </w:p>
    <w:p w:rsidR="00860655" w:rsidRPr="00614D0B" w:rsidRDefault="00860655" w:rsidP="00184085">
      <w:pPr>
        <w:rPr>
          <w:noProof/>
        </w:rPr>
        <w:sectPr w:rsidR="00860655" w:rsidRPr="00614D0B" w:rsidSect="00FB72FD">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614D0B" w:rsidRDefault="00614D0B" w:rsidP="00614D0B">
      <w:pPr>
        <w:pStyle w:val="Typedudocument"/>
        <w:rPr>
          <w:noProof/>
        </w:rPr>
      </w:pPr>
      <w:bookmarkStart w:id="0" w:name="_GoBack"/>
      <w:bookmarkEnd w:id="0"/>
      <w:r w:rsidRPr="00614D0B">
        <w:rPr>
          <w:noProof/>
        </w:rPr>
        <w:lastRenderedPageBreak/>
        <w:t>KOMISIJAS ĪSTENOŠANAS REGULA (ES) …/..</w:t>
      </w:r>
    </w:p>
    <w:p w:rsidR="00860655" w:rsidRPr="00614D0B" w:rsidRDefault="004865CD" w:rsidP="00614D0B">
      <w:pPr>
        <w:pStyle w:val="Datedadoption"/>
        <w:rPr>
          <w:noProof/>
        </w:rPr>
      </w:pPr>
      <w:r>
        <w:rPr>
          <w:noProof/>
        </w:rPr>
        <w:t>(14.11.2025),</w:t>
      </w:r>
    </w:p>
    <w:p w:rsidR="00860655" w:rsidRPr="00614D0B" w:rsidRDefault="00614D0B" w:rsidP="00614D0B">
      <w:pPr>
        <w:pStyle w:val="Titreobjet"/>
        <w:rPr>
          <w:noProof/>
        </w:rPr>
      </w:pPr>
      <w:r w:rsidRPr="00614D0B">
        <w:rPr>
          <w:noProof/>
        </w:rPr>
        <w:t>ar ko saskaņā ar Eiropas Parlamenta un Padomes Direktīvu 2014/59/ES nosaka īstenošanas tehniskos standartus attiecībā uz procedūrām, standarta veidlapām un veidnēm informācijas sniegšanai kredītiestāžu un ieguldījumu brokeru sabiedrību noregulējuma plānu vajadzībām un atceļ Komisijas Īstenošanas regulu (ES) 2018/1624</w:t>
      </w:r>
    </w:p>
    <w:p w:rsidR="00860655" w:rsidRPr="00614D0B" w:rsidRDefault="00614D0B" w:rsidP="00614D0B">
      <w:pPr>
        <w:pStyle w:val="IntrtEEE"/>
        <w:rPr>
          <w:noProof/>
        </w:rPr>
      </w:pPr>
      <w:r w:rsidRPr="00614D0B">
        <w:rPr>
          <w:noProof/>
        </w:rPr>
        <w:t>(Dokuments attiecas uz EEZ)</w:t>
      </w:r>
    </w:p>
    <w:p w:rsidR="00860655" w:rsidRPr="00614D0B" w:rsidRDefault="00860655" w:rsidP="00184085">
      <w:pPr>
        <w:pStyle w:val="Institutionquiagit"/>
        <w:rPr>
          <w:noProof/>
        </w:rPr>
      </w:pPr>
      <w:r w:rsidRPr="00614D0B">
        <w:rPr>
          <w:noProof/>
        </w:rPr>
        <w:t>EIROPAS KOMISIJA,</w:t>
      </w:r>
    </w:p>
    <w:p w:rsidR="00860655" w:rsidRPr="00614D0B" w:rsidRDefault="00860655" w:rsidP="00184085">
      <w:pPr>
        <w:rPr>
          <w:noProof/>
        </w:rPr>
      </w:pPr>
      <w:r w:rsidRPr="00614D0B">
        <w:rPr>
          <w:noProof/>
        </w:rPr>
        <w:t>ņemot vērā Līgumu par Eiropas Savienības darbību,</w:t>
      </w:r>
    </w:p>
    <w:p w:rsidR="00860655" w:rsidRPr="00614D0B" w:rsidRDefault="00860655" w:rsidP="00184085">
      <w:pPr>
        <w:rPr>
          <w:noProof/>
        </w:rPr>
      </w:pPr>
      <w:r w:rsidRPr="00614D0B">
        <w:rPr>
          <w:noProof/>
        </w:rPr>
        <w:t>ņemot vērā Eiropas Parlamenta un Padomes 2014. gada 15. maija Direktīvu 2014/59/ES,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w:t>
      </w:r>
      <w:r w:rsidRPr="00614D0B">
        <w:rPr>
          <w:rStyle w:val="FootnoteReference"/>
          <w:noProof/>
        </w:rPr>
        <w:footnoteReference w:id="2"/>
      </w:r>
      <w:r w:rsidRPr="00614D0B">
        <w:rPr>
          <w:noProof/>
        </w:rPr>
        <w:t>, un jo īpaši tās 11. panta 3. punktu,</w:t>
      </w:r>
    </w:p>
    <w:p w:rsidR="00860655" w:rsidRPr="00614D0B" w:rsidRDefault="00860655" w:rsidP="00184085">
      <w:pPr>
        <w:rPr>
          <w:noProof/>
        </w:rPr>
      </w:pPr>
      <w:r w:rsidRPr="00614D0B">
        <w:rPr>
          <w:noProof/>
        </w:rPr>
        <w:t>tā kā:</w:t>
      </w:r>
    </w:p>
    <w:p w:rsidR="00860655" w:rsidRPr="00614D0B" w:rsidRDefault="008702D9" w:rsidP="008702D9">
      <w:pPr>
        <w:pStyle w:val="ManualConsidrant"/>
        <w:rPr>
          <w:noProof/>
        </w:rPr>
      </w:pPr>
      <w:r w:rsidRPr="008702D9">
        <w:rPr>
          <w:noProof/>
        </w:rPr>
        <w:t>(1)</w:t>
      </w:r>
      <w:r w:rsidRPr="008702D9">
        <w:rPr>
          <w:noProof/>
        </w:rPr>
        <w:tab/>
      </w:r>
      <w:r w:rsidR="00860655" w:rsidRPr="00614D0B">
        <w:rPr>
          <w:noProof/>
        </w:rPr>
        <w:t>Komisijas Īstenošanas regulā (ES) 2018/1624</w:t>
      </w:r>
      <w:r w:rsidR="00860655" w:rsidRPr="00614D0B">
        <w:rPr>
          <w:rStyle w:val="FootnoteReference"/>
          <w:noProof/>
        </w:rPr>
        <w:footnoteReference w:id="3"/>
      </w:r>
      <w:r w:rsidR="00860655" w:rsidRPr="00614D0B">
        <w:rPr>
          <w:noProof/>
        </w:rPr>
        <w:t xml:space="preserve"> ir noteikta procedūra un ieviests veidņu minimuma kopums, lai kredītiestādes un ieguldījumu brokeru sabiedrības noregulējuma iestādēm sniegtu informāciju nolūkā sagatavot un īstenot finanšu iestāžu noregulējuma plānus. Kopš minētās regulas pieņemšanas noregulējuma iestādes ir guvušas pieredzi noregulējuma plānošanas jomā, un Direktīva 2014/59/ES ir grozīta. Ņemot vērā šo pieredzi un lai ņemtu vērā minētās direktīvas jaunos noteikumus, ir jāatjaunina veidņu minimuma kopums informācijas ievākšanai noregulējuma plānošanas nolūkos.</w:t>
      </w:r>
    </w:p>
    <w:p w:rsidR="003B410C" w:rsidRPr="00614D0B" w:rsidRDefault="008702D9" w:rsidP="008702D9">
      <w:pPr>
        <w:pStyle w:val="ManualConsidrant"/>
        <w:rPr>
          <w:noProof/>
        </w:rPr>
      </w:pPr>
      <w:r w:rsidRPr="008702D9">
        <w:rPr>
          <w:noProof/>
        </w:rPr>
        <w:t>(2)</w:t>
      </w:r>
      <w:r w:rsidRPr="008702D9">
        <w:rPr>
          <w:noProof/>
        </w:rPr>
        <w:tab/>
      </w:r>
      <w:r w:rsidR="003B410C" w:rsidRPr="00614D0B">
        <w:rPr>
          <w:noProof/>
        </w:rPr>
        <w:t>Īstenošanas regulā (ES) 2018/1624 ir noteikta procedūra un minimālais veidņu kopums informācijai, ko finanšu iestādes sniedz noregulējuma iestādēm, tādā veidā, kas ļauj noregulējuma iestādēm konsekventi vākt šādu informāciju visā Savienībā un kas atvieglo informācijas apmaiņu starp attiecīgajām iestādēm. Taču pieredze ir apliecinājusi, ka saskaņota pieeja šādas informācijas vākšanai ir īstenota tikai daļēji. Tāpēc minētā īstenošanas regula ir jāpārskata, lai veicinātu pārskatu sniegšanas pienākumu saskaņošanu visā Savienībā, pamatojoties uz pārskatītu veidņu kopumu, kas konsekventi labāk atspoguļo noregulējuma iestāžu vajadzības. Tam nebūtu jāliedz noregulējuma iestādēm vākt jebkādu papildu informāciju, ko tās uzskata par vajadzīgu, lai izstrādātu un īstenotu noregulējuma plānus vai noteiktu vienkāršotus informēšanas pienākumus saskaņā ar Direktīvas 2014/59/ES 4. pantu.</w:t>
      </w:r>
    </w:p>
    <w:p w:rsidR="003B410C" w:rsidRPr="00614D0B" w:rsidRDefault="008702D9" w:rsidP="008702D9">
      <w:pPr>
        <w:pStyle w:val="ManualConsidrant"/>
        <w:rPr>
          <w:noProof/>
        </w:rPr>
      </w:pPr>
      <w:r w:rsidRPr="008702D9">
        <w:rPr>
          <w:noProof/>
        </w:rPr>
        <w:t>(3)</w:t>
      </w:r>
      <w:r w:rsidRPr="008702D9">
        <w:rPr>
          <w:noProof/>
        </w:rPr>
        <w:tab/>
      </w:r>
      <w:r w:rsidR="003B410C" w:rsidRPr="00614D0B">
        <w:rPr>
          <w:noProof/>
        </w:rPr>
        <w:t>Lai nodrošinātu, ka grupas noregulējuma plāni efektīvi aptver attiecīgo grupu, Savienības mātesuzņēmumiem noteiktie pārskatu sniegšanas pienākumi nebūtu jāattiecina tikai uz noregulējuma vienībām, bet tiem būtu jāattiecas arī uz citām attiecīgajām juridiskajām personām. Nosakot šādu attiecināmību, būtu jāveic pienācīga nodalīšana, lai izslēgtu pārskatu sniegšanu par vienībām, kas nav būtiskas grupai vai kas nav sistēmiski nozīmīgas. Šajā nolūkā būtu jānosaka robežvērtības, lai identificētu tās grupas juridiskās personas, kurām būtu jāpiemēro noregulējuma pārskatu sniegšanas prasības. Turklāt ar Eiropas Parlamenta un Padomes Direktīvu (ES) 2024/1174</w:t>
      </w:r>
      <w:r w:rsidR="003B410C" w:rsidRPr="00614D0B">
        <w:rPr>
          <w:rStyle w:val="FootnoteReference"/>
          <w:noProof/>
        </w:rPr>
        <w:footnoteReference w:id="4"/>
      </w:r>
      <w:r w:rsidR="003B410C" w:rsidRPr="00614D0B">
        <w:rPr>
          <w:noProof/>
        </w:rPr>
        <w:t xml:space="preserve"> tika grozīta Direktīva 2014/59/ES, cita starpā ieviešot “likvidācijas vienības” definīciju. Lai ņemtu vērā šo jauno definīciju, ir jānošķir noregulējuma pārskatu sniegšanas prasības likvidācijas vienībām, noregulējuma vienībām un noregulējuma grupām piederošām vienībām. Jo īpaši ir jāprecizē pārskatu sniegšanas pienākumi, ņemot vērā to, vai attiecīgās vienības ir atsevišķas vienības vai pieder pie grupām un vai šādas vienības vai grupas ir identificētas kā likvidācijas vienības, vai ietver vienības, kas ir šādi identificētas. Minētie pārskatu sniegšanas pienākumi būtu jānosaka individuālā, subkonsolidētā vai konsolidētā līmenī tā, lai nodrošinātu proporcionalitāti, netraucētu efektīvu noregulējuma plānošanu, atbrīvotu vienības no paralēlas datu vākšanas, ko veic dažādas iestādes, un likvidētu datu punktus, kas pārklājas ar datu punktiem uzraudzības pārskatu sniegšanas sistēmās. Tas būtu jāpanāk, īstenojot pieeju, kas modulē veidņu skaitu atkarībā no attiecīgās pārskatu sniedzējas vienības veida. Īpaša uzmanība būtu jāpievērš arī noregulējuma grupām, kas sastāv no kredītiestādēm, kuras ir pastāvīgi saistītas ar centrālo iestādi, un pašai centrālajai iestādei, lai nodrošinātu, ka noregulējuma pārskatu sniegšana efektīvi aptver visas kredītiestādes, kas ir pastāvīgi saistītas ar minētās noregulējuma grupas centrālo iestādi, pašu centrālo iestādi un tās attiecīgajiem meitasuzņēmumiem individuālā, subkonsolidētā un konsolidētā līmenī.</w:t>
      </w:r>
    </w:p>
    <w:p w:rsidR="003B410C" w:rsidRPr="00614D0B" w:rsidRDefault="008702D9" w:rsidP="008702D9">
      <w:pPr>
        <w:pStyle w:val="ManualConsidrant"/>
        <w:rPr>
          <w:noProof/>
        </w:rPr>
      </w:pPr>
      <w:r w:rsidRPr="008702D9">
        <w:rPr>
          <w:noProof/>
        </w:rPr>
        <w:t>(4)</w:t>
      </w:r>
      <w:r w:rsidRPr="008702D9">
        <w:rPr>
          <w:noProof/>
        </w:rPr>
        <w:tab/>
      </w:r>
      <w:r w:rsidR="003B410C" w:rsidRPr="00614D0B">
        <w:rPr>
          <w:noProof/>
        </w:rPr>
        <w:t>Lai nodrošinātu efektīvu noregulējuma plānošanu, vienlaikus saglabājot proporcionalitāti, noregulējuma pārskatu sniegšanas prasību tvērumam var būt jāatšķiras no prudenciālo pārskatu sniegšanas prasību tvēruma, ja tas nepieciešams, lai nodrošinātu, ka noregulējuma iestādēm ir atbilstoši un ticami dati savu uzdevumu veikšanai. Šajā kontekstā ir jānodrošina, ka noregulējuma pārskatu sniegšanu nekavē prudenciālie atbrīvojumi vai noregulējuma grupas, uz kurām neattiecas prudenciālās konsolidācijas prasības.</w:t>
      </w:r>
    </w:p>
    <w:p w:rsidR="003B410C" w:rsidRPr="00614D0B" w:rsidRDefault="008702D9" w:rsidP="008702D9">
      <w:pPr>
        <w:pStyle w:val="ManualConsidrant"/>
        <w:rPr>
          <w:noProof/>
        </w:rPr>
      </w:pPr>
      <w:r w:rsidRPr="008702D9">
        <w:rPr>
          <w:noProof/>
        </w:rPr>
        <w:t>(5)</w:t>
      </w:r>
      <w:r w:rsidRPr="008702D9">
        <w:rPr>
          <w:noProof/>
        </w:rPr>
        <w:tab/>
      </w:r>
      <w:r w:rsidR="00012E4C" w:rsidRPr="00614D0B">
        <w:rPr>
          <w:noProof/>
        </w:rPr>
        <w:t>Lai nodrošinātu, ka noregulējuma plānu pamatā ir pastāvīgi augstas kvalitātes un precizitātes datu minimuma kopums, būtu jāpieņem vienots datu punktu modelis, kas ir uzraudzības pārskatu sniegšanas prakse. Vienotajam datu punktu modelim būtu jāsastāv no strukturāla datu posteņu atveidojuma un jāidentificē visas būtiskās darījumdarbības koncepcijas, lai panāktu vienotu ziņošanu noregulējuma plānošanai, un tam būtu jāietver visas attiecīgās specifikācijas, kas vajadzīgas, lai turpmāk izstrādātu vienotus IT pārskatu sniegšanas risinājumus.</w:t>
      </w:r>
    </w:p>
    <w:p w:rsidR="003B410C" w:rsidRPr="00614D0B" w:rsidRDefault="008702D9" w:rsidP="008702D9">
      <w:pPr>
        <w:pStyle w:val="ManualConsidrant"/>
        <w:rPr>
          <w:noProof/>
        </w:rPr>
      </w:pPr>
      <w:r w:rsidRPr="008702D9">
        <w:rPr>
          <w:noProof/>
        </w:rPr>
        <w:t>(6)</w:t>
      </w:r>
      <w:r w:rsidRPr="008702D9">
        <w:rPr>
          <w:noProof/>
        </w:rPr>
        <w:tab/>
      </w:r>
      <w:r w:rsidR="00980E18" w:rsidRPr="00614D0B">
        <w:rPr>
          <w:noProof/>
        </w:rPr>
        <w:t>Lai nodrošinātu finanšu iestāžu ziņoto datu posteņu kvalitāti, konsekvenci un precizitāti, minētajiem datu posteņiem būtu jāpiemēro kopīgi validācijas noteikumi.</w:t>
      </w:r>
    </w:p>
    <w:p w:rsidR="003B410C" w:rsidRPr="00614D0B" w:rsidRDefault="008702D9" w:rsidP="008702D9">
      <w:pPr>
        <w:pStyle w:val="ManualConsidrant"/>
        <w:rPr>
          <w:noProof/>
        </w:rPr>
      </w:pPr>
      <w:r w:rsidRPr="008702D9">
        <w:rPr>
          <w:noProof/>
        </w:rPr>
        <w:t>(7)</w:t>
      </w:r>
      <w:r w:rsidRPr="008702D9">
        <w:rPr>
          <w:noProof/>
        </w:rPr>
        <w:tab/>
      </w:r>
      <w:r w:rsidR="003B410C" w:rsidRPr="00614D0B">
        <w:rPr>
          <w:noProof/>
        </w:rPr>
        <w:t>Validācijas noteikumi un datu punktu definīcijas to būtības dēļ tiek regulāri atjaunināti, lai nodrošinātu, ka tie vienmēr atbilst piemērojamajām regulatīvajām, analītiskajām un informācijas tehnoloģiju prasībām. Tomēr laiks, kas pašlaik nepieciešams, lai pieņemtu un publicētu detalizētu vienoto datu punktu modeli un validācijas noteikumus, nozīmē, ka nav iespējams pietiekami ātri un laikus veikt izmaiņas, ar kurām tiktu nodrošināta pastāvīga vienotas informācijas sniegšana attiecībā uz noregulējuma plāniem Savienībā. Tāpēc būtu jānosaka stingri kvalitātes kritēriji attiecībā uz detalizētu vienoto datu punktu modeli un detalizētiem kopīgajiem validācijas noteikumiem, ko Eiropas Banku iestāde (EBI) elektroniski publicēs savā tīmekļa vietnē. Iepriekš minētais neizslēdz iespēju, ka EBI savā tīmekļa vietnē var publicēt arī tehniskās instrukcijas šajā regulā noteikto veidlapu un veidņu aizpildīšanai.</w:t>
      </w:r>
    </w:p>
    <w:p w:rsidR="003B410C" w:rsidRPr="00614D0B" w:rsidRDefault="008702D9" w:rsidP="008702D9">
      <w:pPr>
        <w:pStyle w:val="ManualConsidrant"/>
        <w:rPr>
          <w:noProof/>
        </w:rPr>
      </w:pPr>
      <w:r w:rsidRPr="008702D9">
        <w:rPr>
          <w:noProof/>
        </w:rPr>
        <w:t>(8)</w:t>
      </w:r>
      <w:r w:rsidRPr="008702D9">
        <w:rPr>
          <w:noProof/>
        </w:rPr>
        <w:tab/>
      </w:r>
      <w:r w:rsidR="003B410C" w:rsidRPr="00614D0B">
        <w:rPr>
          <w:noProof/>
        </w:rPr>
        <w:t>Direktīvas 2014/59/ES 11. panta 2. punktā kompetentajām iestādēm un noregulējuma iestādēm ir noteikts pienākums sadarboties, lai līdz minimumam samazinātu informācijas prasību dublēšanos. Šajā nolūkā Īstenošanas regulā (ES) 2018/1624 ir paredzēta sadarbības procedūra starp kompetentajām un noregulējuma iestādēm, kas būtu jāsaglabā, lai kompetentās un noregulējuma iestādes kopīgi pārbaudītu, vai kompetentajai iestādei jau ir daļēji vai pilnībā pieejama prasītā informācija. Ja kompetentajai iestādei informācija ir pieejama, tai šāda informācija būtu tieši jānosūta noregulējuma iestādei.</w:t>
      </w:r>
    </w:p>
    <w:p w:rsidR="003B410C" w:rsidRPr="00614D0B" w:rsidRDefault="008702D9" w:rsidP="008702D9">
      <w:pPr>
        <w:pStyle w:val="ManualConsidrant"/>
        <w:rPr>
          <w:noProof/>
        </w:rPr>
      </w:pPr>
      <w:r w:rsidRPr="008702D9">
        <w:rPr>
          <w:noProof/>
        </w:rPr>
        <w:t>(9)</w:t>
      </w:r>
      <w:r w:rsidRPr="008702D9">
        <w:rPr>
          <w:noProof/>
        </w:rPr>
        <w:tab/>
      </w:r>
      <w:r w:rsidR="003B410C" w:rsidRPr="00614D0B">
        <w:rPr>
          <w:noProof/>
        </w:rPr>
        <w:t>Ņemot vērā Īstenošanas regulā (ES) 2018/1624 veikto grozījumu apmēru, juridiskās noteiktības un skaidrības nolūkos ir lietderīgi pieņemt jaunu īstenošanas regulu un attiecīgi atcelt un aizstāt Īstenošanas regulu (ES) 2018/1624.</w:t>
      </w:r>
    </w:p>
    <w:p w:rsidR="003B410C" w:rsidRPr="00614D0B" w:rsidRDefault="008702D9" w:rsidP="008702D9">
      <w:pPr>
        <w:pStyle w:val="ManualConsidrant"/>
        <w:rPr>
          <w:noProof/>
        </w:rPr>
      </w:pPr>
      <w:r w:rsidRPr="008702D9">
        <w:rPr>
          <w:noProof/>
        </w:rPr>
        <w:t>(10)</w:t>
      </w:r>
      <w:r w:rsidRPr="008702D9">
        <w:rPr>
          <w:noProof/>
        </w:rPr>
        <w:tab/>
      </w:r>
      <w:r w:rsidR="003B410C" w:rsidRPr="00614D0B">
        <w:rPr>
          <w:noProof/>
        </w:rPr>
        <w:t>Šī regula ir balstīta uz īstenošanas tehniskajiem standartiem, ko Komisijai iesniegusi EBI.</w:t>
      </w:r>
    </w:p>
    <w:p w:rsidR="00860655" w:rsidRPr="00614D0B" w:rsidRDefault="008702D9" w:rsidP="008702D9">
      <w:pPr>
        <w:pStyle w:val="ManualConsidrant"/>
        <w:rPr>
          <w:noProof/>
        </w:rPr>
      </w:pPr>
      <w:r w:rsidRPr="008702D9">
        <w:rPr>
          <w:noProof/>
        </w:rPr>
        <w:t>(11)</w:t>
      </w:r>
      <w:r w:rsidRPr="008702D9">
        <w:rPr>
          <w:noProof/>
        </w:rPr>
        <w:tab/>
      </w:r>
      <w:r w:rsidR="003B410C" w:rsidRPr="00614D0B">
        <w:rPr>
          <w:noProof/>
        </w:rPr>
        <w:t>EBI ir īstenojusi atklātu sabiedrisko apspriešanu par īstenošanas tehniskajiem standartiem, kuri ir šīs regulas pamatā, analizējusi iespējamās saistītās izmaksas un ieguvumus un lūgusi konsultāciju Banku nozares ieinteresēto personu grupai, kas izveidota saskaņā ar Eiropas Parlamenta un Padomes Regulas (ES) Nr. 1093/2010</w:t>
      </w:r>
      <w:r w:rsidR="003B410C" w:rsidRPr="00614D0B">
        <w:rPr>
          <w:rStyle w:val="FootnoteReference"/>
          <w:noProof/>
        </w:rPr>
        <w:footnoteReference w:id="5"/>
      </w:r>
      <w:r w:rsidR="003B410C" w:rsidRPr="00614D0B">
        <w:rPr>
          <w:noProof/>
        </w:rPr>
        <w:t xml:space="preserve"> 37. pantu,</w:t>
      </w:r>
    </w:p>
    <w:p w:rsidR="00860655" w:rsidRPr="00614D0B" w:rsidRDefault="00860655" w:rsidP="00184085">
      <w:pPr>
        <w:pStyle w:val="Formuledadoption"/>
        <w:rPr>
          <w:noProof/>
        </w:rPr>
      </w:pPr>
      <w:r w:rsidRPr="00614D0B">
        <w:rPr>
          <w:noProof/>
        </w:rPr>
        <w:t>IR PIEŅĒMUSI ŠO REGULU.</w:t>
      </w:r>
    </w:p>
    <w:p w:rsidR="00860655" w:rsidRPr="00614D0B" w:rsidRDefault="00860655" w:rsidP="00184085">
      <w:pPr>
        <w:pStyle w:val="Titrearticle"/>
        <w:rPr>
          <w:noProof/>
        </w:rPr>
      </w:pPr>
      <w:r w:rsidRPr="00614D0B">
        <w:rPr>
          <w:noProof/>
        </w:rPr>
        <w:t>1. pants</w:t>
      </w:r>
    </w:p>
    <w:p w:rsidR="00860655" w:rsidRPr="00614D0B" w:rsidRDefault="003B410C" w:rsidP="00184085">
      <w:pPr>
        <w:pStyle w:val="Titrearticle"/>
        <w:rPr>
          <w:noProof/>
        </w:rPr>
      </w:pPr>
      <w:r w:rsidRPr="00614D0B">
        <w:rPr>
          <w:b/>
          <w:i w:val="0"/>
          <w:noProof/>
        </w:rPr>
        <w:t>Definīcija</w:t>
      </w:r>
    </w:p>
    <w:p w:rsidR="003B410C" w:rsidRPr="00614D0B" w:rsidRDefault="003B410C" w:rsidP="00184085">
      <w:pPr>
        <w:rPr>
          <w:noProof/>
        </w:rPr>
      </w:pPr>
      <w:r w:rsidRPr="00614D0B">
        <w:rPr>
          <w:noProof/>
        </w:rPr>
        <w:t>Šajā regulā “attiecīgā juridiskā persona” ir grupas vienība, kā definēts Direktīvas 2014/59/ES 2. panta 1. punkta 31) apakšpunktā, kura nav noregulējuma vienība un kura ir iedibināta Savienībā un atbilst jebkuram no šādiem nosacījumiem:</w:t>
      </w:r>
    </w:p>
    <w:p w:rsidR="003B410C" w:rsidRPr="00614D0B" w:rsidRDefault="008702D9" w:rsidP="008702D9">
      <w:pPr>
        <w:pStyle w:val="Point0"/>
        <w:rPr>
          <w:noProof/>
        </w:rPr>
      </w:pPr>
      <w:r w:rsidRPr="008702D9">
        <w:rPr>
          <w:noProof/>
        </w:rPr>
        <w:t>(a)</w:t>
      </w:r>
      <w:r w:rsidRPr="008702D9">
        <w:rPr>
          <w:noProof/>
        </w:rPr>
        <w:tab/>
      </w:r>
      <w:r w:rsidR="003B410C" w:rsidRPr="00614D0B">
        <w:rPr>
          <w:noProof/>
        </w:rPr>
        <w:t>tā nodrošina kritiski svarīgas funkcijas;</w:t>
      </w:r>
    </w:p>
    <w:p w:rsidR="003B410C" w:rsidRPr="00614D0B" w:rsidRDefault="008702D9" w:rsidP="008702D9">
      <w:pPr>
        <w:pStyle w:val="Point0"/>
        <w:rPr>
          <w:noProof/>
        </w:rPr>
      </w:pPr>
      <w:r w:rsidRPr="008702D9">
        <w:rPr>
          <w:noProof/>
        </w:rPr>
        <w:t>(b)</w:t>
      </w:r>
      <w:r w:rsidRPr="008702D9">
        <w:rPr>
          <w:noProof/>
        </w:rPr>
        <w:tab/>
      </w:r>
      <w:r w:rsidR="003B410C" w:rsidRPr="00614D0B">
        <w:rPr>
          <w:noProof/>
        </w:rPr>
        <w:t>tās individuālā kopējā riska darījumu vērtība, kas aprēķināta saskaņā ar Eiropas Parlamenta un Padomes Regulas (ES) Nr. 575/2013</w:t>
      </w:r>
      <w:r w:rsidR="003B410C" w:rsidRPr="00614D0B">
        <w:rPr>
          <w:rStyle w:val="FootnoteReference"/>
          <w:noProof/>
        </w:rPr>
        <w:footnoteReference w:id="6"/>
      </w:r>
      <w:r w:rsidR="003B410C" w:rsidRPr="00614D0B">
        <w:rPr>
          <w:noProof/>
        </w:rPr>
        <w:t xml:space="preserve"> 92. panta 3. punktu, ir vienāda ar vai lielāka par 2 % no Savienības mātesuzņēmuma konsolidētās kopējās riska darījumu vērtības;</w:t>
      </w:r>
    </w:p>
    <w:p w:rsidR="003B410C" w:rsidRPr="00614D0B" w:rsidRDefault="008702D9" w:rsidP="008702D9">
      <w:pPr>
        <w:pStyle w:val="Point0"/>
        <w:rPr>
          <w:noProof/>
        </w:rPr>
      </w:pPr>
      <w:r w:rsidRPr="008702D9">
        <w:rPr>
          <w:noProof/>
        </w:rPr>
        <w:t>(c)</w:t>
      </w:r>
      <w:r w:rsidRPr="008702D9">
        <w:rPr>
          <w:noProof/>
        </w:rPr>
        <w:tab/>
      </w:r>
      <w:r w:rsidR="003B410C" w:rsidRPr="00614D0B">
        <w:rPr>
          <w:noProof/>
        </w:rPr>
        <w:t>tās individuālais kopējās riska darījumu vērtības mērs, kas aprēķināts saskaņā ar Regulas (ES) Nr. 575/2013 429. panta 4. punktu, ir vienāds ar vai lielāks par 2 % no Savienības mātesuzņēmuma konsolidētās kopējās riska darījumu vērtības;</w:t>
      </w:r>
    </w:p>
    <w:p w:rsidR="003B410C" w:rsidRPr="00614D0B" w:rsidRDefault="008702D9" w:rsidP="008702D9">
      <w:pPr>
        <w:pStyle w:val="Point0"/>
        <w:rPr>
          <w:noProof/>
        </w:rPr>
      </w:pPr>
      <w:r w:rsidRPr="008702D9">
        <w:rPr>
          <w:noProof/>
        </w:rPr>
        <w:t>(d)</w:t>
      </w:r>
      <w:r w:rsidRPr="008702D9">
        <w:rPr>
          <w:noProof/>
        </w:rPr>
        <w:tab/>
      </w:r>
      <w:r w:rsidR="003B410C" w:rsidRPr="00614D0B">
        <w:rPr>
          <w:noProof/>
        </w:rPr>
        <w:t>tās individuālie pamatdarbības ienākumi ir vienādi ar vai lielāki par 2 % no grupas konsolidētajiem kopējiem pamatdarbības ienākumiem, kas aprēķināti Savienības mātesuzņēmuma līmenī;</w:t>
      </w:r>
    </w:p>
    <w:p w:rsidR="003B410C" w:rsidRPr="00614D0B" w:rsidRDefault="008702D9" w:rsidP="008702D9">
      <w:pPr>
        <w:pStyle w:val="Point0"/>
        <w:rPr>
          <w:noProof/>
        </w:rPr>
      </w:pPr>
      <w:r w:rsidRPr="008702D9">
        <w:rPr>
          <w:noProof/>
        </w:rPr>
        <w:t>(e)</w:t>
      </w:r>
      <w:r w:rsidRPr="008702D9">
        <w:rPr>
          <w:noProof/>
        </w:rPr>
        <w:tab/>
      </w:r>
      <w:r w:rsidR="003B410C" w:rsidRPr="00614D0B">
        <w:rPr>
          <w:noProof/>
        </w:rPr>
        <w:t>tās individuālie kopējie aktīvi pārsniedz 5 miljardus EUR;</w:t>
      </w:r>
    </w:p>
    <w:p w:rsidR="008F1E98" w:rsidRPr="00614D0B" w:rsidRDefault="008702D9" w:rsidP="008702D9">
      <w:pPr>
        <w:pStyle w:val="Point0"/>
        <w:rPr>
          <w:noProof/>
        </w:rPr>
      </w:pPr>
      <w:r w:rsidRPr="008702D9">
        <w:rPr>
          <w:noProof/>
        </w:rPr>
        <w:t>(f)</w:t>
      </w:r>
      <w:r w:rsidRPr="008702D9">
        <w:rPr>
          <w:noProof/>
        </w:rPr>
        <w:tab/>
      </w:r>
      <w:r w:rsidR="003B410C" w:rsidRPr="00614D0B">
        <w:rPr>
          <w:noProof/>
        </w:rPr>
        <w:t>tā ir svarīga finanšu stabilitātei vismaz vienā dalībvalstī.</w:t>
      </w:r>
    </w:p>
    <w:p w:rsidR="00A803C4" w:rsidRPr="00614D0B" w:rsidRDefault="008F1E98" w:rsidP="00184085">
      <w:pPr>
        <w:pStyle w:val="Text1"/>
        <w:rPr>
          <w:noProof/>
        </w:rPr>
      </w:pPr>
      <w:r w:rsidRPr="00614D0B">
        <w:rPr>
          <w:noProof/>
        </w:rPr>
        <w:t>Šā punkta b) apakšpunkta nolūkā attiecībā uz grupu, kurā ietilpst vairāk nekā viena noregulējuma vienība, vienību uzskata par attiecīgu juridisku personu, ja tās individuālā kopējā riska darījumu vērtība ir vienāda ar vai lielāka par 2 % no noregulējuma vienības kopējās riska darījumu vērtības noregulējuma grupas konsolidētajā līmenī.</w:t>
      </w:r>
    </w:p>
    <w:p w:rsidR="008F1E98" w:rsidRPr="00614D0B" w:rsidRDefault="008F1E98" w:rsidP="00184085">
      <w:pPr>
        <w:pStyle w:val="Text1"/>
        <w:rPr>
          <w:noProof/>
        </w:rPr>
      </w:pPr>
      <w:r w:rsidRPr="00614D0B">
        <w:rPr>
          <w:noProof/>
        </w:rPr>
        <w:t>Šā punkta c) apakšpunkta nolūkā attiecība uz grupu, kurā ietilpst vairāk nekā viena noregulējuma vienība, vienību uzskata par attiecīgu juridisku personu, ja tās individuālais kopējās riska darījumu vērtības mērs ir vienāds ar vai lielāks par 2 % no noregulējuma vienības kopējās riska darījumu vērtības mēra noregulējuma grupas konsolidētajā līmenī.</w:t>
      </w:r>
    </w:p>
    <w:p w:rsidR="003B410C" w:rsidRPr="00614D0B" w:rsidRDefault="003B410C" w:rsidP="00184085">
      <w:pPr>
        <w:pStyle w:val="Titrearticle"/>
        <w:rPr>
          <w:noProof/>
        </w:rPr>
      </w:pPr>
      <w:r w:rsidRPr="00614D0B">
        <w:rPr>
          <w:noProof/>
        </w:rPr>
        <w:t>2. pants</w:t>
      </w:r>
      <w:bookmarkStart w:id="1" w:name="_Hlk168321151"/>
    </w:p>
    <w:p w:rsidR="003B410C" w:rsidRPr="00614D0B" w:rsidRDefault="003B410C" w:rsidP="00184085">
      <w:pPr>
        <w:pStyle w:val="Titrearticle"/>
        <w:spacing w:before="0"/>
        <w:rPr>
          <w:b/>
          <w:bCs/>
          <w:i w:val="0"/>
          <w:iCs/>
          <w:noProof/>
        </w:rPr>
      </w:pPr>
      <w:r w:rsidRPr="00614D0B">
        <w:rPr>
          <w:b/>
          <w:i w:val="0"/>
          <w:noProof/>
        </w:rPr>
        <w:t>Noregulējuma pārskatu sniegšana, ko veic finanšu iestādes, kuras neietilpst grupā, uz kuru attiecas konsolidētā uzraudzība saskaņā ar Direktīvas 2013/36/ES 111. un 112. pantu</w:t>
      </w:r>
      <w:bookmarkEnd w:id="1"/>
    </w:p>
    <w:p w:rsidR="003B410C" w:rsidRPr="00614D0B" w:rsidRDefault="008702D9" w:rsidP="008702D9">
      <w:pPr>
        <w:pStyle w:val="ManualNumPar1"/>
        <w:rPr>
          <w:noProof/>
        </w:rPr>
      </w:pPr>
      <w:r w:rsidRPr="008702D9">
        <w:rPr>
          <w:noProof/>
        </w:rPr>
        <w:t>1.</w:t>
      </w:r>
      <w:r w:rsidRPr="008702D9">
        <w:rPr>
          <w:noProof/>
        </w:rPr>
        <w:tab/>
      </w:r>
      <w:r w:rsidR="005E4DBA" w:rsidRPr="00614D0B">
        <w:rPr>
          <w:noProof/>
        </w:rPr>
        <w:t>Noregulējuma vienības, kas neietilpst grupā, uz kuru attiecas konsolidētā uzraudzība saskaņā ar Eiropas Parlamenta un Padomes Direktīvas 2013/36/ES</w:t>
      </w:r>
      <w:r w:rsidR="005E4DBA" w:rsidRPr="00614D0B">
        <w:rPr>
          <w:rStyle w:val="FootnoteReference"/>
          <w:noProof/>
        </w:rPr>
        <w:footnoteReference w:id="7"/>
      </w:r>
      <w:r w:rsidR="005E4DBA" w:rsidRPr="00614D0B">
        <w:rPr>
          <w:noProof/>
        </w:rPr>
        <w:t xml:space="preserve"> 111. un 112. pantu, individuāli iesniedz noregulējuma iestādei informāciju, kas norādīta visās šīs regulas I pielikumā ietvertajās veidnēs, izņemot informāciju, kas minēta veidnēs Z 01.01, Z 04.00, Z 07.02, Z 07.03 un Z 11.00.</w:t>
      </w:r>
    </w:p>
    <w:p w:rsidR="003B410C" w:rsidRPr="00614D0B" w:rsidRDefault="008702D9" w:rsidP="008702D9">
      <w:pPr>
        <w:pStyle w:val="ManualNumPar1"/>
        <w:rPr>
          <w:noProof/>
        </w:rPr>
      </w:pPr>
      <w:r w:rsidRPr="008702D9">
        <w:rPr>
          <w:noProof/>
        </w:rPr>
        <w:t>2.</w:t>
      </w:r>
      <w:r w:rsidRPr="008702D9">
        <w:rPr>
          <w:noProof/>
        </w:rPr>
        <w:tab/>
      </w:r>
      <w:r w:rsidR="0017578A" w:rsidRPr="00614D0B">
        <w:rPr>
          <w:noProof/>
        </w:rPr>
        <w:t>Likvidācijas vienības, uz kurām neattiecas vienkāršoti pārskatu sniegšanas pienākumi, kuras neietilpst grupā, uz ko attiecas konsolidētā uzraudzība saskaņā ar Direktīvas 2013/36/ES 111. un 112. pantu, un attiecībā uz kurām noregulējuma iestāde nav noteikusi Direktīvas 2014/59/ES 45. panta 1. punktā minēto prasību saskaņā ar minētās direktīvas 45.c panta 2.a punkta otro daļu, individuāli iesniedz noregulējuma iestādei šīs regulas I pielikumā ietvertajās veidnēs Z 01.02, Z 02.00, Z 05.01, Z 05.02, Z 06.00, Z 07.01.1 līdz Z 07.01.5, Z 07.04 un Z 09.01 norādīto informāciju.</w:t>
      </w:r>
    </w:p>
    <w:p w:rsidR="003B410C" w:rsidRPr="00614D0B" w:rsidRDefault="008702D9" w:rsidP="008702D9">
      <w:pPr>
        <w:pStyle w:val="ManualNumPar1"/>
        <w:rPr>
          <w:noProof/>
        </w:rPr>
      </w:pPr>
      <w:r w:rsidRPr="008702D9">
        <w:rPr>
          <w:noProof/>
        </w:rPr>
        <w:t>3.</w:t>
      </w:r>
      <w:r w:rsidRPr="008702D9">
        <w:rPr>
          <w:noProof/>
        </w:rPr>
        <w:tab/>
      </w:r>
      <w:r w:rsidR="00436F80" w:rsidRPr="00614D0B">
        <w:rPr>
          <w:noProof/>
        </w:rPr>
        <w:t>Likvidācijas vienības, uz kurām neattiecas vienkāršoti pārskatu sniegšanas pienākumi, kuras neietilpst grupā, uz ko attiecas konsolidētā uzraudzība saskaņā ar Direktīvas 2013/36/ES 111. un 112. pantu, un attiecībā uz kurām noregulējuma iestāde ir noteikusi Direktīvas 2014/59/ES 45. panta 1. punktā minēto prasību saskaņā ar minētās direktīvas 45.c panta 2.a punkta otro daļu, individuāli iesniedz noregulējuma iestādei šīs regulas I pielikumā ietvertajās veidnēs Z 01.02, Z 02.00, Z 03.01, Z 03.02, Z 05.01, Z 05.02, Z 06.00, Z 07.01.1 līdz Z 07.01 noteikto informāciju.</w:t>
      </w:r>
    </w:p>
    <w:p w:rsidR="003B410C" w:rsidRPr="00614D0B" w:rsidRDefault="003B410C" w:rsidP="00184085">
      <w:pPr>
        <w:pStyle w:val="Titrearticle"/>
        <w:rPr>
          <w:noProof/>
        </w:rPr>
      </w:pPr>
      <w:r w:rsidRPr="00614D0B">
        <w:rPr>
          <w:noProof/>
        </w:rPr>
        <w:t>3. pants</w:t>
      </w:r>
    </w:p>
    <w:p w:rsidR="003B410C" w:rsidRPr="00614D0B" w:rsidRDefault="003B410C" w:rsidP="00184085">
      <w:pPr>
        <w:pStyle w:val="Titrearticle"/>
        <w:spacing w:before="0"/>
        <w:rPr>
          <w:b/>
          <w:bCs/>
          <w:i w:val="0"/>
          <w:iCs/>
          <w:noProof/>
        </w:rPr>
      </w:pPr>
      <w:r w:rsidRPr="00614D0B">
        <w:rPr>
          <w:b/>
          <w:i w:val="0"/>
          <w:noProof/>
        </w:rPr>
        <w:t>Pārskatu sniegšana par noregulējumu grupas līmenī – grupas, kurām piemēro noregulējumu</w:t>
      </w:r>
    </w:p>
    <w:p w:rsidR="003B410C" w:rsidRPr="00614D0B" w:rsidRDefault="008702D9" w:rsidP="008702D9">
      <w:pPr>
        <w:pStyle w:val="ManualNumPar1"/>
        <w:rPr>
          <w:noProof/>
        </w:rPr>
      </w:pPr>
      <w:r w:rsidRPr="008702D9">
        <w:rPr>
          <w:noProof/>
        </w:rPr>
        <w:t>1.</w:t>
      </w:r>
      <w:r w:rsidRPr="008702D9">
        <w:rPr>
          <w:noProof/>
        </w:rPr>
        <w:tab/>
      </w:r>
      <w:r w:rsidR="00873C72" w:rsidRPr="00614D0B">
        <w:rPr>
          <w:noProof/>
        </w:rPr>
        <w:t>Savienības mātesuzņēmums grupas līmeņa noregulējuma iestādei iesniedz I pielikumā ietvertajās veidnēs Z 01.01, Z 01.02 un Z 08.01 līdz Z 09.04 noteikto informāciju attiecībā uz visām grupas vienībām.</w:t>
      </w:r>
    </w:p>
    <w:p w:rsidR="003B410C" w:rsidRPr="00614D0B" w:rsidRDefault="008702D9" w:rsidP="008702D9">
      <w:pPr>
        <w:pStyle w:val="ManualNumPar1"/>
        <w:rPr>
          <w:noProof/>
        </w:rPr>
      </w:pPr>
      <w:r w:rsidRPr="008702D9">
        <w:rPr>
          <w:noProof/>
        </w:rPr>
        <w:t>2.</w:t>
      </w:r>
      <w:r w:rsidRPr="008702D9">
        <w:rPr>
          <w:noProof/>
        </w:rPr>
        <w:tab/>
      </w:r>
      <w:r w:rsidR="00873C72" w:rsidRPr="00614D0B">
        <w:rPr>
          <w:noProof/>
        </w:rPr>
        <w:t>Savienības mātesuzņēmums grupas līmeņa noregulējuma iestādei iesniedz informāciju par finansiālajām saiknēm starp visām grupas vienībām, kā precizēts I pielikumā ietvertajā veidnē Z 04.00.</w:t>
      </w:r>
    </w:p>
    <w:p w:rsidR="003B410C" w:rsidRPr="00614D0B" w:rsidRDefault="008702D9" w:rsidP="008702D9">
      <w:pPr>
        <w:pStyle w:val="ManualNumPar1"/>
        <w:rPr>
          <w:noProof/>
        </w:rPr>
      </w:pPr>
      <w:r w:rsidRPr="008702D9">
        <w:rPr>
          <w:noProof/>
        </w:rPr>
        <w:t>3.</w:t>
      </w:r>
      <w:r w:rsidRPr="008702D9">
        <w:rPr>
          <w:noProof/>
        </w:rPr>
        <w:tab/>
      </w:r>
      <w:r w:rsidR="001744A5" w:rsidRPr="00614D0B">
        <w:rPr>
          <w:noProof/>
        </w:rPr>
        <w:t>Savienības mātesuzņēmums grupas līmeņa noregulējuma iestādei informāciju, kas norādīta I pielikumā ietvertajās veidnē Z 02.00, iesniedz šādā veidā:</w:t>
      </w:r>
    </w:p>
    <w:p w:rsidR="003B410C" w:rsidRPr="00614D0B" w:rsidRDefault="008702D9" w:rsidP="008702D9">
      <w:pPr>
        <w:pStyle w:val="Point1"/>
        <w:rPr>
          <w:noProof/>
        </w:rPr>
      </w:pPr>
      <w:r w:rsidRPr="008702D9">
        <w:rPr>
          <w:noProof/>
        </w:rPr>
        <w:t>(a)</w:t>
      </w:r>
      <w:r w:rsidRPr="008702D9">
        <w:rPr>
          <w:noProof/>
        </w:rPr>
        <w:tab/>
      </w:r>
      <w:r w:rsidR="003B410C" w:rsidRPr="00614D0B">
        <w:rPr>
          <w:noProof/>
        </w:rPr>
        <w:t>individuāli par visām grupas noregulējuma vienībām, tostarp par Savienības mātesuzņēmumu, un par visām attiecīgajām juridiskajām personām, kas ir finanšu iestādes;</w:t>
      </w:r>
    </w:p>
    <w:p w:rsidR="003B410C" w:rsidRPr="00614D0B" w:rsidRDefault="008702D9" w:rsidP="008702D9">
      <w:pPr>
        <w:pStyle w:val="Point1"/>
        <w:rPr>
          <w:noProof/>
        </w:rPr>
      </w:pPr>
      <w:r w:rsidRPr="008702D9">
        <w:rPr>
          <w:noProof/>
        </w:rPr>
        <w:t>(b)</w:t>
      </w:r>
      <w:r w:rsidRPr="008702D9">
        <w:rPr>
          <w:noProof/>
        </w:rPr>
        <w:tab/>
      </w:r>
      <w:r w:rsidR="003B410C" w:rsidRPr="00614D0B">
        <w:rPr>
          <w:noProof/>
        </w:rPr>
        <w:t>konsolidēti vai attiecīgā gadījumā subkonsolidēti – par visām grupas noregulējuma vienībām, tostarp par Savienības mātesuzņēmumu, un par visām attiecīgajām juridiskajām personām, attiecībā uz kurām noregulējuma iestāde konsolidēti vai subkonsolidēti ir noteikusi Direktīvas 2014/59/ES 45. panta 1. punktā minēto prasību, neatkarīgi no tā, vai uz minētajām vienībām attiecas Regulas (ES) Nr. 575/2013 Pirmās daļas II sadaļas 2. nodaļa.</w:t>
      </w:r>
    </w:p>
    <w:p w:rsidR="003B410C" w:rsidRPr="00614D0B" w:rsidRDefault="008702D9" w:rsidP="008702D9">
      <w:pPr>
        <w:pStyle w:val="ManualNumPar1"/>
        <w:rPr>
          <w:noProof/>
        </w:rPr>
      </w:pPr>
      <w:r w:rsidRPr="008702D9">
        <w:rPr>
          <w:noProof/>
        </w:rPr>
        <w:t>4.</w:t>
      </w:r>
      <w:r w:rsidRPr="008702D9">
        <w:rPr>
          <w:noProof/>
        </w:rPr>
        <w:tab/>
      </w:r>
      <w:r w:rsidR="00207905" w:rsidRPr="00614D0B">
        <w:rPr>
          <w:noProof/>
        </w:rPr>
        <w:t>Savienības mātesuzņēmums grupas līmeņa noregulējuma iestādei informāciju, kas norādīta I pielikumā ietvertajā veidnē Z 03.01 vai Z 03.02, iesniedz šādā veidā:</w:t>
      </w:r>
    </w:p>
    <w:p w:rsidR="003B410C" w:rsidRPr="00614D0B" w:rsidRDefault="008702D9" w:rsidP="008702D9">
      <w:pPr>
        <w:pStyle w:val="Point1"/>
        <w:rPr>
          <w:noProof/>
        </w:rPr>
      </w:pPr>
      <w:r w:rsidRPr="008702D9">
        <w:rPr>
          <w:noProof/>
        </w:rPr>
        <w:t>(a)</w:t>
      </w:r>
      <w:r w:rsidRPr="008702D9">
        <w:rPr>
          <w:noProof/>
        </w:rPr>
        <w:tab/>
      </w:r>
      <w:r w:rsidR="003B410C" w:rsidRPr="00614D0B">
        <w:rPr>
          <w:noProof/>
        </w:rPr>
        <w:t>individuāli – par visām grupas noregulējuma vienībām, tostarp par Savienības mātesuzņēmumu, un par visām attiecīgajām juridiskajām personām, kas ir finanšu iestādes, attiecībā uz kurām noregulējuma iestāde ir noteikusi prasību, kā minēts Direktīvas 2014/59/ES 45. panta 1. punktā;</w:t>
      </w:r>
    </w:p>
    <w:p w:rsidR="003B410C" w:rsidRPr="00614D0B" w:rsidRDefault="008702D9" w:rsidP="008702D9">
      <w:pPr>
        <w:pStyle w:val="Point1"/>
        <w:rPr>
          <w:noProof/>
        </w:rPr>
      </w:pPr>
      <w:r w:rsidRPr="008702D9">
        <w:rPr>
          <w:noProof/>
        </w:rPr>
        <w:t>(b)</w:t>
      </w:r>
      <w:r w:rsidRPr="008702D9">
        <w:rPr>
          <w:noProof/>
        </w:rPr>
        <w:tab/>
      </w:r>
      <w:r w:rsidR="003B410C" w:rsidRPr="00614D0B">
        <w:rPr>
          <w:noProof/>
        </w:rPr>
        <w:t>konsolidēti vai subkonsolidēti – par visām grupas noregulējuma vienībām, tostarp par Savienības mātesuzņēmumu, un par visām attiecīgajām juridiskajām personām, attiecībā uz kurām noregulējuma iestāde ir noteikusi Direktīvas 2014/59/ES 45. panta 1. punktā minēto prasību, neatkarīgi no tā, vai uz minētajām vienībām attiecas Regulas (ES) Nr. 575/2013 Pirmās daļas II sadaļas 2. nodaļa.</w:t>
      </w:r>
    </w:p>
    <w:p w:rsidR="003B410C" w:rsidRPr="00614D0B" w:rsidRDefault="008702D9" w:rsidP="008702D9">
      <w:pPr>
        <w:pStyle w:val="ManualNumPar1"/>
        <w:rPr>
          <w:noProof/>
        </w:rPr>
      </w:pPr>
      <w:r w:rsidRPr="008702D9">
        <w:rPr>
          <w:noProof/>
        </w:rPr>
        <w:t>5.</w:t>
      </w:r>
      <w:r w:rsidRPr="008702D9">
        <w:rPr>
          <w:noProof/>
        </w:rPr>
        <w:tab/>
      </w:r>
      <w:r w:rsidR="006E7726" w:rsidRPr="00614D0B">
        <w:rPr>
          <w:noProof/>
        </w:rPr>
        <w:t>Savienības mātesuzņēmums grupas līmeņa noregulējuma iestādei iesniedz informāciju, kas minēta I pielikumā ietvertajās veidnēs Z 07.01.1, Z 07.01.2, Z 07.01.3, Z 07.01.4 un Z 07.01.5, katras dalībvalsts līmenī, kurā grupa darbojas.</w:t>
      </w:r>
    </w:p>
    <w:p w:rsidR="003B410C" w:rsidRPr="00614D0B" w:rsidRDefault="008702D9" w:rsidP="008702D9">
      <w:pPr>
        <w:pStyle w:val="ManualNumPar1"/>
        <w:rPr>
          <w:noProof/>
        </w:rPr>
      </w:pPr>
      <w:r w:rsidRPr="008702D9">
        <w:rPr>
          <w:noProof/>
        </w:rPr>
        <w:t>6.</w:t>
      </w:r>
      <w:r w:rsidRPr="008702D9">
        <w:rPr>
          <w:noProof/>
        </w:rPr>
        <w:tab/>
      </w:r>
      <w:r w:rsidR="006E7726" w:rsidRPr="00614D0B">
        <w:rPr>
          <w:noProof/>
        </w:rPr>
        <w:t>Savienības mātesuzņēmums iesniedz grupas līmeņa noregulējuma iestādei I pielikumā ietvertajās veidnēs Z 07.02, Z 07.03 un Z 07.04 minēto informāciju par kritiski svarīgajām funkcijām un galvenajiem darbības virzieniem, ko veic katra grupas vienība.</w:t>
      </w:r>
    </w:p>
    <w:p w:rsidR="003B410C" w:rsidRPr="00614D0B" w:rsidRDefault="008702D9" w:rsidP="008702D9">
      <w:pPr>
        <w:pStyle w:val="ManualNumPar1"/>
        <w:rPr>
          <w:noProof/>
        </w:rPr>
      </w:pPr>
      <w:r w:rsidRPr="008702D9">
        <w:rPr>
          <w:noProof/>
        </w:rPr>
        <w:t>7.</w:t>
      </w:r>
      <w:r w:rsidRPr="008702D9">
        <w:rPr>
          <w:noProof/>
        </w:rPr>
        <w:tab/>
      </w:r>
      <w:r w:rsidR="006E7726" w:rsidRPr="00614D0B">
        <w:rPr>
          <w:noProof/>
        </w:rPr>
        <w:t>Savienības mātesuzņēmums grupas līmeņa noregulējuma iestādei individuāli iesniedz informāciju, kas norādīta I pielikumā ietvertajās veidnēs Z 05.01, Z 05.02, Z 06.00, Z 07.01.1 līdz Z 07.01.5, Z 07.04 un Z 11.00 līdz Z 17.00 par visām grupas noregulējuma vienībām, tostarp par Savienības mātesuzņēmumu.</w:t>
      </w:r>
    </w:p>
    <w:p w:rsidR="003B410C" w:rsidRPr="00614D0B" w:rsidRDefault="008702D9" w:rsidP="008702D9">
      <w:pPr>
        <w:pStyle w:val="ManualNumPar1"/>
        <w:rPr>
          <w:noProof/>
        </w:rPr>
      </w:pPr>
      <w:r w:rsidRPr="008702D9">
        <w:rPr>
          <w:noProof/>
        </w:rPr>
        <w:t>8.</w:t>
      </w:r>
      <w:r w:rsidRPr="008702D9">
        <w:rPr>
          <w:noProof/>
        </w:rPr>
        <w:tab/>
      </w:r>
      <w:r w:rsidR="003B410C" w:rsidRPr="00614D0B">
        <w:rPr>
          <w:noProof/>
        </w:rPr>
        <w:t>Savienības mātesuzņēmums grupas līmeņa noregulējuma iestādei individuāli iesniedz I pielikumā ietvertajās veidnēs Z 05.01, Z 05.02, Z 06.00, Z 07.01.1 līdz Z 07.01.5 un Z 07.04 noteikto informāciju par visām attiecīgajām juridiskajām personām, kas ir finanšu iestādes.</w:t>
      </w:r>
    </w:p>
    <w:p w:rsidR="003B410C" w:rsidRPr="00614D0B" w:rsidRDefault="008702D9" w:rsidP="008702D9">
      <w:pPr>
        <w:pStyle w:val="ManualNumPar1"/>
        <w:rPr>
          <w:noProof/>
        </w:rPr>
      </w:pPr>
      <w:r w:rsidRPr="008702D9">
        <w:rPr>
          <w:noProof/>
        </w:rPr>
        <w:t>9.</w:t>
      </w:r>
      <w:r w:rsidRPr="008702D9">
        <w:rPr>
          <w:noProof/>
        </w:rPr>
        <w:tab/>
      </w:r>
      <w:r w:rsidR="003B410C" w:rsidRPr="00614D0B">
        <w:rPr>
          <w:noProof/>
        </w:rPr>
        <w:t>Šā panta 2. punktu, 3. punkta a) apakšpunktu un 4., 5. un 6. punktu piemēro neatkarīgi no jebkādām atkāpēm no prudenciālo prasību piemērošanas, kas piešķirtas saskaņā ar Regulas (ES) Nr. 575/2013 7. panta 1. vai 3. punktu vai Eiropas Parlamenta un Padomes Regulas (ES) 2019/2033</w:t>
      </w:r>
      <w:r w:rsidR="003B410C" w:rsidRPr="00614D0B">
        <w:rPr>
          <w:rStyle w:val="FootnoteReference"/>
          <w:noProof/>
          <w:shd w:val="clear" w:color="auto" w:fill="FFFFFF" w:themeFill="background1"/>
        </w:rPr>
        <w:footnoteReference w:id="8"/>
      </w:r>
      <w:r w:rsidR="003B410C" w:rsidRPr="00614D0B">
        <w:rPr>
          <w:noProof/>
        </w:rPr>
        <w:t xml:space="preserve"> 8. pantu, vai no jebkāda atbrīvojuma no pašu kapitāla un atbilstīgo saistību minimuma prasības piemērošanas, kas piešķirts saskaņā ar Direktīvas 2014/59/ES 45.f pantu.</w:t>
      </w:r>
    </w:p>
    <w:p w:rsidR="003B410C" w:rsidRPr="00614D0B" w:rsidRDefault="003B410C" w:rsidP="00184085">
      <w:pPr>
        <w:pStyle w:val="Titrearticle"/>
        <w:rPr>
          <w:noProof/>
        </w:rPr>
      </w:pPr>
      <w:r w:rsidRPr="00614D0B">
        <w:rPr>
          <w:noProof/>
        </w:rPr>
        <w:t>4. pants</w:t>
      </w:r>
    </w:p>
    <w:p w:rsidR="003B410C" w:rsidRPr="00614D0B" w:rsidRDefault="003B410C" w:rsidP="00184085">
      <w:pPr>
        <w:pStyle w:val="Titrearticle"/>
        <w:spacing w:before="0"/>
        <w:rPr>
          <w:b/>
          <w:bCs/>
          <w:i w:val="0"/>
          <w:iCs/>
          <w:noProof/>
        </w:rPr>
      </w:pPr>
      <w:r w:rsidRPr="00614D0B">
        <w:rPr>
          <w:b/>
          <w:i w:val="0"/>
          <w:noProof/>
        </w:rPr>
        <w:t>Pārskatu sniegšana par noregulējumu grupas līmenī – grupas, kas ietver tikai likvidācijas vienības</w:t>
      </w:r>
    </w:p>
    <w:p w:rsidR="003B410C" w:rsidRPr="00614D0B" w:rsidRDefault="00F95432" w:rsidP="00184085">
      <w:pPr>
        <w:rPr>
          <w:noProof/>
        </w:rPr>
      </w:pPr>
      <w:r w:rsidRPr="00614D0B">
        <w:rPr>
          <w:noProof/>
        </w:rPr>
        <w:t>Tādas grupas Savienības mātesuzņēmums, kurā ietilpst tikai likvidācijas vienības, uz kurām neattiecas vienkāršoti pārskatu sniegšanas pienākumi, grupas līmeņa noregulējuma iestādei iesniedz:</w:t>
      </w:r>
    </w:p>
    <w:p w:rsidR="003B410C" w:rsidRPr="00614D0B" w:rsidRDefault="008702D9" w:rsidP="008702D9">
      <w:pPr>
        <w:pStyle w:val="Point0"/>
        <w:rPr>
          <w:noProof/>
        </w:rPr>
      </w:pPr>
      <w:r w:rsidRPr="008702D9">
        <w:rPr>
          <w:noProof/>
        </w:rPr>
        <w:t>(a)</w:t>
      </w:r>
      <w:r w:rsidRPr="008702D9">
        <w:rPr>
          <w:noProof/>
        </w:rPr>
        <w:tab/>
      </w:r>
      <w:r w:rsidR="003B410C" w:rsidRPr="00614D0B">
        <w:rPr>
          <w:noProof/>
        </w:rPr>
        <w:t>informāciju, kas precizēta I pielikumā ietvertajās veidnēs Z 01.01, Z 01.02, Z 07.01.1 līdz Z 07.01.5 un Z 09.01 attiecībā uz visām grupas vienībām, veidnē Z 02.00 – konsolidēti un veidnē Z 04.00 attiecībā uz finansiālajām saiknēm starp visām grupas vienībām;</w:t>
      </w:r>
    </w:p>
    <w:p w:rsidR="003B410C" w:rsidRPr="00614D0B" w:rsidRDefault="008702D9" w:rsidP="008702D9">
      <w:pPr>
        <w:pStyle w:val="Point0"/>
        <w:rPr>
          <w:noProof/>
        </w:rPr>
      </w:pPr>
      <w:r w:rsidRPr="008702D9">
        <w:rPr>
          <w:noProof/>
        </w:rPr>
        <w:t>(b)</w:t>
      </w:r>
      <w:r w:rsidRPr="008702D9">
        <w:rPr>
          <w:noProof/>
        </w:rPr>
        <w:tab/>
      </w:r>
      <w:r w:rsidR="009F0766" w:rsidRPr="00614D0B">
        <w:rPr>
          <w:noProof/>
        </w:rPr>
        <w:t>individuāli par sevi un par katru attiecīgo juridisko personu, attiecībā uz kuru noregulējuma iestāde nav noteikusi Direktīvas 2014/59/ES 45. panta 1. punktā minēto prasību saskaņā ar minētās direktīvas 45.c panta 2.a punkta otro daļu, – informāciju, kas precizēta šīs regulas I pielikumā ietvertajās veidnēs Z 02.00, Z 05.01, Z 05.02, Z 06.00, Z 07.01.1 līdz Z 07.01.5, Z 07.04;</w:t>
      </w:r>
    </w:p>
    <w:p w:rsidR="00E522C4" w:rsidRPr="00614D0B" w:rsidRDefault="008702D9" w:rsidP="008702D9">
      <w:pPr>
        <w:pStyle w:val="Point0"/>
        <w:rPr>
          <w:noProof/>
        </w:rPr>
      </w:pPr>
      <w:r w:rsidRPr="008702D9">
        <w:rPr>
          <w:noProof/>
        </w:rPr>
        <w:t>(c)</w:t>
      </w:r>
      <w:r w:rsidRPr="008702D9">
        <w:rPr>
          <w:noProof/>
        </w:rPr>
        <w:tab/>
      </w:r>
      <w:r w:rsidR="009F0766" w:rsidRPr="00614D0B">
        <w:rPr>
          <w:noProof/>
        </w:rPr>
        <w:t>individuāli par sevi un par katru attiecīgo juridisko personu, attiecībā uz kuru noregulējuma iestāde ir noteikusi Direktīvas 2014/59/ES 45. panta 1. punktā minēto prasību saskaņā ar minētās direktīvas 45.c panta 2.a punkta otro daļu, –– informāciju, kas precizēta šīs regulas I pielikumā ietvertajās veidnēs Z 02.00, Z 03.01, Z 03.02, Z 05.01, Z 05.02, Z 06.00, Z 07.01.1 līdz Z 07.01.5, Z 07.04.</w:t>
      </w:r>
    </w:p>
    <w:p w:rsidR="00E522C4" w:rsidRPr="00614D0B" w:rsidRDefault="00E522C4" w:rsidP="00184085">
      <w:pPr>
        <w:pStyle w:val="Titrearticle"/>
        <w:rPr>
          <w:noProof/>
        </w:rPr>
      </w:pPr>
      <w:r w:rsidRPr="00614D0B">
        <w:rPr>
          <w:noProof/>
        </w:rPr>
        <w:t>5. pants</w:t>
      </w:r>
    </w:p>
    <w:p w:rsidR="00E522C4" w:rsidRPr="00614D0B" w:rsidRDefault="00E522C4" w:rsidP="00184085">
      <w:pPr>
        <w:pStyle w:val="Titrearticle"/>
        <w:spacing w:before="0"/>
        <w:rPr>
          <w:b/>
          <w:bCs/>
          <w:i w:val="0"/>
          <w:iCs/>
          <w:noProof/>
        </w:rPr>
      </w:pPr>
      <w:r w:rsidRPr="00614D0B">
        <w:rPr>
          <w:b/>
          <w:i w:val="0"/>
          <w:noProof/>
        </w:rPr>
        <w:t>Korekcijas pārskatu sniegšanā par noregulējumu grupas līmenī</w:t>
      </w:r>
    </w:p>
    <w:p w:rsidR="00E522C4" w:rsidRPr="00614D0B" w:rsidRDefault="008702D9" w:rsidP="008702D9">
      <w:pPr>
        <w:pStyle w:val="ManualNumPar1"/>
        <w:rPr>
          <w:noProof/>
        </w:rPr>
      </w:pPr>
      <w:r w:rsidRPr="008702D9">
        <w:rPr>
          <w:noProof/>
        </w:rPr>
        <w:t>1.</w:t>
      </w:r>
      <w:r w:rsidRPr="008702D9">
        <w:rPr>
          <w:noProof/>
        </w:rPr>
        <w:tab/>
      </w:r>
      <w:r w:rsidR="00E522C4" w:rsidRPr="00614D0B">
        <w:rPr>
          <w:noProof/>
        </w:rPr>
        <w:t>Attiecībā uz grupu, kuras Savienības mātesuzņēmums ir likvidācijas vienība un kura ietver noregulējuma vienības, Savienības mātesuzņēmums iesniedz šādu informāciju:</w:t>
      </w:r>
    </w:p>
    <w:p w:rsidR="00E522C4" w:rsidRPr="00614D0B" w:rsidRDefault="008702D9" w:rsidP="008702D9">
      <w:pPr>
        <w:pStyle w:val="Point1"/>
        <w:rPr>
          <w:noProof/>
        </w:rPr>
      </w:pPr>
      <w:r w:rsidRPr="008702D9">
        <w:rPr>
          <w:noProof/>
        </w:rPr>
        <w:t>(a)</w:t>
      </w:r>
      <w:r w:rsidRPr="008702D9">
        <w:rPr>
          <w:noProof/>
        </w:rPr>
        <w:tab/>
      </w:r>
      <w:r w:rsidR="000C210A" w:rsidRPr="00614D0B">
        <w:rPr>
          <w:noProof/>
        </w:rPr>
        <w:t>attiecībā uz grupas vienībām, kas pieder pie noregulējuma grupām – 3. pantā minēto informāciju;</w:t>
      </w:r>
    </w:p>
    <w:p w:rsidR="00E522C4" w:rsidRPr="00614D0B" w:rsidRDefault="008702D9" w:rsidP="008702D9">
      <w:pPr>
        <w:pStyle w:val="Point1"/>
        <w:rPr>
          <w:noProof/>
        </w:rPr>
      </w:pPr>
      <w:r w:rsidRPr="008702D9">
        <w:rPr>
          <w:noProof/>
        </w:rPr>
        <w:t>(b)</w:t>
      </w:r>
      <w:r w:rsidRPr="008702D9">
        <w:rPr>
          <w:noProof/>
        </w:rPr>
        <w:tab/>
      </w:r>
      <w:r w:rsidR="000C210A" w:rsidRPr="00614D0B">
        <w:rPr>
          <w:noProof/>
        </w:rPr>
        <w:t>attiecībā uz likvidācijas vienībām, uz kurām neattiecas vienkāršoti pārskatu sniegšanas pienākumi un kuras neietilpst nevienā noregulējuma grupā, – 4. pantā minēto informāciju.</w:t>
      </w:r>
    </w:p>
    <w:p w:rsidR="00E522C4" w:rsidRPr="00614D0B" w:rsidRDefault="008702D9" w:rsidP="008702D9">
      <w:pPr>
        <w:pStyle w:val="ManualNumPar1"/>
        <w:rPr>
          <w:noProof/>
        </w:rPr>
      </w:pPr>
      <w:r w:rsidRPr="008702D9">
        <w:rPr>
          <w:noProof/>
        </w:rPr>
        <w:t>2.</w:t>
      </w:r>
      <w:r w:rsidRPr="008702D9">
        <w:rPr>
          <w:noProof/>
        </w:rPr>
        <w:tab/>
      </w:r>
      <w:r w:rsidR="00E522C4" w:rsidRPr="00614D0B">
        <w:rPr>
          <w:noProof/>
        </w:rPr>
        <w:t>Attiecībā uz noregulējuma grupu, kas minēta Direktīvas 2014/59/ES 2. panta 1. punkta 83.b) apakšpunkta b) punktā, šīs regulas 3. pantā minēto informāciju iesniedz vismaz viena no grupas noregulējuma vienībām. Minētā informācija faktiski aptver visas kredītiestādes, kas ir pastāvīgi radniecīgas minētās noregulējuma grupas centrālajai iestādei, pašu centrālo iestādi un to attiecīgos meitasuzņēmumus attiecīgi individuāli, subkonsolidēti un konsolidēti.</w:t>
      </w:r>
    </w:p>
    <w:p w:rsidR="00E522C4" w:rsidRPr="00614D0B" w:rsidRDefault="00E522C4" w:rsidP="00184085">
      <w:pPr>
        <w:pStyle w:val="Titrearticle"/>
        <w:rPr>
          <w:noProof/>
        </w:rPr>
      </w:pPr>
      <w:r w:rsidRPr="00614D0B">
        <w:rPr>
          <w:noProof/>
        </w:rPr>
        <w:t>6. pants</w:t>
      </w:r>
    </w:p>
    <w:p w:rsidR="00E522C4" w:rsidRPr="00614D0B" w:rsidRDefault="00E522C4" w:rsidP="00184085">
      <w:pPr>
        <w:pStyle w:val="Titrearticle"/>
        <w:spacing w:before="0"/>
        <w:rPr>
          <w:b/>
          <w:bCs/>
          <w:i w:val="0"/>
          <w:iCs/>
          <w:noProof/>
        </w:rPr>
      </w:pPr>
      <w:r w:rsidRPr="00614D0B">
        <w:rPr>
          <w:b/>
          <w:i w:val="0"/>
          <w:noProof/>
        </w:rPr>
        <w:t>Biežums, atsauces datumi un nosūtīšanas datumi</w:t>
      </w:r>
    </w:p>
    <w:p w:rsidR="00E522C4" w:rsidRPr="00614D0B" w:rsidRDefault="008702D9" w:rsidP="008702D9">
      <w:pPr>
        <w:pStyle w:val="ManualNumPar1"/>
        <w:rPr>
          <w:noProof/>
        </w:rPr>
      </w:pPr>
      <w:r w:rsidRPr="008702D9">
        <w:rPr>
          <w:noProof/>
        </w:rPr>
        <w:t>1.</w:t>
      </w:r>
      <w:r w:rsidRPr="008702D9">
        <w:rPr>
          <w:noProof/>
        </w:rPr>
        <w:tab/>
      </w:r>
      <w:r w:rsidR="00E522C4" w:rsidRPr="00614D0B">
        <w:rPr>
          <w:noProof/>
        </w:rPr>
        <w:t>Finanšu iestādes vai – grupu gadījumā – Savienības mātesuzņēmumi iesniedz 2. līdz 5. pantā minēto informāciju šādā veidā:</w:t>
      </w:r>
    </w:p>
    <w:p w:rsidR="00E522C4" w:rsidRPr="00614D0B" w:rsidRDefault="008702D9" w:rsidP="008702D9">
      <w:pPr>
        <w:pStyle w:val="Point1"/>
        <w:rPr>
          <w:noProof/>
        </w:rPr>
      </w:pPr>
      <w:bookmarkStart w:id="2" w:name="_Hlk188952542"/>
      <w:bookmarkEnd w:id="2"/>
      <w:r w:rsidRPr="008702D9">
        <w:rPr>
          <w:noProof/>
        </w:rPr>
        <w:t>(a)</w:t>
      </w:r>
      <w:r w:rsidRPr="008702D9">
        <w:rPr>
          <w:noProof/>
        </w:rPr>
        <w:tab/>
      </w:r>
      <w:r w:rsidR="00A071C3" w:rsidRPr="00614D0B">
        <w:rPr>
          <w:noProof/>
        </w:rPr>
        <w:t>veidnēm Z 01.01, Z 01.02, Z 02.00, Z 03.01, Z 03.02, Z 04.00, Z 05.01, Z 05.02, Z 06.00 un Z 11.00 līdz Z 17.00 – katru gadu vēlākais līdz 31. martam attiecībā uz iepriekšējā kalendārā gada pēdējo dienu;</w:t>
      </w:r>
    </w:p>
    <w:p w:rsidR="00E522C4" w:rsidRPr="00614D0B" w:rsidRDefault="008702D9" w:rsidP="008702D9">
      <w:pPr>
        <w:pStyle w:val="Point1"/>
        <w:rPr>
          <w:noProof/>
        </w:rPr>
      </w:pPr>
      <w:r w:rsidRPr="008702D9">
        <w:rPr>
          <w:noProof/>
        </w:rPr>
        <w:t>(b)</w:t>
      </w:r>
      <w:r w:rsidRPr="008702D9">
        <w:rPr>
          <w:noProof/>
        </w:rPr>
        <w:tab/>
      </w:r>
      <w:r w:rsidR="003F636B" w:rsidRPr="00614D0B">
        <w:rPr>
          <w:noProof/>
        </w:rPr>
        <w:t xml:space="preserve">veidnēm Z 07.01.1 līdz Z 07.04, Z 08.01 līdz Z 08.05 un Z 09.01 līdz Z 09.04 – katru gadu vēlākais līdz 30. aprīlim attiecībā uz iepriekšējā kalendārā gada pēdējo dienu. </w:t>
      </w:r>
    </w:p>
    <w:p w:rsidR="003F636B" w:rsidRPr="00614D0B" w:rsidRDefault="003F636B" w:rsidP="00184085">
      <w:pPr>
        <w:pStyle w:val="Text1"/>
        <w:rPr>
          <w:noProof/>
        </w:rPr>
      </w:pPr>
      <w:r w:rsidRPr="00614D0B">
        <w:rPr>
          <w:noProof/>
        </w:rPr>
        <w:t>Šā punkta a) apakšpunkta nolūkā, ja 31. marts nav darba diena, informāciju sniedz nākamajā darba dienā.</w:t>
      </w:r>
    </w:p>
    <w:p w:rsidR="003F636B" w:rsidRPr="00614D0B" w:rsidRDefault="003F636B" w:rsidP="00184085">
      <w:pPr>
        <w:pStyle w:val="Text1"/>
        <w:rPr>
          <w:noProof/>
        </w:rPr>
      </w:pPr>
      <w:r w:rsidRPr="00614D0B">
        <w:rPr>
          <w:noProof/>
        </w:rPr>
        <w:t>Šā punkta b) apakšpunkta nolūkā, ja 30. aprīlis nav darba diena, informāciju sniedz nākamajā darba dienā.</w:t>
      </w:r>
    </w:p>
    <w:p w:rsidR="00E522C4" w:rsidRPr="00614D0B" w:rsidRDefault="008702D9" w:rsidP="008702D9">
      <w:pPr>
        <w:pStyle w:val="ManualNumPar1"/>
        <w:rPr>
          <w:noProof/>
        </w:rPr>
      </w:pPr>
      <w:r w:rsidRPr="008702D9">
        <w:rPr>
          <w:noProof/>
        </w:rPr>
        <w:t>2.</w:t>
      </w:r>
      <w:r w:rsidRPr="008702D9">
        <w:rPr>
          <w:noProof/>
        </w:rPr>
        <w:tab/>
      </w:r>
      <w:r w:rsidR="00E522C4" w:rsidRPr="00614D0B">
        <w:rPr>
          <w:noProof/>
        </w:rPr>
        <w:t>Noregulējuma iestādes precizē, vai informācija ir tieši jāiesniedz noregulējuma iestādei, vai attiecīgā gadījumā to iesniedz kompetentajai iestādei.</w:t>
      </w:r>
    </w:p>
    <w:p w:rsidR="00E522C4" w:rsidRPr="00614D0B" w:rsidRDefault="008702D9" w:rsidP="008702D9">
      <w:pPr>
        <w:pStyle w:val="ManualNumPar1"/>
        <w:rPr>
          <w:noProof/>
        </w:rPr>
      </w:pPr>
      <w:r w:rsidRPr="008702D9">
        <w:rPr>
          <w:noProof/>
        </w:rPr>
        <w:t>3.</w:t>
      </w:r>
      <w:r w:rsidRPr="008702D9">
        <w:rPr>
          <w:noProof/>
        </w:rPr>
        <w:tab/>
      </w:r>
      <w:r w:rsidR="00E522C4" w:rsidRPr="00614D0B">
        <w:rPr>
          <w:noProof/>
        </w:rPr>
        <w:t xml:space="preserve">Finanšu iestādes vai – grupu gadījumā – Savienības mātesuzņēmumi var iesniegt nerevidētus datus. Ja revidētie dati atšķiras no iesniegtajiem nerevidētajiem datiem, pārskatītos revidētos datus iesniedz bez liekas kavēšanās. </w:t>
      </w:r>
    </w:p>
    <w:p w:rsidR="00E522C4" w:rsidRPr="00614D0B" w:rsidRDefault="008702D9" w:rsidP="008702D9">
      <w:pPr>
        <w:pStyle w:val="ManualNumPar1"/>
        <w:rPr>
          <w:noProof/>
        </w:rPr>
      </w:pPr>
      <w:r w:rsidRPr="008702D9">
        <w:rPr>
          <w:noProof/>
        </w:rPr>
        <w:t>4.</w:t>
      </w:r>
      <w:r w:rsidRPr="008702D9">
        <w:rPr>
          <w:noProof/>
        </w:rPr>
        <w:tab/>
      </w:r>
      <w:r w:rsidR="00E522C4" w:rsidRPr="00614D0B">
        <w:rPr>
          <w:noProof/>
        </w:rPr>
        <w:t xml:space="preserve">Šā panta 3. punkta nolūkā nerevidēti dati ir dati, par kuriem nav sniegts ārēja revidenta atzinums, un revidēti dati ir dati, kuru revīziju ir veicis ārējs revidents, kas sniedz revīzijas atzinumu. </w:t>
      </w:r>
    </w:p>
    <w:p w:rsidR="00E522C4" w:rsidRPr="00614D0B" w:rsidRDefault="008702D9" w:rsidP="008702D9">
      <w:pPr>
        <w:pStyle w:val="ManualNumPar1"/>
        <w:rPr>
          <w:noProof/>
        </w:rPr>
      </w:pPr>
      <w:r w:rsidRPr="008702D9">
        <w:rPr>
          <w:noProof/>
        </w:rPr>
        <w:t>5.</w:t>
      </w:r>
      <w:r w:rsidRPr="008702D9">
        <w:rPr>
          <w:noProof/>
        </w:rPr>
        <w:tab/>
      </w:r>
      <w:r w:rsidR="00E522C4" w:rsidRPr="00614D0B">
        <w:rPr>
          <w:noProof/>
        </w:rPr>
        <w:t>Iesniegto pārskatu korekcijas iesniedz bez nepamatotas kavēšanās.</w:t>
      </w:r>
    </w:p>
    <w:p w:rsidR="00E522C4" w:rsidRPr="00614D0B" w:rsidRDefault="00E522C4" w:rsidP="00184085">
      <w:pPr>
        <w:pStyle w:val="Titrearticle"/>
        <w:rPr>
          <w:noProof/>
        </w:rPr>
      </w:pPr>
      <w:r w:rsidRPr="00614D0B">
        <w:rPr>
          <w:noProof/>
        </w:rPr>
        <w:t>7. pants</w:t>
      </w:r>
    </w:p>
    <w:p w:rsidR="00E522C4" w:rsidRPr="00614D0B" w:rsidRDefault="00E522C4" w:rsidP="00184085">
      <w:pPr>
        <w:pStyle w:val="Titrearticle"/>
        <w:spacing w:before="0"/>
        <w:rPr>
          <w:b/>
          <w:bCs/>
          <w:i w:val="0"/>
          <w:iCs/>
          <w:noProof/>
        </w:rPr>
      </w:pPr>
      <w:r w:rsidRPr="00614D0B">
        <w:rPr>
          <w:b/>
          <w:i w:val="0"/>
          <w:noProof/>
        </w:rPr>
        <w:t>Datu apmaiņas formāti un kopā ar pārskatiem norādāmā informācija</w:t>
      </w:r>
    </w:p>
    <w:p w:rsidR="00E522C4" w:rsidRPr="00614D0B" w:rsidRDefault="008702D9" w:rsidP="008702D9">
      <w:pPr>
        <w:pStyle w:val="ManualNumPar1"/>
        <w:rPr>
          <w:noProof/>
        </w:rPr>
      </w:pPr>
      <w:r w:rsidRPr="008702D9">
        <w:rPr>
          <w:noProof/>
        </w:rPr>
        <w:t>1.</w:t>
      </w:r>
      <w:r w:rsidRPr="008702D9">
        <w:rPr>
          <w:noProof/>
        </w:rPr>
        <w:tab/>
      </w:r>
      <w:r w:rsidR="00E522C4" w:rsidRPr="00614D0B">
        <w:rPr>
          <w:noProof/>
        </w:rPr>
        <w:t xml:space="preserve">Finanšu iestādes vai – grupu gadījumā – Savienības mātesuzņēmumi iesniedz 2. līdz 5. pantā minēto informāciju, kā noteikts I pielikuma veidnēs, datu apmaiņas formātos un atveidojumos, kurus noteikušas noregulējuma iestādes, un ievēro datu punktu definīcijas, kas iekļautas II pielikumā noteiktajā vienotajā datu punktu modelī, un III pielikumā noteiktos validācijas noteikumus. </w:t>
      </w:r>
    </w:p>
    <w:p w:rsidR="00E522C4" w:rsidRPr="00614D0B" w:rsidRDefault="008702D9" w:rsidP="008702D9">
      <w:pPr>
        <w:pStyle w:val="ManualNumPar1"/>
        <w:rPr>
          <w:noProof/>
        </w:rPr>
      </w:pPr>
      <w:r w:rsidRPr="008702D9">
        <w:rPr>
          <w:noProof/>
        </w:rPr>
        <w:t>2.</w:t>
      </w:r>
      <w:r w:rsidRPr="008702D9">
        <w:rPr>
          <w:noProof/>
        </w:rPr>
        <w:tab/>
      </w:r>
      <w:r w:rsidR="00E522C4" w:rsidRPr="00614D0B">
        <w:rPr>
          <w:noProof/>
        </w:rPr>
        <w:t>Papildus 1. punktā minētajam pienākumam finanšu iestādes vai – grupu gadījumā – Savienības mātesuzņēmumi nodrošina, ka:</w:t>
      </w:r>
    </w:p>
    <w:p w:rsidR="00E522C4" w:rsidRPr="00614D0B" w:rsidRDefault="008702D9" w:rsidP="008702D9">
      <w:pPr>
        <w:pStyle w:val="Point1"/>
        <w:rPr>
          <w:noProof/>
        </w:rPr>
      </w:pPr>
      <w:r w:rsidRPr="008702D9">
        <w:rPr>
          <w:noProof/>
        </w:rPr>
        <w:t>(a)</w:t>
      </w:r>
      <w:r w:rsidRPr="008702D9">
        <w:rPr>
          <w:noProof/>
        </w:rPr>
        <w:tab/>
      </w:r>
      <w:r w:rsidR="00E522C4" w:rsidRPr="00614D0B">
        <w:rPr>
          <w:noProof/>
        </w:rPr>
        <w:t>skaitliskās vērtības iesniedz šādi:</w:t>
      </w:r>
    </w:p>
    <w:p w:rsidR="00E522C4" w:rsidRPr="00614D0B" w:rsidRDefault="00E522C4" w:rsidP="00184085">
      <w:pPr>
        <w:pStyle w:val="Point2"/>
        <w:rPr>
          <w:noProof/>
        </w:rPr>
      </w:pPr>
      <w:r w:rsidRPr="00614D0B">
        <w:rPr>
          <w:noProof/>
        </w:rPr>
        <w:t>i)</w:t>
      </w:r>
      <w:r w:rsidRPr="00614D0B">
        <w:rPr>
          <w:noProof/>
        </w:rPr>
        <w:tab/>
        <w:t xml:space="preserve">datu punktus ar datu tipu “monetārs” paziņo, izmantojot minimuma precizitāti, kas ir vienāda ar desmit tūkstošiem vienību; </w:t>
      </w:r>
    </w:p>
    <w:p w:rsidR="00E522C4" w:rsidRPr="00614D0B" w:rsidRDefault="00E522C4" w:rsidP="00184085">
      <w:pPr>
        <w:pStyle w:val="Point2"/>
        <w:rPr>
          <w:noProof/>
        </w:rPr>
      </w:pPr>
      <w:r w:rsidRPr="00614D0B">
        <w:rPr>
          <w:noProof/>
        </w:rPr>
        <w:t>ii)</w:t>
      </w:r>
      <w:r w:rsidRPr="00614D0B">
        <w:rPr>
          <w:noProof/>
        </w:rPr>
        <w:tab/>
        <w:t>datu punktus ar datu tipu “procenti” izsaka relatīvajās vienībās ar minimuma precizitāti, kas ir četri cipari aiz komata;</w:t>
      </w:r>
    </w:p>
    <w:p w:rsidR="00E522C4" w:rsidRPr="00614D0B" w:rsidRDefault="00E522C4" w:rsidP="00184085">
      <w:pPr>
        <w:pStyle w:val="Point2"/>
        <w:rPr>
          <w:noProof/>
        </w:rPr>
      </w:pPr>
      <w:r w:rsidRPr="00614D0B">
        <w:rPr>
          <w:noProof/>
        </w:rPr>
        <w:t>iii)</w:t>
      </w:r>
      <w:r w:rsidRPr="00614D0B">
        <w:rPr>
          <w:noProof/>
        </w:rPr>
        <w:tab/>
        <w:t>datu punktus ar datu tipu “vesels skaitlis” paziņo bez cipariem aiz komata un izmantojot precizitāti, kas ir vienāda ar vienībām.</w:t>
      </w:r>
    </w:p>
    <w:p w:rsidR="00E522C4" w:rsidRPr="00614D0B" w:rsidRDefault="008702D9" w:rsidP="008702D9">
      <w:pPr>
        <w:pStyle w:val="Point1"/>
        <w:rPr>
          <w:noProof/>
        </w:rPr>
      </w:pPr>
      <w:r w:rsidRPr="008702D9">
        <w:rPr>
          <w:noProof/>
        </w:rPr>
        <w:t>(b)</w:t>
      </w:r>
      <w:r w:rsidRPr="008702D9">
        <w:rPr>
          <w:noProof/>
        </w:rPr>
        <w:tab/>
      </w:r>
      <w:r w:rsidR="00E522C4" w:rsidRPr="00614D0B">
        <w:rPr>
          <w:noProof/>
        </w:rPr>
        <w:t>finanšu iestādes un apdrošināšanas sabiedrības identificē tikai pēc to juridiskās personas identifikatora;</w:t>
      </w:r>
    </w:p>
    <w:p w:rsidR="00E522C4" w:rsidRPr="00614D0B" w:rsidRDefault="008702D9" w:rsidP="008702D9">
      <w:pPr>
        <w:pStyle w:val="Point1"/>
        <w:rPr>
          <w:noProof/>
        </w:rPr>
      </w:pPr>
      <w:r w:rsidRPr="008702D9">
        <w:rPr>
          <w:noProof/>
        </w:rPr>
        <w:t>(c)</w:t>
      </w:r>
      <w:r w:rsidRPr="008702D9">
        <w:rPr>
          <w:noProof/>
        </w:rPr>
        <w:tab/>
      </w:r>
      <w:r w:rsidR="00E522C4" w:rsidRPr="00614D0B">
        <w:rPr>
          <w:noProof/>
        </w:rPr>
        <w:t>juridiskās personas un darījumu partnerus, kas nav finanšu iestādes un apdrošināšanas sabiedrības, identificē pēc to juridiskās personas identifikatora, ja tas ir pieejams;</w:t>
      </w:r>
    </w:p>
    <w:p w:rsidR="0046629F" w:rsidRPr="00614D0B" w:rsidRDefault="008702D9" w:rsidP="008702D9">
      <w:pPr>
        <w:pStyle w:val="Point1"/>
        <w:rPr>
          <w:noProof/>
        </w:rPr>
      </w:pPr>
      <w:r w:rsidRPr="008702D9">
        <w:rPr>
          <w:noProof/>
        </w:rPr>
        <w:t>(d)</w:t>
      </w:r>
      <w:r w:rsidRPr="008702D9">
        <w:rPr>
          <w:noProof/>
        </w:rPr>
        <w:tab/>
      </w:r>
      <w:r w:rsidR="0046629F" w:rsidRPr="00614D0B">
        <w:rPr>
          <w:noProof/>
        </w:rPr>
        <w:t>informāciju, kas nav prasīta vai uz konkrēto iestādi neattiecas, nosūtamajos datos neiekļauj.</w:t>
      </w:r>
    </w:p>
    <w:p w:rsidR="00E522C4" w:rsidRPr="00614D0B" w:rsidRDefault="008702D9" w:rsidP="008702D9">
      <w:pPr>
        <w:pStyle w:val="ManualNumPar1"/>
        <w:rPr>
          <w:noProof/>
        </w:rPr>
      </w:pPr>
      <w:r w:rsidRPr="008702D9">
        <w:rPr>
          <w:noProof/>
        </w:rPr>
        <w:t>3.</w:t>
      </w:r>
      <w:r w:rsidRPr="008702D9">
        <w:rPr>
          <w:noProof/>
        </w:rPr>
        <w:tab/>
      </w:r>
      <w:r w:rsidR="004B472A" w:rsidRPr="00614D0B">
        <w:rPr>
          <w:noProof/>
        </w:rPr>
        <w:t>Finanšu iestādes vai –– grupu gadījumā – Savienības mātesuzņēmumi iesniegtajiem datiem pievieno šādu informāciju:</w:t>
      </w:r>
    </w:p>
    <w:p w:rsidR="004B472A" w:rsidRPr="00614D0B" w:rsidRDefault="008702D9" w:rsidP="008702D9">
      <w:pPr>
        <w:pStyle w:val="Point1"/>
        <w:rPr>
          <w:noProof/>
        </w:rPr>
      </w:pPr>
      <w:r w:rsidRPr="008702D9">
        <w:rPr>
          <w:noProof/>
        </w:rPr>
        <w:t>(a)</w:t>
      </w:r>
      <w:r w:rsidRPr="008702D9">
        <w:rPr>
          <w:noProof/>
        </w:rPr>
        <w:tab/>
      </w:r>
      <w:r w:rsidR="004B472A" w:rsidRPr="00614D0B">
        <w:rPr>
          <w:noProof/>
        </w:rPr>
        <w:t>atsauces datums;</w:t>
      </w:r>
    </w:p>
    <w:p w:rsidR="004B472A" w:rsidRPr="00614D0B" w:rsidRDefault="008702D9" w:rsidP="008702D9">
      <w:pPr>
        <w:pStyle w:val="Point1"/>
        <w:rPr>
          <w:noProof/>
        </w:rPr>
      </w:pPr>
      <w:r w:rsidRPr="008702D9">
        <w:rPr>
          <w:noProof/>
        </w:rPr>
        <w:t>(b)</w:t>
      </w:r>
      <w:r w:rsidRPr="008702D9">
        <w:rPr>
          <w:noProof/>
        </w:rPr>
        <w:tab/>
      </w:r>
      <w:r w:rsidR="004B472A" w:rsidRPr="00614D0B">
        <w:rPr>
          <w:noProof/>
        </w:rPr>
        <w:t>pārskatu sniegšanas valūta;</w:t>
      </w:r>
    </w:p>
    <w:p w:rsidR="004B472A" w:rsidRPr="00614D0B" w:rsidRDefault="008702D9" w:rsidP="008702D9">
      <w:pPr>
        <w:pStyle w:val="Point1"/>
        <w:rPr>
          <w:noProof/>
        </w:rPr>
      </w:pPr>
      <w:r w:rsidRPr="008702D9">
        <w:rPr>
          <w:noProof/>
        </w:rPr>
        <w:t>(c)</w:t>
      </w:r>
      <w:r w:rsidRPr="008702D9">
        <w:rPr>
          <w:noProof/>
        </w:rPr>
        <w:tab/>
      </w:r>
      <w:r w:rsidR="004B472A" w:rsidRPr="00614D0B">
        <w:rPr>
          <w:noProof/>
        </w:rPr>
        <w:t>grāmatvedības standarts;</w:t>
      </w:r>
    </w:p>
    <w:p w:rsidR="004B472A" w:rsidRPr="00614D0B" w:rsidRDefault="008702D9" w:rsidP="008702D9">
      <w:pPr>
        <w:pStyle w:val="Point1"/>
        <w:rPr>
          <w:noProof/>
        </w:rPr>
      </w:pPr>
      <w:r w:rsidRPr="008702D9">
        <w:rPr>
          <w:noProof/>
        </w:rPr>
        <w:t>(d)</w:t>
      </w:r>
      <w:r w:rsidRPr="008702D9">
        <w:rPr>
          <w:noProof/>
        </w:rPr>
        <w:tab/>
      </w:r>
      <w:r w:rsidR="004B472A" w:rsidRPr="00614D0B">
        <w:rPr>
          <w:noProof/>
        </w:rPr>
        <w:t>pārskata sniedzējas vienības juridiskās personas identifikators;</w:t>
      </w:r>
    </w:p>
    <w:p w:rsidR="004B472A" w:rsidRPr="00614D0B" w:rsidRDefault="008702D9" w:rsidP="008702D9">
      <w:pPr>
        <w:pStyle w:val="Point1"/>
        <w:rPr>
          <w:noProof/>
        </w:rPr>
      </w:pPr>
      <w:r w:rsidRPr="008702D9">
        <w:rPr>
          <w:noProof/>
        </w:rPr>
        <w:t>(e)</w:t>
      </w:r>
      <w:r w:rsidRPr="008702D9">
        <w:rPr>
          <w:noProof/>
        </w:rPr>
        <w:tab/>
      </w:r>
      <w:r w:rsidR="004B472A" w:rsidRPr="00614D0B">
        <w:rPr>
          <w:noProof/>
        </w:rPr>
        <w:t>piemērošanas līmenis, kā noteikts 2., 3. un 4. pantā.</w:t>
      </w:r>
    </w:p>
    <w:p w:rsidR="004B472A" w:rsidRPr="00614D0B" w:rsidRDefault="004B472A" w:rsidP="00184085">
      <w:pPr>
        <w:pStyle w:val="Titrearticle"/>
        <w:rPr>
          <w:noProof/>
        </w:rPr>
      </w:pPr>
      <w:bookmarkStart w:id="3" w:name="_Hlk169616472"/>
      <w:r w:rsidRPr="00614D0B">
        <w:rPr>
          <w:noProof/>
        </w:rPr>
        <w:t>8. pants</w:t>
      </w:r>
    </w:p>
    <w:p w:rsidR="004B472A" w:rsidRPr="00614D0B" w:rsidRDefault="004B472A" w:rsidP="00184085">
      <w:pPr>
        <w:pStyle w:val="Titrearticle"/>
        <w:spacing w:before="0"/>
        <w:rPr>
          <w:b/>
          <w:bCs/>
          <w:i w:val="0"/>
          <w:iCs/>
          <w:noProof/>
        </w:rPr>
      </w:pPr>
      <w:r w:rsidRPr="00614D0B">
        <w:rPr>
          <w:b/>
          <w:i w:val="0"/>
          <w:noProof/>
        </w:rPr>
        <w:t xml:space="preserve">Papildu informācijas sniegšana par individuāliem vai grupas noregulējuma plāniem </w:t>
      </w:r>
    </w:p>
    <w:bookmarkEnd w:id="3"/>
    <w:p w:rsidR="00FA69C1" w:rsidRPr="00614D0B" w:rsidRDefault="008702D9" w:rsidP="008702D9">
      <w:pPr>
        <w:pStyle w:val="ManualNumPar1"/>
        <w:rPr>
          <w:noProof/>
        </w:rPr>
      </w:pPr>
      <w:r w:rsidRPr="008702D9">
        <w:rPr>
          <w:noProof/>
        </w:rPr>
        <w:t>1.</w:t>
      </w:r>
      <w:r w:rsidRPr="008702D9">
        <w:rPr>
          <w:noProof/>
        </w:rPr>
        <w:tab/>
      </w:r>
      <w:r w:rsidR="00C747E3" w:rsidRPr="00614D0B">
        <w:rPr>
          <w:noProof/>
        </w:rPr>
        <w:t>Noregulējuma iestāde vai grupas līmeņa noregulējuma iestāde pieprasa papildu informāciju vai informāciju jaunā formātā no attiecīgās finanšu iestādes vai Savienības mātesuzņēmuma, ja ir piemērojams kāds no šādiem nosacījumiem:</w:t>
      </w:r>
    </w:p>
    <w:p w:rsidR="00FA69C1" w:rsidRPr="00614D0B" w:rsidRDefault="008702D9" w:rsidP="008702D9">
      <w:pPr>
        <w:pStyle w:val="Point1"/>
        <w:rPr>
          <w:noProof/>
        </w:rPr>
      </w:pPr>
      <w:r w:rsidRPr="008702D9">
        <w:rPr>
          <w:noProof/>
        </w:rPr>
        <w:t>(a)</w:t>
      </w:r>
      <w:r w:rsidRPr="008702D9">
        <w:rPr>
          <w:noProof/>
        </w:rPr>
        <w:tab/>
      </w:r>
      <w:r w:rsidR="00FA69C1" w:rsidRPr="00614D0B">
        <w:rPr>
          <w:noProof/>
        </w:rPr>
        <w:t>noregulējuma iestāde vai grupas līmeņa noregulējuma iestāde uzskata, ka uz šādu informāciju neattiecas neviena I pielikumā iekļautā veidne un ka tā ir nepieciešama, lai izstrādātu un īstenotu noregulējuma plānus;</w:t>
      </w:r>
    </w:p>
    <w:p w:rsidR="00FA69C1" w:rsidRPr="00614D0B" w:rsidRDefault="008702D9" w:rsidP="008702D9">
      <w:pPr>
        <w:pStyle w:val="Point1"/>
        <w:rPr>
          <w:noProof/>
        </w:rPr>
      </w:pPr>
      <w:r w:rsidRPr="008702D9">
        <w:rPr>
          <w:noProof/>
        </w:rPr>
        <w:t>(b)</w:t>
      </w:r>
      <w:r w:rsidRPr="008702D9">
        <w:rPr>
          <w:noProof/>
        </w:rPr>
        <w:tab/>
      </w:r>
      <w:r w:rsidR="00FA69C1" w:rsidRPr="00614D0B">
        <w:rPr>
          <w:noProof/>
        </w:rPr>
        <w:t>noregulējuma iestāde vai grupas līmeņa noregulējuma iestāde uzskata, ka šādas informācijas iegūšana no vienībām, uz kurām attiecas vienkāršoti pārskatu sniegšanas pienākumi, ir nepieciešama, lai izstrādātu un īstenotu noregulējuma plānus;</w:t>
      </w:r>
    </w:p>
    <w:p w:rsidR="00FA69C1" w:rsidRPr="00614D0B" w:rsidRDefault="008702D9" w:rsidP="008702D9">
      <w:pPr>
        <w:pStyle w:val="Point1"/>
        <w:rPr>
          <w:noProof/>
        </w:rPr>
      </w:pPr>
      <w:r w:rsidRPr="008702D9">
        <w:rPr>
          <w:noProof/>
        </w:rPr>
        <w:t>(c)</w:t>
      </w:r>
      <w:r w:rsidRPr="008702D9">
        <w:rPr>
          <w:noProof/>
        </w:rPr>
        <w:tab/>
      </w:r>
      <w:r w:rsidR="00FA69C1" w:rsidRPr="00614D0B">
        <w:rPr>
          <w:noProof/>
        </w:rPr>
        <w:t>formāts, kādā kompetentā iestāde sniedz informāciju saskaņā ar 9. panta 2. punktu, nav piemērots noregulējuma plānu izstrādei vai īstenošanai.</w:t>
      </w:r>
    </w:p>
    <w:p w:rsidR="004B472A" w:rsidRPr="00614D0B" w:rsidRDefault="008702D9" w:rsidP="008702D9">
      <w:pPr>
        <w:pStyle w:val="ManualNumPar1"/>
        <w:rPr>
          <w:noProof/>
        </w:rPr>
      </w:pPr>
      <w:r w:rsidRPr="008702D9">
        <w:rPr>
          <w:noProof/>
        </w:rPr>
        <w:t>2.</w:t>
      </w:r>
      <w:r w:rsidRPr="008702D9">
        <w:rPr>
          <w:noProof/>
        </w:rPr>
        <w:tab/>
      </w:r>
      <w:r w:rsidR="004B472A" w:rsidRPr="00614D0B">
        <w:rPr>
          <w:noProof/>
        </w:rPr>
        <w:t>Šā panta 1. punktā minētā pieprasījuma nolūkos noregulējuma iestāde:</w:t>
      </w:r>
    </w:p>
    <w:p w:rsidR="004B472A" w:rsidRPr="00614D0B" w:rsidRDefault="008702D9" w:rsidP="008702D9">
      <w:pPr>
        <w:pStyle w:val="Point1"/>
        <w:rPr>
          <w:noProof/>
        </w:rPr>
      </w:pPr>
      <w:r w:rsidRPr="008702D9">
        <w:rPr>
          <w:noProof/>
        </w:rPr>
        <w:t>(a)</w:t>
      </w:r>
      <w:r w:rsidRPr="008702D9">
        <w:rPr>
          <w:noProof/>
        </w:rPr>
        <w:tab/>
      </w:r>
      <w:r w:rsidR="004B472A" w:rsidRPr="00614D0B">
        <w:rPr>
          <w:noProof/>
        </w:rPr>
        <w:t>identificē sniedzamo papildu informāciju;</w:t>
      </w:r>
    </w:p>
    <w:p w:rsidR="004B472A" w:rsidRPr="00614D0B" w:rsidRDefault="008702D9" w:rsidP="008702D9">
      <w:pPr>
        <w:pStyle w:val="Point1"/>
        <w:rPr>
          <w:noProof/>
        </w:rPr>
      </w:pPr>
      <w:r w:rsidRPr="008702D9">
        <w:rPr>
          <w:noProof/>
        </w:rPr>
        <w:t>(b)</w:t>
      </w:r>
      <w:r w:rsidRPr="008702D9">
        <w:rPr>
          <w:noProof/>
        </w:rPr>
        <w:tab/>
      </w:r>
      <w:r w:rsidR="004B472A" w:rsidRPr="00614D0B">
        <w:rPr>
          <w:noProof/>
        </w:rPr>
        <w:t>norāda atbilstošo termiņu, kurā finanšu iestāde vai – grupu gadījumā – Savienības mātesuzņēmums sniedz informāciju noregulējuma iestādei, ņemot vērā pieprasītās informācijas apjomu un sarežģītību;</w:t>
      </w:r>
    </w:p>
    <w:p w:rsidR="004B472A" w:rsidRPr="00614D0B" w:rsidRDefault="008702D9" w:rsidP="008702D9">
      <w:pPr>
        <w:pStyle w:val="Point1"/>
        <w:rPr>
          <w:noProof/>
        </w:rPr>
      </w:pPr>
      <w:r w:rsidRPr="008702D9">
        <w:rPr>
          <w:noProof/>
        </w:rPr>
        <w:t>(c)</w:t>
      </w:r>
      <w:r w:rsidRPr="008702D9">
        <w:rPr>
          <w:noProof/>
        </w:rPr>
        <w:tab/>
      </w:r>
      <w:r w:rsidR="004B472A" w:rsidRPr="00614D0B">
        <w:rPr>
          <w:noProof/>
        </w:rPr>
        <w:t>norāda formātu, kas finanšu iestādēm vai – grupu gadījumā – Savienības mātesuzņēmumiem jāizmanto, lai sniegtu informāciju noregulējuma iestādei;</w:t>
      </w:r>
    </w:p>
    <w:p w:rsidR="004B472A" w:rsidRPr="00614D0B" w:rsidRDefault="008702D9" w:rsidP="008702D9">
      <w:pPr>
        <w:pStyle w:val="Point1"/>
        <w:rPr>
          <w:noProof/>
        </w:rPr>
      </w:pPr>
      <w:r w:rsidRPr="008702D9">
        <w:rPr>
          <w:noProof/>
        </w:rPr>
        <w:t>(d)</w:t>
      </w:r>
      <w:r w:rsidRPr="008702D9">
        <w:rPr>
          <w:noProof/>
        </w:rPr>
        <w:tab/>
      </w:r>
      <w:r w:rsidR="004B472A" w:rsidRPr="00614D0B">
        <w:rPr>
          <w:noProof/>
        </w:rPr>
        <w:t>norāda, vai informācija ir jāaizpilda individuāli, subkonsolidēti vai konsolidēti un vai tās darbības joma ir vietēja, Savienības mēroga vai globāla;</w:t>
      </w:r>
    </w:p>
    <w:p w:rsidR="004B472A" w:rsidRPr="00614D0B" w:rsidRDefault="008702D9" w:rsidP="008702D9">
      <w:pPr>
        <w:pStyle w:val="Point1"/>
        <w:rPr>
          <w:noProof/>
        </w:rPr>
      </w:pPr>
      <w:r w:rsidRPr="008702D9">
        <w:rPr>
          <w:noProof/>
        </w:rPr>
        <w:t>(e)</w:t>
      </w:r>
      <w:r w:rsidRPr="008702D9">
        <w:rPr>
          <w:noProof/>
        </w:rPr>
        <w:tab/>
      </w:r>
      <w:r w:rsidR="004B472A" w:rsidRPr="00614D0B">
        <w:rPr>
          <w:noProof/>
        </w:rPr>
        <w:t>norāda precīzu saņēmēju, datu apmaiņas formātus un informāciju, kas jāpievieno iesniegumiem, ja jāsniedz papildu informācija.</w:t>
      </w:r>
    </w:p>
    <w:p w:rsidR="004B472A" w:rsidRPr="00614D0B" w:rsidRDefault="004B472A" w:rsidP="00184085">
      <w:pPr>
        <w:pStyle w:val="Titrearticle"/>
        <w:rPr>
          <w:noProof/>
        </w:rPr>
      </w:pPr>
      <w:r w:rsidRPr="00614D0B">
        <w:rPr>
          <w:noProof/>
        </w:rPr>
        <w:t>9. pants</w:t>
      </w:r>
    </w:p>
    <w:p w:rsidR="004B472A" w:rsidRPr="00614D0B" w:rsidRDefault="004B472A" w:rsidP="00184085">
      <w:pPr>
        <w:pStyle w:val="Titrearticle"/>
        <w:spacing w:before="0"/>
        <w:rPr>
          <w:b/>
          <w:bCs/>
          <w:i w:val="0"/>
          <w:iCs/>
          <w:noProof/>
        </w:rPr>
      </w:pPr>
      <w:r w:rsidRPr="00614D0B">
        <w:rPr>
          <w:b/>
          <w:i w:val="0"/>
          <w:noProof/>
        </w:rPr>
        <w:t>Sadarbība starp kompetentajām un noregulējuma iestādēm</w:t>
      </w:r>
    </w:p>
    <w:p w:rsidR="004B472A" w:rsidRPr="00614D0B" w:rsidRDefault="008702D9" w:rsidP="008702D9">
      <w:pPr>
        <w:pStyle w:val="ManualNumPar1"/>
        <w:rPr>
          <w:noProof/>
        </w:rPr>
      </w:pPr>
      <w:r w:rsidRPr="008702D9">
        <w:rPr>
          <w:noProof/>
        </w:rPr>
        <w:t>1.</w:t>
      </w:r>
      <w:r w:rsidRPr="008702D9">
        <w:rPr>
          <w:noProof/>
        </w:rPr>
        <w:tab/>
      </w:r>
      <w:r w:rsidR="004B472A" w:rsidRPr="00614D0B">
        <w:rPr>
          <w:noProof/>
        </w:rPr>
        <w:t>Kompetentās un noregulējuma iestādes kopīgi pārbauda, vai informācija, kas saskaņā ar 2. līdz 5. pantu un 7. un 8. pantu jāiesniedz noregulējuma iestādēm, jau ir daļēji vai pilnībā pieejama kompetentajai iestādei.</w:t>
      </w:r>
    </w:p>
    <w:p w:rsidR="004B472A" w:rsidRPr="00614D0B" w:rsidRDefault="008702D9" w:rsidP="008702D9">
      <w:pPr>
        <w:pStyle w:val="ManualNumPar1"/>
        <w:rPr>
          <w:noProof/>
        </w:rPr>
      </w:pPr>
      <w:r w:rsidRPr="008702D9">
        <w:rPr>
          <w:noProof/>
        </w:rPr>
        <w:t>2.</w:t>
      </w:r>
      <w:r w:rsidRPr="008702D9">
        <w:rPr>
          <w:noProof/>
        </w:rPr>
        <w:tab/>
      </w:r>
      <w:r w:rsidR="004B472A" w:rsidRPr="00614D0B">
        <w:rPr>
          <w:noProof/>
        </w:rPr>
        <w:t xml:space="preserve">Ja visa informācija vai tās daļa jau ir pieejama kompetentajai iestādei, tā šo informāciju laikus sniedz noregulējuma iestādei. </w:t>
      </w:r>
    </w:p>
    <w:p w:rsidR="004B472A" w:rsidRPr="00614D0B" w:rsidRDefault="008702D9" w:rsidP="008702D9">
      <w:pPr>
        <w:pStyle w:val="ManualNumPar1"/>
        <w:rPr>
          <w:noProof/>
        </w:rPr>
      </w:pPr>
      <w:r w:rsidRPr="008702D9">
        <w:rPr>
          <w:noProof/>
        </w:rPr>
        <w:t>3.</w:t>
      </w:r>
      <w:r w:rsidRPr="008702D9">
        <w:rPr>
          <w:noProof/>
        </w:rPr>
        <w:tab/>
      </w:r>
      <w:r w:rsidR="00914032" w:rsidRPr="00614D0B">
        <w:rPr>
          <w:noProof/>
        </w:rPr>
        <w:t>Šā panta 2. punktā nolūkā noregulējuma iestādes paziņo finanšu iestādēm vai – grupu gadījumā – Savienības mātesuzņēmumiem informāciju, kura ir jāiekļauj, iesniedzot informāciju saskaņā ar šo regulu. Noregulējuma iestādes norāda uz attiecīgo informāciju, atsaucoties uz I pielikumā sniegtajām veidnēm.</w:t>
      </w:r>
    </w:p>
    <w:p w:rsidR="004B472A" w:rsidRPr="00614D0B" w:rsidRDefault="004B472A" w:rsidP="00184085">
      <w:pPr>
        <w:pStyle w:val="Titrearticle"/>
        <w:rPr>
          <w:noProof/>
        </w:rPr>
      </w:pPr>
      <w:r w:rsidRPr="00614D0B">
        <w:rPr>
          <w:noProof/>
        </w:rPr>
        <w:t>10. pants</w:t>
      </w:r>
    </w:p>
    <w:p w:rsidR="004B472A" w:rsidRPr="00614D0B" w:rsidRDefault="004B472A" w:rsidP="00184085">
      <w:pPr>
        <w:pStyle w:val="Titrearticle"/>
        <w:spacing w:before="0"/>
        <w:rPr>
          <w:b/>
          <w:bCs/>
          <w:i w:val="0"/>
          <w:iCs/>
          <w:noProof/>
        </w:rPr>
      </w:pPr>
      <w:r w:rsidRPr="00614D0B">
        <w:rPr>
          <w:b/>
          <w:i w:val="0"/>
          <w:noProof/>
        </w:rPr>
        <w:t>Atcelšana</w:t>
      </w:r>
    </w:p>
    <w:p w:rsidR="004B472A" w:rsidRPr="00614D0B" w:rsidRDefault="004B472A" w:rsidP="00184085">
      <w:pPr>
        <w:rPr>
          <w:noProof/>
        </w:rPr>
      </w:pPr>
      <w:r w:rsidRPr="00614D0B">
        <w:rPr>
          <w:noProof/>
        </w:rPr>
        <w:t>Īstenošanas regula (ES) 2018/1624 tiek atcelta.</w:t>
      </w:r>
    </w:p>
    <w:p w:rsidR="004B472A" w:rsidRPr="00614D0B" w:rsidRDefault="004B472A" w:rsidP="00184085">
      <w:pPr>
        <w:rPr>
          <w:noProof/>
        </w:rPr>
      </w:pPr>
      <w:r w:rsidRPr="00614D0B">
        <w:rPr>
          <w:noProof/>
        </w:rPr>
        <w:t>Atsauces uz atcelto īstenošanas regulu uzskata par atsaucēm uz šo regulu.</w:t>
      </w:r>
    </w:p>
    <w:p w:rsidR="00860655" w:rsidRPr="00614D0B" w:rsidRDefault="00860655" w:rsidP="00184085">
      <w:pPr>
        <w:pStyle w:val="Titrearticle"/>
        <w:rPr>
          <w:noProof/>
        </w:rPr>
      </w:pPr>
      <w:r w:rsidRPr="00614D0B">
        <w:rPr>
          <w:noProof/>
        </w:rPr>
        <w:t>11. pants</w:t>
      </w:r>
    </w:p>
    <w:p w:rsidR="004B472A" w:rsidRPr="00614D0B" w:rsidRDefault="004B472A" w:rsidP="00184085">
      <w:pPr>
        <w:pStyle w:val="Titrearticle"/>
        <w:spacing w:before="0"/>
        <w:rPr>
          <w:b/>
          <w:bCs/>
          <w:i w:val="0"/>
          <w:iCs/>
          <w:noProof/>
        </w:rPr>
      </w:pPr>
      <w:r w:rsidRPr="00614D0B">
        <w:rPr>
          <w:b/>
          <w:i w:val="0"/>
          <w:noProof/>
        </w:rPr>
        <w:t>Stāšanās spēkā</w:t>
      </w:r>
    </w:p>
    <w:p w:rsidR="00860655" w:rsidRPr="00614D0B" w:rsidRDefault="00860655" w:rsidP="00184085">
      <w:pPr>
        <w:rPr>
          <w:noProof/>
        </w:rPr>
      </w:pPr>
      <w:r w:rsidRPr="00614D0B">
        <w:rPr>
          <w:noProof/>
        </w:rPr>
        <w:t xml:space="preserve">Šī regula stājas spēkā divdesmitajā dienā pēc tās publicēšanas </w:t>
      </w:r>
      <w:r w:rsidRPr="00614D0B">
        <w:rPr>
          <w:i/>
          <w:noProof/>
        </w:rPr>
        <w:t>Eiropas Savienības Oficiālajā Vēstnesī</w:t>
      </w:r>
      <w:r w:rsidRPr="00614D0B">
        <w:rPr>
          <w:noProof/>
        </w:rPr>
        <w:t>.</w:t>
      </w:r>
    </w:p>
    <w:p w:rsidR="00860655" w:rsidRPr="00614D0B" w:rsidRDefault="00860655" w:rsidP="00DC7BCA">
      <w:pPr>
        <w:pStyle w:val="Applicationdirecte"/>
        <w:keepNext/>
        <w:keepLines/>
        <w:rPr>
          <w:noProof/>
        </w:rPr>
      </w:pPr>
      <w:r w:rsidRPr="00614D0B">
        <w:rPr>
          <w:noProof/>
        </w:rPr>
        <w:t>Šī regula uzliek saistības kopumā un ir tieši piemērojama visās dalībvalstīs.</w:t>
      </w:r>
    </w:p>
    <w:p w:rsidR="00860655" w:rsidRPr="00614D0B" w:rsidRDefault="004865CD" w:rsidP="00DC7BCA">
      <w:pPr>
        <w:pStyle w:val="Fait"/>
        <w:rPr>
          <w:noProof/>
        </w:rPr>
      </w:pPr>
      <w:r>
        <w:rPr>
          <w:noProof/>
        </w:rPr>
        <w:t>Briselē, 14.11.2025</w:t>
      </w:r>
    </w:p>
    <w:p w:rsidR="00860655" w:rsidRPr="00614D0B" w:rsidRDefault="00860655" w:rsidP="00DC7BCA">
      <w:pPr>
        <w:pStyle w:val="Institutionquisigne"/>
        <w:rPr>
          <w:noProof/>
        </w:rPr>
      </w:pPr>
      <w:r w:rsidRPr="00614D0B">
        <w:rPr>
          <w:noProof/>
        </w:rPr>
        <w:tab/>
        <w:t>Komisijas vārdā –</w:t>
      </w:r>
    </w:p>
    <w:p w:rsidR="00860655" w:rsidRPr="00614D0B" w:rsidRDefault="0077763E" w:rsidP="00184085">
      <w:pPr>
        <w:pStyle w:val="Personnequisigne"/>
        <w:rPr>
          <w:noProof/>
        </w:rPr>
      </w:pPr>
      <w:r>
        <w:rPr>
          <w:noProof/>
        </w:rPr>
        <w:tab/>
        <w:t>priekšsēdētāja</w:t>
      </w:r>
      <w:r>
        <w:rPr>
          <w:noProof/>
        </w:rPr>
        <w:br/>
      </w:r>
      <w:r>
        <w:rPr>
          <w:noProof/>
        </w:rPr>
        <w:tab/>
        <w:t>Ursula VON DER LEYEN</w:t>
      </w:r>
    </w:p>
    <w:sectPr w:rsidR="00860655" w:rsidRPr="00614D0B" w:rsidSect="00FB72FD">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Pr="00FB72FD" w:rsidRDefault="00FB72FD" w:rsidP="00FB72FD">
    <w:pPr>
      <w:pStyle w:val="Footer"/>
      <w:rPr>
        <w:rFonts w:ascii="Arial" w:hAnsi="Arial" w:cs="Arial"/>
        <w:b/>
        <w:sz w:val="48"/>
      </w:rPr>
    </w:pPr>
    <w:r w:rsidRPr="00FB72FD">
      <w:rPr>
        <w:rFonts w:ascii="Arial" w:hAnsi="Arial" w:cs="Arial"/>
        <w:b/>
        <w:sz w:val="48"/>
      </w:rPr>
      <w:t>LV</w:t>
    </w:r>
    <w:r w:rsidRPr="00FB72FD">
      <w:rPr>
        <w:rFonts w:ascii="Arial" w:hAnsi="Arial" w:cs="Arial"/>
        <w:b/>
        <w:sz w:val="48"/>
      </w:rPr>
      <w:tab/>
    </w:r>
    <w:r w:rsidRPr="00FB72FD">
      <w:rPr>
        <w:rFonts w:ascii="Arial" w:hAnsi="Arial" w:cs="Arial"/>
        <w:b/>
        <w:sz w:val="48"/>
      </w:rPr>
      <w:tab/>
    </w:r>
    <w:r w:rsidRPr="00FB72FD">
      <w:tab/>
    </w:r>
    <w:r w:rsidRPr="00FB72FD">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Pr="00FB72FD" w:rsidRDefault="00FB72FD" w:rsidP="00FB72FD">
    <w:pPr>
      <w:pStyle w:val="Footer"/>
      <w:rPr>
        <w:rFonts w:ascii="Arial" w:hAnsi="Arial" w:cs="Arial"/>
        <w:b/>
        <w:sz w:val="48"/>
      </w:rPr>
    </w:pPr>
    <w:r w:rsidRPr="00FB72FD">
      <w:rPr>
        <w:rFonts w:ascii="Arial" w:hAnsi="Arial" w:cs="Arial"/>
        <w:b/>
        <w:sz w:val="48"/>
      </w:rPr>
      <w:t>LV</w:t>
    </w:r>
    <w:r w:rsidRPr="00FB72FD">
      <w:rPr>
        <w:rFonts w:ascii="Arial" w:hAnsi="Arial" w:cs="Arial"/>
        <w:b/>
        <w:sz w:val="48"/>
      </w:rPr>
      <w:tab/>
    </w:r>
    <w:r w:rsidRPr="00FB72FD">
      <w:rPr>
        <w:rFonts w:ascii="Arial" w:hAnsi="Arial" w:cs="Arial"/>
        <w:b/>
        <w:sz w:val="48"/>
      </w:rPr>
      <w:tab/>
    </w:r>
    <w:r w:rsidRPr="00FB72FD">
      <w:tab/>
    </w:r>
    <w:r w:rsidRPr="00FB72FD">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Default="00FB72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Pr="00FB72FD" w:rsidRDefault="00FB72FD" w:rsidP="00FB72FD">
    <w:pPr>
      <w:pStyle w:val="Footer"/>
      <w:rPr>
        <w:rFonts w:ascii="Arial" w:hAnsi="Arial" w:cs="Arial"/>
        <w:b/>
        <w:sz w:val="48"/>
      </w:rPr>
    </w:pPr>
    <w:r w:rsidRPr="00FB72FD">
      <w:rPr>
        <w:rFonts w:ascii="Arial" w:hAnsi="Arial" w:cs="Arial"/>
        <w:b/>
        <w:sz w:val="48"/>
      </w:rPr>
      <w:t>LV</w:t>
    </w:r>
    <w:r w:rsidRPr="00FB72FD">
      <w:rPr>
        <w:rFonts w:ascii="Arial" w:hAnsi="Arial" w:cs="Arial"/>
        <w:b/>
        <w:sz w:val="48"/>
      </w:rPr>
      <w:tab/>
    </w:r>
    <w:r>
      <w:fldChar w:fldCharType="begin"/>
    </w:r>
    <w:r>
      <w:instrText xml:space="preserve"> PAGE  \* MERGEFORMAT </w:instrText>
    </w:r>
    <w:r>
      <w:fldChar w:fldCharType="separate"/>
    </w:r>
    <w:r w:rsidR="00DC7BCA">
      <w:rPr>
        <w:noProof/>
      </w:rPr>
      <w:t>10</w:t>
    </w:r>
    <w:r>
      <w:fldChar w:fldCharType="end"/>
    </w:r>
    <w:r>
      <w:tab/>
    </w:r>
    <w:r w:rsidRPr="00FB72FD">
      <w:tab/>
    </w:r>
    <w:r w:rsidRPr="00FB72FD">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Default="00FB72FD" w:rsidP="00FB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OV L 173, 12.6.2014., 190. lpp., ELI: http://data.europa.eu/eli/dir/2014/59/oj.</w:t>
      </w:r>
    </w:p>
  </w:footnote>
  <w:footnote w:id="3">
    <w:p w:rsidR="00736C47" w:rsidRPr="004E6E7D" w:rsidRDefault="00736C47">
      <w:pPr>
        <w:pStyle w:val="FootnoteText"/>
      </w:pPr>
      <w:r>
        <w:rPr>
          <w:rStyle w:val="FootnoteReference"/>
        </w:rPr>
        <w:footnoteRef/>
      </w:r>
      <w:r>
        <w:tab/>
        <w:t>Komisijas Īstenošanas regula (ES) 2018/1624 (2018. gada 23. oktobris), ar ko saskaņā ar Eiropas Parlamenta un Padomes Direktīvu 2014/59/ES nosaka īstenošanas tehniskos standartus attiecībā uz procedūrām, standarta veidlapām un veidnēm informācijas sniegšanai kredītiestāžu un ieguldījumu brokeru sabiedrību noregulējuma plānu vajadzībām un atceļ Komisijas Īstenošanas regulu (ES) 2016/1066 (OV L 277, 7.11.2018., 1. lpp., ELI: http://data.europa.eu/eli/reg_impl/2018/1624/oj).</w:t>
      </w:r>
    </w:p>
  </w:footnote>
  <w:footnote w:id="4">
    <w:p w:rsidR="00736C47" w:rsidRPr="004E6E7D" w:rsidRDefault="00736C47">
      <w:pPr>
        <w:pStyle w:val="FootnoteText"/>
      </w:pPr>
      <w:r>
        <w:rPr>
          <w:rStyle w:val="FootnoteReference"/>
        </w:rPr>
        <w:footnoteRef/>
      </w:r>
      <w:r>
        <w:tab/>
        <w:t>Eiropas Parlamenta un Padomes Direktīva (ES) 2024/1174 (2024. gada 11. aprīlis), ar ko attiecībā uz minimuma prasības pašu kapitālam un atbilstīgajām saistībām dažiem aspektiem groza Direktīvu 2014/59/ES un Regulu (ES) Nr. 806/2014, (OV L, 2024/1174, 22.4.2024., 1. lpp., ELI: http://data.europa.eu/eli/dir/2024/1174/oj).</w:t>
      </w:r>
    </w:p>
  </w:footnote>
  <w:footnote w:id="5">
    <w:p w:rsidR="00736C47" w:rsidRPr="004E6E7D" w:rsidRDefault="00736C47">
      <w:pPr>
        <w:pStyle w:val="FootnoteText"/>
      </w:pPr>
      <w:r>
        <w:rPr>
          <w:rStyle w:val="FootnoteReference"/>
        </w:rPr>
        <w:footnoteRef/>
      </w:r>
      <w:r>
        <w:tab/>
        <w:t>Eiropas Parlamenta un Padomes Regula (ES) Nr. 1093/2010 (2010. gada 24. novembris), ar ko izveido Eiropas Uzraudzības iestādi (Eiropas Banku iestādi), groza Lēmumu Nr. 716/2009/EK un atceļ Komisijas Lēmumu 2009/78/EK (OV L 331, 15.12.2010. 12. lpp., ELI: http://data.europa.eu/eli/reg/2010/1093/oj).</w:t>
      </w:r>
    </w:p>
  </w:footnote>
  <w:footnote w:id="6">
    <w:p w:rsidR="00736C47" w:rsidRPr="004E6E7D" w:rsidRDefault="00736C47">
      <w:pPr>
        <w:pStyle w:val="FootnoteText"/>
      </w:pPr>
      <w:r>
        <w:rPr>
          <w:rStyle w:val="FootnoteReference"/>
        </w:rPr>
        <w:footnoteRef/>
      </w:r>
      <w:r>
        <w:tab/>
        <w:t>Eiropas Parlamenta un Padomes Regula (ES) Nr. 575/2013 (2013. gada 26. jūnijs) par prudenciālajām prasībām attiecībā uz kredītiestādēm, un ar ko groza Regulu (ES) Nr. 648/2012 (OV L 176, 27.6.2013., 1. lpp., ELI: http://data.europa.eu/eli/reg/2013/575/oj).</w:t>
      </w:r>
    </w:p>
  </w:footnote>
  <w:footnote w:id="7">
    <w:p w:rsidR="00736C47" w:rsidRPr="004E6E7D" w:rsidRDefault="00736C47">
      <w:pPr>
        <w:pStyle w:val="FootnoteText"/>
      </w:pPr>
      <w:r>
        <w:rPr>
          <w:rStyle w:val="FootnoteReference"/>
        </w:rPr>
        <w:footnoteRef/>
      </w:r>
      <w:r>
        <w:tab/>
        <w:t>Eiropas Parlamenta un Padomes Direktīva 2013/36/ES (2013. gada 26. jūnijs) par piekļuvi kredītiestāžu darbībai un kredītiestāžu prudenciālo uzraudzību, ar ko groza Direktīvu 2002/87/EK un atceļ Direktīvas 2006/48/EK un 2006/49/EK (OV L 176, 27.6.2013., 338. lpp., ELI: http://data.europa.eu/eli/dir/2013/36/oj).</w:t>
      </w:r>
    </w:p>
  </w:footnote>
  <w:footnote w:id="8">
    <w:p w:rsidR="00736C47" w:rsidRPr="00736C47" w:rsidRDefault="00736C47">
      <w:pPr>
        <w:pStyle w:val="FootnoteText"/>
      </w:pPr>
      <w:r>
        <w:rPr>
          <w:rStyle w:val="FootnoteReference"/>
        </w:rPr>
        <w:footnoteRef/>
      </w:r>
      <w:r>
        <w:tab/>
        <w:t>Eiropas Parlamenta un Padomes Regula (ES) 2019/2033 (2019. gada 27. novembris) par prudenciālajām prasībām ieguldījumu brokeru sabiedrībām un ar ko groza Regulas (ES) Nr. 1093/2010, (ES) Nr. 575/2013, (ES) Nr. 600/2014 un (ES) Nr. 806/2014 (OV L 314, 5.12.2019., 1. lpp.).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Default="00FB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FD" w:rsidRDefault="00FB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10: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5E9302A-B4BE-43D4-837B-39FF3A8BAB0F"/>
    <w:docVar w:name="LW_COVERPAGE_TYPE" w:val="1"/>
    <w:docVar w:name="LW_CreatedUtc" w:val="2025-04-09T13:24:10.7425134Z"/>
    <w:docVar w:name="LW_CROSSREFERENCE" w:val="&lt;UNUSED&gt;"/>
    <w:docVar w:name="LW_DATE.ADOPT.CP" w:val="(14.11.2025),"/>
    <w:docVar w:name="LW_DATE.ADOPT.CP_DATEFORMAT" w:val="(%DATE%),"/>
    <w:docVar w:name="LW_DATE.ADOPT.CP_ISODATE" w:val="2025-11-14"/>
    <w:docVar w:name="LW_DocType" w:val="COM"/>
    <w:docVar w:name="LW_EMISSION" w:val="14.11.2025"/>
    <w:docVar w:name="LW_EMISSION_ISODATE" w:val="2025-11-14"/>
    <w:docVar w:name="LW_EMISSION_LOCATION" w:val="BRX"/>
    <w:docVar w:name="LW_EMISSION_PREFIX" w:val="Brisel\u275?, "/>
    <w:docVar w:name="LW_EMISSION_SUFFIX" w:val="."/>
    <w:docVar w:name="LW_ID_DOCMODEL" w:val="SJ-004"/>
    <w:docVar w:name="LW_ID_DOCSIGNATURE" w:val="SJ-004"/>
    <w:docVar w:name="LW_ID_DOCSTRUCTURE" w:val="COM/AA"/>
    <w:docVar w:name="LW_ID_DOCTYPE" w:val="SJ-004"/>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saska\u326?\u257? ar Eiropas Parlamenta un Padomes Direkt\u299?vu 2014/59/ES nosaka \u299?steno\u353?anas tehniskos standartus attiec\u299?b\u257? uz proced\u363?r\u257?m, standarta veidlap\u257?m un veidn\u275?m inform\u257?cijas snieg\u353?anai kred\u299?tiest\u257?\u382?u un ieguld\u299?jumu brokeru sabiedr\u299?bu noregul\u275?juma pl\u257?nu vajadz\u299?b\u257?m un atce\u316? Komisijas \u298?steno\u353?anas regulu (ES) 2018/1624"/>
    <w:docVar w:name="LW_TYPE.DOC.CP" w:val="KOMISIJAS \u298?STENO\u352?ANAS REGULA (ES) \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3C62"/>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C4D1E"/>
    <w:rsid w:val="000D227C"/>
    <w:rsid w:val="000D6FC6"/>
    <w:rsid w:val="000E0DA5"/>
    <w:rsid w:val="000E2702"/>
    <w:rsid w:val="000E311F"/>
    <w:rsid w:val="000E5382"/>
    <w:rsid w:val="000E5409"/>
    <w:rsid w:val="000E58A4"/>
    <w:rsid w:val="000F1205"/>
    <w:rsid w:val="000F254E"/>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1404"/>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5CD"/>
    <w:rsid w:val="0048663F"/>
    <w:rsid w:val="004908DD"/>
    <w:rsid w:val="00492396"/>
    <w:rsid w:val="004936D2"/>
    <w:rsid w:val="00494F92"/>
    <w:rsid w:val="00496AFE"/>
    <w:rsid w:val="004A0EFB"/>
    <w:rsid w:val="004A3094"/>
    <w:rsid w:val="004A395B"/>
    <w:rsid w:val="004A58B9"/>
    <w:rsid w:val="004A724F"/>
    <w:rsid w:val="004B1BB8"/>
    <w:rsid w:val="004B1BD1"/>
    <w:rsid w:val="004B2507"/>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6A7"/>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05725"/>
    <w:rsid w:val="00610E8E"/>
    <w:rsid w:val="00611E70"/>
    <w:rsid w:val="00611F25"/>
    <w:rsid w:val="00612BC5"/>
    <w:rsid w:val="00614D0B"/>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1447"/>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63E"/>
    <w:rsid w:val="00777D73"/>
    <w:rsid w:val="00780B67"/>
    <w:rsid w:val="00781CC8"/>
    <w:rsid w:val="00782CA4"/>
    <w:rsid w:val="0078349B"/>
    <w:rsid w:val="00783A46"/>
    <w:rsid w:val="007876EA"/>
    <w:rsid w:val="00791412"/>
    <w:rsid w:val="007929CD"/>
    <w:rsid w:val="007932EF"/>
    <w:rsid w:val="00793E16"/>
    <w:rsid w:val="007945A5"/>
    <w:rsid w:val="007946CF"/>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02D9"/>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4B3"/>
    <w:rsid w:val="00A93F8D"/>
    <w:rsid w:val="00A95E76"/>
    <w:rsid w:val="00AA112B"/>
    <w:rsid w:val="00AA1EA4"/>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711"/>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87FA3"/>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BCA"/>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8B9"/>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0E36"/>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3CE3"/>
    <w:rsid w:val="00F4455F"/>
    <w:rsid w:val="00F50966"/>
    <w:rsid w:val="00F603E8"/>
    <w:rsid w:val="00F6057B"/>
    <w:rsid w:val="00F62F9E"/>
    <w:rsid w:val="00F62FF5"/>
    <w:rsid w:val="00F658FB"/>
    <w:rsid w:val="00F66A8D"/>
    <w:rsid w:val="00F674E6"/>
    <w:rsid w:val="00F715B9"/>
    <w:rsid w:val="00F71D65"/>
    <w:rsid w:val="00F7500C"/>
    <w:rsid w:val="00F828E4"/>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2FD"/>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lv-LV"/>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lv-LV"/>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FB72FD"/>
    <w:rPr>
      <w:rFonts w:ascii="Times New Roman" w:hAnsi="Times New Roman" w:cs="Times New Roman"/>
      <w:sz w:val="24"/>
      <w:lang w:val="lv-LV"/>
    </w:rPr>
  </w:style>
  <w:style w:type="character" w:customStyle="1" w:styleId="FooterChar">
    <w:name w:val="Footer Char"/>
    <w:basedOn w:val="DefaultParagraphFont"/>
    <w:link w:val="Footer"/>
    <w:uiPriority w:val="99"/>
    <w:rsid w:val="00FB72FD"/>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B72F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B72FD"/>
    <w:pPr>
      <w:spacing w:before="0"/>
      <w:jc w:val="right"/>
    </w:pPr>
    <w:rPr>
      <w:sz w:val="28"/>
    </w:rPr>
  </w:style>
  <w:style w:type="paragraph" w:customStyle="1" w:styleId="FooterSensitivity">
    <w:name w:val="Footer Sensitivity"/>
    <w:basedOn w:val="Normal"/>
    <w:rsid w:val="00FB72F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B72FD"/>
    <w:pPr>
      <w:tabs>
        <w:tab w:val="center" w:pos="4535"/>
        <w:tab w:val="right" w:pos="9071"/>
      </w:tabs>
      <w:spacing w:before="0"/>
    </w:pPr>
  </w:style>
  <w:style w:type="paragraph" w:customStyle="1" w:styleId="HeaderLandscape">
    <w:name w:val="HeaderLandscape"/>
    <w:basedOn w:val="Normal"/>
    <w:rsid w:val="00FB72FD"/>
    <w:pPr>
      <w:tabs>
        <w:tab w:val="center" w:pos="7285"/>
        <w:tab w:val="right" w:pos="14003"/>
      </w:tabs>
      <w:spacing w:before="0"/>
    </w:pPr>
  </w:style>
  <w:style w:type="paragraph" w:styleId="Footer">
    <w:name w:val="footer"/>
    <w:basedOn w:val="Normal"/>
    <w:link w:val="FooterChar"/>
    <w:uiPriority w:val="99"/>
    <w:unhideWhenUsed/>
    <w:rsid w:val="00FB72F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B72F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10</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dcterms:created xsi:type="dcterms:W3CDTF">2025-08-04T13:17:00Z</dcterms:created>
  <dcterms:modified xsi:type="dcterms:W3CDTF">2025-11-07T09:10:00Z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