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33F" w:rsidRPr="0017269F" w:rsidRDefault="00E45E1A" w:rsidP="00E45E1A">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83177177-A969-4C19-9985-5E8EE1D55355" style="width:455.25pt;height:414pt">
            <v:imagedata r:id="rId10" o:title=""/>
          </v:shape>
        </w:pict>
      </w:r>
    </w:p>
    <w:p w:rsidR="00860655" w:rsidRPr="0017269F" w:rsidRDefault="00860655" w:rsidP="00184085">
      <w:pPr>
        <w:rPr>
          <w:noProof/>
        </w:rPr>
        <w:sectPr w:rsidR="00860655" w:rsidRPr="0017269F" w:rsidSect="00E45E1A">
          <w:footerReference w:type="even" r:id="rId11"/>
          <w:footerReference w:type="default" r:id="rId12"/>
          <w:pgSz w:w="11907" w:h="16839"/>
          <w:pgMar w:top="1134" w:right="1417" w:bottom="1134" w:left="1417" w:header="709" w:footer="709" w:gutter="0"/>
          <w:pgNumType w:start="0"/>
          <w:cols w:space="720"/>
          <w:docGrid w:linePitch="360"/>
        </w:sectPr>
      </w:pPr>
    </w:p>
    <w:p w:rsidR="00860655" w:rsidRPr="0017269F" w:rsidRDefault="0017269F" w:rsidP="0017269F">
      <w:pPr>
        <w:pStyle w:val="Typedudocument"/>
        <w:rPr>
          <w:noProof/>
        </w:rPr>
      </w:pPr>
      <w:bookmarkStart w:id="0" w:name="_GoBack"/>
      <w:bookmarkEnd w:id="0"/>
      <w:r w:rsidRPr="0017269F">
        <w:rPr>
          <w:noProof/>
        </w:rPr>
        <w:lastRenderedPageBreak/>
        <w:t>KOMISIJOS ĮGYVENDINIMO REGLAMENTAS (ES) …/...</w:t>
      </w:r>
    </w:p>
    <w:p w:rsidR="00860655" w:rsidRPr="0017269F" w:rsidRDefault="004C5D99" w:rsidP="0017269F">
      <w:pPr>
        <w:pStyle w:val="Datedadoption"/>
        <w:rPr>
          <w:noProof/>
        </w:rPr>
      </w:pPr>
      <w:r>
        <w:rPr>
          <w:noProof/>
        </w:rPr>
        <w:t>2025 11 14</w:t>
      </w:r>
    </w:p>
    <w:p w:rsidR="00860655" w:rsidRPr="0017269F" w:rsidRDefault="0017269F" w:rsidP="0017269F">
      <w:pPr>
        <w:pStyle w:val="Titreobjet"/>
        <w:rPr>
          <w:noProof/>
        </w:rPr>
      </w:pPr>
      <w:bookmarkStart w:id="1" w:name="_Hlk211438385"/>
      <w:r w:rsidRPr="0017269F">
        <w:rPr>
          <w:noProof/>
        </w:rPr>
        <w:t>kuriuo nustatomi kredito įstaigų ir investicinių įmonių pertvarkymo planams rengti skirtos informacijos teikimo pagal Europos Parlamento ir Tarybos direktyvą 2014/59/ES tvarkos, standartinių formų ir šablonų techniniai įgyvendinimo standartai ir panaikinamas Komisijos įgyvendinimo reglamentas (ES) 2018/1624</w:t>
      </w:r>
      <w:bookmarkEnd w:id="1"/>
    </w:p>
    <w:p w:rsidR="00860655" w:rsidRPr="0017269F" w:rsidRDefault="0017269F" w:rsidP="0017269F">
      <w:pPr>
        <w:pStyle w:val="IntrtEEE"/>
        <w:rPr>
          <w:noProof/>
        </w:rPr>
      </w:pPr>
      <w:r w:rsidRPr="0017269F">
        <w:rPr>
          <w:noProof/>
        </w:rPr>
        <w:t>(Tekstas svarbus EEE)</w:t>
      </w:r>
    </w:p>
    <w:p w:rsidR="00860655" w:rsidRPr="0017269F" w:rsidRDefault="00860655" w:rsidP="00184085">
      <w:pPr>
        <w:pStyle w:val="Institutionquiagit"/>
        <w:rPr>
          <w:noProof/>
        </w:rPr>
      </w:pPr>
      <w:r w:rsidRPr="0017269F">
        <w:rPr>
          <w:noProof/>
        </w:rPr>
        <w:t>EUROPOS KOMISIJA,</w:t>
      </w:r>
    </w:p>
    <w:p w:rsidR="00860655" w:rsidRPr="0017269F" w:rsidRDefault="00860655" w:rsidP="00184085">
      <w:pPr>
        <w:rPr>
          <w:noProof/>
        </w:rPr>
      </w:pPr>
      <w:r w:rsidRPr="0017269F">
        <w:rPr>
          <w:noProof/>
          <w:color w:val="000000"/>
        </w:rPr>
        <w:t>atsižvelgdama į Sutartį dėl Europos Sąjungos veikimo</w:t>
      </w:r>
      <w:r w:rsidRPr="0017269F">
        <w:rPr>
          <w:noProof/>
        </w:rPr>
        <w:t>,</w:t>
      </w:r>
    </w:p>
    <w:p w:rsidR="00860655" w:rsidRPr="0017269F" w:rsidRDefault="00860655" w:rsidP="00184085">
      <w:pPr>
        <w:rPr>
          <w:noProof/>
        </w:rPr>
      </w:pPr>
      <w:r w:rsidRPr="0017269F">
        <w:rPr>
          <w:noProof/>
        </w:rPr>
        <w:t>atsižvelgdama į 2014 m. gegužės 15 d. Europos Parlamento ir Tarybos direktyvą 2014/59/ES, kuria nustatoma kredito įstaigų ir investicinių įmonių gaivinimo ir pertvarkymo sistema ir iš dalies keičiamos Tarybos direktyva 82/891/EEB, direktyvos 2001/24/EB, 2002/47/EB, 2004/25/EB, 2005/56/EB, 2007/36/EB, 2011/35/ES, 2012/30/ES bei 2013/36/ES ir Europos Parlamento ir Tarybos reglamentai (ES) Nr. 1093/2010 bei (ES) Nr. 648/2012</w:t>
      </w:r>
      <w:r w:rsidRPr="0017269F">
        <w:rPr>
          <w:rStyle w:val="FootnoteReference"/>
          <w:noProof/>
        </w:rPr>
        <w:footnoteReference w:id="2"/>
      </w:r>
      <w:r w:rsidRPr="0017269F">
        <w:rPr>
          <w:noProof/>
        </w:rPr>
        <w:t>, ypač į jos 11 straipsnio 3 dalį,</w:t>
      </w:r>
    </w:p>
    <w:p w:rsidR="00860655" w:rsidRPr="0017269F" w:rsidRDefault="00860655" w:rsidP="00184085">
      <w:pPr>
        <w:rPr>
          <w:noProof/>
        </w:rPr>
      </w:pPr>
      <w:r w:rsidRPr="0017269F">
        <w:rPr>
          <w:noProof/>
        </w:rPr>
        <w:t>kadangi:</w:t>
      </w:r>
    </w:p>
    <w:p w:rsidR="00860655" w:rsidRPr="0017269F" w:rsidRDefault="007659C1" w:rsidP="007659C1">
      <w:pPr>
        <w:pStyle w:val="ManualConsidrant"/>
        <w:rPr>
          <w:noProof/>
        </w:rPr>
      </w:pPr>
      <w:r w:rsidRPr="007659C1">
        <w:rPr>
          <w:noProof/>
        </w:rPr>
        <w:t>(1)</w:t>
      </w:r>
      <w:r w:rsidRPr="007659C1">
        <w:rPr>
          <w:noProof/>
        </w:rPr>
        <w:tab/>
      </w:r>
      <w:r w:rsidR="00860655" w:rsidRPr="0017269F">
        <w:rPr>
          <w:noProof/>
        </w:rPr>
        <w:t>Komisijos įgyvendinimo reglamentu (ES) 2018/1624</w:t>
      </w:r>
      <w:r w:rsidR="00860655" w:rsidRPr="0017269F">
        <w:rPr>
          <w:rStyle w:val="FootnoteReference"/>
          <w:noProof/>
        </w:rPr>
        <w:footnoteReference w:id="3"/>
      </w:r>
      <w:r w:rsidR="00860655" w:rsidRPr="0017269F">
        <w:rPr>
          <w:noProof/>
        </w:rPr>
        <w:t xml:space="preserve"> nustatoma kredito įstaigų ar investicinių įmonių pertvarkymo planams parengti ir įgyvendinti skirtos informacijos teikimo pertvarkymo institucijoms tvarka ir minimalus šablonų rinkinys. Nuo to reglamento priėmimo pertvarkymo institucijos įgijo patirties pertvarkymo planavimo srityje ir Direktyva 2014/59/ES buvo iš dalies pakeista. Atsižvelgiant į tą patirtį ir į naujas tos direktyvos nuostatas, būtina atnaujinti minimalų pertvarkymui planuoti skirtos informacijos rinkimo šablonų rinkinį;</w:t>
      </w:r>
    </w:p>
    <w:p w:rsidR="003B410C" w:rsidRPr="0017269F" w:rsidRDefault="007659C1" w:rsidP="007659C1">
      <w:pPr>
        <w:pStyle w:val="ManualConsidrant"/>
        <w:rPr>
          <w:noProof/>
        </w:rPr>
      </w:pPr>
      <w:r w:rsidRPr="007659C1">
        <w:rPr>
          <w:noProof/>
        </w:rPr>
        <w:t>(2)</w:t>
      </w:r>
      <w:r w:rsidRPr="007659C1">
        <w:rPr>
          <w:noProof/>
        </w:rPr>
        <w:tab/>
      </w:r>
      <w:r w:rsidR="003B410C" w:rsidRPr="0017269F">
        <w:rPr>
          <w:noProof/>
        </w:rPr>
        <w:t>Įgyvendinimo reglamentu (ES) 2018/1624 nustatoma įstaigų informacijos teikimo pertvarkymo institucijoms tvarka ir minimalus šablonų rinkinys taip, kad pertvarkymo institucijos galėtų nuosekliai rinkti tą informaciją visoje Sąjungoje, o atitinkamoms institucijoms būtų sudarytos sąlygos paprasčiau keistis informacija. Vis dėlto patirtis parodė, kad vienodą požiūrį į tos informacijos rinkimą pavyko užtikrinti tik iš dalies. Todėl tą įgyvendinimo reglamentą būtina peržiūrėti, kad būtų skatinamas informacijos teikimo pareigų suderinimas visoje Sąjungoje, remiantis peržiūrėtu šablonų, kurie geriau ir nuosekliai atspindi pertvarkymo institucijų poreikius, rinkiniu. Tai neturėtų trukdyti pertvarkymo institucijoms rinkti papildomos informacijos, kuri, jų manymu, yra reikalinga pertvarkymo planams parengti ir įgyvendinti arba Direktyvos 2014/59/ES 4 straipsnyje išdėstytoms supaprastintoms informacijos teikimo pareigoms nustatyti;</w:t>
      </w:r>
    </w:p>
    <w:p w:rsidR="003B410C" w:rsidRPr="0017269F" w:rsidRDefault="007659C1" w:rsidP="007659C1">
      <w:pPr>
        <w:pStyle w:val="ManualConsidrant"/>
        <w:rPr>
          <w:noProof/>
        </w:rPr>
      </w:pPr>
      <w:r w:rsidRPr="007659C1">
        <w:rPr>
          <w:noProof/>
        </w:rPr>
        <w:lastRenderedPageBreak/>
        <w:t>(3)</w:t>
      </w:r>
      <w:r w:rsidRPr="007659C1">
        <w:rPr>
          <w:noProof/>
        </w:rPr>
        <w:tab/>
      </w:r>
      <w:r w:rsidR="003B410C" w:rsidRPr="0017269F">
        <w:rPr>
          <w:noProof/>
        </w:rPr>
        <w:t>siekiant užtikrinti, kad grupės pertvarkymo planai veiksmingai apimtų atitinkamą grupę, Sąjungos patronuojančiosioms įmonėms nustatytos informacijos teikimo pareigos turėtų būti taikomos ne tik pertvarkytiniems subjektams, bet ir kitiems atitinkamiems juridiniams asmenims. Tačiau toks aktualumas turėtų būti tinkamai apibrėžtas, kad nebūtų teikiama informacija apie subjektus, kurie nėra svarbūs grupei arba kurie nėra sisteminės svarbos subjektai. Tuo tikslu turėtų būti nustatytos ribos, pagal kurias būtų nustatomi tie grupės juridiniai asmenys, kuriems turėtų būti nustatyti pertvarkymo informacijos teikimo reikalavimai. Be to, Europos Parlamento ir Tarybos direktyva (ES) 2024/1174</w:t>
      </w:r>
      <w:r w:rsidR="003B410C" w:rsidRPr="0017269F">
        <w:rPr>
          <w:rStyle w:val="FootnoteReference"/>
          <w:noProof/>
        </w:rPr>
        <w:footnoteReference w:id="4"/>
      </w:r>
      <w:r w:rsidR="003B410C" w:rsidRPr="0017269F">
        <w:rPr>
          <w:noProof/>
        </w:rPr>
        <w:t xml:space="preserve"> iš dalies pakeista Direktyva 2014/59/ES, </w:t>
      </w:r>
      <w:r w:rsidR="003B410C" w:rsidRPr="0017269F">
        <w:rPr>
          <w:i/>
          <w:noProof/>
        </w:rPr>
        <w:t>inter alia</w:t>
      </w:r>
      <w:r w:rsidR="003B410C" w:rsidRPr="0017269F">
        <w:rPr>
          <w:noProof/>
        </w:rPr>
        <w:t>, nustatant termino „likviduojamas subjektas“ apibrėžtį. Siekiant atsižvelgti į tą naują apibrėžtį, būtina atskirti pertvarkymo informacijos teikimo reikalavimus likviduojamiems subjektams, pertvarkytiniems subjektams ir pertvarkytinoms grupėms priklausantiems subjektams. Visų pirma būtina nustatyti informacijos teikimo pareigas, atsižvelgiant į tai, ar atitinkami subjektai yra savarankiški subjektai, ar priklauso grupėms, ir į tai, ar tokie subjektai ar grupės yra nustatyti, ar apima subjektus, kurie buvo nustatyti, kaip likviduojami subjektai. Tos informacijos teikimo pareigos turėtų būti nustatytos individualiu, iš dalies konsoliduotu ar konsoliduotu lygmeniu taip, kad būtų užtikrintas proporcingumas, nebūtų pakenkta veiksmingam pertvarkymo planavimui, subjektai būtų atleidžiami nuo skirtingų institucijų reikalaujamų lygiagrečių duomenų rinkimo ir būtų pašalinti duomenų vienetai, sutampantys su priežiūros ataskaitų teikimo sistemomis. Tai turėtų būti pasiekta įgyvendinant metodą, pagal kurį moduliuojamas šablonų skaičius, priklausomai nuo atitinkamo informaciją teikiančio subjekto rūšies. Ypatingas dėmesys taip pat turėtų būti skiriamas pertvarkytinoms grupėms, kurias sudaro centrinės įstaigos nuolat kontroliuojamos kredito įstaigos ir pati centrinė įstaiga, siekiant užtikrinti, kad pertvarkymo informacija veiksmingai apimtų visas tos pertvarkytinos grupės centrinės įstaigos nuolat kontroliuojamas kredito įstaigas, pačią centrinę įstaigą ir jų atitinkamas patronuojamąsias įmones individualiu, iš dalies konsoliduotu ir konsoliduotu lygmeniu;</w:t>
      </w:r>
    </w:p>
    <w:p w:rsidR="003B410C" w:rsidRPr="0017269F" w:rsidRDefault="007659C1" w:rsidP="007659C1">
      <w:pPr>
        <w:pStyle w:val="ManualConsidrant"/>
        <w:rPr>
          <w:noProof/>
        </w:rPr>
      </w:pPr>
      <w:r w:rsidRPr="007659C1">
        <w:rPr>
          <w:noProof/>
        </w:rPr>
        <w:t>(4)</w:t>
      </w:r>
      <w:r w:rsidRPr="007659C1">
        <w:rPr>
          <w:noProof/>
        </w:rPr>
        <w:tab/>
      </w:r>
      <w:r w:rsidR="003B410C" w:rsidRPr="0017269F">
        <w:rPr>
          <w:noProof/>
        </w:rPr>
        <w:t>siekiant užtikrinti veiksmingą pertvarkymo planavimą, kartu išsaugant proporcingumą, pertvarkymo informacijos teikimo reikalavimų taikymo sritis gali skirtis nuo prudencinių ataskaitų teikimo reikalavimų taikymo srities, kai tai būtina siekiant užtikrinti, kad pertvarkymo institucijos turėtų tinkamų ir patikimų duomenų savo užduotims atlikti. Atsižvelgiant į tai, būtina užtikrinti, kad teikti pertvarkymo informaciją netrukdytų prudencinės išimtys arba pertvarkytinos grupės, kurioms netaikomi prudencinio konsolidavimo reikalavimai;</w:t>
      </w:r>
    </w:p>
    <w:p w:rsidR="003B410C" w:rsidRPr="0017269F" w:rsidRDefault="007659C1" w:rsidP="007659C1">
      <w:pPr>
        <w:pStyle w:val="ManualConsidrant"/>
        <w:rPr>
          <w:noProof/>
        </w:rPr>
      </w:pPr>
      <w:r w:rsidRPr="007659C1">
        <w:rPr>
          <w:noProof/>
        </w:rPr>
        <w:t>(5)</w:t>
      </w:r>
      <w:r w:rsidRPr="007659C1">
        <w:rPr>
          <w:noProof/>
        </w:rPr>
        <w:tab/>
      </w:r>
      <w:r w:rsidR="00012E4C" w:rsidRPr="0017269F">
        <w:rPr>
          <w:noProof/>
        </w:rPr>
        <w:t>siekiant užtikrinti, kad pertvarkymo planai būtų grindžiami minimaliu nuolat labai kokybiškų ir tikslių duomenų rinkiniu, turėtų būti priimtas bendras duomenų vienetų modelis, kuris taikomas ir priežiūros ataskaitų teikimo praktikoje. Bendrą duomenų vienetų modelį turėtų sudaryti struktūriškai pateikti duomenų straipsniai, jame turėtų būti nustatyti visi pertvarkymo planavimo tikslais teikiamų ataskaitų vienodumui užtikrinti aktualūs veiklos aspektai ir jis turėtų apimti visas atitinkamas specifikacijas, būtinas siekiant toliau plėtoti vienodus ataskaitų teikimo IT sprendimus;</w:t>
      </w:r>
    </w:p>
    <w:p w:rsidR="003B410C" w:rsidRPr="0017269F" w:rsidRDefault="007659C1" w:rsidP="007659C1">
      <w:pPr>
        <w:pStyle w:val="ManualConsidrant"/>
        <w:rPr>
          <w:noProof/>
        </w:rPr>
      </w:pPr>
      <w:r w:rsidRPr="007659C1">
        <w:rPr>
          <w:noProof/>
        </w:rPr>
        <w:t>(6)</w:t>
      </w:r>
      <w:r w:rsidRPr="007659C1">
        <w:rPr>
          <w:noProof/>
        </w:rPr>
        <w:tab/>
      </w:r>
      <w:r w:rsidR="00980E18" w:rsidRPr="0017269F">
        <w:rPr>
          <w:noProof/>
        </w:rPr>
        <w:t>siekiant užtikrinti įstaigų teikiamų duomenų straipsnių kokybę, nuoseklumą ir tikslumą, tiems duomenų straipsniams turėtų būti taikomos bendros patvirtinimo taisyklės;</w:t>
      </w:r>
    </w:p>
    <w:p w:rsidR="003B410C" w:rsidRPr="0017269F" w:rsidRDefault="007659C1" w:rsidP="007659C1">
      <w:pPr>
        <w:pStyle w:val="ManualConsidrant"/>
        <w:rPr>
          <w:noProof/>
        </w:rPr>
      </w:pPr>
      <w:r w:rsidRPr="007659C1">
        <w:rPr>
          <w:noProof/>
        </w:rPr>
        <w:t>(7)</w:t>
      </w:r>
      <w:r w:rsidRPr="007659C1">
        <w:rPr>
          <w:noProof/>
        </w:rPr>
        <w:tab/>
      </w:r>
      <w:r w:rsidR="003B410C" w:rsidRPr="0017269F">
        <w:rPr>
          <w:noProof/>
        </w:rPr>
        <w:t>dėl savo pobūdžio patvirtinimo taisyklės ir duomenų vienetų apibrėžtys yra reguliariai atnaujinamos siekiant užtikrinti jų nuolatinę atitiktį taikomiems reguliavimo, analitiniams ir informacinių technologijų reikalavimams. Tačiau, atsižvelgiant į tai, kiek laiko šiuo metu reikia išsamiam bendram duomenų vienetų modeliui ir patvirtinimo taisyklėms priimti ir paskelbti, nėra galimybės pakankamai greitai ir laiku padaryti būtinų pakeitimų, kad būtų užtikrinta, kad Sąjungoje nuolat būtų teikiama vienoda informacija apie pertvarkymo planus. Todėl išsamiam bendram duomenų vienetų modeliui ir išsamioms bendroms patvirtinimo taisyklėms turėtų būti nustatyti griežti kokybiniai kriterijai, kuriuos Europos bankininkystės institucija (EBI) paskelbs elektroniniu būdu savo interneto svetainėje. Atsižvelgiant į tai, kas išdėstyta pirmiau, neatmetama galimybė, kad EBI savo interneto svetainėje taip pat gali skelbti techninius nurodymus, kaip užpildyti šiame reglamente nurodytas formas ir šablonus;</w:t>
      </w:r>
    </w:p>
    <w:p w:rsidR="003B410C" w:rsidRPr="0017269F" w:rsidRDefault="007659C1" w:rsidP="007659C1">
      <w:pPr>
        <w:pStyle w:val="ManualConsidrant"/>
        <w:rPr>
          <w:noProof/>
        </w:rPr>
      </w:pPr>
      <w:r w:rsidRPr="007659C1">
        <w:rPr>
          <w:noProof/>
        </w:rPr>
        <w:t>(8)</w:t>
      </w:r>
      <w:r w:rsidRPr="007659C1">
        <w:rPr>
          <w:noProof/>
        </w:rPr>
        <w:tab/>
      </w:r>
      <w:r w:rsidR="003B410C" w:rsidRPr="0017269F">
        <w:rPr>
          <w:noProof/>
        </w:rPr>
        <w:t>pagal Direktyvos 2014/59/ES 11 straipsnio 2 dalį kompetentingos institucijos ir pertvarkymo institucijos įpareigojamos bendradarbiauti, kad kuo labiau sumažintų informacijos teikimo reikalavimų dubliavimąsi. Tuo tikslu Įgyvendinimo reglamentu (ES) 2018/1624 nustatyta kompetentingų institucijų ir pertvarkymo institucijų bendradarbiavimo tvarka ir ji turėtų būti išlaikyta, kad kompetentingos institucijos ir pertvarkymo institucijos kartu galėtų patikrinti, ar kompetentinga institucija dar nėra gavusi kai kurios ar visos reikiamos informacijos. Jei kompetentinga institucija tą informaciją jau turi, ji turėtų ją tiesiogiai persiųsti pertvarkymo institucijai;</w:t>
      </w:r>
    </w:p>
    <w:p w:rsidR="003B410C" w:rsidRPr="0017269F" w:rsidRDefault="007659C1" w:rsidP="007659C1">
      <w:pPr>
        <w:pStyle w:val="ManualConsidrant"/>
        <w:rPr>
          <w:noProof/>
        </w:rPr>
      </w:pPr>
      <w:r w:rsidRPr="007659C1">
        <w:rPr>
          <w:noProof/>
        </w:rPr>
        <w:t>(9)</w:t>
      </w:r>
      <w:r w:rsidRPr="007659C1">
        <w:rPr>
          <w:noProof/>
        </w:rPr>
        <w:tab/>
      </w:r>
      <w:r w:rsidR="003B410C" w:rsidRPr="0017269F">
        <w:rPr>
          <w:noProof/>
        </w:rPr>
        <w:t>atsižvelgiant į Įgyvendinimo reglamento (ES) 2018/1624 pakeitimų mastą, teisinio tikrumo ir aiškumo sumetimais tikslinga priimti naują įgyvendinimo reglamentą ir todėl panaikinti ir pakeisti Įgyvendinimo reglamentą (ES) 2018/1624;</w:t>
      </w:r>
    </w:p>
    <w:p w:rsidR="003B410C" w:rsidRPr="0017269F" w:rsidRDefault="007659C1" w:rsidP="007659C1">
      <w:pPr>
        <w:pStyle w:val="ManualConsidrant"/>
        <w:rPr>
          <w:noProof/>
        </w:rPr>
      </w:pPr>
      <w:r w:rsidRPr="007659C1">
        <w:rPr>
          <w:noProof/>
        </w:rPr>
        <w:t>(10)</w:t>
      </w:r>
      <w:r w:rsidRPr="007659C1">
        <w:rPr>
          <w:noProof/>
        </w:rPr>
        <w:tab/>
      </w:r>
      <w:r w:rsidR="003B410C" w:rsidRPr="0017269F">
        <w:rPr>
          <w:noProof/>
        </w:rPr>
        <w:t>šis reglamentas grindžiamas techniniais įgyvendinimo standartais, kuriuos EBI pateikė Komisijai;</w:t>
      </w:r>
    </w:p>
    <w:p w:rsidR="00860655" w:rsidRPr="0017269F" w:rsidRDefault="007659C1" w:rsidP="007659C1">
      <w:pPr>
        <w:pStyle w:val="ManualConsidrant"/>
        <w:rPr>
          <w:noProof/>
        </w:rPr>
      </w:pPr>
      <w:r w:rsidRPr="007659C1">
        <w:rPr>
          <w:noProof/>
        </w:rPr>
        <w:t>(11)</w:t>
      </w:r>
      <w:r w:rsidRPr="007659C1">
        <w:rPr>
          <w:noProof/>
        </w:rPr>
        <w:tab/>
      </w:r>
      <w:r w:rsidR="003B410C" w:rsidRPr="0017269F">
        <w:rPr>
          <w:noProof/>
        </w:rPr>
        <w:t>EBI dėl techninių įgyvendinimo standartų, kuriais pagrįstas šis reglamentas, surengė atviras viešas konsultacijas, išnagrinėjo galimas susijusias sąnaudas ir naudą ir paprašė Bankininkystės suinteresuotųjų subjektų grupės, įsteigtos pagal Europos Parlamento ir Tarybos reglamento (ES) Nr. 1093/2010</w:t>
      </w:r>
      <w:r w:rsidR="003B410C" w:rsidRPr="0017269F">
        <w:rPr>
          <w:rStyle w:val="FootnoteReference"/>
          <w:noProof/>
        </w:rPr>
        <w:footnoteReference w:id="5"/>
      </w:r>
      <w:r w:rsidR="003B410C" w:rsidRPr="0017269F">
        <w:rPr>
          <w:noProof/>
        </w:rPr>
        <w:t xml:space="preserve"> 37 straipsnį, pateikti savo nuomonę,</w:t>
      </w:r>
    </w:p>
    <w:p w:rsidR="00860655" w:rsidRPr="0017269F" w:rsidRDefault="00860655" w:rsidP="00184085">
      <w:pPr>
        <w:pStyle w:val="Formuledadoption"/>
        <w:rPr>
          <w:noProof/>
        </w:rPr>
      </w:pPr>
      <w:r w:rsidRPr="0017269F">
        <w:rPr>
          <w:noProof/>
        </w:rPr>
        <w:t>PRIĖMĖ ŠĮ REGLAMENTĄ:</w:t>
      </w:r>
    </w:p>
    <w:p w:rsidR="00860655" w:rsidRPr="0017269F" w:rsidRDefault="00860655" w:rsidP="00184085">
      <w:pPr>
        <w:pStyle w:val="Titrearticle"/>
        <w:rPr>
          <w:noProof/>
        </w:rPr>
      </w:pPr>
      <w:r w:rsidRPr="0017269F">
        <w:rPr>
          <w:noProof/>
        </w:rPr>
        <w:t>1 straipsnis</w:t>
      </w:r>
    </w:p>
    <w:p w:rsidR="00860655" w:rsidRPr="0017269F" w:rsidRDefault="003B410C" w:rsidP="00184085">
      <w:pPr>
        <w:pStyle w:val="Titrearticle"/>
        <w:rPr>
          <w:noProof/>
        </w:rPr>
      </w:pPr>
      <w:r w:rsidRPr="0017269F">
        <w:rPr>
          <w:b/>
          <w:i w:val="0"/>
          <w:noProof/>
        </w:rPr>
        <w:t>Apibrėžtys</w:t>
      </w:r>
    </w:p>
    <w:p w:rsidR="003B410C" w:rsidRPr="0017269F" w:rsidRDefault="003B410C" w:rsidP="00184085">
      <w:pPr>
        <w:rPr>
          <w:noProof/>
        </w:rPr>
      </w:pPr>
      <w:r w:rsidRPr="0017269F">
        <w:rPr>
          <w:noProof/>
        </w:rPr>
        <w:t>Šiame reglamente „atitinkamas juridinis asmuo“ – grupės subjektas, apibrėžtas Direktyvos 2014/59/ES 2 straipsnio 1 dalies 31 punkte, išskyrus pertvarkytiną subjektą, kuris yra įsteigtas Sąjungoje ir atitinka bet kurią iš šių sąlygų:</w:t>
      </w:r>
    </w:p>
    <w:p w:rsidR="003B410C" w:rsidRPr="0017269F" w:rsidRDefault="007659C1" w:rsidP="007659C1">
      <w:pPr>
        <w:pStyle w:val="Point0"/>
        <w:rPr>
          <w:noProof/>
        </w:rPr>
      </w:pPr>
      <w:r w:rsidRPr="007659C1">
        <w:rPr>
          <w:noProof/>
        </w:rPr>
        <w:t>(a)</w:t>
      </w:r>
      <w:r w:rsidRPr="007659C1">
        <w:rPr>
          <w:noProof/>
        </w:rPr>
        <w:tab/>
      </w:r>
      <w:r w:rsidR="003B410C" w:rsidRPr="0017269F">
        <w:rPr>
          <w:noProof/>
        </w:rPr>
        <w:t>jis atlieka ypatingos svarbos funkcijas;</w:t>
      </w:r>
    </w:p>
    <w:p w:rsidR="003B410C" w:rsidRPr="0017269F" w:rsidRDefault="007659C1" w:rsidP="007659C1">
      <w:pPr>
        <w:pStyle w:val="Point0"/>
        <w:rPr>
          <w:noProof/>
        </w:rPr>
      </w:pPr>
      <w:r w:rsidRPr="007659C1">
        <w:rPr>
          <w:noProof/>
        </w:rPr>
        <w:t>(b)</w:t>
      </w:r>
      <w:r w:rsidRPr="007659C1">
        <w:rPr>
          <w:noProof/>
        </w:rPr>
        <w:tab/>
      </w:r>
      <w:r w:rsidR="003B410C" w:rsidRPr="0017269F">
        <w:rPr>
          <w:noProof/>
        </w:rPr>
        <w:t>jo individuali bendra rizikos pozicijos suma, apskaičiuota pagal Europos Parlamento ir Tarybos reglamento (ES) Nr. 575/2013</w:t>
      </w:r>
      <w:r w:rsidR="003B410C" w:rsidRPr="0017269F">
        <w:rPr>
          <w:rStyle w:val="FootnoteReference"/>
          <w:noProof/>
        </w:rPr>
        <w:footnoteReference w:id="6"/>
      </w:r>
      <w:r w:rsidR="003B410C" w:rsidRPr="0017269F">
        <w:rPr>
          <w:noProof/>
        </w:rPr>
        <w:t xml:space="preserve"> 92 straipsnio 3 dalį, atitinka arba viršija 2 % Sąjungos patronuojančiosios įmonės konsoliduotos bendros rizikos pozicijos sumos;</w:t>
      </w:r>
    </w:p>
    <w:p w:rsidR="003B410C" w:rsidRPr="0017269F" w:rsidRDefault="007659C1" w:rsidP="007659C1">
      <w:pPr>
        <w:pStyle w:val="Point0"/>
        <w:rPr>
          <w:noProof/>
        </w:rPr>
      </w:pPr>
      <w:r w:rsidRPr="007659C1">
        <w:rPr>
          <w:noProof/>
        </w:rPr>
        <w:t>(c)</w:t>
      </w:r>
      <w:r w:rsidRPr="007659C1">
        <w:rPr>
          <w:noProof/>
        </w:rPr>
        <w:tab/>
      </w:r>
      <w:r w:rsidR="003B410C" w:rsidRPr="0017269F">
        <w:rPr>
          <w:noProof/>
        </w:rPr>
        <w:t>jo individualus bendras pozicijų matas, nurodytas Reglamento (ES) Nr. 575/2013 429 straipsnio 4 dalyje, atitinka arba viršija 2 % Sąjungos patronuojančiosios įmonės konsoliduoto bendro pozicijų mato;</w:t>
      </w:r>
    </w:p>
    <w:p w:rsidR="003B410C" w:rsidRPr="0017269F" w:rsidRDefault="007659C1" w:rsidP="007659C1">
      <w:pPr>
        <w:pStyle w:val="Point0"/>
        <w:rPr>
          <w:noProof/>
        </w:rPr>
      </w:pPr>
      <w:r w:rsidRPr="007659C1">
        <w:rPr>
          <w:noProof/>
        </w:rPr>
        <w:t>(d)</w:t>
      </w:r>
      <w:r w:rsidRPr="007659C1">
        <w:rPr>
          <w:noProof/>
        </w:rPr>
        <w:tab/>
      </w:r>
      <w:r w:rsidR="003B410C" w:rsidRPr="0017269F">
        <w:rPr>
          <w:noProof/>
        </w:rPr>
        <w:t>jo individualios veiklos pajamos atitinka arba viršija 2 % grupės konsoliduotųjų bendrų veiklos pajamų, apskaičiuotų Sąjungos patronuojančiosios įmonės lygmeniu;</w:t>
      </w:r>
    </w:p>
    <w:p w:rsidR="003B410C" w:rsidRPr="0017269F" w:rsidRDefault="007659C1" w:rsidP="007659C1">
      <w:pPr>
        <w:pStyle w:val="Point0"/>
        <w:rPr>
          <w:noProof/>
        </w:rPr>
      </w:pPr>
      <w:r w:rsidRPr="007659C1">
        <w:rPr>
          <w:noProof/>
        </w:rPr>
        <w:t>(e)</w:t>
      </w:r>
      <w:r w:rsidRPr="007659C1">
        <w:rPr>
          <w:noProof/>
        </w:rPr>
        <w:tab/>
      </w:r>
      <w:r w:rsidR="003B410C" w:rsidRPr="0017269F">
        <w:rPr>
          <w:noProof/>
        </w:rPr>
        <w:t>jo individualus bendras turtas viršija 5 mlrd. EUR;</w:t>
      </w:r>
    </w:p>
    <w:p w:rsidR="008F1E98" w:rsidRPr="0017269F" w:rsidRDefault="007659C1" w:rsidP="007659C1">
      <w:pPr>
        <w:pStyle w:val="Point0"/>
        <w:rPr>
          <w:noProof/>
        </w:rPr>
      </w:pPr>
      <w:r w:rsidRPr="007659C1">
        <w:rPr>
          <w:noProof/>
        </w:rPr>
        <w:t>(f)</w:t>
      </w:r>
      <w:r w:rsidRPr="007659C1">
        <w:rPr>
          <w:noProof/>
        </w:rPr>
        <w:tab/>
      </w:r>
      <w:r w:rsidR="003B410C" w:rsidRPr="0017269F">
        <w:rPr>
          <w:noProof/>
        </w:rPr>
        <w:t>jis yra svarbus finansiniam stabilumui bent vienoje valstybėje narėje užtikrinti.</w:t>
      </w:r>
    </w:p>
    <w:p w:rsidR="00A803C4" w:rsidRPr="0017269F" w:rsidRDefault="008F1E98" w:rsidP="00184085">
      <w:pPr>
        <w:pStyle w:val="Text1"/>
        <w:rPr>
          <w:noProof/>
        </w:rPr>
      </w:pPr>
      <w:r w:rsidRPr="0017269F">
        <w:rPr>
          <w:noProof/>
        </w:rPr>
        <w:t>Taikant b punktą, grupės, kurią sudaro daugiau nei vienas pertvarkytinas subjektas, atveju subjektas laikomas atitinkamu juridiniu asmeniu, kai jo individuali bendra rizikos pozicijos suma atitinka arba viršija 2 % pertvarkytino subjekto bendros rizikos pozicijos sumos konsoliduotu pertvarkytinos grupės lygmeniu.</w:t>
      </w:r>
    </w:p>
    <w:p w:rsidR="008F1E98" w:rsidRPr="0017269F" w:rsidRDefault="008F1E98" w:rsidP="00184085">
      <w:pPr>
        <w:pStyle w:val="Text1"/>
        <w:rPr>
          <w:noProof/>
        </w:rPr>
      </w:pPr>
      <w:r w:rsidRPr="0017269F">
        <w:rPr>
          <w:noProof/>
        </w:rPr>
        <w:t>Taikant c punktą, grupės, kurią sudaro daugiau nei vienas pertvarkytinas subjektas, atveju subjektas laikomas atitinkamu juridiniu asmeniu, kai jo individualus bendras pozicijų matas atitinka arba viršija 2 % pertvarkytino subjekto bendro pozicijų mato konsoliduotu pertvarkytinos grupės lygmeniu.</w:t>
      </w:r>
    </w:p>
    <w:p w:rsidR="003B410C" w:rsidRPr="0017269F" w:rsidRDefault="003B410C" w:rsidP="00184085">
      <w:pPr>
        <w:pStyle w:val="Titrearticle"/>
        <w:rPr>
          <w:noProof/>
        </w:rPr>
      </w:pPr>
      <w:r w:rsidRPr="0017269F">
        <w:rPr>
          <w:noProof/>
        </w:rPr>
        <w:t xml:space="preserve">2 </w:t>
      </w:r>
      <w:bookmarkStart w:id="2" w:name="_Hlk168321151"/>
      <w:r w:rsidRPr="0017269F">
        <w:rPr>
          <w:noProof/>
        </w:rPr>
        <w:t>straipsnis</w:t>
      </w:r>
    </w:p>
    <w:p w:rsidR="003B410C" w:rsidRPr="0017269F" w:rsidRDefault="003B410C" w:rsidP="00184085">
      <w:pPr>
        <w:pStyle w:val="Titrearticle"/>
        <w:spacing w:before="0"/>
        <w:rPr>
          <w:b/>
          <w:bCs/>
          <w:i w:val="0"/>
          <w:iCs/>
          <w:noProof/>
        </w:rPr>
      </w:pPr>
      <w:r w:rsidRPr="0017269F">
        <w:rPr>
          <w:b/>
          <w:i w:val="0"/>
          <w:noProof/>
        </w:rPr>
        <w:t>Įstaigų, nepriklausančių grupei, kuriai taikoma konsoliduota priežiūra pagal Direktyvos 2013/36/ES 111 ir 112 straipsnius, pertvarkymo informacijos teikimas</w:t>
      </w:r>
      <w:bookmarkEnd w:id="2"/>
    </w:p>
    <w:p w:rsidR="003B410C" w:rsidRPr="0017269F" w:rsidRDefault="007659C1" w:rsidP="007659C1">
      <w:pPr>
        <w:pStyle w:val="ManualNumPar1"/>
        <w:rPr>
          <w:noProof/>
        </w:rPr>
      </w:pPr>
      <w:r w:rsidRPr="007659C1">
        <w:rPr>
          <w:noProof/>
        </w:rPr>
        <w:t>1.</w:t>
      </w:r>
      <w:r w:rsidRPr="007659C1">
        <w:rPr>
          <w:noProof/>
        </w:rPr>
        <w:tab/>
      </w:r>
      <w:r w:rsidR="005E4DBA" w:rsidRPr="0017269F">
        <w:rPr>
          <w:noProof/>
        </w:rPr>
        <w:t>Pertvarkytini subjektai, nepriklausantys grupei, kuriai taikoma konsoliduota priežiūra pagal Europos Parlamento ir Tarybos direktyvos 2013/36/ES</w:t>
      </w:r>
      <w:r w:rsidR="005E4DBA" w:rsidRPr="0017269F">
        <w:rPr>
          <w:rStyle w:val="FootnoteReference"/>
          <w:noProof/>
        </w:rPr>
        <w:footnoteReference w:id="7"/>
      </w:r>
      <w:r w:rsidR="005E4DBA" w:rsidRPr="0017269F">
        <w:rPr>
          <w:noProof/>
        </w:rPr>
        <w:t xml:space="preserve"> 111 ir 112 straipsnius, pertvarkymo institucijai individualiai pateikia informaciją, nurodytą visuose šio reglamento I priede pateiktuose šablonuose, išskyrus Z 01.01, Z 04.00, Z 07.02, Z 07.03 ir Z 11.00 šablonuose nurodytą informaciją.</w:t>
      </w:r>
    </w:p>
    <w:p w:rsidR="003B410C" w:rsidRPr="0017269F" w:rsidRDefault="007659C1" w:rsidP="007659C1">
      <w:pPr>
        <w:pStyle w:val="ManualNumPar1"/>
        <w:rPr>
          <w:noProof/>
        </w:rPr>
      </w:pPr>
      <w:r w:rsidRPr="007659C1">
        <w:rPr>
          <w:noProof/>
        </w:rPr>
        <w:t>2.</w:t>
      </w:r>
      <w:r w:rsidRPr="007659C1">
        <w:rPr>
          <w:noProof/>
        </w:rPr>
        <w:tab/>
      </w:r>
      <w:r w:rsidR="0017578A" w:rsidRPr="0017269F">
        <w:rPr>
          <w:noProof/>
        </w:rPr>
        <w:t>Likviduojami subjektai, kuriems netaikomos supaprastintos pareigos, kurie nepriklauso grupei, kuriai taikoma konsoliduota priežiūra pagal Direktyvos 2013/36/ES 111 ir 112 straipsnius, ir kuriems pertvarkymo institucija nėra nustačiusi Direktyvos 2014/59/ES 45 straipsnio 1 dalyje nurodyto reikalavimo pagal tos direktyvos 45c straipsnio 2a dalies antrą pastraipą, pertvarkymo institucijai individualiai pateikia informaciją, nurodytą šio reglamento I priede pateiktuose Z 01.02, Z 02.00, Z 05.01, Z 05.02, Z 06.00, Z 07.01.1–Z 07.01.5, Z 07.04 ir Z 09.01 šablonuose.</w:t>
      </w:r>
    </w:p>
    <w:p w:rsidR="003B410C" w:rsidRPr="0017269F" w:rsidRDefault="007659C1" w:rsidP="007659C1">
      <w:pPr>
        <w:pStyle w:val="ManualNumPar1"/>
        <w:rPr>
          <w:noProof/>
        </w:rPr>
      </w:pPr>
      <w:r w:rsidRPr="007659C1">
        <w:rPr>
          <w:noProof/>
        </w:rPr>
        <w:t>3.</w:t>
      </w:r>
      <w:r w:rsidRPr="007659C1">
        <w:rPr>
          <w:noProof/>
        </w:rPr>
        <w:tab/>
      </w:r>
      <w:r w:rsidR="00436F80" w:rsidRPr="0017269F">
        <w:rPr>
          <w:noProof/>
        </w:rPr>
        <w:t>Likviduojami subjektai, kuriems netaikomos supaprastintos pareigos, kurie nepriklauso grupei, kuriai taikoma konsoliduota priežiūra pagal Direktyvos 2013/36/ES 111 ir 112 straipsnius, ir kuriems pertvarkymo institucija yra nustačiusi Direktyvos 2014/59/ES 45 straipsnio 1 dalyje nurodytą reikalavimą pagal tos direktyvos 45c straipsnio 2a dalies antrą pastraipą, pertvarkymo institucijai individualiai pateikia informaciją, nurodytą šio reglamento I priede pateiktuose Z 01.02, Z 02.00, Z 03.01, Z 03.02, Z 05.01, Z 05.02, Z 06.00, Z 07.01.1–Z 07.01.5, Z 07.04 ir Z 09.01 šablonuose.</w:t>
      </w:r>
    </w:p>
    <w:p w:rsidR="003B410C" w:rsidRPr="0017269F" w:rsidRDefault="003B410C" w:rsidP="00184085">
      <w:pPr>
        <w:pStyle w:val="Titrearticle"/>
        <w:rPr>
          <w:noProof/>
        </w:rPr>
      </w:pPr>
      <w:r w:rsidRPr="0017269F">
        <w:rPr>
          <w:noProof/>
        </w:rPr>
        <w:t>3 straipsnis</w:t>
      </w:r>
    </w:p>
    <w:p w:rsidR="003B410C" w:rsidRPr="0017269F" w:rsidRDefault="003B410C" w:rsidP="00184085">
      <w:pPr>
        <w:pStyle w:val="Titrearticle"/>
        <w:spacing w:before="0"/>
        <w:rPr>
          <w:b/>
          <w:bCs/>
          <w:i w:val="0"/>
          <w:iCs/>
          <w:noProof/>
        </w:rPr>
      </w:pPr>
      <w:r w:rsidRPr="0017269F">
        <w:rPr>
          <w:b/>
          <w:i w:val="0"/>
          <w:noProof/>
        </w:rPr>
        <w:t>Grupės pertvarkymo informacijos teikimas. Pertvarkytinos grupės</w:t>
      </w:r>
    </w:p>
    <w:p w:rsidR="003B410C" w:rsidRPr="0017269F" w:rsidRDefault="007659C1" w:rsidP="007659C1">
      <w:pPr>
        <w:pStyle w:val="ManualNumPar1"/>
        <w:rPr>
          <w:noProof/>
        </w:rPr>
      </w:pPr>
      <w:r w:rsidRPr="007659C1">
        <w:rPr>
          <w:noProof/>
        </w:rPr>
        <w:t>1.</w:t>
      </w:r>
      <w:r w:rsidRPr="007659C1">
        <w:rPr>
          <w:noProof/>
        </w:rPr>
        <w:tab/>
      </w:r>
      <w:r w:rsidR="00873C72" w:rsidRPr="0017269F">
        <w:rPr>
          <w:noProof/>
        </w:rPr>
        <w:t>Sąjungos patronuojančioji įmonė grupės lygmens pertvarkymo institucijai pateikia I priede pateiktuose Z 01.01, Z 01.02 ir Z 08.01–Z 09.04 šablonuose nurodytą informaciją apie visus grupės subjektus.</w:t>
      </w:r>
    </w:p>
    <w:p w:rsidR="003B410C" w:rsidRPr="0017269F" w:rsidRDefault="007659C1" w:rsidP="007659C1">
      <w:pPr>
        <w:pStyle w:val="ManualNumPar1"/>
        <w:rPr>
          <w:noProof/>
        </w:rPr>
      </w:pPr>
      <w:r w:rsidRPr="007659C1">
        <w:rPr>
          <w:noProof/>
        </w:rPr>
        <w:t>2.</w:t>
      </w:r>
      <w:r w:rsidRPr="007659C1">
        <w:rPr>
          <w:noProof/>
        </w:rPr>
        <w:tab/>
      </w:r>
      <w:r w:rsidR="00873C72" w:rsidRPr="0017269F">
        <w:rPr>
          <w:noProof/>
        </w:rPr>
        <w:t>Sąjungos patronuojančioji įmonė grupės lygmens pertvarkymo institucijai pateikia informaciją apie visų grupės subjektų finansinius tarpusavio ryšius, kaip nurodyta I priede pateiktame Z 04.00 šablone.</w:t>
      </w:r>
    </w:p>
    <w:p w:rsidR="003B410C" w:rsidRPr="0017269F" w:rsidRDefault="007659C1" w:rsidP="007659C1">
      <w:pPr>
        <w:pStyle w:val="ManualNumPar1"/>
        <w:rPr>
          <w:noProof/>
        </w:rPr>
      </w:pPr>
      <w:r w:rsidRPr="007659C1">
        <w:rPr>
          <w:noProof/>
        </w:rPr>
        <w:t>3.</w:t>
      </w:r>
      <w:r w:rsidRPr="007659C1">
        <w:rPr>
          <w:noProof/>
        </w:rPr>
        <w:tab/>
      </w:r>
      <w:r w:rsidR="001744A5" w:rsidRPr="0017269F">
        <w:rPr>
          <w:noProof/>
        </w:rPr>
        <w:t>Sąjungos patronuojančioji įmonė grupės lygmens pertvarkymo institucijai pateikia I priede pateiktame Z 02.00 šablone nurodytą informaciją taip:</w:t>
      </w:r>
    </w:p>
    <w:p w:rsidR="003B410C" w:rsidRPr="0017269F" w:rsidRDefault="007659C1" w:rsidP="007659C1">
      <w:pPr>
        <w:pStyle w:val="Point1"/>
        <w:rPr>
          <w:noProof/>
        </w:rPr>
      </w:pPr>
      <w:r w:rsidRPr="007659C1">
        <w:rPr>
          <w:noProof/>
        </w:rPr>
        <w:t>(a)</w:t>
      </w:r>
      <w:r w:rsidRPr="007659C1">
        <w:rPr>
          <w:noProof/>
        </w:rPr>
        <w:tab/>
      </w:r>
      <w:r w:rsidR="003B410C" w:rsidRPr="0017269F">
        <w:rPr>
          <w:noProof/>
        </w:rPr>
        <w:t>individualiai apie visus grupės pertvarkytinus subjektus, įskaitant Sąjungos patronuojančiąją įmonę, ir apie visus atitinkamus juridinius asmenis, kurie yra įstaigos;</w:t>
      </w:r>
    </w:p>
    <w:p w:rsidR="003B410C" w:rsidRPr="0017269F" w:rsidRDefault="007659C1" w:rsidP="007659C1">
      <w:pPr>
        <w:pStyle w:val="Point1"/>
        <w:rPr>
          <w:noProof/>
        </w:rPr>
      </w:pPr>
      <w:r w:rsidRPr="007659C1">
        <w:rPr>
          <w:noProof/>
        </w:rPr>
        <w:t>(b)</w:t>
      </w:r>
      <w:r w:rsidRPr="007659C1">
        <w:rPr>
          <w:noProof/>
        </w:rPr>
        <w:tab/>
      </w:r>
      <w:r w:rsidR="003B410C" w:rsidRPr="0017269F">
        <w:rPr>
          <w:noProof/>
        </w:rPr>
        <w:t xml:space="preserve">konsoliduotai arba, kai taikytina, iš dalies konsoliduotai apie visus grupės pertvarkytinus subjektus, įskaitant Sąjungos patronuojančiąją įmonę, ir apie visus atitinkamus juridinius asmenis, </w:t>
      </w:r>
      <w:r w:rsidR="003B410C" w:rsidRPr="0017269F">
        <w:rPr>
          <w:noProof/>
          <w:color w:val="000000" w:themeColor="text1"/>
        </w:rPr>
        <w:t>kuriems pertvarkymo institucija nustatė reikalavimą, kaip nurodyta Direktyvos 2014/59/ES 45 straipsnio 1 dalyje</w:t>
      </w:r>
      <w:r w:rsidR="003B410C" w:rsidRPr="0017269F">
        <w:rPr>
          <w:noProof/>
        </w:rPr>
        <w:t>, konsoliduotai ar iš dalies konsoliduotai, neatsižvelgiant į tai, ar tiems subjektams taikomas Reglamento (ES) Nr. 575/2013 pirmos dalies II antraštinės dalies 2 skyrius.</w:t>
      </w:r>
    </w:p>
    <w:p w:rsidR="003B410C" w:rsidRPr="0017269F" w:rsidRDefault="007659C1" w:rsidP="007659C1">
      <w:pPr>
        <w:pStyle w:val="ManualNumPar1"/>
        <w:rPr>
          <w:noProof/>
        </w:rPr>
      </w:pPr>
      <w:r w:rsidRPr="007659C1">
        <w:rPr>
          <w:noProof/>
        </w:rPr>
        <w:t>4.</w:t>
      </w:r>
      <w:r w:rsidRPr="007659C1">
        <w:rPr>
          <w:noProof/>
        </w:rPr>
        <w:tab/>
      </w:r>
      <w:r w:rsidR="00207905" w:rsidRPr="0017269F">
        <w:rPr>
          <w:noProof/>
        </w:rPr>
        <w:t>Sąjungos patronuojančioji įmonė grupės lygmens pertvarkymo institucijai pateikia I priede pateiktame Z 03.01 arba Z 03.02 šablone nurodytą informaciją taip:</w:t>
      </w:r>
    </w:p>
    <w:p w:rsidR="003B410C" w:rsidRPr="0017269F" w:rsidRDefault="007659C1" w:rsidP="007659C1">
      <w:pPr>
        <w:pStyle w:val="Point1"/>
        <w:rPr>
          <w:noProof/>
        </w:rPr>
      </w:pPr>
      <w:r w:rsidRPr="007659C1">
        <w:rPr>
          <w:noProof/>
        </w:rPr>
        <w:t>(a)</w:t>
      </w:r>
      <w:r w:rsidRPr="007659C1">
        <w:rPr>
          <w:noProof/>
        </w:rPr>
        <w:tab/>
      </w:r>
      <w:r w:rsidR="003B410C" w:rsidRPr="0017269F">
        <w:rPr>
          <w:noProof/>
        </w:rPr>
        <w:t>individualiai apie visus grupės pertvarkytinus subjektus, įskaitant Sąjungos patronuojančiąją įmonę, ir apie visus atitinkamus juridinius asmenis, kurie yra įstaigos ir kuriems pertvarkymo institucija nustatė reikalavimą, kaip nurodyta Direktyvos 2014/59/ES 45 straipsnio 1 dalyje;</w:t>
      </w:r>
    </w:p>
    <w:p w:rsidR="003B410C" w:rsidRPr="0017269F" w:rsidRDefault="007659C1" w:rsidP="007659C1">
      <w:pPr>
        <w:pStyle w:val="Point1"/>
        <w:rPr>
          <w:noProof/>
        </w:rPr>
      </w:pPr>
      <w:r w:rsidRPr="007659C1">
        <w:rPr>
          <w:noProof/>
        </w:rPr>
        <w:t>(b)</w:t>
      </w:r>
      <w:r w:rsidRPr="007659C1">
        <w:rPr>
          <w:noProof/>
        </w:rPr>
        <w:tab/>
      </w:r>
      <w:r w:rsidR="003B410C" w:rsidRPr="0017269F">
        <w:rPr>
          <w:noProof/>
        </w:rPr>
        <w:t>konsoliduotai arba iš dalies konsoliduotai apie visus grupės pertvarkytinus subjektus, įskaitant Sąjungos patronuojančiąją įmonę, ir apie visus atitinkamus juridinius asmenis, kurie yra įstaigos ir kuriems pertvarkymo institucija nustatė reikalavimą, kaip nurodyta Direktyvos 2014/59/ES 45 straipsnio 1 dalyje, neatsižvelgiant į tai, ar tiems subjektams taikomas Reglamento (ES) Nr. 575/2013 pirmos dalies II antraštinės dalies 2 skyrius.</w:t>
      </w:r>
    </w:p>
    <w:p w:rsidR="003B410C" w:rsidRPr="0017269F" w:rsidRDefault="007659C1" w:rsidP="007659C1">
      <w:pPr>
        <w:pStyle w:val="ManualNumPar1"/>
        <w:rPr>
          <w:noProof/>
        </w:rPr>
      </w:pPr>
      <w:r w:rsidRPr="007659C1">
        <w:rPr>
          <w:noProof/>
        </w:rPr>
        <w:t>5.</w:t>
      </w:r>
      <w:r w:rsidRPr="007659C1">
        <w:rPr>
          <w:noProof/>
        </w:rPr>
        <w:tab/>
      </w:r>
      <w:r w:rsidR="006E7726" w:rsidRPr="0017269F">
        <w:rPr>
          <w:noProof/>
        </w:rPr>
        <w:t>Sąjungos patronuojančioji įmonė grupės lygmens pertvarkymo institucijai pateikia I priede pateiktuose Z 07.01.1, Z 07.01.2, Z 07.01.3, Z 07.01.4 ir Z 07.01.5 šablonuose nurodytą informaciją kiekvienos valstybės narės, kurioje grupė veikia, lygmeniu.</w:t>
      </w:r>
    </w:p>
    <w:p w:rsidR="003B410C" w:rsidRPr="0017269F" w:rsidRDefault="007659C1" w:rsidP="007659C1">
      <w:pPr>
        <w:pStyle w:val="ManualNumPar1"/>
        <w:rPr>
          <w:noProof/>
        </w:rPr>
      </w:pPr>
      <w:r w:rsidRPr="007659C1">
        <w:rPr>
          <w:noProof/>
        </w:rPr>
        <w:t>6.</w:t>
      </w:r>
      <w:r w:rsidRPr="007659C1">
        <w:rPr>
          <w:noProof/>
        </w:rPr>
        <w:tab/>
      </w:r>
      <w:r w:rsidR="006E7726" w:rsidRPr="0017269F">
        <w:rPr>
          <w:noProof/>
        </w:rPr>
        <w:t>Sąjungos patronuojančioji įmonė grupės lygmens pertvarkymo institucijai pateikia I priede pateiktuose Z 07.02, Z 07.03 ir Z 07.04 šablonuose nurodytą informaciją, susijusią su bet kurio grupės subjekto teikiamomis ypatingos svarbos funkcijomis ir pagrindinėmis verslo linijomis.</w:t>
      </w:r>
    </w:p>
    <w:p w:rsidR="003B410C" w:rsidRPr="0017269F" w:rsidRDefault="007659C1" w:rsidP="007659C1">
      <w:pPr>
        <w:pStyle w:val="ManualNumPar1"/>
        <w:rPr>
          <w:noProof/>
        </w:rPr>
      </w:pPr>
      <w:r w:rsidRPr="007659C1">
        <w:rPr>
          <w:noProof/>
        </w:rPr>
        <w:t>7.</w:t>
      </w:r>
      <w:r w:rsidRPr="007659C1">
        <w:rPr>
          <w:noProof/>
        </w:rPr>
        <w:tab/>
      </w:r>
      <w:r w:rsidR="006E7726" w:rsidRPr="0017269F">
        <w:rPr>
          <w:noProof/>
        </w:rPr>
        <w:t>Sąjungos patronuojančioji įmonė grupės lygmens pertvarkymo institucijai individualiai pateikia I priede pateiktuose Z 05.01, Z 05.02, Z 06.00, Z 07.01.1–Z 07.01.5, Z 07.04 ir Z 11.00–Z 17.00 šablonuose nurodytą informaciją apie visus grupės pertvarkytinus subjektus, įskaitant Sąjungos patronuojančiąją įmonę.</w:t>
      </w:r>
    </w:p>
    <w:p w:rsidR="003B410C" w:rsidRPr="0017269F" w:rsidRDefault="007659C1" w:rsidP="007659C1">
      <w:pPr>
        <w:pStyle w:val="ManualNumPar1"/>
        <w:rPr>
          <w:noProof/>
        </w:rPr>
      </w:pPr>
      <w:r w:rsidRPr="007659C1">
        <w:rPr>
          <w:noProof/>
        </w:rPr>
        <w:t>8.</w:t>
      </w:r>
      <w:r w:rsidRPr="007659C1">
        <w:rPr>
          <w:noProof/>
        </w:rPr>
        <w:tab/>
      </w:r>
      <w:r w:rsidR="003B410C" w:rsidRPr="0017269F">
        <w:rPr>
          <w:noProof/>
        </w:rPr>
        <w:t>Sąjungos patronuojančioji įmonė grupės lygmens pertvarkymo institucijai individualiai pateikia I priede pateiktuose Z 05.01, Z 05.02, Z 06.00, Z 07.01.1–Z 07.01.5 ir Z 07.04 šablonuose nurodytą informaciją apie visus atitinkamus juridinius asmenis, kurie yra įstaigos.</w:t>
      </w:r>
    </w:p>
    <w:p w:rsidR="003B410C" w:rsidRPr="0017269F" w:rsidRDefault="007659C1" w:rsidP="007659C1">
      <w:pPr>
        <w:pStyle w:val="ManualNumPar1"/>
        <w:rPr>
          <w:noProof/>
        </w:rPr>
      </w:pPr>
      <w:r w:rsidRPr="007659C1">
        <w:rPr>
          <w:noProof/>
        </w:rPr>
        <w:t>9.</w:t>
      </w:r>
      <w:r w:rsidRPr="007659C1">
        <w:rPr>
          <w:noProof/>
        </w:rPr>
        <w:tab/>
      </w:r>
      <w:r w:rsidR="003B410C" w:rsidRPr="0017269F">
        <w:rPr>
          <w:noProof/>
        </w:rPr>
        <w:t>Šio straipsnio 2 dalis, 3 dalies a punktas ir 4, 5 bei 6 dalys taikomi nepaisant bet kokios nuostatos, leidžiančios nukrypti nuo prudencinių reikalavimų taikymo, suteiktos pagal Reglamento (ES) Nr. 575/2013 7 straipsnio 1 arba 3 dalį arba Europos Parlamento ir Tarybos reglamento (ES</w:t>
      </w:r>
      <w:r w:rsidR="003B410C" w:rsidRPr="0017269F">
        <w:rPr>
          <w:noProof/>
          <w:shd w:val="clear" w:color="auto" w:fill="FFFFFF" w:themeFill="background1"/>
        </w:rPr>
        <w:t>) 2019/2033</w:t>
      </w:r>
      <w:r w:rsidR="003B410C" w:rsidRPr="0017269F">
        <w:rPr>
          <w:rStyle w:val="FootnoteReference"/>
          <w:noProof/>
          <w:shd w:val="clear" w:color="auto" w:fill="FFFFFF" w:themeFill="background1"/>
        </w:rPr>
        <w:footnoteReference w:id="8"/>
      </w:r>
      <w:r w:rsidR="003B410C" w:rsidRPr="0017269F">
        <w:rPr>
          <w:noProof/>
          <w:shd w:val="clear" w:color="auto" w:fill="FFFFFF" w:themeFill="background1"/>
        </w:rPr>
        <w:t xml:space="preserve"> 8 straipsnį,</w:t>
      </w:r>
      <w:r w:rsidR="003B410C" w:rsidRPr="0017269F">
        <w:rPr>
          <w:noProof/>
        </w:rPr>
        <w:t xml:space="preserve"> arba bet kokio atleidimo nuo minimalaus nuosavų lėšų ir tinkamų įsipareigojimų reikalavimo taikymo pagal Direktyvos 2014/59/ES 45f straipsnį.</w:t>
      </w:r>
    </w:p>
    <w:p w:rsidR="003B410C" w:rsidRPr="0017269F" w:rsidRDefault="003B410C" w:rsidP="00184085">
      <w:pPr>
        <w:pStyle w:val="Titrearticle"/>
        <w:rPr>
          <w:noProof/>
        </w:rPr>
      </w:pPr>
      <w:r w:rsidRPr="0017269F">
        <w:rPr>
          <w:noProof/>
        </w:rPr>
        <w:t>4 straipsnis</w:t>
      </w:r>
    </w:p>
    <w:p w:rsidR="003B410C" w:rsidRPr="0017269F" w:rsidRDefault="003B410C" w:rsidP="00184085">
      <w:pPr>
        <w:pStyle w:val="Titrearticle"/>
        <w:spacing w:before="0"/>
        <w:rPr>
          <w:b/>
          <w:bCs/>
          <w:i w:val="0"/>
          <w:iCs/>
          <w:noProof/>
        </w:rPr>
      </w:pPr>
      <w:r w:rsidRPr="0017269F">
        <w:rPr>
          <w:b/>
          <w:i w:val="0"/>
          <w:noProof/>
        </w:rPr>
        <w:t>Grupės pertvarkymo informacijos teikimas. Grupės, kurias sudaro tik likviduojami subjektai</w:t>
      </w:r>
    </w:p>
    <w:p w:rsidR="003B410C" w:rsidRPr="0017269F" w:rsidRDefault="00F95432" w:rsidP="00184085">
      <w:pPr>
        <w:rPr>
          <w:noProof/>
        </w:rPr>
      </w:pPr>
      <w:r w:rsidRPr="0017269F">
        <w:rPr>
          <w:noProof/>
        </w:rPr>
        <w:t>Grupės, kurią sudaro tik likviduojami subjektai, kuriems netaikomos supaprastintos pareigos, Sąjungos patronuojančioji įmonė grupės lygmens pertvarkymo institucijai pateikia:</w:t>
      </w:r>
    </w:p>
    <w:p w:rsidR="003B410C" w:rsidRPr="0017269F" w:rsidRDefault="007659C1" w:rsidP="007659C1">
      <w:pPr>
        <w:pStyle w:val="Point0"/>
        <w:rPr>
          <w:noProof/>
        </w:rPr>
      </w:pPr>
      <w:r w:rsidRPr="007659C1">
        <w:rPr>
          <w:noProof/>
        </w:rPr>
        <w:t>(a)</w:t>
      </w:r>
      <w:r w:rsidRPr="007659C1">
        <w:rPr>
          <w:noProof/>
        </w:rPr>
        <w:tab/>
      </w:r>
      <w:r w:rsidR="003B410C" w:rsidRPr="0017269F">
        <w:rPr>
          <w:noProof/>
        </w:rPr>
        <w:t>I priede nustatytuose Z 01.01, Z 01.02, Z 07.01.1–Z 07.01.5 ir Z 09.01 šablonuose nurodytą informaciją apie visus grupės subjektus, Z 02.00 šabloną konsoliduotu pagrindu ir Z 04.00 šabloną apie visų grupės subjektų finansinius tarpusavio ryšius;</w:t>
      </w:r>
    </w:p>
    <w:p w:rsidR="003B410C" w:rsidRPr="0017269F" w:rsidRDefault="007659C1" w:rsidP="007659C1">
      <w:pPr>
        <w:pStyle w:val="Point0"/>
        <w:rPr>
          <w:noProof/>
        </w:rPr>
      </w:pPr>
      <w:r w:rsidRPr="007659C1">
        <w:rPr>
          <w:noProof/>
        </w:rPr>
        <w:t>(b)</w:t>
      </w:r>
      <w:r w:rsidRPr="007659C1">
        <w:rPr>
          <w:noProof/>
        </w:rPr>
        <w:tab/>
      </w:r>
      <w:r w:rsidR="009F0766" w:rsidRPr="0017269F">
        <w:rPr>
          <w:noProof/>
        </w:rPr>
        <w:t>individualiai šio reglamento I priede pateiktuose Z 02.00, Z 05.01, Z 05.02, Z 06.00, Z 07.01.1–Z 07.01.5, Z 07.04 šablonuose nurodytą informaciją apie save ir kiekvieną atitinkamą juridinį asmenį, kuriam pertvarkymo institucija nėra nustačiusi Direktyvos 2014/59/ES 45 straipsnio 1 dalyje nurodyto reikalavimo pagal tos direktyvos 45c straipsnio 2a dalies antrą pastraipą;</w:t>
      </w:r>
    </w:p>
    <w:p w:rsidR="00E522C4" w:rsidRPr="0017269F" w:rsidRDefault="007659C1" w:rsidP="007659C1">
      <w:pPr>
        <w:pStyle w:val="Point0"/>
        <w:rPr>
          <w:noProof/>
        </w:rPr>
      </w:pPr>
      <w:r w:rsidRPr="007659C1">
        <w:rPr>
          <w:noProof/>
        </w:rPr>
        <w:t>(c)</w:t>
      </w:r>
      <w:r w:rsidRPr="007659C1">
        <w:rPr>
          <w:noProof/>
        </w:rPr>
        <w:tab/>
      </w:r>
      <w:r w:rsidR="009F0766" w:rsidRPr="0017269F">
        <w:rPr>
          <w:noProof/>
        </w:rPr>
        <w:t>individualiai šio reglamento I priede pateiktuose Z 02.00, Z 03.01, Z 03.02, Z 05.01, Z 05.02, Z 06.00, Z 07.01.1–Z 07.01.5, Z 07.04 šablonuose nurodytą informaciją apie save ir kiekvieną atitinkamą juridinį asmenį, kuriam pertvarkymo institucija yra nustačiusi Direktyvos 2014/59/ES 45 straipsnio 1 dalyje nurodytą reikalavimą pagal tos direktyvos 45c straipsnio 2a dalies antrą pastraipą.</w:t>
      </w:r>
    </w:p>
    <w:p w:rsidR="00E522C4" w:rsidRPr="0017269F" w:rsidRDefault="00E522C4" w:rsidP="00184085">
      <w:pPr>
        <w:pStyle w:val="Titrearticle"/>
        <w:rPr>
          <w:noProof/>
        </w:rPr>
      </w:pPr>
      <w:r w:rsidRPr="0017269F">
        <w:rPr>
          <w:noProof/>
        </w:rPr>
        <w:t>5 straipsnis</w:t>
      </w:r>
    </w:p>
    <w:p w:rsidR="00E522C4" w:rsidRPr="0017269F" w:rsidRDefault="00E522C4" w:rsidP="00184085">
      <w:pPr>
        <w:pStyle w:val="Titrearticle"/>
        <w:spacing w:before="0"/>
        <w:rPr>
          <w:b/>
          <w:bCs/>
          <w:i w:val="0"/>
          <w:iCs/>
          <w:noProof/>
        </w:rPr>
      </w:pPr>
      <w:r w:rsidRPr="0017269F">
        <w:rPr>
          <w:b/>
          <w:i w:val="0"/>
          <w:noProof/>
        </w:rPr>
        <w:t>Grupės pertvarkymo informacijos teikimo patikslinimai</w:t>
      </w:r>
    </w:p>
    <w:p w:rsidR="00E522C4" w:rsidRPr="0017269F" w:rsidRDefault="007659C1" w:rsidP="007659C1">
      <w:pPr>
        <w:pStyle w:val="ManualNumPar1"/>
        <w:rPr>
          <w:noProof/>
        </w:rPr>
      </w:pPr>
      <w:r w:rsidRPr="007659C1">
        <w:rPr>
          <w:noProof/>
        </w:rPr>
        <w:t>1.</w:t>
      </w:r>
      <w:r w:rsidRPr="007659C1">
        <w:rPr>
          <w:noProof/>
        </w:rPr>
        <w:tab/>
      </w:r>
      <w:r w:rsidR="00E522C4" w:rsidRPr="0017269F">
        <w:rPr>
          <w:noProof/>
        </w:rPr>
        <w:t>Grupės, kurios Sąjungos patronuojančioji įmonė yra likviduojamas subjektas ir kurią sudaro pertvarkytini subjektai, atveju Sąjungos patronuojančioji įmonė pateikia:</w:t>
      </w:r>
    </w:p>
    <w:p w:rsidR="00E522C4" w:rsidRPr="0017269F" w:rsidRDefault="007659C1" w:rsidP="007659C1">
      <w:pPr>
        <w:pStyle w:val="Point1"/>
        <w:rPr>
          <w:noProof/>
        </w:rPr>
      </w:pPr>
      <w:r w:rsidRPr="007659C1">
        <w:rPr>
          <w:noProof/>
        </w:rPr>
        <w:t>(a)</w:t>
      </w:r>
      <w:r w:rsidRPr="007659C1">
        <w:rPr>
          <w:noProof/>
        </w:rPr>
        <w:tab/>
      </w:r>
      <w:r w:rsidR="000C210A" w:rsidRPr="0017269F">
        <w:rPr>
          <w:noProof/>
        </w:rPr>
        <w:t>pertvarkytinoms grupėms priklausančių grupės subjektų atveju – 3 straipsnyje nurodytą informaciją;</w:t>
      </w:r>
    </w:p>
    <w:p w:rsidR="00E522C4" w:rsidRPr="0017269F" w:rsidRDefault="007659C1" w:rsidP="007659C1">
      <w:pPr>
        <w:pStyle w:val="Point1"/>
        <w:rPr>
          <w:noProof/>
        </w:rPr>
      </w:pPr>
      <w:r w:rsidRPr="007659C1">
        <w:rPr>
          <w:noProof/>
        </w:rPr>
        <w:t>(b)</w:t>
      </w:r>
      <w:r w:rsidRPr="007659C1">
        <w:rPr>
          <w:noProof/>
        </w:rPr>
        <w:tab/>
      </w:r>
      <w:r w:rsidR="000C210A" w:rsidRPr="0017269F">
        <w:rPr>
          <w:noProof/>
        </w:rPr>
        <w:t>likviduojamų subjektų, kuriems netaikomos supaprastintos pareigos ir kurie nepriklauso jokiai pertvarkytinai grupei, atveju – 4 straipsnyje nurodytą informaciją.</w:t>
      </w:r>
    </w:p>
    <w:p w:rsidR="00E522C4" w:rsidRPr="0017269F" w:rsidRDefault="007659C1" w:rsidP="007659C1">
      <w:pPr>
        <w:pStyle w:val="ManualNumPar1"/>
        <w:rPr>
          <w:noProof/>
        </w:rPr>
      </w:pPr>
      <w:r w:rsidRPr="007659C1">
        <w:rPr>
          <w:noProof/>
        </w:rPr>
        <w:t>2.</w:t>
      </w:r>
      <w:r w:rsidRPr="007659C1">
        <w:rPr>
          <w:noProof/>
        </w:rPr>
        <w:tab/>
      </w:r>
      <w:r w:rsidR="00E522C4" w:rsidRPr="0017269F">
        <w:rPr>
          <w:noProof/>
        </w:rPr>
        <w:t>Direktyvos 2014/59/ES 2 straipsnio 1 dalies 83b punkto b papunktyje nurodytos pertvarkytinos grupės atveju šio reglamento 3 straipsnyje nurodytą informaciją pateikia bent vienas iš grupės pertvarkytinų subjektų. Ta informacija veiksmingai apima visas tos pertvarkytinos grupės centrinės įstaigos nuolat kontroliuojamas kredito įstaigas, pačią centrinę įstaigą ir atitinkamas jų patronuojamąsias įmones atitinkamai individualiai, iš dalies konsoliduotai ir konsoliduotai.</w:t>
      </w:r>
    </w:p>
    <w:p w:rsidR="00E522C4" w:rsidRPr="0017269F" w:rsidRDefault="00E522C4" w:rsidP="00184085">
      <w:pPr>
        <w:pStyle w:val="Titrearticle"/>
        <w:rPr>
          <w:noProof/>
        </w:rPr>
      </w:pPr>
      <w:r w:rsidRPr="0017269F">
        <w:rPr>
          <w:noProof/>
        </w:rPr>
        <w:t>6 straipsnis</w:t>
      </w:r>
    </w:p>
    <w:p w:rsidR="00E522C4" w:rsidRPr="0017269F" w:rsidRDefault="00E522C4" w:rsidP="00184085">
      <w:pPr>
        <w:pStyle w:val="Titrearticle"/>
        <w:spacing w:before="0"/>
        <w:rPr>
          <w:b/>
          <w:bCs/>
          <w:i w:val="0"/>
          <w:iCs/>
          <w:noProof/>
        </w:rPr>
      </w:pPr>
      <w:r w:rsidRPr="0017269F">
        <w:rPr>
          <w:b/>
          <w:i w:val="0"/>
          <w:noProof/>
        </w:rPr>
        <w:t>Informacijos teikimo dažnumas, ataskaitinės datos ir pateikimo datos</w:t>
      </w:r>
    </w:p>
    <w:p w:rsidR="00E522C4" w:rsidRPr="0017269F" w:rsidRDefault="007659C1" w:rsidP="007659C1">
      <w:pPr>
        <w:pStyle w:val="ManualNumPar1"/>
        <w:rPr>
          <w:noProof/>
        </w:rPr>
      </w:pPr>
      <w:r w:rsidRPr="007659C1">
        <w:rPr>
          <w:noProof/>
        </w:rPr>
        <w:t>1.</w:t>
      </w:r>
      <w:r w:rsidRPr="007659C1">
        <w:rPr>
          <w:noProof/>
        </w:rPr>
        <w:tab/>
      </w:r>
      <w:r w:rsidR="00E522C4" w:rsidRPr="0017269F">
        <w:rPr>
          <w:noProof/>
        </w:rPr>
        <w:t>Įstaigos arba, grupių atveju, Sąjungos patronuojančiosios įmonės teikia 2–5 straipsniuose nurodytą informaciją taip:</w:t>
      </w:r>
    </w:p>
    <w:p w:rsidR="00E522C4" w:rsidRPr="0017269F" w:rsidRDefault="007659C1" w:rsidP="007659C1">
      <w:pPr>
        <w:pStyle w:val="Point1"/>
        <w:rPr>
          <w:noProof/>
        </w:rPr>
      </w:pPr>
      <w:r w:rsidRPr="007659C1">
        <w:rPr>
          <w:noProof/>
        </w:rPr>
        <w:t>(a)</w:t>
      </w:r>
      <w:r w:rsidRPr="007659C1">
        <w:rPr>
          <w:noProof/>
        </w:rPr>
        <w:tab/>
      </w:r>
      <w:r w:rsidR="00A071C3" w:rsidRPr="0017269F">
        <w:rPr>
          <w:noProof/>
        </w:rPr>
        <w:t xml:space="preserve">skirtą </w:t>
      </w:r>
      <w:bookmarkStart w:id="3" w:name="_Hlk188952542"/>
      <w:r w:rsidR="00A071C3" w:rsidRPr="0017269F">
        <w:rPr>
          <w:noProof/>
        </w:rPr>
        <w:t>Z 01.01, Z 01.02, Z 02.00, Z 03.01, Z 03.02, Z 04.00, Z 05.01, Z 05.02, Z 06.00 ir Z 11.00–Z 17.00</w:t>
      </w:r>
      <w:bookmarkEnd w:id="3"/>
      <w:r w:rsidR="00A071C3" w:rsidRPr="0017269F">
        <w:rPr>
          <w:noProof/>
        </w:rPr>
        <w:t xml:space="preserve"> šablonams – ne vėliau kaip kiekvienų metų kovo 31 d. paskutinės praėjusių kalendorinių metų dienos informaciją;</w:t>
      </w:r>
    </w:p>
    <w:p w:rsidR="00E522C4" w:rsidRPr="0017269F" w:rsidRDefault="007659C1" w:rsidP="007659C1">
      <w:pPr>
        <w:pStyle w:val="Point1"/>
        <w:rPr>
          <w:noProof/>
        </w:rPr>
      </w:pPr>
      <w:r w:rsidRPr="007659C1">
        <w:rPr>
          <w:noProof/>
        </w:rPr>
        <w:t>(b)</w:t>
      </w:r>
      <w:r w:rsidRPr="007659C1">
        <w:rPr>
          <w:noProof/>
        </w:rPr>
        <w:tab/>
      </w:r>
      <w:r w:rsidR="003F636B" w:rsidRPr="0017269F">
        <w:rPr>
          <w:noProof/>
        </w:rPr>
        <w:t xml:space="preserve">skirtą Z 07.01.1–Z 07.04, Z 08.01–Z 08.05 ir Z 09.01–Z 09.04 šablonams – ne vėliau kaip kiekvienų metų balandžio 30 d. paskutinės praėjusių kalendorinių metų dienos informaciją. </w:t>
      </w:r>
    </w:p>
    <w:p w:rsidR="003F636B" w:rsidRPr="0017269F" w:rsidRDefault="003F636B" w:rsidP="00184085">
      <w:pPr>
        <w:pStyle w:val="Text1"/>
        <w:rPr>
          <w:noProof/>
        </w:rPr>
      </w:pPr>
      <w:r w:rsidRPr="0017269F">
        <w:rPr>
          <w:noProof/>
        </w:rPr>
        <w:t>Taikant a punktą, jeigu kovo 31 d. yra nedarbo diena, informacija pateikiama kitą darbo dieną.</w:t>
      </w:r>
    </w:p>
    <w:p w:rsidR="003F636B" w:rsidRPr="0017269F" w:rsidRDefault="003F636B" w:rsidP="00184085">
      <w:pPr>
        <w:pStyle w:val="Text1"/>
        <w:rPr>
          <w:noProof/>
        </w:rPr>
      </w:pPr>
      <w:r w:rsidRPr="0017269F">
        <w:rPr>
          <w:noProof/>
        </w:rPr>
        <w:t>Taikant b punktą, jeigu balandžio 30 d. yra nedarbo diena, informacija pateikiama kitą darbo dieną.</w:t>
      </w:r>
    </w:p>
    <w:p w:rsidR="00E522C4" w:rsidRPr="0017269F" w:rsidRDefault="007659C1" w:rsidP="007659C1">
      <w:pPr>
        <w:pStyle w:val="ManualNumPar1"/>
        <w:rPr>
          <w:noProof/>
        </w:rPr>
      </w:pPr>
      <w:r w:rsidRPr="007659C1">
        <w:rPr>
          <w:noProof/>
        </w:rPr>
        <w:t>2.</w:t>
      </w:r>
      <w:r w:rsidRPr="007659C1">
        <w:rPr>
          <w:noProof/>
        </w:rPr>
        <w:tab/>
      </w:r>
      <w:r w:rsidR="00E522C4" w:rsidRPr="0017269F">
        <w:rPr>
          <w:noProof/>
        </w:rPr>
        <w:t>Pertvarkymo institucijos nurodo, ar informacija turi būti tiesiogiai pateikta pertvarkymo institucijai, ar vietoj to, kai taikytina, ji turi būti pateikta kompetentingai institucijai.</w:t>
      </w:r>
    </w:p>
    <w:p w:rsidR="00E522C4" w:rsidRPr="0017269F" w:rsidRDefault="007659C1" w:rsidP="007659C1">
      <w:pPr>
        <w:pStyle w:val="ManualNumPar1"/>
        <w:rPr>
          <w:noProof/>
        </w:rPr>
      </w:pPr>
      <w:r w:rsidRPr="007659C1">
        <w:rPr>
          <w:noProof/>
        </w:rPr>
        <w:t>3.</w:t>
      </w:r>
      <w:r w:rsidRPr="007659C1">
        <w:rPr>
          <w:noProof/>
        </w:rPr>
        <w:tab/>
      </w:r>
      <w:r w:rsidR="00E522C4" w:rsidRPr="0017269F">
        <w:rPr>
          <w:noProof/>
        </w:rPr>
        <w:t xml:space="preserve">Įstaigos arba, grupių atveju, Sąjungos patronuojančiosios įmonės gali pateikti neaudituotus duomenis. Jeigu audituoti duomenys skiriasi nuo pateiktų neaudituotų duomenų, nedelsiant pateikiami patikslinti audituoti duomenys. </w:t>
      </w:r>
    </w:p>
    <w:p w:rsidR="00E522C4" w:rsidRPr="0017269F" w:rsidRDefault="007659C1" w:rsidP="007659C1">
      <w:pPr>
        <w:pStyle w:val="ManualNumPar1"/>
        <w:rPr>
          <w:noProof/>
        </w:rPr>
      </w:pPr>
      <w:r w:rsidRPr="007659C1">
        <w:rPr>
          <w:noProof/>
        </w:rPr>
        <w:t>4.</w:t>
      </w:r>
      <w:r w:rsidRPr="007659C1">
        <w:rPr>
          <w:noProof/>
        </w:rPr>
        <w:tab/>
      </w:r>
      <w:r w:rsidR="00E522C4" w:rsidRPr="0017269F">
        <w:rPr>
          <w:noProof/>
        </w:rPr>
        <w:t xml:space="preserve">3 dalyje neaudituoti duomenys yra duomenys, dėl kurių negauta išorės auditoriaus nuomonė, o audituoti duomenys yra duomenys, kuriuos auditavo ir audito nuomonę pateikė išorės auditorius. </w:t>
      </w:r>
    </w:p>
    <w:p w:rsidR="00E522C4" w:rsidRPr="0017269F" w:rsidRDefault="007659C1" w:rsidP="007659C1">
      <w:pPr>
        <w:pStyle w:val="ManualNumPar1"/>
        <w:rPr>
          <w:noProof/>
        </w:rPr>
      </w:pPr>
      <w:r w:rsidRPr="007659C1">
        <w:rPr>
          <w:noProof/>
        </w:rPr>
        <w:t>5.</w:t>
      </w:r>
      <w:r w:rsidRPr="007659C1">
        <w:rPr>
          <w:noProof/>
        </w:rPr>
        <w:tab/>
      </w:r>
      <w:r w:rsidR="00E522C4" w:rsidRPr="0017269F">
        <w:rPr>
          <w:noProof/>
        </w:rPr>
        <w:t>Pateiktų ataskaitų pataisyti duomenys pateikiami nedelsiant.</w:t>
      </w:r>
    </w:p>
    <w:p w:rsidR="00E522C4" w:rsidRPr="0017269F" w:rsidRDefault="00E522C4" w:rsidP="00184085">
      <w:pPr>
        <w:pStyle w:val="Titrearticle"/>
        <w:rPr>
          <w:noProof/>
        </w:rPr>
      </w:pPr>
      <w:r w:rsidRPr="0017269F">
        <w:rPr>
          <w:noProof/>
        </w:rPr>
        <w:t>7 straipsnis</w:t>
      </w:r>
    </w:p>
    <w:p w:rsidR="00E522C4" w:rsidRPr="0017269F" w:rsidRDefault="00E522C4" w:rsidP="00184085">
      <w:pPr>
        <w:pStyle w:val="Titrearticle"/>
        <w:spacing w:before="0"/>
        <w:rPr>
          <w:b/>
          <w:bCs/>
          <w:i w:val="0"/>
          <w:iCs/>
          <w:noProof/>
        </w:rPr>
      </w:pPr>
      <w:r w:rsidRPr="0017269F">
        <w:rPr>
          <w:b/>
          <w:i w:val="0"/>
          <w:noProof/>
        </w:rPr>
        <w:t>Keitimosi duomenimis formatai ir prie teikiamos informacijos pridedami duomenys</w:t>
      </w:r>
    </w:p>
    <w:p w:rsidR="00E522C4" w:rsidRPr="0017269F" w:rsidRDefault="007659C1" w:rsidP="007659C1">
      <w:pPr>
        <w:pStyle w:val="ManualNumPar1"/>
        <w:rPr>
          <w:noProof/>
        </w:rPr>
      </w:pPr>
      <w:r w:rsidRPr="007659C1">
        <w:rPr>
          <w:noProof/>
        </w:rPr>
        <w:t>1.</w:t>
      </w:r>
      <w:r w:rsidRPr="007659C1">
        <w:rPr>
          <w:noProof/>
        </w:rPr>
        <w:tab/>
      </w:r>
      <w:r w:rsidR="00E522C4" w:rsidRPr="0017269F">
        <w:rPr>
          <w:noProof/>
        </w:rPr>
        <w:t xml:space="preserve">Įstaigos arba, grupių atveju, Sąjungos patronuojančiosios įmonės 2–5 straipsniuose nurodytą informaciją teikia, kaip nurodyta I priede pateiktuose šablonuose, pertvarkymo institucijų nustatytais keitimosi duomenimis formatais ir pateikimo būdais, laikydamosi duomenų vienetų apibrėžčių, įtrauktų į II priede nurodytą bendrą duomenų vienetų modelį, ir III priede nurodytų patvirtinimo taisyklių. </w:t>
      </w:r>
    </w:p>
    <w:p w:rsidR="00E522C4" w:rsidRPr="0017269F" w:rsidRDefault="007659C1" w:rsidP="007659C1">
      <w:pPr>
        <w:pStyle w:val="ManualNumPar1"/>
        <w:rPr>
          <w:noProof/>
        </w:rPr>
      </w:pPr>
      <w:r w:rsidRPr="007659C1">
        <w:rPr>
          <w:noProof/>
        </w:rPr>
        <w:t>2.</w:t>
      </w:r>
      <w:r w:rsidRPr="007659C1">
        <w:rPr>
          <w:noProof/>
        </w:rPr>
        <w:tab/>
      </w:r>
      <w:r w:rsidR="00E522C4" w:rsidRPr="0017269F">
        <w:rPr>
          <w:noProof/>
        </w:rPr>
        <w:t>Be 1 dalyje nurodytos pareigos, įstaigos arba, grupių atveju, Sąjungos patronuojančiosios įmonės užtikrina, kad:</w:t>
      </w:r>
    </w:p>
    <w:p w:rsidR="00E522C4" w:rsidRPr="0017269F" w:rsidRDefault="007659C1" w:rsidP="007659C1">
      <w:pPr>
        <w:pStyle w:val="Point1"/>
        <w:rPr>
          <w:noProof/>
        </w:rPr>
      </w:pPr>
      <w:r w:rsidRPr="007659C1">
        <w:rPr>
          <w:noProof/>
        </w:rPr>
        <w:t>(a)</w:t>
      </w:r>
      <w:r w:rsidRPr="007659C1">
        <w:rPr>
          <w:noProof/>
        </w:rPr>
        <w:tab/>
      </w:r>
      <w:r w:rsidR="00E522C4" w:rsidRPr="0017269F">
        <w:rPr>
          <w:noProof/>
        </w:rPr>
        <w:t>skaitinės reikšmės būtų pateikiamos taip:</w:t>
      </w:r>
    </w:p>
    <w:p w:rsidR="00E522C4" w:rsidRPr="0017269F" w:rsidRDefault="00E522C4" w:rsidP="00184085">
      <w:pPr>
        <w:pStyle w:val="Point2"/>
        <w:rPr>
          <w:noProof/>
        </w:rPr>
      </w:pPr>
      <w:r w:rsidRPr="0017269F">
        <w:rPr>
          <w:noProof/>
        </w:rPr>
        <w:t>i)</w:t>
      </w:r>
      <w:r w:rsidRPr="0017269F">
        <w:rPr>
          <w:noProof/>
        </w:rPr>
        <w:tab/>
        <w:t xml:space="preserve">duomenų vienetai, kurių duomenų rūšis yra „piniginė vertė“, nurodomi mažiausiai dešimt tūkstančių vienetų tikslumu; </w:t>
      </w:r>
    </w:p>
    <w:p w:rsidR="00E522C4" w:rsidRPr="0017269F" w:rsidRDefault="00E522C4" w:rsidP="00184085">
      <w:pPr>
        <w:pStyle w:val="Point2"/>
        <w:rPr>
          <w:noProof/>
        </w:rPr>
      </w:pPr>
      <w:r w:rsidRPr="0017269F">
        <w:rPr>
          <w:noProof/>
        </w:rPr>
        <w:t>ii)</w:t>
      </w:r>
      <w:r w:rsidRPr="0017269F">
        <w:rPr>
          <w:noProof/>
        </w:rPr>
        <w:tab/>
        <w:t>duomenų vienetai, kurių duomenų rūšis yra „procentinė dalis“, nurodomi vienetais mažiausiai dešimttūkstantųjų tikslumu;</w:t>
      </w:r>
    </w:p>
    <w:p w:rsidR="00E522C4" w:rsidRPr="0017269F" w:rsidRDefault="00E522C4" w:rsidP="00184085">
      <w:pPr>
        <w:pStyle w:val="Point2"/>
        <w:rPr>
          <w:noProof/>
        </w:rPr>
      </w:pPr>
      <w:r w:rsidRPr="0017269F">
        <w:rPr>
          <w:noProof/>
        </w:rPr>
        <w:t>iii)</w:t>
      </w:r>
      <w:r w:rsidRPr="0017269F">
        <w:rPr>
          <w:noProof/>
        </w:rPr>
        <w:tab/>
        <w:t>duomenų vienetai, kurių duomenų rūšis yra „sveikasis skaičius“, nurodomi nenaudojant dešimtainių skaičių, vienetų tikslumu;</w:t>
      </w:r>
    </w:p>
    <w:p w:rsidR="00E522C4" w:rsidRPr="0017269F" w:rsidRDefault="007659C1" w:rsidP="007659C1">
      <w:pPr>
        <w:pStyle w:val="Point1"/>
        <w:rPr>
          <w:noProof/>
        </w:rPr>
      </w:pPr>
      <w:r w:rsidRPr="007659C1">
        <w:rPr>
          <w:noProof/>
        </w:rPr>
        <w:t>(b)</w:t>
      </w:r>
      <w:r w:rsidRPr="007659C1">
        <w:rPr>
          <w:noProof/>
        </w:rPr>
        <w:tab/>
      </w:r>
      <w:r w:rsidR="00E522C4" w:rsidRPr="0017269F">
        <w:rPr>
          <w:noProof/>
        </w:rPr>
        <w:t>įstaigos ir draudimo įmonės būtų identifikuojamos tik pagal jų juridinio asmens identifikatorių;</w:t>
      </w:r>
    </w:p>
    <w:p w:rsidR="00E522C4" w:rsidRPr="0017269F" w:rsidRDefault="007659C1" w:rsidP="007659C1">
      <w:pPr>
        <w:pStyle w:val="Point1"/>
        <w:rPr>
          <w:noProof/>
        </w:rPr>
      </w:pPr>
      <w:r w:rsidRPr="007659C1">
        <w:rPr>
          <w:noProof/>
        </w:rPr>
        <w:t>(c)</w:t>
      </w:r>
      <w:r w:rsidRPr="007659C1">
        <w:rPr>
          <w:noProof/>
        </w:rPr>
        <w:tab/>
      </w:r>
      <w:r w:rsidR="00E522C4" w:rsidRPr="0017269F">
        <w:rPr>
          <w:noProof/>
        </w:rPr>
        <w:t>juridiniai asmenys ir sandorio šalys, išskyrus įstaigas ir draudimo įmones, būtų identifikuojami pagal jų juridinio asmens identifikatorių, jei toks yra;</w:t>
      </w:r>
    </w:p>
    <w:p w:rsidR="0046629F" w:rsidRPr="0017269F" w:rsidRDefault="007659C1" w:rsidP="007659C1">
      <w:pPr>
        <w:pStyle w:val="Point1"/>
        <w:rPr>
          <w:noProof/>
        </w:rPr>
      </w:pPr>
      <w:r w:rsidRPr="007659C1">
        <w:rPr>
          <w:noProof/>
        </w:rPr>
        <w:t>(d)</w:t>
      </w:r>
      <w:r w:rsidRPr="007659C1">
        <w:rPr>
          <w:noProof/>
        </w:rPr>
        <w:tab/>
      </w:r>
      <w:r w:rsidR="0046629F" w:rsidRPr="0017269F">
        <w:rPr>
          <w:noProof/>
        </w:rPr>
        <w:t>nereikalaujama arba netaikoma informacija į pateikiamus duomenis būtų neįtraukiama.</w:t>
      </w:r>
    </w:p>
    <w:p w:rsidR="00E522C4" w:rsidRPr="0017269F" w:rsidRDefault="007659C1" w:rsidP="007659C1">
      <w:pPr>
        <w:pStyle w:val="ManualNumPar1"/>
        <w:rPr>
          <w:noProof/>
        </w:rPr>
      </w:pPr>
      <w:r w:rsidRPr="007659C1">
        <w:rPr>
          <w:noProof/>
        </w:rPr>
        <w:t>3.</w:t>
      </w:r>
      <w:r w:rsidRPr="007659C1">
        <w:rPr>
          <w:noProof/>
        </w:rPr>
        <w:tab/>
      </w:r>
      <w:r w:rsidR="004B472A" w:rsidRPr="0017269F">
        <w:rPr>
          <w:noProof/>
        </w:rPr>
        <w:t>Įstaigos arba, grupių atveju, Sąjungos patronuojančiosios įmonės kartu su teikiamais duomenimis pateikia šią informaciją:</w:t>
      </w:r>
    </w:p>
    <w:p w:rsidR="004B472A" w:rsidRPr="0017269F" w:rsidRDefault="007659C1" w:rsidP="007659C1">
      <w:pPr>
        <w:pStyle w:val="Point1"/>
        <w:rPr>
          <w:noProof/>
        </w:rPr>
      </w:pPr>
      <w:r w:rsidRPr="007659C1">
        <w:rPr>
          <w:noProof/>
        </w:rPr>
        <w:t>(a)</w:t>
      </w:r>
      <w:r w:rsidRPr="007659C1">
        <w:rPr>
          <w:noProof/>
        </w:rPr>
        <w:tab/>
      </w:r>
      <w:r w:rsidR="004B472A" w:rsidRPr="0017269F">
        <w:rPr>
          <w:noProof/>
        </w:rPr>
        <w:t>ataskaitinę datą;</w:t>
      </w:r>
    </w:p>
    <w:p w:rsidR="004B472A" w:rsidRPr="0017269F" w:rsidRDefault="007659C1" w:rsidP="007659C1">
      <w:pPr>
        <w:pStyle w:val="Point1"/>
        <w:rPr>
          <w:noProof/>
        </w:rPr>
      </w:pPr>
      <w:r w:rsidRPr="007659C1">
        <w:rPr>
          <w:noProof/>
        </w:rPr>
        <w:t>(b)</w:t>
      </w:r>
      <w:r w:rsidRPr="007659C1">
        <w:rPr>
          <w:noProof/>
        </w:rPr>
        <w:tab/>
      </w:r>
      <w:r w:rsidR="004B472A" w:rsidRPr="0017269F">
        <w:rPr>
          <w:noProof/>
        </w:rPr>
        <w:t>ataskaitose nurodomą valiutą;</w:t>
      </w:r>
    </w:p>
    <w:p w:rsidR="004B472A" w:rsidRPr="0017269F" w:rsidRDefault="007659C1" w:rsidP="007659C1">
      <w:pPr>
        <w:pStyle w:val="Point1"/>
        <w:rPr>
          <w:noProof/>
        </w:rPr>
      </w:pPr>
      <w:r w:rsidRPr="007659C1">
        <w:rPr>
          <w:noProof/>
        </w:rPr>
        <w:t>(c)</w:t>
      </w:r>
      <w:r w:rsidRPr="007659C1">
        <w:rPr>
          <w:noProof/>
        </w:rPr>
        <w:tab/>
      </w:r>
      <w:r w:rsidR="004B472A" w:rsidRPr="0017269F">
        <w:rPr>
          <w:noProof/>
        </w:rPr>
        <w:t>apskaitos standartą;</w:t>
      </w:r>
    </w:p>
    <w:p w:rsidR="004B472A" w:rsidRPr="0017269F" w:rsidRDefault="007659C1" w:rsidP="007659C1">
      <w:pPr>
        <w:pStyle w:val="Point1"/>
        <w:rPr>
          <w:noProof/>
        </w:rPr>
      </w:pPr>
      <w:r w:rsidRPr="007659C1">
        <w:rPr>
          <w:noProof/>
        </w:rPr>
        <w:t>(d)</w:t>
      </w:r>
      <w:r w:rsidRPr="007659C1">
        <w:rPr>
          <w:noProof/>
        </w:rPr>
        <w:tab/>
      </w:r>
      <w:r w:rsidR="004B472A" w:rsidRPr="0017269F">
        <w:rPr>
          <w:noProof/>
        </w:rPr>
        <w:t>informaciją teikiančio subjekto juridinio asmens identifikatorių;</w:t>
      </w:r>
    </w:p>
    <w:p w:rsidR="004B472A" w:rsidRPr="0017269F" w:rsidRDefault="007659C1" w:rsidP="007659C1">
      <w:pPr>
        <w:pStyle w:val="Point1"/>
        <w:rPr>
          <w:noProof/>
        </w:rPr>
      </w:pPr>
      <w:r w:rsidRPr="007659C1">
        <w:rPr>
          <w:noProof/>
        </w:rPr>
        <w:t>(e)</w:t>
      </w:r>
      <w:r w:rsidRPr="007659C1">
        <w:rPr>
          <w:noProof/>
        </w:rPr>
        <w:tab/>
      </w:r>
      <w:r w:rsidR="004B472A" w:rsidRPr="0017269F">
        <w:rPr>
          <w:noProof/>
        </w:rPr>
        <w:t>taikymo lygį, kaip nustatyta 2, 3 ir 4 straipsniuose.</w:t>
      </w:r>
    </w:p>
    <w:p w:rsidR="004B472A" w:rsidRPr="0017269F" w:rsidRDefault="004B472A" w:rsidP="00184085">
      <w:pPr>
        <w:pStyle w:val="Titrearticle"/>
        <w:rPr>
          <w:noProof/>
        </w:rPr>
      </w:pPr>
      <w:bookmarkStart w:id="4" w:name="_Hlk169616472"/>
      <w:r w:rsidRPr="0017269F">
        <w:rPr>
          <w:noProof/>
        </w:rPr>
        <w:t>8 straipsnis</w:t>
      </w:r>
    </w:p>
    <w:p w:rsidR="004B472A" w:rsidRPr="0017269F" w:rsidRDefault="004B472A" w:rsidP="00184085">
      <w:pPr>
        <w:pStyle w:val="Titrearticle"/>
        <w:spacing w:before="0"/>
        <w:rPr>
          <w:b/>
          <w:bCs/>
          <w:i w:val="0"/>
          <w:iCs/>
          <w:noProof/>
        </w:rPr>
      </w:pPr>
      <w:r w:rsidRPr="0017269F">
        <w:rPr>
          <w:b/>
          <w:i w:val="0"/>
          <w:noProof/>
        </w:rPr>
        <w:t xml:space="preserve">Individualiems arba grupės pertvarkymo planams rengti skirtos papildomos informacijos teikimas </w:t>
      </w:r>
    </w:p>
    <w:bookmarkEnd w:id="4"/>
    <w:p w:rsidR="00FA69C1" w:rsidRPr="0017269F" w:rsidRDefault="007659C1" w:rsidP="007659C1">
      <w:pPr>
        <w:pStyle w:val="ManualNumPar1"/>
        <w:rPr>
          <w:noProof/>
        </w:rPr>
      </w:pPr>
      <w:r w:rsidRPr="007659C1">
        <w:rPr>
          <w:noProof/>
        </w:rPr>
        <w:t>1.</w:t>
      </w:r>
      <w:r w:rsidRPr="007659C1">
        <w:rPr>
          <w:noProof/>
        </w:rPr>
        <w:tab/>
      </w:r>
      <w:r w:rsidR="00C747E3" w:rsidRPr="0017269F">
        <w:rPr>
          <w:noProof/>
        </w:rPr>
        <w:t>Pertvarkymo institucija arba grupės lygmens pertvarkymo institucija prašo atitinkamos įstaigos arba Sąjungos patronuojančiosios įmonės pateikti papildomos informacijos arba informaciją pateikti nauju formatu, kai taikoma kuri nors iš šių sąlygų:</w:t>
      </w:r>
    </w:p>
    <w:p w:rsidR="00FA69C1" w:rsidRPr="0017269F" w:rsidRDefault="007659C1" w:rsidP="007659C1">
      <w:pPr>
        <w:pStyle w:val="Point1"/>
        <w:rPr>
          <w:noProof/>
        </w:rPr>
      </w:pPr>
      <w:r w:rsidRPr="007659C1">
        <w:rPr>
          <w:noProof/>
        </w:rPr>
        <w:t>(a)</w:t>
      </w:r>
      <w:r w:rsidRPr="007659C1">
        <w:rPr>
          <w:noProof/>
        </w:rPr>
        <w:tab/>
      </w:r>
      <w:r w:rsidR="00FA69C1" w:rsidRPr="0017269F">
        <w:rPr>
          <w:noProof/>
        </w:rPr>
        <w:t>pertvarkymo institucija arba grupės lygmens pertvarkymo institucija mano, kad tokiai informacijai netaikomas joks I priede pateiktas šablonas ir ji yra būtina pertvarkymo planams parengti ir įgyvendinti;</w:t>
      </w:r>
    </w:p>
    <w:p w:rsidR="00FA69C1" w:rsidRPr="0017269F" w:rsidRDefault="007659C1" w:rsidP="007659C1">
      <w:pPr>
        <w:pStyle w:val="Point1"/>
        <w:rPr>
          <w:noProof/>
        </w:rPr>
      </w:pPr>
      <w:r w:rsidRPr="007659C1">
        <w:rPr>
          <w:noProof/>
        </w:rPr>
        <w:t>(b)</w:t>
      </w:r>
      <w:r w:rsidRPr="007659C1">
        <w:rPr>
          <w:noProof/>
        </w:rPr>
        <w:tab/>
      </w:r>
      <w:r w:rsidR="00FA69C1" w:rsidRPr="0017269F">
        <w:rPr>
          <w:noProof/>
        </w:rPr>
        <w:t>pertvarkymo institucija arba grupės lygmens pertvarkymo institucija mano, kad, norint parengti ir įgyvendinti pertvarkymo planus, būtina gauti tokią informaciją iš subjektų, kuriems taikomos supaprastintos pareigos;</w:t>
      </w:r>
    </w:p>
    <w:p w:rsidR="00FA69C1" w:rsidRPr="0017269F" w:rsidRDefault="007659C1" w:rsidP="007659C1">
      <w:pPr>
        <w:pStyle w:val="Point1"/>
        <w:rPr>
          <w:noProof/>
        </w:rPr>
      </w:pPr>
      <w:r w:rsidRPr="007659C1">
        <w:rPr>
          <w:noProof/>
        </w:rPr>
        <w:t>(c)</w:t>
      </w:r>
      <w:r w:rsidRPr="007659C1">
        <w:rPr>
          <w:noProof/>
        </w:rPr>
        <w:tab/>
      </w:r>
      <w:r w:rsidR="00FA69C1" w:rsidRPr="0017269F">
        <w:rPr>
          <w:noProof/>
        </w:rPr>
        <w:t>formatas, kuriuo kompetentinga institucija pateikia informaciją pagal 9 straipsnio 2 dalį, nėra tinkamas pertvarkymo planams rengti ar įgyvendinti.</w:t>
      </w:r>
    </w:p>
    <w:p w:rsidR="004B472A" w:rsidRPr="0017269F" w:rsidRDefault="007659C1" w:rsidP="007659C1">
      <w:pPr>
        <w:pStyle w:val="ManualNumPar1"/>
        <w:rPr>
          <w:noProof/>
        </w:rPr>
      </w:pPr>
      <w:r w:rsidRPr="007659C1">
        <w:rPr>
          <w:noProof/>
        </w:rPr>
        <w:t>2.</w:t>
      </w:r>
      <w:r w:rsidRPr="007659C1">
        <w:rPr>
          <w:noProof/>
        </w:rPr>
        <w:tab/>
      </w:r>
      <w:r w:rsidR="004B472A" w:rsidRPr="0017269F">
        <w:rPr>
          <w:noProof/>
        </w:rPr>
        <w:t>Teikdama 1 dalyje nurodytą prašymą, pertvarkymo institucija:</w:t>
      </w:r>
    </w:p>
    <w:p w:rsidR="004B472A" w:rsidRPr="0017269F" w:rsidRDefault="007659C1" w:rsidP="007659C1">
      <w:pPr>
        <w:pStyle w:val="Point1"/>
        <w:rPr>
          <w:noProof/>
        </w:rPr>
      </w:pPr>
      <w:r w:rsidRPr="007659C1">
        <w:rPr>
          <w:noProof/>
        </w:rPr>
        <w:t>(a)</w:t>
      </w:r>
      <w:r w:rsidRPr="007659C1">
        <w:rPr>
          <w:noProof/>
        </w:rPr>
        <w:tab/>
      </w:r>
      <w:r w:rsidR="004B472A" w:rsidRPr="0017269F">
        <w:rPr>
          <w:noProof/>
        </w:rPr>
        <w:t>nurodo, kokia papildoma informacija turi būti pateikta;</w:t>
      </w:r>
    </w:p>
    <w:p w:rsidR="004B472A" w:rsidRPr="0017269F" w:rsidRDefault="007659C1" w:rsidP="007659C1">
      <w:pPr>
        <w:pStyle w:val="Point1"/>
        <w:rPr>
          <w:noProof/>
        </w:rPr>
      </w:pPr>
      <w:r w:rsidRPr="007659C1">
        <w:rPr>
          <w:noProof/>
        </w:rPr>
        <w:t>(b)</w:t>
      </w:r>
      <w:r w:rsidRPr="007659C1">
        <w:rPr>
          <w:noProof/>
        </w:rPr>
        <w:tab/>
      </w:r>
      <w:r w:rsidR="004B472A" w:rsidRPr="0017269F">
        <w:rPr>
          <w:noProof/>
        </w:rPr>
        <w:t>atsižvelgdama į reikalaujamos informacijos apimtį ir sudėtingumą nurodo tinkamą laikotarpį, per kurį įstaiga arba, grupių atveju, Sąjungos patronuojančioji įmonė pertvarkymo institucijai pateikia informaciją;</w:t>
      </w:r>
    </w:p>
    <w:p w:rsidR="004B472A" w:rsidRPr="0017269F" w:rsidRDefault="007659C1" w:rsidP="007659C1">
      <w:pPr>
        <w:pStyle w:val="Point1"/>
        <w:rPr>
          <w:noProof/>
        </w:rPr>
      </w:pPr>
      <w:r w:rsidRPr="007659C1">
        <w:rPr>
          <w:noProof/>
        </w:rPr>
        <w:t>(c)</w:t>
      </w:r>
      <w:r w:rsidRPr="007659C1">
        <w:rPr>
          <w:noProof/>
        </w:rPr>
        <w:tab/>
      </w:r>
      <w:r w:rsidR="004B472A" w:rsidRPr="0017269F">
        <w:rPr>
          <w:noProof/>
        </w:rPr>
        <w:t>nurodo formatą, kurį naudodamos įstaigos arba, grupių atveju, Sąjungos patronuojančiosios įmonės turi pateikti informaciją pertvarkymo institucijai;</w:t>
      </w:r>
    </w:p>
    <w:p w:rsidR="004B472A" w:rsidRPr="0017269F" w:rsidRDefault="007659C1" w:rsidP="007659C1">
      <w:pPr>
        <w:pStyle w:val="Point1"/>
        <w:rPr>
          <w:noProof/>
        </w:rPr>
      </w:pPr>
      <w:r w:rsidRPr="007659C1">
        <w:rPr>
          <w:noProof/>
        </w:rPr>
        <w:t>(d)</w:t>
      </w:r>
      <w:r w:rsidRPr="007659C1">
        <w:rPr>
          <w:noProof/>
        </w:rPr>
        <w:tab/>
      </w:r>
      <w:r w:rsidR="004B472A" w:rsidRPr="0017269F">
        <w:rPr>
          <w:noProof/>
        </w:rPr>
        <w:t>nurodo, ar informacija turi būti pateikta individualiai, iš dalies konsoliduotai, ar konsoliduotai ir ar jos aprėptis yra vietos, Sąjungos, ar pasaulinio masto;</w:t>
      </w:r>
    </w:p>
    <w:p w:rsidR="004B472A" w:rsidRPr="0017269F" w:rsidRDefault="007659C1" w:rsidP="007659C1">
      <w:pPr>
        <w:pStyle w:val="Point1"/>
        <w:rPr>
          <w:noProof/>
        </w:rPr>
      </w:pPr>
      <w:r w:rsidRPr="007659C1">
        <w:rPr>
          <w:noProof/>
        </w:rPr>
        <w:t>(e)</w:t>
      </w:r>
      <w:r w:rsidRPr="007659C1">
        <w:rPr>
          <w:noProof/>
        </w:rPr>
        <w:tab/>
      </w:r>
      <w:r w:rsidR="004B472A" w:rsidRPr="0017269F">
        <w:rPr>
          <w:noProof/>
        </w:rPr>
        <w:t>nurodo tikslų gavėją, keitimosi duomenimis formatus ir informaciją, kurie turi būti pridedami prie teikiamos informacijos, jei reikia pateikti papildomos informacijos.</w:t>
      </w:r>
    </w:p>
    <w:p w:rsidR="004B472A" w:rsidRPr="0017269F" w:rsidRDefault="004B472A" w:rsidP="00184085">
      <w:pPr>
        <w:pStyle w:val="Titrearticle"/>
        <w:rPr>
          <w:noProof/>
        </w:rPr>
      </w:pPr>
      <w:r w:rsidRPr="0017269F">
        <w:rPr>
          <w:noProof/>
        </w:rPr>
        <w:t>9 straipsnis</w:t>
      </w:r>
    </w:p>
    <w:p w:rsidR="004B472A" w:rsidRPr="0017269F" w:rsidRDefault="004B472A" w:rsidP="00184085">
      <w:pPr>
        <w:pStyle w:val="Titrearticle"/>
        <w:spacing w:before="0"/>
        <w:rPr>
          <w:b/>
          <w:bCs/>
          <w:i w:val="0"/>
          <w:iCs/>
          <w:noProof/>
        </w:rPr>
      </w:pPr>
      <w:r w:rsidRPr="0017269F">
        <w:rPr>
          <w:b/>
          <w:i w:val="0"/>
          <w:noProof/>
        </w:rPr>
        <w:t>Kompetentingų institucijų ir pertvarkymo institucijų bendradarbiavimas</w:t>
      </w:r>
    </w:p>
    <w:p w:rsidR="004B472A" w:rsidRPr="0017269F" w:rsidRDefault="007659C1" w:rsidP="007659C1">
      <w:pPr>
        <w:pStyle w:val="ManualNumPar1"/>
        <w:rPr>
          <w:noProof/>
        </w:rPr>
      </w:pPr>
      <w:r w:rsidRPr="007659C1">
        <w:rPr>
          <w:noProof/>
        </w:rPr>
        <w:t>1.</w:t>
      </w:r>
      <w:r w:rsidRPr="007659C1">
        <w:rPr>
          <w:noProof/>
        </w:rPr>
        <w:tab/>
      </w:r>
      <w:r w:rsidR="004B472A" w:rsidRPr="0017269F">
        <w:rPr>
          <w:noProof/>
        </w:rPr>
        <w:t>Kompetentingos institucijos ir pertvarkymo institucijos kartu patikrina, ar kompetentinga institucija dar nėra gavusi dalies arba visos informacijos, pertvarkymo institucijai teiktinos pagal 2–5 straipsnius ir 7 bei 8 straipsnius.</w:t>
      </w:r>
    </w:p>
    <w:p w:rsidR="004B472A" w:rsidRPr="0017269F" w:rsidRDefault="007659C1" w:rsidP="007659C1">
      <w:pPr>
        <w:pStyle w:val="ManualNumPar1"/>
        <w:rPr>
          <w:noProof/>
        </w:rPr>
      </w:pPr>
      <w:r w:rsidRPr="007659C1">
        <w:rPr>
          <w:noProof/>
        </w:rPr>
        <w:t>2.</w:t>
      </w:r>
      <w:r w:rsidRPr="007659C1">
        <w:rPr>
          <w:noProof/>
        </w:rPr>
        <w:tab/>
      </w:r>
      <w:r w:rsidR="004B472A" w:rsidRPr="0017269F">
        <w:rPr>
          <w:noProof/>
        </w:rPr>
        <w:t xml:space="preserve">Jei kompetentinga institucija jau turi visą informaciją ar jos dalį, ji tą informaciją laiku pateikia pertvarkymo institucijai. </w:t>
      </w:r>
    </w:p>
    <w:p w:rsidR="004B472A" w:rsidRPr="0017269F" w:rsidRDefault="007659C1" w:rsidP="007659C1">
      <w:pPr>
        <w:pStyle w:val="ManualNumPar1"/>
        <w:rPr>
          <w:noProof/>
        </w:rPr>
      </w:pPr>
      <w:r w:rsidRPr="007659C1">
        <w:rPr>
          <w:noProof/>
        </w:rPr>
        <w:t>3.</w:t>
      </w:r>
      <w:r w:rsidRPr="007659C1">
        <w:rPr>
          <w:noProof/>
        </w:rPr>
        <w:tab/>
      </w:r>
      <w:r w:rsidR="00914032" w:rsidRPr="0017269F">
        <w:rPr>
          <w:noProof/>
        </w:rPr>
        <w:t>2 dalies tikslais pertvarkymo institucijos informuoja įstaigas arba, grupių atveju, Sąjungos patronuojančiąsias įmones apie tai, kokius duomenis reikia įtraukti teikiant informaciją pagal šį reglamentą. Tą informaciją pertvarkymo institucijos įvardija darydamos nuorodą į I priede pateiktus šablonus.</w:t>
      </w:r>
    </w:p>
    <w:p w:rsidR="004B472A" w:rsidRPr="0017269F" w:rsidRDefault="004B472A" w:rsidP="00184085">
      <w:pPr>
        <w:pStyle w:val="Titrearticle"/>
        <w:rPr>
          <w:noProof/>
        </w:rPr>
      </w:pPr>
      <w:r w:rsidRPr="0017269F">
        <w:rPr>
          <w:noProof/>
        </w:rPr>
        <w:t>10 straipsnis</w:t>
      </w:r>
    </w:p>
    <w:p w:rsidR="004B472A" w:rsidRPr="0017269F" w:rsidRDefault="004B472A" w:rsidP="00184085">
      <w:pPr>
        <w:pStyle w:val="Titrearticle"/>
        <w:spacing w:before="0"/>
        <w:rPr>
          <w:b/>
          <w:bCs/>
          <w:i w:val="0"/>
          <w:iCs/>
          <w:noProof/>
        </w:rPr>
      </w:pPr>
      <w:r w:rsidRPr="0017269F">
        <w:rPr>
          <w:b/>
          <w:i w:val="0"/>
          <w:noProof/>
        </w:rPr>
        <w:t>Panaikinimas</w:t>
      </w:r>
    </w:p>
    <w:p w:rsidR="004B472A" w:rsidRPr="0017269F" w:rsidRDefault="004B472A" w:rsidP="00184085">
      <w:pPr>
        <w:rPr>
          <w:noProof/>
        </w:rPr>
      </w:pPr>
      <w:r w:rsidRPr="0017269F">
        <w:rPr>
          <w:noProof/>
        </w:rPr>
        <w:t>Įgyvendinimo reglamentas (ES) 2018/1624 panaikinamas.</w:t>
      </w:r>
    </w:p>
    <w:p w:rsidR="004B472A" w:rsidRPr="0017269F" w:rsidRDefault="004B472A" w:rsidP="00184085">
      <w:pPr>
        <w:rPr>
          <w:noProof/>
        </w:rPr>
      </w:pPr>
      <w:r w:rsidRPr="0017269F">
        <w:rPr>
          <w:noProof/>
        </w:rPr>
        <w:t>Nuorodos į panaikintą įgyvendinimo reglamentą laikomos nuorodomis į šį reglamentą.</w:t>
      </w:r>
    </w:p>
    <w:p w:rsidR="00860655" w:rsidRPr="0017269F" w:rsidRDefault="00860655" w:rsidP="00184085">
      <w:pPr>
        <w:pStyle w:val="Titrearticle"/>
        <w:rPr>
          <w:noProof/>
        </w:rPr>
      </w:pPr>
      <w:r w:rsidRPr="0017269F">
        <w:rPr>
          <w:noProof/>
        </w:rPr>
        <w:t>11 straipsnis</w:t>
      </w:r>
    </w:p>
    <w:p w:rsidR="004B472A" w:rsidRPr="0017269F" w:rsidRDefault="004B472A" w:rsidP="00184085">
      <w:pPr>
        <w:pStyle w:val="Titrearticle"/>
        <w:spacing w:before="0"/>
        <w:rPr>
          <w:b/>
          <w:bCs/>
          <w:i w:val="0"/>
          <w:iCs/>
          <w:noProof/>
        </w:rPr>
      </w:pPr>
      <w:r w:rsidRPr="0017269F">
        <w:rPr>
          <w:b/>
          <w:i w:val="0"/>
          <w:noProof/>
        </w:rPr>
        <w:t>Įsigaliojimas</w:t>
      </w:r>
    </w:p>
    <w:p w:rsidR="00860655" w:rsidRPr="0017269F" w:rsidRDefault="00860655" w:rsidP="00184085">
      <w:pPr>
        <w:rPr>
          <w:noProof/>
        </w:rPr>
      </w:pPr>
      <w:r w:rsidRPr="0017269F">
        <w:rPr>
          <w:noProof/>
        </w:rPr>
        <w:t xml:space="preserve">Šis reglamentas įsigalioja dvidešimtą dieną po jo paskelbimo </w:t>
      </w:r>
      <w:r w:rsidRPr="0017269F">
        <w:rPr>
          <w:i/>
          <w:noProof/>
        </w:rPr>
        <w:t>Europos Sąjungos oficialiajame leidinyje</w:t>
      </w:r>
      <w:r w:rsidRPr="0017269F">
        <w:rPr>
          <w:noProof/>
        </w:rPr>
        <w:t>.</w:t>
      </w:r>
    </w:p>
    <w:p w:rsidR="00860655" w:rsidRPr="0017269F" w:rsidRDefault="00860655" w:rsidP="000C0F86">
      <w:pPr>
        <w:pStyle w:val="Applicationdirecte"/>
        <w:keepNext/>
        <w:keepLines/>
        <w:rPr>
          <w:noProof/>
        </w:rPr>
      </w:pPr>
      <w:r w:rsidRPr="0017269F">
        <w:rPr>
          <w:noProof/>
        </w:rPr>
        <w:t>Šis reglamentas privalomas visas ir tiesiogiai taikomas visose valstybėse narėse.</w:t>
      </w:r>
    </w:p>
    <w:p w:rsidR="00860655" w:rsidRPr="0017269F" w:rsidRDefault="004C5D99" w:rsidP="000C0F86">
      <w:pPr>
        <w:pStyle w:val="Fait"/>
        <w:rPr>
          <w:noProof/>
        </w:rPr>
      </w:pPr>
      <w:r>
        <w:rPr>
          <w:noProof/>
        </w:rPr>
        <w:t>Priimta Briuselyje 2025 11 14</w:t>
      </w:r>
    </w:p>
    <w:p w:rsidR="00860655" w:rsidRPr="0017269F" w:rsidRDefault="00860655" w:rsidP="000C0F86">
      <w:pPr>
        <w:pStyle w:val="Institutionquisigne"/>
        <w:rPr>
          <w:noProof/>
        </w:rPr>
      </w:pPr>
      <w:r w:rsidRPr="0017269F">
        <w:rPr>
          <w:noProof/>
        </w:rPr>
        <w:tab/>
        <w:t>Komisijos vardu</w:t>
      </w:r>
    </w:p>
    <w:p w:rsidR="00860655" w:rsidRPr="0017269F" w:rsidRDefault="00AC5C53" w:rsidP="00184085">
      <w:pPr>
        <w:pStyle w:val="Personnequisigne"/>
        <w:rPr>
          <w:noProof/>
        </w:rPr>
      </w:pPr>
      <w:r>
        <w:rPr>
          <w:noProof/>
        </w:rPr>
        <w:tab/>
        <w:t>Pirmininkė</w:t>
      </w:r>
      <w:r>
        <w:rPr>
          <w:noProof/>
        </w:rPr>
        <w:br/>
      </w:r>
      <w:r>
        <w:rPr>
          <w:noProof/>
        </w:rPr>
        <w:tab/>
        <w:t>Ursula VON DER LEYEN</w:t>
      </w:r>
    </w:p>
    <w:sectPr w:rsidR="00860655" w:rsidRPr="0017269F" w:rsidSect="00E45E1A">
      <w:headerReference w:type="even" r:id="rId13"/>
      <w:footerReference w:type="even" r:id="rId14"/>
      <w:footerReference w:type="default" r:id="rId15"/>
      <w:headerReference w:type="first" r:id="rId16"/>
      <w:footerReference w:type="first" r:id="rId1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1FA" w:rsidRDefault="004D41FA" w:rsidP="00860655">
      <w:pPr>
        <w:spacing w:before="0" w:after="0"/>
      </w:pPr>
      <w:r>
        <w:separator/>
      </w:r>
    </w:p>
  </w:endnote>
  <w:endnote w:type="continuationSeparator" w:id="0">
    <w:p w:rsidR="004D41FA" w:rsidRDefault="004D41FA" w:rsidP="00860655">
      <w:pPr>
        <w:spacing w:before="0" w:after="0"/>
      </w:pPr>
      <w:r>
        <w:continuationSeparator/>
      </w:r>
    </w:p>
  </w:endnote>
  <w:endnote w:type="continuationNotice" w:id="1">
    <w:p w:rsidR="004D41FA" w:rsidRDefault="004D41F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E1A" w:rsidRPr="00E45E1A" w:rsidRDefault="00E45E1A" w:rsidP="00E45E1A">
    <w:pPr>
      <w:pStyle w:val="Footer"/>
      <w:rPr>
        <w:rFonts w:ascii="Arial" w:hAnsi="Arial" w:cs="Arial"/>
        <w:b/>
        <w:sz w:val="48"/>
      </w:rPr>
    </w:pPr>
    <w:r w:rsidRPr="00E45E1A">
      <w:rPr>
        <w:rFonts w:ascii="Arial" w:hAnsi="Arial" w:cs="Arial"/>
        <w:b/>
        <w:sz w:val="48"/>
      </w:rPr>
      <w:t>LT</w:t>
    </w:r>
    <w:r w:rsidRPr="00E45E1A">
      <w:rPr>
        <w:rFonts w:ascii="Arial" w:hAnsi="Arial" w:cs="Arial"/>
        <w:b/>
        <w:sz w:val="48"/>
      </w:rPr>
      <w:tab/>
    </w:r>
    <w:r w:rsidRPr="00E45E1A">
      <w:rPr>
        <w:rFonts w:ascii="Arial" w:hAnsi="Arial" w:cs="Arial"/>
        <w:b/>
        <w:sz w:val="48"/>
      </w:rPr>
      <w:tab/>
    </w:r>
    <w:r w:rsidRPr="00E45E1A">
      <w:tab/>
    </w:r>
    <w:r w:rsidRPr="00E45E1A">
      <w:rPr>
        <w:rFonts w:ascii="Arial" w:hAnsi="Arial" w:cs="Arial"/>
        <w:b/>
        <w:sz w:val="48"/>
      </w:rPr>
      <w:t>LT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E1A" w:rsidRPr="00E45E1A" w:rsidRDefault="00E45E1A" w:rsidP="00E45E1A">
    <w:pPr>
      <w:pStyle w:val="Footer"/>
      <w:rPr>
        <w:rFonts w:ascii="Arial" w:hAnsi="Arial" w:cs="Arial"/>
        <w:b/>
        <w:sz w:val="48"/>
      </w:rPr>
    </w:pPr>
    <w:r w:rsidRPr="00E45E1A">
      <w:rPr>
        <w:rFonts w:ascii="Arial" w:hAnsi="Arial" w:cs="Arial"/>
        <w:b/>
        <w:sz w:val="48"/>
      </w:rPr>
      <w:t>LT</w:t>
    </w:r>
    <w:r w:rsidRPr="00E45E1A">
      <w:rPr>
        <w:rFonts w:ascii="Arial" w:hAnsi="Arial" w:cs="Arial"/>
        <w:b/>
        <w:sz w:val="48"/>
      </w:rPr>
      <w:tab/>
    </w:r>
    <w:r w:rsidRPr="00E45E1A">
      <w:rPr>
        <w:rFonts w:ascii="Arial" w:hAnsi="Arial" w:cs="Arial"/>
        <w:b/>
        <w:sz w:val="48"/>
      </w:rPr>
      <w:tab/>
    </w:r>
    <w:r w:rsidRPr="00E45E1A">
      <w:tab/>
    </w:r>
    <w:r w:rsidRPr="00E45E1A">
      <w:rPr>
        <w:rFonts w:ascii="Arial" w:hAnsi="Arial" w:cs="Arial"/>
        <w:b/>
        <w:sz w:val="48"/>
      </w:rPr>
      <w:t>LT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E1A" w:rsidRDefault="00E45E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E1A" w:rsidRPr="00E45E1A" w:rsidRDefault="00E45E1A" w:rsidP="00E45E1A">
    <w:pPr>
      <w:pStyle w:val="Footer"/>
      <w:rPr>
        <w:rFonts w:ascii="Arial" w:hAnsi="Arial" w:cs="Arial"/>
        <w:b/>
        <w:sz w:val="48"/>
      </w:rPr>
    </w:pPr>
    <w:r w:rsidRPr="00E45E1A">
      <w:rPr>
        <w:rFonts w:ascii="Arial" w:hAnsi="Arial" w:cs="Arial"/>
        <w:b/>
        <w:sz w:val="48"/>
      </w:rPr>
      <w:t>LT</w:t>
    </w:r>
    <w:r w:rsidRPr="00E45E1A">
      <w:rPr>
        <w:rFonts w:ascii="Arial" w:hAnsi="Arial" w:cs="Arial"/>
        <w:b/>
        <w:sz w:val="48"/>
      </w:rPr>
      <w:tab/>
    </w:r>
    <w:r>
      <w:fldChar w:fldCharType="begin"/>
    </w:r>
    <w:r>
      <w:instrText xml:space="preserve"> PAGE  \* MERGEFORMAT </w:instrText>
    </w:r>
    <w:r>
      <w:fldChar w:fldCharType="separate"/>
    </w:r>
    <w:r w:rsidR="000C0F86">
      <w:rPr>
        <w:noProof/>
      </w:rPr>
      <w:t>1</w:t>
    </w:r>
    <w:r>
      <w:fldChar w:fldCharType="end"/>
    </w:r>
    <w:r>
      <w:tab/>
    </w:r>
    <w:r w:rsidRPr="00E45E1A">
      <w:tab/>
    </w:r>
    <w:r w:rsidRPr="00E45E1A">
      <w:rPr>
        <w:rFonts w:ascii="Arial" w:hAnsi="Arial" w:cs="Arial"/>
        <w:b/>
        <w:sz w:val="48"/>
      </w:rPr>
      <w:t>LT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E1A" w:rsidRDefault="00E45E1A" w:rsidP="00E45E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1FA" w:rsidRDefault="004D41FA" w:rsidP="00860655">
      <w:pPr>
        <w:spacing w:before="0" w:after="0"/>
      </w:pPr>
      <w:r>
        <w:separator/>
      </w:r>
    </w:p>
  </w:footnote>
  <w:footnote w:type="continuationSeparator" w:id="0">
    <w:p w:rsidR="004D41FA" w:rsidRDefault="004D41FA" w:rsidP="00860655">
      <w:pPr>
        <w:spacing w:before="0" w:after="0"/>
      </w:pPr>
      <w:r>
        <w:continuationSeparator/>
      </w:r>
    </w:p>
  </w:footnote>
  <w:footnote w:type="continuationNotice" w:id="1">
    <w:p w:rsidR="004D41FA" w:rsidRDefault="004D41FA">
      <w:pPr>
        <w:spacing w:before="0" w:after="0"/>
      </w:pPr>
    </w:p>
  </w:footnote>
  <w:footnote w:id="2">
    <w:p w:rsidR="00860655" w:rsidRPr="0032641B" w:rsidRDefault="00860655" w:rsidP="00730DBE">
      <w:pPr>
        <w:pStyle w:val="FootnoteText"/>
      </w:pPr>
      <w:r>
        <w:rPr>
          <w:rStyle w:val="FootnoteReference"/>
        </w:rPr>
        <w:footnoteRef/>
      </w:r>
      <w:r>
        <w:tab/>
        <w:t>OL L 173, 2014 6 12, p. 190. ELI: http://data.europa.eu/eli/dir/2014/59/oj.</w:t>
      </w:r>
    </w:p>
  </w:footnote>
  <w:footnote w:id="3">
    <w:p w:rsidR="00736C47" w:rsidRPr="004E6E7D" w:rsidRDefault="00736C47">
      <w:pPr>
        <w:pStyle w:val="FootnoteText"/>
      </w:pPr>
      <w:r>
        <w:rPr>
          <w:rStyle w:val="FootnoteReference"/>
        </w:rPr>
        <w:footnoteRef/>
      </w:r>
      <w:r>
        <w:tab/>
        <w:t>2018 m. spalio 23 d. Komisijos įgyvendinimo reglamentas (ES) 2018/1624, kuriuo nustatomi kredito įstaigų ir investicinių įmonių pertvarkymo planams rengti skirtos informacijos teikimo pagal Europos Parlamento ir Tarybos direktyvą 2014/59/ES tvarkos, standartinių formų ir šablonų techniniai įgyvendinimo standartai ir panaikinamas Komisijos įgyvendinimo reglamentas (ES) 2016/1066, (OL L 277, 2018 11 7, p. 1, ELI: http://data.europa.eu/eli/reg_impl/2018/1624/oj).</w:t>
      </w:r>
    </w:p>
  </w:footnote>
  <w:footnote w:id="4">
    <w:p w:rsidR="00736C47" w:rsidRPr="004E6E7D" w:rsidRDefault="00736C47">
      <w:pPr>
        <w:pStyle w:val="FootnoteText"/>
      </w:pPr>
      <w:r>
        <w:rPr>
          <w:rStyle w:val="FootnoteReference"/>
        </w:rPr>
        <w:footnoteRef/>
      </w:r>
      <w:r>
        <w:tab/>
        <w:t>2024 m. balandžio 11 d. Europos Parlamento ir Tarybos direktyva (ES) 2024/1174, kuria iš dalies keičiama Direktyva 2014/59/ES ir Reglamentas (ES) Nr. 806/2014, kiek tai susiję su tam tikrais minimalaus nuosavų lėšų ir tinkamų įsipareigojimų reikalavimo aspektais, (OL L, 2024/1174, 2024 4 22, p. 1, ELI: http://data.europa.eu/eli/dir/2024/1174/oj).</w:t>
      </w:r>
    </w:p>
  </w:footnote>
  <w:footnote w:id="5">
    <w:p w:rsidR="00736C47" w:rsidRPr="004E6E7D" w:rsidRDefault="00736C47">
      <w:pPr>
        <w:pStyle w:val="FootnoteText"/>
      </w:pPr>
      <w:r>
        <w:rPr>
          <w:rStyle w:val="FootnoteReference"/>
        </w:rPr>
        <w:footnoteRef/>
      </w:r>
      <w:r>
        <w:tab/>
        <w:t>2010 m. lapkričio 24 d. Europos Parlamento ir Tarybos reglamentas (ES) Nr. 1093/2010, kuriuo įsteigiama Europos priežiūros institucija (Europos bankininkystės institucija), iš dalies keičiamas Sprendimas Nr. 716/2009/EB ir panaikinamas Komisijos sprendimas 2009/78/EB, (OL L 331, 2010 12 15, p. 12, ELI: http://data.europa.eu/eli/reg/2010/1093/oj).</w:t>
      </w:r>
    </w:p>
  </w:footnote>
  <w:footnote w:id="6">
    <w:p w:rsidR="00736C47" w:rsidRPr="004E6E7D" w:rsidRDefault="00736C47">
      <w:pPr>
        <w:pStyle w:val="FootnoteText"/>
      </w:pPr>
      <w:r>
        <w:rPr>
          <w:rStyle w:val="FootnoteReference"/>
        </w:rPr>
        <w:footnoteRef/>
      </w:r>
      <w:r>
        <w:tab/>
        <w:t>2013 m. birželio 26 d. Europos Parlamento ir Tarybos reglamentas (ES) Nr. 575/2013 dėl riziką ribojančių reikalavimų kredito įstaigoms, kuriuo iš dalies keičiamas Reglamentas (ES) Nr. 648/2012, (OL L 176, 2013 6 27, p. 1, ELI: http://data.europa.eu/eli/reg/2013/575/oj).</w:t>
      </w:r>
    </w:p>
  </w:footnote>
  <w:footnote w:id="7">
    <w:p w:rsidR="00736C47" w:rsidRPr="004E6E7D" w:rsidRDefault="00736C47">
      <w:pPr>
        <w:pStyle w:val="FootnoteText"/>
      </w:pPr>
      <w:r>
        <w:rPr>
          <w:rStyle w:val="FootnoteReference"/>
        </w:rPr>
        <w:footnoteRef/>
      </w:r>
      <w:r>
        <w:tab/>
        <w:t>2013 m. birželio 26 d. Europos Parlamento ir Tarybos direktyva 2013/36/ES dėl galimybės verstis kredito įstaigų veikla ir dėl prudencinės kredito įstaigų priežiūros, kuria iš dalies keičiama Direktyva 2002/87/EB ir panaikinamos direktyvos 2006/48/EB bei 2006/49/EB, (OL L 176, 2013 6 27, p. 338, ELI: http://data.europa.eu/eli/dir/2013/36/oj).</w:t>
      </w:r>
    </w:p>
  </w:footnote>
  <w:footnote w:id="8">
    <w:p w:rsidR="00736C47" w:rsidRPr="00736C47" w:rsidRDefault="00736C47">
      <w:pPr>
        <w:pStyle w:val="FootnoteText"/>
      </w:pPr>
      <w:r>
        <w:rPr>
          <w:rStyle w:val="FootnoteReference"/>
        </w:rPr>
        <w:footnoteRef/>
      </w:r>
      <w:r>
        <w:tab/>
        <w:t>2019 m. lapkričio 27 d. Europos Parlamento ir Tarybos reglamentas (ES) 2019/2033 dėl riziką ribojančių reikalavimų investicinėms įmonėms, kuriuo iš dalies keičiami reglamentai (ES) Nr. 1093/2010, (ES) Nr. 575/2013, (ES) Nr. 600/2014 ir (ES) Nr. 806/2014, (OL L 314, 2019 12 5, p. 1, ELI: http://data.europa.eu/eli/reg/2019/2033/oj).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E1A" w:rsidRDefault="00E45E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E1A" w:rsidRDefault="00E45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8E3654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DBDAEC8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159EC9E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EF4347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3E0704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BDE0D4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209086B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999"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2"/>
  </w:num>
  <w:num w:numId="22">
    <w:abstractNumId w:val="1"/>
  </w:num>
  <w:num w:numId="23">
    <w:abstractNumId w:val="0"/>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2"/>
  </w:num>
  <w:num w:numId="28">
    <w:abstractNumId w:val="21"/>
  </w:num>
  <w:num w:numId="29">
    <w:abstractNumId w:val="11"/>
  </w:num>
  <w:num w:numId="30">
    <w:abstractNumId w:val="13"/>
  </w:num>
  <w:num w:numId="31">
    <w:abstractNumId w:val="14"/>
  </w:num>
  <w:num w:numId="32">
    <w:abstractNumId w:val="9"/>
  </w:num>
  <w:num w:numId="33">
    <w:abstractNumId w:val="20"/>
  </w:num>
  <w:num w:numId="34">
    <w:abstractNumId w:val="8"/>
  </w:num>
  <w:num w:numId="35">
    <w:abstractNumId w:val="15"/>
  </w:num>
  <w:num w:numId="36">
    <w:abstractNumId w:val="17"/>
  </w:num>
  <w:num w:numId="37">
    <w:abstractNumId w:val="18"/>
  </w:num>
  <w:num w:numId="38">
    <w:abstractNumId w:val="10"/>
  </w:num>
  <w:num w:numId="39">
    <w:abstractNumId w:val="16"/>
  </w:num>
  <w:num w:numId="40">
    <w:abstractNumId w:val="2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11-07 10:07:0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83177177-A969-4C19-9985-5E8EE1D55355"/>
    <w:docVar w:name="LW_COVERPAGE_TYPE" w:val="1"/>
    <w:docVar w:name="LW_CreatedUtc" w:val="2025-04-09T13:24:10.7425134Z"/>
    <w:docVar w:name="LW_CROSSREFERENCE" w:val="&lt;UNUSED&gt;"/>
    <w:docVar w:name="LW_DATE.ADOPT.CP" w:val="2025 11 14"/>
    <w:docVar w:name="LW_DATE.ADOPT.CP_DATEFORMAT" w:val="%DATE%"/>
    <w:docVar w:name="LW_DATE.ADOPT.CP_ISODATE" w:val="2025-11-14"/>
    <w:docVar w:name="LW_DocType" w:val="COM"/>
    <w:docVar w:name="LW_EMISSION" w:val="2025 11 14"/>
    <w:docVar w:name="LW_EMISSION_ISODATE" w:val="2025-11-14"/>
    <w:docVar w:name="LW_EMISSION_LOCATION" w:val="BRX"/>
    <w:docVar w:name="LW_EMISSION_PREFIX" w:val="Briuselis, "/>
    <w:docVar w:name="LW_EMISSION_SUFFIX" w:val=" "/>
    <w:docVar w:name="LW_ID_DOCMODEL" w:val="SJ-004"/>
    <w:docVar w:name="LW_ID_DOCSIGNATURE" w:val="SJ-004"/>
    <w:docVar w:name="LW_ID_DOCSTRUCTURE" w:val="COM/AA"/>
    <w:docVar w:name="LW_ID_DOCTYPE" w:val="SJ-004"/>
    <w:docVar w:name="LW_INTERETEEE.CP" w:val="(Tekstas svarbus EEE)"/>
    <w:docVar w:name="LW_LANGUE" w:val="LT"/>
    <w:docVar w:name="LW_LANGUESFAISANTFOI.CP" w:val="&lt;UNUSED&gt;"/>
    <w:docVar w:name="LW_LEVEL_OF_SENSITIVITY" w:val="Standard treatment"/>
    <w:docVar w:name="LW_NOM.INST" w:val="EUROPOS KOMISIJA"/>
    <w:docVar w:name="LW_NOM.INST_JOINTDOC" w:val="&lt;EMPTY&gt;"/>
    <w:docVar w:name="LW_PART_NBR" w:val="1"/>
    <w:docVar w:name="LW_PART_NBR_TOTAL" w:val="1"/>
    <w:docVar w:name="LW_REF.INST.NEW" w:val="C"/>
    <w:docVar w:name="LW_REF.INST.NEW_ADOPTED" w:val="final"/>
    <w:docVar w:name="LW_REF.INST.NEW_TEXT" w:val="(2025) 7604"/>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kuriuo nustatomi kredito \u303?staig\u371? ir investicini\u371? \u303?moni\u371? pertvarkymo planams rengti skirtos informacijos teikimo pagal Europos Parlamento ir Tarybos direktyv\u261? 2014/59/ES tvarkos, standartini\u371? form\u371? ir \u353?ablon\u371? techniniai \u303?gyvendinimo standartai ir panaikinamas Komisijos \u303?gyvendinimo reglamentas (ES) 2018/1624"/>
    <w:docVar w:name="LW_TYPE.DOC.CP" w:val="KOMISIJOS \u302?GYVENDINIMO REGLAMENTAS (ES) \u8230?/..."/>
    <w:docVar w:name="LwApiVersions" w:val="LW4CoDe 1.24.5.0; LW 9.0, Build 20240221"/>
  </w:docVars>
  <w:rsids>
    <w:rsidRoot w:val="00860655"/>
    <w:rsid w:val="00003E9B"/>
    <w:rsid w:val="00010444"/>
    <w:rsid w:val="00011152"/>
    <w:rsid w:val="00011674"/>
    <w:rsid w:val="00012E4C"/>
    <w:rsid w:val="00014FF9"/>
    <w:rsid w:val="00016E59"/>
    <w:rsid w:val="00022F96"/>
    <w:rsid w:val="0002348F"/>
    <w:rsid w:val="00027EC1"/>
    <w:rsid w:val="0003106A"/>
    <w:rsid w:val="0003600A"/>
    <w:rsid w:val="0003664D"/>
    <w:rsid w:val="000378CA"/>
    <w:rsid w:val="000401A4"/>
    <w:rsid w:val="0004065D"/>
    <w:rsid w:val="00045BE7"/>
    <w:rsid w:val="00047494"/>
    <w:rsid w:val="00047CCB"/>
    <w:rsid w:val="00047CE8"/>
    <w:rsid w:val="00051A55"/>
    <w:rsid w:val="000532DF"/>
    <w:rsid w:val="000575BB"/>
    <w:rsid w:val="0006043D"/>
    <w:rsid w:val="000609EC"/>
    <w:rsid w:val="00061265"/>
    <w:rsid w:val="0006320D"/>
    <w:rsid w:val="000638D2"/>
    <w:rsid w:val="00063900"/>
    <w:rsid w:val="0006413C"/>
    <w:rsid w:val="000669F1"/>
    <w:rsid w:val="0007008A"/>
    <w:rsid w:val="0007047E"/>
    <w:rsid w:val="000707FA"/>
    <w:rsid w:val="000727CE"/>
    <w:rsid w:val="0007402A"/>
    <w:rsid w:val="000754EB"/>
    <w:rsid w:val="000767F8"/>
    <w:rsid w:val="0008385B"/>
    <w:rsid w:val="00087FE9"/>
    <w:rsid w:val="00093169"/>
    <w:rsid w:val="000957E1"/>
    <w:rsid w:val="000A49B6"/>
    <w:rsid w:val="000A656F"/>
    <w:rsid w:val="000B1A72"/>
    <w:rsid w:val="000B2421"/>
    <w:rsid w:val="000B6438"/>
    <w:rsid w:val="000B6760"/>
    <w:rsid w:val="000B7A7D"/>
    <w:rsid w:val="000C0F86"/>
    <w:rsid w:val="000C1802"/>
    <w:rsid w:val="000C210A"/>
    <w:rsid w:val="000C304C"/>
    <w:rsid w:val="000C36F8"/>
    <w:rsid w:val="000C3748"/>
    <w:rsid w:val="000C4922"/>
    <w:rsid w:val="000D227C"/>
    <w:rsid w:val="000D6FC6"/>
    <w:rsid w:val="000E0DA5"/>
    <w:rsid w:val="000E2702"/>
    <w:rsid w:val="000E311F"/>
    <w:rsid w:val="000E5382"/>
    <w:rsid w:val="000E5409"/>
    <w:rsid w:val="000E58A4"/>
    <w:rsid w:val="000F1205"/>
    <w:rsid w:val="000F26F3"/>
    <w:rsid w:val="000F3FEE"/>
    <w:rsid w:val="000F4965"/>
    <w:rsid w:val="000F5A92"/>
    <w:rsid w:val="000F5B02"/>
    <w:rsid w:val="000F6B3D"/>
    <w:rsid w:val="000F74CC"/>
    <w:rsid w:val="00100587"/>
    <w:rsid w:val="00101DF1"/>
    <w:rsid w:val="001054EB"/>
    <w:rsid w:val="001065F5"/>
    <w:rsid w:val="0010670B"/>
    <w:rsid w:val="00107070"/>
    <w:rsid w:val="001075F2"/>
    <w:rsid w:val="00111B75"/>
    <w:rsid w:val="001133CE"/>
    <w:rsid w:val="00114B18"/>
    <w:rsid w:val="00116FC0"/>
    <w:rsid w:val="0011724D"/>
    <w:rsid w:val="001222B2"/>
    <w:rsid w:val="001238EF"/>
    <w:rsid w:val="001243B1"/>
    <w:rsid w:val="00125C95"/>
    <w:rsid w:val="00125EEF"/>
    <w:rsid w:val="001261F3"/>
    <w:rsid w:val="00127DAF"/>
    <w:rsid w:val="001307BE"/>
    <w:rsid w:val="001309C3"/>
    <w:rsid w:val="001330E3"/>
    <w:rsid w:val="00134F11"/>
    <w:rsid w:val="00135713"/>
    <w:rsid w:val="00142E17"/>
    <w:rsid w:val="00146F44"/>
    <w:rsid w:val="00147D59"/>
    <w:rsid w:val="00152894"/>
    <w:rsid w:val="00157915"/>
    <w:rsid w:val="00160DD9"/>
    <w:rsid w:val="0016114F"/>
    <w:rsid w:val="00163996"/>
    <w:rsid w:val="0016454F"/>
    <w:rsid w:val="00164FCD"/>
    <w:rsid w:val="00165B97"/>
    <w:rsid w:val="001660D8"/>
    <w:rsid w:val="00170C08"/>
    <w:rsid w:val="00170FDC"/>
    <w:rsid w:val="0017169C"/>
    <w:rsid w:val="0017269F"/>
    <w:rsid w:val="0017348A"/>
    <w:rsid w:val="00174186"/>
    <w:rsid w:val="001741A5"/>
    <w:rsid w:val="001744A5"/>
    <w:rsid w:val="00174A0B"/>
    <w:rsid w:val="0017545D"/>
    <w:rsid w:val="0017578A"/>
    <w:rsid w:val="00175995"/>
    <w:rsid w:val="0018113A"/>
    <w:rsid w:val="00182EAB"/>
    <w:rsid w:val="00184085"/>
    <w:rsid w:val="0018536E"/>
    <w:rsid w:val="00185E5C"/>
    <w:rsid w:val="00193875"/>
    <w:rsid w:val="00194D17"/>
    <w:rsid w:val="001956D7"/>
    <w:rsid w:val="00197613"/>
    <w:rsid w:val="001977E5"/>
    <w:rsid w:val="00197AB1"/>
    <w:rsid w:val="001A0934"/>
    <w:rsid w:val="001A2326"/>
    <w:rsid w:val="001A2CF0"/>
    <w:rsid w:val="001A2E1C"/>
    <w:rsid w:val="001A314A"/>
    <w:rsid w:val="001A4085"/>
    <w:rsid w:val="001A76CF"/>
    <w:rsid w:val="001B3DDB"/>
    <w:rsid w:val="001B60B8"/>
    <w:rsid w:val="001C1FAD"/>
    <w:rsid w:val="001C24BA"/>
    <w:rsid w:val="001C2BE2"/>
    <w:rsid w:val="001C3FC1"/>
    <w:rsid w:val="001C3FC4"/>
    <w:rsid w:val="001C588B"/>
    <w:rsid w:val="001C5EFB"/>
    <w:rsid w:val="001D26CC"/>
    <w:rsid w:val="001D6510"/>
    <w:rsid w:val="001E10FC"/>
    <w:rsid w:val="001E417F"/>
    <w:rsid w:val="001E4F6A"/>
    <w:rsid w:val="001E53F0"/>
    <w:rsid w:val="001E5F26"/>
    <w:rsid w:val="001E696C"/>
    <w:rsid w:val="001F036B"/>
    <w:rsid w:val="001F081A"/>
    <w:rsid w:val="001F1E46"/>
    <w:rsid w:val="001F2330"/>
    <w:rsid w:val="001F3FAE"/>
    <w:rsid w:val="001F6F1E"/>
    <w:rsid w:val="002009EC"/>
    <w:rsid w:val="002010F4"/>
    <w:rsid w:val="00207635"/>
    <w:rsid w:val="00207905"/>
    <w:rsid w:val="00211B17"/>
    <w:rsid w:val="002121AE"/>
    <w:rsid w:val="002125D6"/>
    <w:rsid w:val="0021607A"/>
    <w:rsid w:val="00216E5B"/>
    <w:rsid w:val="00221CFA"/>
    <w:rsid w:val="00222556"/>
    <w:rsid w:val="002240FE"/>
    <w:rsid w:val="002254AE"/>
    <w:rsid w:val="00225EC6"/>
    <w:rsid w:val="00226CAF"/>
    <w:rsid w:val="00227B0D"/>
    <w:rsid w:val="00227EDB"/>
    <w:rsid w:val="00230726"/>
    <w:rsid w:val="00232973"/>
    <w:rsid w:val="00233DC7"/>
    <w:rsid w:val="002371E2"/>
    <w:rsid w:val="002429BB"/>
    <w:rsid w:val="00242A02"/>
    <w:rsid w:val="00244B76"/>
    <w:rsid w:val="0024597B"/>
    <w:rsid w:val="00247779"/>
    <w:rsid w:val="00255B8B"/>
    <w:rsid w:val="00257211"/>
    <w:rsid w:val="0026031F"/>
    <w:rsid w:val="002609E9"/>
    <w:rsid w:val="00260BAA"/>
    <w:rsid w:val="00267557"/>
    <w:rsid w:val="00281C1A"/>
    <w:rsid w:val="002838DB"/>
    <w:rsid w:val="00283ECB"/>
    <w:rsid w:val="00284A64"/>
    <w:rsid w:val="0028500D"/>
    <w:rsid w:val="00285BEE"/>
    <w:rsid w:val="00287A4D"/>
    <w:rsid w:val="00291F30"/>
    <w:rsid w:val="0029286F"/>
    <w:rsid w:val="0029533F"/>
    <w:rsid w:val="00295FC1"/>
    <w:rsid w:val="002969BF"/>
    <w:rsid w:val="002A0037"/>
    <w:rsid w:val="002A0D94"/>
    <w:rsid w:val="002A17CC"/>
    <w:rsid w:val="002A2539"/>
    <w:rsid w:val="002A3B2B"/>
    <w:rsid w:val="002A4E8C"/>
    <w:rsid w:val="002A514B"/>
    <w:rsid w:val="002A633D"/>
    <w:rsid w:val="002B06EF"/>
    <w:rsid w:val="002B16CD"/>
    <w:rsid w:val="002B30AF"/>
    <w:rsid w:val="002B30EC"/>
    <w:rsid w:val="002B4D08"/>
    <w:rsid w:val="002B6BAC"/>
    <w:rsid w:val="002C046C"/>
    <w:rsid w:val="002C15BF"/>
    <w:rsid w:val="002C1B09"/>
    <w:rsid w:val="002C2F9E"/>
    <w:rsid w:val="002D19F0"/>
    <w:rsid w:val="002D7FAC"/>
    <w:rsid w:val="002E3C5D"/>
    <w:rsid w:val="002E5C8D"/>
    <w:rsid w:val="002E68E1"/>
    <w:rsid w:val="002E74B0"/>
    <w:rsid w:val="002F1560"/>
    <w:rsid w:val="002F1851"/>
    <w:rsid w:val="002F1900"/>
    <w:rsid w:val="002F25EA"/>
    <w:rsid w:val="002F38E7"/>
    <w:rsid w:val="002F656E"/>
    <w:rsid w:val="002F78D9"/>
    <w:rsid w:val="002F7929"/>
    <w:rsid w:val="00302C98"/>
    <w:rsid w:val="00303126"/>
    <w:rsid w:val="00311F1E"/>
    <w:rsid w:val="003136DC"/>
    <w:rsid w:val="00315946"/>
    <w:rsid w:val="00316773"/>
    <w:rsid w:val="00322949"/>
    <w:rsid w:val="00325642"/>
    <w:rsid w:val="0032641B"/>
    <w:rsid w:val="00327C58"/>
    <w:rsid w:val="003318F5"/>
    <w:rsid w:val="00332846"/>
    <w:rsid w:val="0033344A"/>
    <w:rsid w:val="00333A23"/>
    <w:rsid w:val="00334ACB"/>
    <w:rsid w:val="003366E7"/>
    <w:rsid w:val="003367BD"/>
    <w:rsid w:val="00337B02"/>
    <w:rsid w:val="00340970"/>
    <w:rsid w:val="0034357E"/>
    <w:rsid w:val="0034482E"/>
    <w:rsid w:val="003517FA"/>
    <w:rsid w:val="00351908"/>
    <w:rsid w:val="00353124"/>
    <w:rsid w:val="003543C5"/>
    <w:rsid w:val="0035525E"/>
    <w:rsid w:val="00360D17"/>
    <w:rsid w:val="003630A7"/>
    <w:rsid w:val="00364C82"/>
    <w:rsid w:val="0036625D"/>
    <w:rsid w:val="0037118A"/>
    <w:rsid w:val="0037271C"/>
    <w:rsid w:val="00372D57"/>
    <w:rsid w:val="00372E85"/>
    <w:rsid w:val="00375E3B"/>
    <w:rsid w:val="0037668C"/>
    <w:rsid w:val="00377FDC"/>
    <w:rsid w:val="00381AB6"/>
    <w:rsid w:val="003821D3"/>
    <w:rsid w:val="00382A02"/>
    <w:rsid w:val="003951BA"/>
    <w:rsid w:val="00396ACD"/>
    <w:rsid w:val="00397DC3"/>
    <w:rsid w:val="003A03FB"/>
    <w:rsid w:val="003A0FE5"/>
    <w:rsid w:val="003A1568"/>
    <w:rsid w:val="003A27E0"/>
    <w:rsid w:val="003A2C1C"/>
    <w:rsid w:val="003A2C6C"/>
    <w:rsid w:val="003A6205"/>
    <w:rsid w:val="003B015F"/>
    <w:rsid w:val="003B19D8"/>
    <w:rsid w:val="003B410C"/>
    <w:rsid w:val="003B431D"/>
    <w:rsid w:val="003B540C"/>
    <w:rsid w:val="003C0F2A"/>
    <w:rsid w:val="003C49C9"/>
    <w:rsid w:val="003D01A4"/>
    <w:rsid w:val="003D2B57"/>
    <w:rsid w:val="003D312F"/>
    <w:rsid w:val="003D35DF"/>
    <w:rsid w:val="003D5260"/>
    <w:rsid w:val="003D64E1"/>
    <w:rsid w:val="003E0314"/>
    <w:rsid w:val="003E03DA"/>
    <w:rsid w:val="003E0597"/>
    <w:rsid w:val="003E082C"/>
    <w:rsid w:val="003E5A74"/>
    <w:rsid w:val="003F3234"/>
    <w:rsid w:val="003F3CA1"/>
    <w:rsid w:val="003F636B"/>
    <w:rsid w:val="003F6672"/>
    <w:rsid w:val="003F682B"/>
    <w:rsid w:val="003F74FD"/>
    <w:rsid w:val="003F7621"/>
    <w:rsid w:val="003F77D6"/>
    <w:rsid w:val="003F7FA9"/>
    <w:rsid w:val="00401ABC"/>
    <w:rsid w:val="00402772"/>
    <w:rsid w:val="004027F9"/>
    <w:rsid w:val="0040392D"/>
    <w:rsid w:val="004109EB"/>
    <w:rsid w:val="00411E35"/>
    <w:rsid w:val="00411E98"/>
    <w:rsid w:val="004127A9"/>
    <w:rsid w:val="00415743"/>
    <w:rsid w:val="004244F0"/>
    <w:rsid w:val="00424FBE"/>
    <w:rsid w:val="0042648E"/>
    <w:rsid w:val="00427E69"/>
    <w:rsid w:val="0043050E"/>
    <w:rsid w:val="004308A2"/>
    <w:rsid w:val="00430F7C"/>
    <w:rsid w:val="00433059"/>
    <w:rsid w:val="00434D8E"/>
    <w:rsid w:val="004357BF"/>
    <w:rsid w:val="00436F80"/>
    <w:rsid w:val="0043768A"/>
    <w:rsid w:val="00437AA5"/>
    <w:rsid w:val="00441165"/>
    <w:rsid w:val="00444367"/>
    <w:rsid w:val="00445CFD"/>
    <w:rsid w:val="00445EAA"/>
    <w:rsid w:val="00450698"/>
    <w:rsid w:val="004516A4"/>
    <w:rsid w:val="0045172D"/>
    <w:rsid w:val="004559FF"/>
    <w:rsid w:val="00457EC8"/>
    <w:rsid w:val="00460DA8"/>
    <w:rsid w:val="00463740"/>
    <w:rsid w:val="00465C20"/>
    <w:rsid w:val="0046629F"/>
    <w:rsid w:val="004677E5"/>
    <w:rsid w:val="00471591"/>
    <w:rsid w:val="00476319"/>
    <w:rsid w:val="00476C9F"/>
    <w:rsid w:val="0048249C"/>
    <w:rsid w:val="004831FC"/>
    <w:rsid w:val="004855B4"/>
    <w:rsid w:val="0048663F"/>
    <w:rsid w:val="004908DD"/>
    <w:rsid w:val="00492396"/>
    <w:rsid w:val="004936D2"/>
    <w:rsid w:val="00494F92"/>
    <w:rsid w:val="00496AFE"/>
    <w:rsid w:val="004A0EFB"/>
    <w:rsid w:val="004A3094"/>
    <w:rsid w:val="004A395B"/>
    <w:rsid w:val="004A58B9"/>
    <w:rsid w:val="004A724F"/>
    <w:rsid w:val="004B1BB8"/>
    <w:rsid w:val="004B1BD1"/>
    <w:rsid w:val="004B3815"/>
    <w:rsid w:val="004B472A"/>
    <w:rsid w:val="004B5970"/>
    <w:rsid w:val="004B5BEB"/>
    <w:rsid w:val="004B5E55"/>
    <w:rsid w:val="004B653C"/>
    <w:rsid w:val="004C01DE"/>
    <w:rsid w:val="004C2E0D"/>
    <w:rsid w:val="004C4FAD"/>
    <w:rsid w:val="004C5962"/>
    <w:rsid w:val="004C5D99"/>
    <w:rsid w:val="004D2212"/>
    <w:rsid w:val="004D2C96"/>
    <w:rsid w:val="004D30CD"/>
    <w:rsid w:val="004D41FA"/>
    <w:rsid w:val="004D5188"/>
    <w:rsid w:val="004E0F34"/>
    <w:rsid w:val="004E1446"/>
    <w:rsid w:val="004E19F9"/>
    <w:rsid w:val="004E60F0"/>
    <w:rsid w:val="004E6E7D"/>
    <w:rsid w:val="004F1BA7"/>
    <w:rsid w:val="004F5E51"/>
    <w:rsid w:val="004F6CC0"/>
    <w:rsid w:val="004F7343"/>
    <w:rsid w:val="005013B7"/>
    <w:rsid w:val="00501438"/>
    <w:rsid w:val="00505E65"/>
    <w:rsid w:val="00511622"/>
    <w:rsid w:val="00511BE0"/>
    <w:rsid w:val="00515A9F"/>
    <w:rsid w:val="0051644A"/>
    <w:rsid w:val="00516889"/>
    <w:rsid w:val="005171F0"/>
    <w:rsid w:val="00517205"/>
    <w:rsid w:val="00517B7F"/>
    <w:rsid w:val="00517C21"/>
    <w:rsid w:val="00517FDD"/>
    <w:rsid w:val="005200D0"/>
    <w:rsid w:val="00522300"/>
    <w:rsid w:val="005227CE"/>
    <w:rsid w:val="00526CDD"/>
    <w:rsid w:val="005275F2"/>
    <w:rsid w:val="00527E56"/>
    <w:rsid w:val="00531413"/>
    <w:rsid w:val="00531C91"/>
    <w:rsid w:val="00533A4A"/>
    <w:rsid w:val="00533A76"/>
    <w:rsid w:val="00535752"/>
    <w:rsid w:val="00535B8B"/>
    <w:rsid w:val="005411D3"/>
    <w:rsid w:val="00542487"/>
    <w:rsid w:val="00542650"/>
    <w:rsid w:val="00543F23"/>
    <w:rsid w:val="005442C8"/>
    <w:rsid w:val="00544A07"/>
    <w:rsid w:val="00544A68"/>
    <w:rsid w:val="005464D5"/>
    <w:rsid w:val="00551FD8"/>
    <w:rsid w:val="00552022"/>
    <w:rsid w:val="00552EEC"/>
    <w:rsid w:val="00554891"/>
    <w:rsid w:val="005655BA"/>
    <w:rsid w:val="00573EF6"/>
    <w:rsid w:val="00575BE9"/>
    <w:rsid w:val="00577772"/>
    <w:rsid w:val="0058118B"/>
    <w:rsid w:val="00582810"/>
    <w:rsid w:val="00582ED2"/>
    <w:rsid w:val="00583D8A"/>
    <w:rsid w:val="005939D3"/>
    <w:rsid w:val="0059444D"/>
    <w:rsid w:val="00595317"/>
    <w:rsid w:val="0059536D"/>
    <w:rsid w:val="00595540"/>
    <w:rsid w:val="005963DC"/>
    <w:rsid w:val="005969BD"/>
    <w:rsid w:val="00597A17"/>
    <w:rsid w:val="005A1DB5"/>
    <w:rsid w:val="005A2450"/>
    <w:rsid w:val="005A33A7"/>
    <w:rsid w:val="005A3C62"/>
    <w:rsid w:val="005B03EE"/>
    <w:rsid w:val="005B1EB6"/>
    <w:rsid w:val="005B24B0"/>
    <w:rsid w:val="005B29F7"/>
    <w:rsid w:val="005B5FA6"/>
    <w:rsid w:val="005C038B"/>
    <w:rsid w:val="005C14DD"/>
    <w:rsid w:val="005C16A5"/>
    <w:rsid w:val="005C1C2E"/>
    <w:rsid w:val="005C2DAE"/>
    <w:rsid w:val="005C546E"/>
    <w:rsid w:val="005C57C9"/>
    <w:rsid w:val="005C5E2A"/>
    <w:rsid w:val="005C6D63"/>
    <w:rsid w:val="005C79CB"/>
    <w:rsid w:val="005C7FDA"/>
    <w:rsid w:val="005D4485"/>
    <w:rsid w:val="005D4968"/>
    <w:rsid w:val="005D5D1A"/>
    <w:rsid w:val="005D6216"/>
    <w:rsid w:val="005D7506"/>
    <w:rsid w:val="005E2C79"/>
    <w:rsid w:val="005E349B"/>
    <w:rsid w:val="005E4C22"/>
    <w:rsid w:val="005E4DBA"/>
    <w:rsid w:val="005E6BF0"/>
    <w:rsid w:val="005F2AF0"/>
    <w:rsid w:val="005F3B98"/>
    <w:rsid w:val="005F4567"/>
    <w:rsid w:val="005F6877"/>
    <w:rsid w:val="005F6C9E"/>
    <w:rsid w:val="00601795"/>
    <w:rsid w:val="006026E0"/>
    <w:rsid w:val="00602A82"/>
    <w:rsid w:val="00602AB8"/>
    <w:rsid w:val="00610E8E"/>
    <w:rsid w:val="00611E70"/>
    <w:rsid w:val="00611F25"/>
    <w:rsid w:val="00612BC5"/>
    <w:rsid w:val="00624324"/>
    <w:rsid w:val="006265C3"/>
    <w:rsid w:val="00626A19"/>
    <w:rsid w:val="00626D86"/>
    <w:rsid w:val="0063050B"/>
    <w:rsid w:val="00635146"/>
    <w:rsid w:val="0063555C"/>
    <w:rsid w:val="00635D32"/>
    <w:rsid w:val="00637F45"/>
    <w:rsid w:val="006417C5"/>
    <w:rsid w:val="00645C60"/>
    <w:rsid w:val="00650618"/>
    <w:rsid w:val="006556D2"/>
    <w:rsid w:val="00655AF0"/>
    <w:rsid w:val="00657690"/>
    <w:rsid w:val="00661BF1"/>
    <w:rsid w:val="006654AB"/>
    <w:rsid w:val="00666983"/>
    <w:rsid w:val="006670AB"/>
    <w:rsid w:val="0067062B"/>
    <w:rsid w:val="00671510"/>
    <w:rsid w:val="006718D1"/>
    <w:rsid w:val="00673012"/>
    <w:rsid w:val="006770DE"/>
    <w:rsid w:val="006812BE"/>
    <w:rsid w:val="00683718"/>
    <w:rsid w:val="00683FE3"/>
    <w:rsid w:val="00684176"/>
    <w:rsid w:val="00685E97"/>
    <w:rsid w:val="00686CE0"/>
    <w:rsid w:val="00687191"/>
    <w:rsid w:val="00690DBD"/>
    <w:rsid w:val="00691861"/>
    <w:rsid w:val="006920CD"/>
    <w:rsid w:val="00694AFE"/>
    <w:rsid w:val="00694F0B"/>
    <w:rsid w:val="00696893"/>
    <w:rsid w:val="00697E0E"/>
    <w:rsid w:val="006A0137"/>
    <w:rsid w:val="006A0F10"/>
    <w:rsid w:val="006A269B"/>
    <w:rsid w:val="006A5DD5"/>
    <w:rsid w:val="006A5F7D"/>
    <w:rsid w:val="006B6FB1"/>
    <w:rsid w:val="006C0B4F"/>
    <w:rsid w:val="006C12BE"/>
    <w:rsid w:val="006C55AC"/>
    <w:rsid w:val="006C67E3"/>
    <w:rsid w:val="006D097A"/>
    <w:rsid w:val="006D0ED5"/>
    <w:rsid w:val="006D3E83"/>
    <w:rsid w:val="006D4871"/>
    <w:rsid w:val="006D4C78"/>
    <w:rsid w:val="006D6AE4"/>
    <w:rsid w:val="006D7284"/>
    <w:rsid w:val="006E2580"/>
    <w:rsid w:val="006E6F85"/>
    <w:rsid w:val="006E7726"/>
    <w:rsid w:val="006F39DF"/>
    <w:rsid w:val="006F3D54"/>
    <w:rsid w:val="006F482D"/>
    <w:rsid w:val="006F4AE4"/>
    <w:rsid w:val="006F7916"/>
    <w:rsid w:val="006F7EFE"/>
    <w:rsid w:val="006F7FF7"/>
    <w:rsid w:val="007007C8"/>
    <w:rsid w:val="00700BEA"/>
    <w:rsid w:val="00702314"/>
    <w:rsid w:val="00703F52"/>
    <w:rsid w:val="00704D08"/>
    <w:rsid w:val="00704E89"/>
    <w:rsid w:val="007056A5"/>
    <w:rsid w:val="00713D82"/>
    <w:rsid w:val="00714D44"/>
    <w:rsid w:val="0071622B"/>
    <w:rsid w:val="0072136A"/>
    <w:rsid w:val="00721B67"/>
    <w:rsid w:val="007259E8"/>
    <w:rsid w:val="00725EDF"/>
    <w:rsid w:val="007272F5"/>
    <w:rsid w:val="00730DBE"/>
    <w:rsid w:val="0073182A"/>
    <w:rsid w:val="0073253B"/>
    <w:rsid w:val="0073651C"/>
    <w:rsid w:val="00736C47"/>
    <w:rsid w:val="00740FC2"/>
    <w:rsid w:val="00741D29"/>
    <w:rsid w:val="00751097"/>
    <w:rsid w:val="00752D2C"/>
    <w:rsid w:val="00755C82"/>
    <w:rsid w:val="00756093"/>
    <w:rsid w:val="007561DB"/>
    <w:rsid w:val="00757A66"/>
    <w:rsid w:val="007609C1"/>
    <w:rsid w:val="00761DB6"/>
    <w:rsid w:val="007659C1"/>
    <w:rsid w:val="00765EED"/>
    <w:rsid w:val="0077255A"/>
    <w:rsid w:val="00773331"/>
    <w:rsid w:val="00774809"/>
    <w:rsid w:val="0077575B"/>
    <w:rsid w:val="007757D4"/>
    <w:rsid w:val="00776EF4"/>
    <w:rsid w:val="00777D73"/>
    <w:rsid w:val="00780B67"/>
    <w:rsid w:val="00781CC8"/>
    <w:rsid w:val="00782CA4"/>
    <w:rsid w:val="0078349B"/>
    <w:rsid w:val="00783A46"/>
    <w:rsid w:val="007876EA"/>
    <w:rsid w:val="00791412"/>
    <w:rsid w:val="007929CD"/>
    <w:rsid w:val="007932EF"/>
    <w:rsid w:val="00793E16"/>
    <w:rsid w:val="007945A5"/>
    <w:rsid w:val="00794C86"/>
    <w:rsid w:val="007A42DC"/>
    <w:rsid w:val="007A4E37"/>
    <w:rsid w:val="007A7A4D"/>
    <w:rsid w:val="007C52FD"/>
    <w:rsid w:val="007D0861"/>
    <w:rsid w:val="007D1F30"/>
    <w:rsid w:val="007D237E"/>
    <w:rsid w:val="007D4B20"/>
    <w:rsid w:val="007D5D9D"/>
    <w:rsid w:val="007D68D4"/>
    <w:rsid w:val="007D74F6"/>
    <w:rsid w:val="007E010B"/>
    <w:rsid w:val="007E05B0"/>
    <w:rsid w:val="007E0B64"/>
    <w:rsid w:val="007E2B7C"/>
    <w:rsid w:val="007E3E70"/>
    <w:rsid w:val="007E7B55"/>
    <w:rsid w:val="007F3A84"/>
    <w:rsid w:val="007F54D1"/>
    <w:rsid w:val="007F5EAD"/>
    <w:rsid w:val="007F78AC"/>
    <w:rsid w:val="00801402"/>
    <w:rsid w:val="008014C7"/>
    <w:rsid w:val="008021E0"/>
    <w:rsid w:val="00802BD0"/>
    <w:rsid w:val="00802FC2"/>
    <w:rsid w:val="008035E3"/>
    <w:rsid w:val="00803C58"/>
    <w:rsid w:val="00807C30"/>
    <w:rsid w:val="008120E0"/>
    <w:rsid w:val="00817C80"/>
    <w:rsid w:val="008200A7"/>
    <w:rsid w:val="00820151"/>
    <w:rsid w:val="008210DC"/>
    <w:rsid w:val="00822CB9"/>
    <w:rsid w:val="00822FA7"/>
    <w:rsid w:val="0082357B"/>
    <w:rsid w:val="00823C51"/>
    <w:rsid w:val="0082653E"/>
    <w:rsid w:val="00827D60"/>
    <w:rsid w:val="008314C4"/>
    <w:rsid w:val="00832313"/>
    <w:rsid w:val="0083246E"/>
    <w:rsid w:val="008334D6"/>
    <w:rsid w:val="00833EED"/>
    <w:rsid w:val="00837585"/>
    <w:rsid w:val="0084434C"/>
    <w:rsid w:val="0084563F"/>
    <w:rsid w:val="00845B61"/>
    <w:rsid w:val="00850662"/>
    <w:rsid w:val="00853291"/>
    <w:rsid w:val="00855FA7"/>
    <w:rsid w:val="0085681D"/>
    <w:rsid w:val="00857ECC"/>
    <w:rsid w:val="00860655"/>
    <w:rsid w:val="00860D4A"/>
    <w:rsid w:val="00863FA9"/>
    <w:rsid w:val="008648FF"/>
    <w:rsid w:val="00865D66"/>
    <w:rsid w:val="0087185D"/>
    <w:rsid w:val="008730C8"/>
    <w:rsid w:val="00873C72"/>
    <w:rsid w:val="00874D22"/>
    <w:rsid w:val="00880A72"/>
    <w:rsid w:val="008810F3"/>
    <w:rsid w:val="008822AD"/>
    <w:rsid w:val="00882989"/>
    <w:rsid w:val="0088567A"/>
    <w:rsid w:val="008859BC"/>
    <w:rsid w:val="00887600"/>
    <w:rsid w:val="00891F7D"/>
    <w:rsid w:val="008A1127"/>
    <w:rsid w:val="008A1461"/>
    <w:rsid w:val="008A2914"/>
    <w:rsid w:val="008A2E4E"/>
    <w:rsid w:val="008B64CB"/>
    <w:rsid w:val="008B7352"/>
    <w:rsid w:val="008C00D9"/>
    <w:rsid w:val="008C1416"/>
    <w:rsid w:val="008C22D5"/>
    <w:rsid w:val="008C515F"/>
    <w:rsid w:val="008C6743"/>
    <w:rsid w:val="008D27AA"/>
    <w:rsid w:val="008D2ECA"/>
    <w:rsid w:val="008D4B10"/>
    <w:rsid w:val="008D4CC2"/>
    <w:rsid w:val="008D6F98"/>
    <w:rsid w:val="008E0371"/>
    <w:rsid w:val="008E2694"/>
    <w:rsid w:val="008E44BD"/>
    <w:rsid w:val="008E4D8E"/>
    <w:rsid w:val="008E6B32"/>
    <w:rsid w:val="008E7391"/>
    <w:rsid w:val="008F1E98"/>
    <w:rsid w:val="008F2AC7"/>
    <w:rsid w:val="008F3DDE"/>
    <w:rsid w:val="008F55B8"/>
    <w:rsid w:val="008F7FFC"/>
    <w:rsid w:val="00904250"/>
    <w:rsid w:val="00906BE1"/>
    <w:rsid w:val="00907438"/>
    <w:rsid w:val="00914032"/>
    <w:rsid w:val="009158AA"/>
    <w:rsid w:val="0091642E"/>
    <w:rsid w:val="00921603"/>
    <w:rsid w:val="00922B06"/>
    <w:rsid w:val="0092614A"/>
    <w:rsid w:val="00931554"/>
    <w:rsid w:val="00931EE5"/>
    <w:rsid w:val="00940731"/>
    <w:rsid w:val="00942E9A"/>
    <w:rsid w:val="00943E65"/>
    <w:rsid w:val="00944BDE"/>
    <w:rsid w:val="0095207F"/>
    <w:rsid w:val="00955FFB"/>
    <w:rsid w:val="0095607E"/>
    <w:rsid w:val="00956400"/>
    <w:rsid w:val="00956FF4"/>
    <w:rsid w:val="00957286"/>
    <w:rsid w:val="00957B98"/>
    <w:rsid w:val="009605D8"/>
    <w:rsid w:val="009606D7"/>
    <w:rsid w:val="00961622"/>
    <w:rsid w:val="00965AE2"/>
    <w:rsid w:val="00966041"/>
    <w:rsid w:val="0096720F"/>
    <w:rsid w:val="009706CB"/>
    <w:rsid w:val="00971375"/>
    <w:rsid w:val="00971D00"/>
    <w:rsid w:val="00971D68"/>
    <w:rsid w:val="00980E18"/>
    <w:rsid w:val="00993E09"/>
    <w:rsid w:val="009957C5"/>
    <w:rsid w:val="00996AEF"/>
    <w:rsid w:val="009A301B"/>
    <w:rsid w:val="009A3072"/>
    <w:rsid w:val="009A4DBF"/>
    <w:rsid w:val="009A5579"/>
    <w:rsid w:val="009B3320"/>
    <w:rsid w:val="009B4623"/>
    <w:rsid w:val="009B5048"/>
    <w:rsid w:val="009B5878"/>
    <w:rsid w:val="009B6887"/>
    <w:rsid w:val="009B7970"/>
    <w:rsid w:val="009C3882"/>
    <w:rsid w:val="009C3C55"/>
    <w:rsid w:val="009C4AA1"/>
    <w:rsid w:val="009D050A"/>
    <w:rsid w:val="009D0D09"/>
    <w:rsid w:val="009D2BE4"/>
    <w:rsid w:val="009E3C0D"/>
    <w:rsid w:val="009E3E39"/>
    <w:rsid w:val="009F034F"/>
    <w:rsid w:val="009F0766"/>
    <w:rsid w:val="009F0864"/>
    <w:rsid w:val="009F0D40"/>
    <w:rsid w:val="009F41D3"/>
    <w:rsid w:val="009F59D3"/>
    <w:rsid w:val="009F6C7C"/>
    <w:rsid w:val="00A00058"/>
    <w:rsid w:val="00A03896"/>
    <w:rsid w:val="00A071C3"/>
    <w:rsid w:val="00A200E0"/>
    <w:rsid w:val="00A22E8B"/>
    <w:rsid w:val="00A250B4"/>
    <w:rsid w:val="00A27572"/>
    <w:rsid w:val="00A30A77"/>
    <w:rsid w:val="00A312DC"/>
    <w:rsid w:val="00A313A9"/>
    <w:rsid w:val="00A32434"/>
    <w:rsid w:val="00A33B70"/>
    <w:rsid w:val="00A33E48"/>
    <w:rsid w:val="00A33EB7"/>
    <w:rsid w:val="00A36CB9"/>
    <w:rsid w:val="00A3777B"/>
    <w:rsid w:val="00A40116"/>
    <w:rsid w:val="00A42598"/>
    <w:rsid w:val="00A43B15"/>
    <w:rsid w:val="00A4581A"/>
    <w:rsid w:val="00A46DE3"/>
    <w:rsid w:val="00A546BE"/>
    <w:rsid w:val="00A5534F"/>
    <w:rsid w:val="00A565C7"/>
    <w:rsid w:val="00A61F97"/>
    <w:rsid w:val="00A62D23"/>
    <w:rsid w:val="00A634A0"/>
    <w:rsid w:val="00A642FA"/>
    <w:rsid w:val="00A748FA"/>
    <w:rsid w:val="00A803C4"/>
    <w:rsid w:val="00A82F1C"/>
    <w:rsid w:val="00A85B65"/>
    <w:rsid w:val="00A93F8D"/>
    <w:rsid w:val="00A95E76"/>
    <w:rsid w:val="00AA112B"/>
    <w:rsid w:val="00AA1EA4"/>
    <w:rsid w:val="00AC295E"/>
    <w:rsid w:val="00AC3770"/>
    <w:rsid w:val="00AC5C53"/>
    <w:rsid w:val="00AC74CC"/>
    <w:rsid w:val="00AC7E59"/>
    <w:rsid w:val="00AD7F1F"/>
    <w:rsid w:val="00AE0728"/>
    <w:rsid w:val="00AE192E"/>
    <w:rsid w:val="00AE3F9E"/>
    <w:rsid w:val="00AE4E1E"/>
    <w:rsid w:val="00AE4FE2"/>
    <w:rsid w:val="00AE58D0"/>
    <w:rsid w:val="00AE6F4F"/>
    <w:rsid w:val="00AE7C0B"/>
    <w:rsid w:val="00AF08F2"/>
    <w:rsid w:val="00AF4187"/>
    <w:rsid w:val="00AF4794"/>
    <w:rsid w:val="00AF6912"/>
    <w:rsid w:val="00B0280F"/>
    <w:rsid w:val="00B0565A"/>
    <w:rsid w:val="00B063A1"/>
    <w:rsid w:val="00B06703"/>
    <w:rsid w:val="00B07446"/>
    <w:rsid w:val="00B103F0"/>
    <w:rsid w:val="00B13271"/>
    <w:rsid w:val="00B134F9"/>
    <w:rsid w:val="00B14C7C"/>
    <w:rsid w:val="00B15539"/>
    <w:rsid w:val="00B20561"/>
    <w:rsid w:val="00B230BB"/>
    <w:rsid w:val="00B25D37"/>
    <w:rsid w:val="00B32476"/>
    <w:rsid w:val="00B3365B"/>
    <w:rsid w:val="00B35881"/>
    <w:rsid w:val="00B37B81"/>
    <w:rsid w:val="00B4034A"/>
    <w:rsid w:val="00B40A97"/>
    <w:rsid w:val="00B425DE"/>
    <w:rsid w:val="00B434C7"/>
    <w:rsid w:val="00B625B1"/>
    <w:rsid w:val="00B705D2"/>
    <w:rsid w:val="00B71AFC"/>
    <w:rsid w:val="00B75D0E"/>
    <w:rsid w:val="00B76A0B"/>
    <w:rsid w:val="00B775A0"/>
    <w:rsid w:val="00B7788B"/>
    <w:rsid w:val="00B8216E"/>
    <w:rsid w:val="00B842C6"/>
    <w:rsid w:val="00B8470E"/>
    <w:rsid w:val="00B906AB"/>
    <w:rsid w:val="00B90E7B"/>
    <w:rsid w:val="00B937A3"/>
    <w:rsid w:val="00B9488F"/>
    <w:rsid w:val="00B965E7"/>
    <w:rsid w:val="00BA109B"/>
    <w:rsid w:val="00BA23BB"/>
    <w:rsid w:val="00BA244D"/>
    <w:rsid w:val="00BA4815"/>
    <w:rsid w:val="00BA5BCF"/>
    <w:rsid w:val="00BB0393"/>
    <w:rsid w:val="00BB1D5A"/>
    <w:rsid w:val="00BB4934"/>
    <w:rsid w:val="00BB54B0"/>
    <w:rsid w:val="00BB66D8"/>
    <w:rsid w:val="00BC13FD"/>
    <w:rsid w:val="00BC176E"/>
    <w:rsid w:val="00BC3610"/>
    <w:rsid w:val="00BC4FE7"/>
    <w:rsid w:val="00BC52C4"/>
    <w:rsid w:val="00BD3695"/>
    <w:rsid w:val="00BD5399"/>
    <w:rsid w:val="00BD585C"/>
    <w:rsid w:val="00BE0FD8"/>
    <w:rsid w:val="00BE32DE"/>
    <w:rsid w:val="00BE5138"/>
    <w:rsid w:val="00BE567B"/>
    <w:rsid w:val="00C00E5E"/>
    <w:rsid w:val="00C017D9"/>
    <w:rsid w:val="00C04F31"/>
    <w:rsid w:val="00C056A1"/>
    <w:rsid w:val="00C104B8"/>
    <w:rsid w:val="00C10C9F"/>
    <w:rsid w:val="00C12301"/>
    <w:rsid w:val="00C145F0"/>
    <w:rsid w:val="00C146F7"/>
    <w:rsid w:val="00C14710"/>
    <w:rsid w:val="00C14D5C"/>
    <w:rsid w:val="00C1526C"/>
    <w:rsid w:val="00C2013D"/>
    <w:rsid w:val="00C2185D"/>
    <w:rsid w:val="00C266AB"/>
    <w:rsid w:val="00C26C17"/>
    <w:rsid w:val="00C34622"/>
    <w:rsid w:val="00C3622F"/>
    <w:rsid w:val="00C3685D"/>
    <w:rsid w:val="00C3731F"/>
    <w:rsid w:val="00C37740"/>
    <w:rsid w:val="00C40C01"/>
    <w:rsid w:val="00C4386D"/>
    <w:rsid w:val="00C4438B"/>
    <w:rsid w:val="00C50C85"/>
    <w:rsid w:val="00C524CE"/>
    <w:rsid w:val="00C56DE0"/>
    <w:rsid w:val="00C57A2B"/>
    <w:rsid w:val="00C61B72"/>
    <w:rsid w:val="00C629EF"/>
    <w:rsid w:val="00C6528B"/>
    <w:rsid w:val="00C6534E"/>
    <w:rsid w:val="00C66416"/>
    <w:rsid w:val="00C667DB"/>
    <w:rsid w:val="00C67956"/>
    <w:rsid w:val="00C70837"/>
    <w:rsid w:val="00C7167E"/>
    <w:rsid w:val="00C72608"/>
    <w:rsid w:val="00C72C4C"/>
    <w:rsid w:val="00C73C08"/>
    <w:rsid w:val="00C747E3"/>
    <w:rsid w:val="00C758BE"/>
    <w:rsid w:val="00C75D7C"/>
    <w:rsid w:val="00C76E7E"/>
    <w:rsid w:val="00C801EA"/>
    <w:rsid w:val="00C80B12"/>
    <w:rsid w:val="00C813C9"/>
    <w:rsid w:val="00C818BC"/>
    <w:rsid w:val="00C84885"/>
    <w:rsid w:val="00C85100"/>
    <w:rsid w:val="00C85F3F"/>
    <w:rsid w:val="00C87119"/>
    <w:rsid w:val="00C9169A"/>
    <w:rsid w:val="00C95D8D"/>
    <w:rsid w:val="00CA0959"/>
    <w:rsid w:val="00CA1AFA"/>
    <w:rsid w:val="00CA423A"/>
    <w:rsid w:val="00CA7B35"/>
    <w:rsid w:val="00CB04DB"/>
    <w:rsid w:val="00CB0A3E"/>
    <w:rsid w:val="00CB20CB"/>
    <w:rsid w:val="00CB3AB8"/>
    <w:rsid w:val="00CB3E1F"/>
    <w:rsid w:val="00CB5A3A"/>
    <w:rsid w:val="00CB616E"/>
    <w:rsid w:val="00CB61DD"/>
    <w:rsid w:val="00CC0984"/>
    <w:rsid w:val="00CC3008"/>
    <w:rsid w:val="00CC392D"/>
    <w:rsid w:val="00CC3C41"/>
    <w:rsid w:val="00CD0397"/>
    <w:rsid w:val="00CD1AF7"/>
    <w:rsid w:val="00CD68E8"/>
    <w:rsid w:val="00CD768C"/>
    <w:rsid w:val="00CE1299"/>
    <w:rsid w:val="00CE6508"/>
    <w:rsid w:val="00CE76FF"/>
    <w:rsid w:val="00CE7755"/>
    <w:rsid w:val="00CF011D"/>
    <w:rsid w:val="00CF1374"/>
    <w:rsid w:val="00CF35BA"/>
    <w:rsid w:val="00CF57F8"/>
    <w:rsid w:val="00CF5F99"/>
    <w:rsid w:val="00CF7376"/>
    <w:rsid w:val="00D045DD"/>
    <w:rsid w:val="00D12BB5"/>
    <w:rsid w:val="00D12D0A"/>
    <w:rsid w:val="00D1794A"/>
    <w:rsid w:val="00D20381"/>
    <w:rsid w:val="00D26558"/>
    <w:rsid w:val="00D32D86"/>
    <w:rsid w:val="00D34A7B"/>
    <w:rsid w:val="00D34BED"/>
    <w:rsid w:val="00D3579D"/>
    <w:rsid w:val="00D419A7"/>
    <w:rsid w:val="00D42D5B"/>
    <w:rsid w:val="00D52489"/>
    <w:rsid w:val="00D54EB6"/>
    <w:rsid w:val="00D56975"/>
    <w:rsid w:val="00D56C39"/>
    <w:rsid w:val="00D61120"/>
    <w:rsid w:val="00D62F33"/>
    <w:rsid w:val="00D6446E"/>
    <w:rsid w:val="00D64E86"/>
    <w:rsid w:val="00D65CFB"/>
    <w:rsid w:val="00D708EA"/>
    <w:rsid w:val="00D72DFA"/>
    <w:rsid w:val="00D763CC"/>
    <w:rsid w:val="00D77F5A"/>
    <w:rsid w:val="00D80DDB"/>
    <w:rsid w:val="00D816C1"/>
    <w:rsid w:val="00D837D8"/>
    <w:rsid w:val="00D8563D"/>
    <w:rsid w:val="00D86024"/>
    <w:rsid w:val="00D87E74"/>
    <w:rsid w:val="00D9060D"/>
    <w:rsid w:val="00D96D85"/>
    <w:rsid w:val="00D975AA"/>
    <w:rsid w:val="00DA2214"/>
    <w:rsid w:val="00DA3B8F"/>
    <w:rsid w:val="00DA744D"/>
    <w:rsid w:val="00DA7BC4"/>
    <w:rsid w:val="00DB2642"/>
    <w:rsid w:val="00DB4867"/>
    <w:rsid w:val="00DB4B20"/>
    <w:rsid w:val="00DB5830"/>
    <w:rsid w:val="00DC1A68"/>
    <w:rsid w:val="00DC2B49"/>
    <w:rsid w:val="00DC2FF2"/>
    <w:rsid w:val="00DC7883"/>
    <w:rsid w:val="00DC7E05"/>
    <w:rsid w:val="00DD0B0B"/>
    <w:rsid w:val="00DD40EE"/>
    <w:rsid w:val="00DE0714"/>
    <w:rsid w:val="00DE153E"/>
    <w:rsid w:val="00DE3927"/>
    <w:rsid w:val="00DE4159"/>
    <w:rsid w:val="00DE5D5D"/>
    <w:rsid w:val="00DE678C"/>
    <w:rsid w:val="00DE6EEA"/>
    <w:rsid w:val="00DF23C3"/>
    <w:rsid w:val="00DF4A20"/>
    <w:rsid w:val="00DF589B"/>
    <w:rsid w:val="00DF6014"/>
    <w:rsid w:val="00E0068D"/>
    <w:rsid w:val="00E01F26"/>
    <w:rsid w:val="00E03986"/>
    <w:rsid w:val="00E07235"/>
    <w:rsid w:val="00E11317"/>
    <w:rsid w:val="00E22DC4"/>
    <w:rsid w:val="00E2669D"/>
    <w:rsid w:val="00E26AB7"/>
    <w:rsid w:val="00E273C1"/>
    <w:rsid w:val="00E277D4"/>
    <w:rsid w:val="00E332EC"/>
    <w:rsid w:val="00E33C9F"/>
    <w:rsid w:val="00E353E4"/>
    <w:rsid w:val="00E35D44"/>
    <w:rsid w:val="00E40170"/>
    <w:rsid w:val="00E45E1A"/>
    <w:rsid w:val="00E50D53"/>
    <w:rsid w:val="00E522C4"/>
    <w:rsid w:val="00E52827"/>
    <w:rsid w:val="00E53824"/>
    <w:rsid w:val="00E57CE8"/>
    <w:rsid w:val="00E6243B"/>
    <w:rsid w:val="00E66FE8"/>
    <w:rsid w:val="00E71A13"/>
    <w:rsid w:val="00E71AF7"/>
    <w:rsid w:val="00E71B23"/>
    <w:rsid w:val="00E71E73"/>
    <w:rsid w:val="00E7294A"/>
    <w:rsid w:val="00E739A6"/>
    <w:rsid w:val="00E74D46"/>
    <w:rsid w:val="00E75396"/>
    <w:rsid w:val="00E76EB2"/>
    <w:rsid w:val="00E817DD"/>
    <w:rsid w:val="00E845C4"/>
    <w:rsid w:val="00E855D4"/>
    <w:rsid w:val="00E919F3"/>
    <w:rsid w:val="00E937F2"/>
    <w:rsid w:val="00E963B0"/>
    <w:rsid w:val="00E96BE2"/>
    <w:rsid w:val="00E979AB"/>
    <w:rsid w:val="00EA0E5C"/>
    <w:rsid w:val="00EA18F1"/>
    <w:rsid w:val="00EA2BFD"/>
    <w:rsid w:val="00EA4DA9"/>
    <w:rsid w:val="00EA56E6"/>
    <w:rsid w:val="00EA77E2"/>
    <w:rsid w:val="00EB0D8A"/>
    <w:rsid w:val="00EB1ECD"/>
    <w:rsid w:val="00EB281F"/>
    <w:rsid w:val="00EB5A7D"/>
    <w:rsid w:val="00EB6734"/>
    <w:rsid w:val="00EB6BDF"/>
    <w:rsid w:val="00EC2288"/>
    <w:rsid w:val="00EC39BC"/>
    <w:rsid w:val="00ED1286"/>
    <w:rsid w:val="00ED4AE9"/>
    <w:rsid w:val="00ED4B07"/>
    <w:rsid w:val="00ED634A"/>
    <w:rsid w:val="00ED6776"/>
    <w:rsid w:val="00EE140B"/>
    <w:rsid w:val="00EE337B"/>
    <w:rsid w:val="00EE3CF1"/>
    <w:rsid w:val="00EE6DDE"/>
    <w:rsid w:val="00EE783A"/>
    <w:rsid w:val="00EF2AAB"/>
    <w:rsid w:val="00EF4A18"/>
    <w:rsid w:val="00EF6492"/>
    <w:rsid w:val="00EF6BDE"/>
    <w:rsid w:val="00EF6EBE"/>
    <w:rsid w:val="00EF7ACA"/>
    <w:rsid w:val="00EF7EB8"/>
    <w:rsid w:val="00F01FF2"/>
    <w:rsid w:val="00F02072"/>
    <w:rsid w:val="00F028A8"/>
    <w:rsid w:val="00F03222"/>
    <w:rsid w:val="00F03A6A"/>
    <w:rsid w:val="00F0433C"/>
    <w:rsid w:val="00F04902"/>
    <w:rsid w:val="00F06959"/>
    <w:rsid w:val="00F139C8"/>
    <w:rsid w:val="00F147B8"/>
    <w:rsid w:val="00F20D08"/>
    <w:rsid w:val="00F260A6"/>
    <w:rsid w:val="00F336AC"/>
    <w:rsid w:val="00F411AA"/>
    <w:rsid w:val="00F4455F"/>
    <w:rsid w:val="00F50966"/>
    <w:rsid w:val="00F603E8"/>
    <w:rsid w:val="00F6057B"/>
    <w:rsid w:val="00F62F9E"/>
    <w:rsid w:val="00F62FF5"/>
    <w:rsid w:val="00F658FB"/>
    <w:rsid w:val="00F66A8D"/>
    <w:rsid w:val="00F674E6"/>
    <w:rsid w:val="00F715B9"/>
    <w:rsid w:val="00F71D65"/>
    <w:rsid w:val="00F7500C"/>
    <w:rsid w:val="00F9003C"/>
    <w:rsid w:val="00F9226F"/>
    <w:rsid w:val="00F93703"/>
    <w:rsid w:val="00F95432"/>
    <w:rsid w:val="00F95CA6"/>
    <w:rsid w:val="00F965A8"/>
    <w:rsid w:val="00F96AC1"/>
    <w:rsid w:val="00F96DCD"/>
    <w:rsid w:val="00FA3315"/>
    <w:rsid w:val="00FA6763"/>
    <w:rsid w:val="00FA69C1"/>
    <w:rsid w:val="00FA6C60"/>
    <w:rsid w:val="00FB02FF"/>
    <w:rsid w:val="00FB0890"/>
    <w:rsid w:val="00FB0D3C"/>
    <w:rsid w:val="00FB3971"/>
    <w:rsid w:val="00FB7A78"/>
    <w:rsid w:val="00FC2396"/>
    <w:rsid w:val="00FC38F8"/>
    <w:rsid w:val="00FC4635"/>
    <w:rsid w:val="00FD0241"/>
    <w:rsid w:val="00FD1163"/>
    <w:rsid w:val="00FD1E41"/>
    <w:rsid w:val="00FD6440"/>
    <w:rsid w:val="00FE5C95"/>
    <w:rsid w:val="00FF13F1"/>
    <w:rsid w:val="00FF21F4"/>
    <w:rsid w:val="00FF7D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AA72CB4F-BBE9-4F18-9F5E-196B2CF8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lt-LT"/>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860655"/>
    <w:pPr>
      <w:numPr>
        <w:numId w:val="1"/>
      </w:numPr>
    </w:pPr>
    <w:rPr>
      <w:rFonts w:eastAsia="Times New Roman"/>
      <w:lang w:eastAsia="en-GB"/>
    </w:rPr>
  </w:style>
  <w:style w:type="paragraph" w:styleId="ListBullet2">
    <w:name w:val="List Bullet 2"/>
    <w:basedOn w:val="Normal"/>
    <w:uiPriority w:val="99"/>
    <w:semiHidden/>
    <w:unhideWhenUsed/>
    <w:rsid w:val="003B410C"/>
    <w:pPr>
      <w:numPr>
        <w:numId w:val="2"/>
      </w:numPr>
      <w:contextualSpacing/>
    </w:pPr>
  </w:style>
  <w:style w:type="paragraph" w:styleId="ListBullet3">
    <w:name w:val="List Bullet 3"/>
    <w:basedOn w:val="Normal"/>
    <w:uiPriority w:val="99"/>
    <w:semiHidden/>
    <w:unhideWhenUsed/>
    <w:rsid w:val="003B410C"/>
    <w:pPr>
      <w:numPr>
        <w:numId w:val="3"/>
      </w:numPr>
      <w:contextualSpacing/>
    </w:pPr>
  </w:style>
  <w:style w:type="paragraph" w:styleId="ListBullet4">
    <w:name w:val="List Bullet 4"/>
    <w:basedOn w:val="Normal"/>
    <w:uiPriority w:val="99"/>
    <w:semiHidden/>
    <w:unhideWhenUsed/>
    <w:rsid w:val="003B410C"/>
    <w:pPr>
      <w:numPr>
        <w:numId w:val="4"/>
      </w:numPr>
      <w:contextualSpacing/>
    </w:pPr>
  </w:style>
  <w:style w:type="character" w:styleId="CommentReference">
    <w:name w:val="annotation reference"/>
    <w:basedOn w:val="DefaultParagraphFont"/>
    <w:uiPriority w:val="99"/>
    <w:semiHidden/>
    <w:unhideWhenUsed/>
    <w:rsid w:val="00E522C4"/>
    <w:rPr>
      <w:sz w:val="16"/>
      <w:szCs w:val="16"/>
    </w:rPr>
  </w:style>
  <w:style w:type="paragraph" w:styleId="CommentText">
    <w:name w:val="annotation text"/>
    <w:basedOn w:val="Normal"/>
    <w:link w:val="CommentTextChar"/>
    <w:uiPriority w:val="99"/>
    <w:unhideWhenUsed/>
    <w:rsid w:val="00E522C4"/>
    <w:rPr>
      <w:sz w:val="20"/>
      <w:szCs w:val="20"/>
    </w:rPr>
  </w:style>
  <w:style w:type="character" w:customStyle="1" w:styleId="CommentTextChar">
    <w:name w:val="Comment Text Char"/>
    <w:basedOn w:val="DefaultParagraphFont"/>
    <w:link w:val="CommentText"/>
    <w:uiPriority w:val="99"/>
    <w:rsid w:val="00E522C4"/>
    <w:rPr>
      <w:rFonts w:ascii="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E522C4"/>
    <w:rPr>
      <w:b/>
      <w:bCs/>
    </w:rPr>
  </w:style>
  <w:style w:type="character" w:customStyle="1" w:styleId="CommentSubjectChar">
    <w:name w:val="Comment Subject Char"/>
    <w:basedOn w:val="CommentTextChar"/>
    <w:link w:val="CommentSubject"/>
    <w:uiPriority w:val="99"/>
    <w:semiHidden/>
    <w:rsid w:val="00E522C4"/>
    <w:rPr>
      <w:rFonts w:ascii="Times New Roman" w:hAnsi="Times New Roman" w:cs="Times New Roman"/>
      <w:b/>
      <w:bCs/>
      <w:sz w:val="20"/>
      <w:szCs w:val="20"/>
      <w:lang w:val="lt-LT"/>
    </w:rPr>
  </w:style>
  <w:style w:type="character" w:styleId="Hyperlink">
    <w:name w:val="Hyperlink"/>
    <w:basedOn w:val="DefaultParagraphFont"/>
    <w:uiPriority w:val="99"/>
    <w:unhideWhenUsed/>
    <w:rsid w:val="00F66A8D"/>
    <w:rPr>
      <w:color w:val="0000FF" w:themeColor="hyperlink"/>
      <w:u w:val="single"/>
    </w:rPr>
  </w:style>
  <w:style w:type="character" w:customStyle="1" w:styleId="UnresolvedMention">
    <w:name w:val="Unresolved Mention"/>
    <w:basedOn w:val="DefaultParagraphFont"/>
    <w:uiPriority w:val="99"/>
    <w:unhideWhenUsed/>
    <w:rsid w:val="00E522C4"/>
    <w:rPr>
      <w:color w:val="605E5C"/>
      <w:shd w:val="clear" w:color="auto" w:fill="E1DFDD"/>
    </w:rPr>
  </w:style>
  <w:style w:type="paragraph" w:styleId="Revision">
    <w:name w:val="Revision"/>
    <w:hidden/>
    <w:uiPriority w:val="99"/>
    <w:semiHidden/>
    <w:rsid w:val="00016E59"/>
    <w:pPr>
      <w:spacing w:after="0" w:line="240" w:lineRule="auto"/>
    </w:pPr>
    <w:rPr>
      <w:rFonts w:ascii="Times New Roman" w:hAnsi="Times New Roman" w:cs="Times New Roman"/>
      <w:sz w:val="24"/>
    </w:rPr>
  </w:style>
  <w:style w:type="character" w:styleId="Emphasis">
    <w:name w:val="Emphasis"/>
    <w:basedOn w:val="DefaultParagraphFont"/>
    <w:uiPriority w:val="20"/>
    <w:qFormat/>
    <w:rsid w:val="00F66A8D"/>
    <w:rPr>
      <w:i/>
      <w:iCs/>
    </w:rPr>
  </w:style>
  <w:style w:type="paragraph" w:styleId="ListParagraph">
    <w:name w:val="List Paragraph"/>
    <w:aliases w:val="Paragraphe EI,Paragraphe de liste1,EC"/>
    <w:basedOn w:val="Normal"/>
    <w:link w:val="ListParagraphChar"/>
    <w:uiPriority w:val="34"/>
    <w:qFormat/>
    <w:rsid w:val="00F66A8D"/>
    <w:pPr>
      <w:spacing w:before="0" w:after="0"/>
      <w:ind w:left="720"/>
      <w:jc w:val="left"/>
    </w:pPr>
    <w:rPr>
      <w:rFonts w:ascii="Calibri" w:eastAsia="Calibri" w:hAnsi="Calibri"/>
      <w:sz w:val="22"/>
    </w:rPr>
  </w:style>
  <w:style w:type="character" w:customStyle="1" w:styleId="ListParagraphChar">
    <w:name w:val="List Paragraph Char"/>
    <w:aliases w:val="Paragraphe EI Char,Paragraphe de liste1 Char,EC Char"/>
    <w:link w:val="ListParagraph"/>
    <w:uiPriority w:val="34"/>
    <w:rsid w:val="00F66A8D"/>
    <w:rPr>
      <w:rFonts w:ascii="Calibri" w:eastAsia="Calibri" w:hAnsi="Calibri" w:cs="Times New Roman"/>
      <w:lang w:val="lt-LT"/>
    </w:rPr>
  </w:style>
  <w:style w:type="paragraph" w:customStyle="1" w:styleId="Numberedtilelevel1">
    <w:name w:val="Numbered tile level 1"/>
    <w:basedOn w:val="Normal"/>
    <w:qFormat/>
    <w:rsid w:val="00F66A8D"/>
    <w:pPr>
      <w:numPr>
        <w:numId w:val="18"/>
      </w:numPr>
      <w:pBdr>
        <w:bottom w:val="single" w:sz="8" w:space="1" w:color="1F497D" w:themeColor="text2"/>
      </w:pBdr>
      <w:spacing w:before="360" w:after="600" w:line="560" w:lineRule="exact"/>
      <w:jc w:val="left"/>
    </w:pPr>
    <w:rPr>
      <w:rFonts w:asciiTheme="majorHAnsi" w:eastAsiaTheme="majorEastAsia" w:hAnsiTheme="majorHAnsi" w:cstheme="majorBidi"/>
      <w:color w:val="1F497D" w:themeColor="text2"/>
      <w:spacing w:val="5"/>
      <w:kern w:val="28"/>
      <w:sz w:val="52"/>
      <w:szCs w:val="52"/>
    </w:rPr>
  </w:style>
  <w:style w:type="paragraph" w:customStyle="1" w:styleId="Numberedtitlelevel2">
    <w:name w:val="Numbered title level 2"/>
    <w:basedOn w:val="Normal"/>
    <w:next w:val="Normal"/>
    <w:qFormat/>
    <w:rsid w:val="00F66A8D"/>
    <w:pPr>
      <w:numPr>
        <w:ilvl w:val="1"/>
        <w:numId w:val="18"/>
      </w:numPr>
      <w:spacing w:before="240" w:after="240"/>
      <w:jc w:val="left"/>
    </w:pPr>
    <w:rPr>
      <w:rFonts w:asciiTheme="majorHAnsi" w:eastAsiaTheme="majorEastAsia" w:hAnsiTheme="majorHAnsi" w:cstheme="majorBidi"/>
      <w:bCs/>
      <w:color w:val="1F497D" w:themeColor="text2"/>
      <w:sz w:val="32"/>
      <w:szCs w:val="24"/>
    </w:rPr>
  </w:style>
  <w:style w:type="paragraph" w:customStyle="1" w:styleId="Numberedtitlelevel3">
    <w:name w:val="Numbered title level 3"/>
    <w:basedOn w:val="Normal"/>
    <w:next w:val="Normal"/>
    <w:qFormat/>
    <w:rsid w:val="00F66A8D"/>
    <w:pPr>
      <w:numPr>
        <w:ilvl w:val="2"/>
        <w:numId w:val="18"/>
      </w:numPr>
      <w:spacing w:before="240" w:after="240"/>
      <w:jc w:val="left"/>
    </w:pPr>
    <w:rPr>
      <w:rFonts w:asciiTheme="minorHAnsi" w:eastAsiaTheme="minorEastAsia" w:hAnsiTheme="minorHAnsi" w:cstheme="minorBidi"/>
      <w:b/>
      <w:color w:val="1F497D" w:themeColor="text2"/>
      <w:szCs w:val="24"/>
    </w:rPr>
  </w:style>
  <w:style w:type="paragraph" w:styleId="Caption">
    <w:name w:val="caption"/>
    <w:basedOn w:val="Normal"/>
    <w:next w:val="Normal"/>
    <w:uiPriority w:val="35"/>
    <w:semiHidden/>
    <w:unhideWhenUsed/>
    <w:qFormat/>
    <w:rsid w:val="00F66A8D"/>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F66A8D"/>
    <w:pPr>
      <w:spacing w:after="0"/>
    </w:pPr>
  </w:style>
  <w:style w:type="paragraph" w:styleId="ListNumber">
    <w:name w:val="List Number"/>
    <w:basedOn w:val="Normal"/>
    <w:uiPriority w:val="99"/>
    <w:semiHidden/>
    <w:unhideWhenUsed/>
    <w:rsid w:val="00F66A8D"/>
    <w:pPr>
      <w:numPr>
        <w:numId w:val="20"/>
      </w:numPr>
      <w:contextualSpacing/>
    </w:pPr>
  </w:style>
  <w:style w:type="paragraph" w:styleId="ListNumber2">
    <w:name w:val="List Number 2"/>
    <w:basedOn w:val="Normal"/>
    <w:uiPriority w:val="99"/>
    <w:semiHidden/>
    <w:unhideWhenUsed/>
    <w:rsid w:val="00F66A8D"/>
    <w:pPr>
      <w:numPr>
        <w:numId w:val="21"/>
      </w:numPr>
      <w:contextualSpacing/>
    </w:pPr>
  </w:style>
  <w:style w:type="paragraph" w:styleId="ListNumber3">
    <w:name w:val="List Number 3"/>
    <w:basedOn w:val="Normal"/>
    <w:uiPriority w:val="99"/>
    <w:semiHidden/>
    <w:unhideWhenUsed/>
    <w:rsid w:val="00F66A8D"/>
    <w:pPr>
      <w:numPr>
        <w:numId w:val="22"/>
      </w:numPr>
      <w:contextualSpacing/>
    </w:pPr>
  </w:style>
  <w:style w:type="paragraph" w:styleId="ListNumber4">
    <w:name w:val="List Number 4"/>
    <w:basedOn w:val="Normal"/>
    <w:uiPriority w:val="99"/>
    <w:semiHidden/>
    <w:unhideWhenUsed/>
    <w:rsid w:val="00F66A8D"/>
    <w:pPr>
      <w:numPr>
        <w:numId w:val="23"/>
      </w:numPr>
      <w:tabs>
        <w:tab w:val="clear" w:pos="1209"/>
        <w:tab w:val="num" w:pos="360"/>
      </w:tabs>
      <w:ind w:left="0" w:firstLine="0"/>
      <w:contextualSpacing/>
    </w:pPr>
  </w:style>
  <w:style w:type="character" w:customStyle="1" w:styleId="Mention">
    <w:name w:val="Mention"/>
    <w:basedOn w:val="DefaultParagraphFont"/>
    <w:uiPriority w:val="99"/>
    <w:unhideWhenUsed/>
    <w:rsid w:val="00BB66D8"/>
    <w:rPr>
      <w:color w:val="2B579A"/>
      <w:shd w:val="clear" w:color="auto" w:fill="E1DFDD"/>
    </w:rPr>
  </w:style>
  <w:style w:type="character" w:customStyle="1" w:styleId="HeaderChar">
    <w:name w:val="Header Char"/>
    <w:basedOn w:val="DefaultParagraphFont"/>
    <w:link w:val="Header"/>
    <w:uiPriority w:val="99"/>
    <w:rsid w:val="00E45E1A"/>
    <w:rPr>
      <w:rFonts w:ascii="Times New Roman" w:hAnsi="Times New Roman" w:cs="Times New Roman"/>
      <w:sz w:val="24"/>
      <w:lang w:val="lt-LT"/>
    </w:rPr>
  </w:style>
  <w:style w:type="character" w:customStyle="1" w:styleId="FooterChar">
    <w:name w:val="Footer Char"/>
    <w:basedOn w:val="DefaultParagraphFont"/>
    <w:link w:val="Footer"/>
    <w:uiPriority w:val="99"/>
    <w:rsid w:val="00E45E1A"/>
    <w:rPr>
      <w:rFonts w:ascii="Times New Roman" w:hAnsi="Times New Roman" w:cs="Times New Roman"/>
      <w:sz w:val="24"/>
      <w:lang w:val="lt-L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lt-LT"/>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lt-LT"/>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lt-LT"/>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lt-LT"/>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lt-LT"/>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lt-LT"/>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lt-LT"/>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E45E1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E45E1A"/>
    <w:pPr>
      <w:spacing w:before="0"/>
      <w:jc w:val="right"/>
    </w:pPr>
    <w:rPr>
      <w:sz w:val="28"/>
    </w:rPr>
  </w:style>
  <w:style w:type="paragraph" w:customStyle="1" w:styleId="FooterSensitivity">
    <w:name w:val="Footer Sensitivity"/>
    <w:basedOn w:val="Normal"/>
    <w:rsid w:val="00E45E1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Tiret5">
    <w:name w:val="Tiret 5"/>
    <w:basedOn w:val="Point5"/>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NumPar5">
    <w:name w:val="NumPar 5"/>
    <w:basedOn w:val="Normal"/>
    <w:next w:val="Text2"/>
    <w:pPr>
      <w:numPr>
        <w:ilvl w:val="4"/>
        <w:numId w:val="32"/>
      </w:numPr>
    </w:pPr>
  </w:style>
  <w:style w:type="paragraph" w:customStyle="1" w:styleId="NumPar6">
    <w:name w:val="NumPar 6"/>
    <w:basedOn w:val="Normal"/>
    <w:next w:val="Text2"/>
    <w:pPr>
      <w:numPr>
        <w:ilvl w:val="5"/>
        <w:numId w:val="32"/>
      </w:numPr>
    </w:pPr>
  </w:style>
  <w:style w:type="paragraph" w:customStyle="1" w:styleId="NumPar7">
    <w:name w:val="NumPar 7"/>
    <w:basedOn w:val="Normal"/>
    <w:next w:val="Text2"/>
    <w:pPr>
      <w:numPr>
        <w:ilvl w:val="6"/>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E45E1A"/>
    <w:pPr>
      <w:tabs>
        <w:tab w:val="center" w:pos="4535"/>
        <w:tab w:val="right" w:pos="9071"/>
      </w:tabs>
      <w:spacing w:before="0"/>
    </w:pPr>
  </w:style>
  <w:style w:type="paragraph" w:customStyle="1" w:styleId="HeaderLandscape">
    <w:name w:val="HeaderLandscape"/>
    <w:basedOn w:val="Normal"/>
    <w:rsid w:val="00E45E1A"/>
    <w:pPr>
      <w:tabs>
        <w:tab w:val="center" w:pos="7285"/>
        <w:tab w:val="right" w:pos="14003"/>
      </w:tabs>
      <w:spacing w:before="0"/>
    </w:pPr>
  </w:style>
  <w:style w:type="paragraph" w:styleId="Footer">
    <w:name w:val="footer"/>
    <w:basedOn w:val="Normal"/>
    <w:link w:val="FooterChar"/>
    <w:uiPriority w:val="99"/>
    <w:unhideWhenUsed/>
    <w:rsid w:val="00E45E1A"/>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E45E1A"/>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6D7331-5779-4BDE-AC01-802533C7CBF4}">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2.xml><?xml version="1.0" encoding="utf-8"?>
<ds:datastoreItem xmlns:ds="http://schemas.openxmlformats.org/officeDocument/2006/customXml" ds:itemID="{6E1D94FA-59A2-43DC-8AAF-B6910649B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460BCE-8EB3-4832-AFC2-329D9AD324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COM.dotm</Template>
  <TotalTime>19</TotalTime>
  <Pages>10</Pages>
  <Words>3579</Words>
  <Characters>20404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57</cp:revision>
  <dcterms:created xsi:type="dcterms:W3CDTF">2025-08-04T13:17:00Z</dcterms:created>
  <dcterms:modified xsi:type="dcterms:W3CDTF">2025-11-07T09:07:00Z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MSIP_Label_6bd9ddd1-4d20-43f6-abfa-fc3c07406f94_Enabled">
    <vt:lpwstr>true</vt:lpwstr>
  </property>
  <property fmtid="{D5CDD505-2E9C-101B-9397-08002B2CF9AE}" pid="11" name="MSIP_Label_6bd9ddd1-4d20-43f6-abfa-fc3c07406f94_SetDate">
    <vt:lpwstr>2025-04-09T13:33:20Z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d56551eb-b4da-4789-8514-b565db36f190</vt:lpwstr>
  </property>
  <property fmtid="{D5CDD505-2E9C-101B-9397-08002B2CF9AE}" pid="16" name="MSIP_Label_6bd9ddd1-4d20-43f6-abfa-fc3c07406f94_ContentBits">
    <vt:lpwstr>0</vt:lpwstr>
  </property>
  <property fmtid="{D5CDD505-2E9C-101B-9397-08002B2CF9AE}" pid="17" name="ClassificationContentMarkingHeaderShapeIds">
    <vt:lpwstr>659c3784,3ef802b7,174a3d84,7b208335,5070ca0e,2b70785b</vt:lpwstr>
  </property>
  <property fmtid="{D5CDD505-2E9C-101B-9397-08002B2CF9AE}" pid="18" name="ClassificationContentMarkingHeaderFontProps">
    <vt:lpwstr>#000000,12,Aptos</vt:lpwstr>
  </property>
  <property fmtid="{D5CDD505-2E9C-101B-9397-08002B2CF9AE}" pid="19" name="ClassificationContentMarkingHeaderText">
    <vt:lpwstr>EBA Regular Use</vt:lpwstr>
  </property>
  <property fmtid="{D5CDD505-2E9C-101B-9397-08002B2CF9AE}" pid="20" name="DocStatus">
    <vt:lpwstr>Red</vt:lpwstr>
  </property>
  <property fmtid="{D5CDD505-2E9C-101B-9397-08002B2CF9AE}" pid="21" name="ContentTypeId">
    <vt:lpwstr>0x010100BAD999D84E12C74482EA5120F5227F6F00217DECAAC21D6B43958DFE68658C192E</vt:lpwstr>
  </property>
  <property fmtid="{D5CDD505-2E9C-101B-9397-08002B2CF9AE}" pid="22" name="MediaServiceImageTags">
    <vt:lpwstr/>
  </property>
  <property fmtid="{D5CDD505-2E9C-101B-9397-08002B2CF9AE}" pid="23" name="DQCStatus">
    <vt:lpwstr>Green (DQC version 03)</vt:lpwstr>
  </property>
</Properties>
</file>