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FD074E" w:rsidRDefault="007F4A75" w:rsidP="007F4A7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65A431D-76E6-4259-B9E3-C2308A1E7113" style="width:455.25pt;height:426pt">
            <v:imagedata r:id="rId10" o:title=""/>
          </v:shape>
        </w:pict>
      </w:r>
    </w:p>
    <w:p w:rsidR="00860655" w:rsidRPr="00FD074E" w:rsidRDefault="00860655" w:rsidP="00184085">
      <w:pPr>
        <w:rPr>
          <w:noProof/>
        </w:rPr>
        <w:sectPr w:rsidR="00860655" w:rsidRPr="00FD074E" w:rsidSect="007F4A75">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FD074E" w:rsidRDefault="005B2048" w:rsidP="005B2048">
      <w:pPr>
        <w:pStyle w:val="Typedudocument"/>
        <w:rPr>
          <w:noProof/>
        </w:rPr>
      </w:pPr>
      <w:bookmarkStart w:id="0" w:name="_GoBack"/>
      <w:bookmarkEnd w:id="0"/>
      <w:r w:rsidRPr="005B2048">
        <w:rPr>
          <w:noProof/>
        </w:rPr>
        <w:lastRenderedPageBreak/>
        <w:t>A BIZOTTSÁG (EU) .../... VÉGREHAJTÁSI RENDELETE</w:t>
      </w:r>
    </w:p>
    <w:p w:rsidR="00860655" w:rsidRPr="00FD074E" w:rsidRDefault="006B2EB2" w:rsidP="005B2048">
      <w:pPr>
        <w:pStyle w:val="Datedadoption"/>
        <w:rPr>
          <w:noProof/>
        </w:rPr>
      </w:pPr>
      <w:r>
        <w:rPr>
          <w:noProof/>
        </w:rPr>
        <w:t>(2025.11.14.)</w:t>
      </w:r>
    </w:p>
    <w:p w:rsidR="00860655" w:rsidRPr="00FD074E" w:rsidRDefault="005B2048" w:rsidP="005B2048">
      <w:pPr>
        <w:pStyle w:val="Titreobjet"/>
        <w:rPr>
          <w:noProof/>
        </w:rPr>
      </w:pPr>
      <w:r w:rsidRPr="005B2048">
        <w:rPr>
          <w:noProof/>
        </w:rPr>
        <w:t>a 2014/59/EU európai parlamenti és tanácsi irányelvnek megfelelően a hitelintézetek és befektetési vállalkozások szanálási terveihez történő adatszolgáltatáshoz kapcsolódó eljárásokra, valamint egységes formanyomtatványokra és táblákra vonatkozó végrehajtás-technikai standardok meghatározásáról és az (EU) 2018/1624 bizottsági végrehajtási rendelet hatályon kívül helyezéséről</w:t>
      </w:r>
    </w:p>
    <w:p w:rsidR="00860655" w:rsidRPr="00FD074E" w:rsidRDefault="005B2048" w:rsidP="005B2048">
      <w:pPr>
        <w:pStyle w:val="IntrtEEE"/>
        <w:rPr>
          <w:noProof/>
        </w:rPr>
      </w:pPr>
      <w:r w:rsidRPr="005B2048">
        <w:rPr>
          <w:noProof/>
        </w:rPr>
        <w:t>(EGT-vonatkozású szöveg)</w:t>
      </w:r>
    </w:p>
    <w:p w:rsidR="00860655" w:rsidRPr="00FD074E" w:rsidRDefault="00860655" w:rsidP="00184085">
      <w:pPr>
        <w:pStyle w:val="Institutionquiagit"/>
        <w:rPr>
          <w:noProof/>
        </w:rPr>
      </w:pPr>
      <w:r w:rsidRPr="00FD074E">
        <w:rPr>
          <w:noProof/>
        </w:rPr>
        <w:t>AZ EURÓPAI BIZOTTSÁG,</w:t>
      </w:r>
    </w:p>
    <w:p w:rsidR="00860655" w:rsidRPr="00FD074E" w:rsidRDefault="00860655" w:rsidP="00184085">
      <w:pPr>
        <w:rPr>
          <w:noProof/>
        </w:rPr>
      </w:pPr>
      <w:r w:rsidRPr="00FD074E">
        <w:rPr>
          <w:noProof/>
          <w:color w:val="000000"/>
        </w:rPr>
        <w:t>tekintettel az Európai Unió működéséről szóló szerződésre</w:t>
      </w:r>
      <w:r w:rsidRPr="00FD074E">
        <w:rPr>
          <w:noProof/>
        </w:rPr>
        <w:t>,</w:t>
      </w:r>
    </w:p>
    <w:p w:rsidR="00860655" w:rsidRPr="00FD074E" w:rsidRDefault="00860655" w:rsidP="00184085">
      <w:pPr>
        <w:rPr>
          <w:noProof/>
        </w:rPr>
      </w:pPr>
      <w:r w:rsidRPr="00FD074E">
        <w:rPr>
          <w:noProof/>
        </w:rPr>
        <w:t>tekintettel a hitelintézetek és befektetési vállalkozások helyreállítását és szanálását célzó keretrendszer létrehozásáról és a 82/891/EGK tanácsi irányelv, a 2001/24/EK, 2002/47/EK, 2004/25/EK, 2005/56/EK, 2007/36/EK, 2011/35/EU, 2012/30/EU és 2013/36/EU irányelv, valamint az 1093/2010/EU és a 648/2012/EU európai parlamenti és tanácsi rendelet módosításáról szóló, 2014. május 15-i 2014/59/EU európai parlamenti és tanácsi irányelvre</w:t>
      </w:r>
      <w:r w:rsidRPr="00FD074E">
        <w:rPr>
          <w:rStyle w:val="FootnoteReference"/>
          <w:noProof/>
        </w:rPr>
        <w:footnoteReference w:id="2"/>
      </w:r>
      <w:r w:rsidRPr="00FD074E">
        <w:rPr>
          <w:noProof/>
        </w:rPr>
        <w:t xml:space="preserve"> és különösen annak 11. cikke (3) bekezdésére,</w:t>
      </w:r>
    </w:p>
    <w:p w:rsidR="00860655" w:rsidRPr="00FD074E" w:rsidRDefault="00860655" w:rsidP="00184085">
      <w:pPr>
        <w:rPr>
          <w:noProof/>
        </w:rPr>
      </w:pPr>
      <w:r w:rsidRPr="00FD074E">
        <w:rPr>
          <w:noProof/>
        </w:rPr>
        <w:t>mivel:</w:t>
      </w:r>
    </w:p>
    <w:p w:rsidR="00860655" w:rsidRPr="00FD074E" w:rsidRDefault="00392BCF" w:rsidP="00392BCF">
      <w:pPr>
        <w:pStyle w:val="ManualConsidrant"/>
        <w:rPr>
          <w:noProof/>
        </w:rPr>
      </w:pPr>
      <w:r w:rsidRPr="00392BCF">
        <w:rPr>
          <w:noProof/>
        </w:rPr>
        <w:t>(1)</w:t>
      </w:r>
      <w:r w:rsidRPr="00392BCF">
        <w:rPr>
          <w:noProof/>
        </w:rPr>
        <w:tab/>
      </w:r>
      <w:r w:rsidR="00860655" w:rsidRPr="00FD074E">
        <w:rPr>
          <w:noProof/>
        </w:rPr>
        <w:t>Az (EU) 2018/1624 bizottsági végrehajtási rendelet</w:t>
      </w:r>
      <w:r w:rsidR="00860655" w:rsidRPr="00FD074E">
        <w:rPr>
          <w:rStyle w:val="FootnoteReference"/>
          <w:noProof/>
        </w:rPr>
        <w:footnoteReference w:id="3"/>
      </w:r>
      <w:r w:rsidR="00860655" w:rsidRPr="00FD074E">
        <w:rPr>
          <w:noProof/>
        </w:rPr>
        <w:t xml:space="preserve"> meghatározza a hitelintézetek és befektetési vállalkozások által a szanálási hatóságok részére történő adatszolgáltatáshoz kapcsolódó eljárást, valamint a táblák egy minimális körét az intézmények szanálási terveinek elkészítése és végrehajtása céljából. A rendelet elfogadása óta a szanálási hatóságok tapasztalatokat gyűjtöttek a szanálástervezés területén, és a 2014/59/EU irányelv módosult. E tapasztalatok alapján és az említett irányelv új rendelkezéseinek figyelembevételével frissíteni kell a szanálás megtervezéséhez szükséges információgyűjtés tábláinak minimális körét.</w:t>
      </w:r>
    </w:p>
    <w:p w:rsidR="003B410C" w:rsidRPr="00FD074E" w:rsidRDefault="00392BCF" w:rsidP="00392BCF">
      <w:pPr>
        <w:pStyle w:val="ManualConsidrant"/>
        <w:rPr>
          <w:noProof/>
        </w:rPr>
      </w:pPr>
      <w:r w:rsidRPr="00392BCF">
        <w:rPr>
          <w:noProof/>
        </w:rPr>
        <w:t>(2)</w:t>
      </w:r>
      <w:r w:rsidRPr="00392BCF">
        <w:rPr>
          <w:noProof/>
        </w:rPr>
        <w:tab/>
      </w:r>
      <w:r w:rsidR="003B410C" w:rsidRPr="00FD074E">
        <w:rPr>
          <w:noProof/>
        </w:rPr>
        <w:t>Az (EU) 2018/1624 végrehajtási rendelet az intézmények által a szanálási hatóságok részére történő adatszolgáltatási eljárást és a táblák minimális körét úgy alakította ki, hogy a szanálási hatóságok az említett információkat az egész Unióban következetes módon tudják összegyűjteni, és az érintett hatóságok közötti információcsere könnyebb legyen. A tapasztalat azonban azt mutatja, hogy az információk gyűjtésének összehangolt módja csak részben valósult meg. Az említett végrehajtási rendeletet ezért felül kell vizsgálni, hogy a szanálási hatóságok igényeinek következetes módon jobban megfelelő, felülvizsgált táblák alkalmazása révén elő lehessen mozdítani az adatszolgáltatási kötelezettségek EU-szerte történő harmonizációját az Unió egészében. Ez nem akadályozhatja meg a szanálási hatóságokat abban, hogy a szanálási tervek elkészítéséhez és végrehajtásához általuk szükségesnek ítélt további információkat gyűjtsenek, vagy hogy a 2014/59/EU irányelv 4. cikkében meghatározottak szerint egyszerűsített információs kötelezettséget határozzanak meg.</w:t>
      </w:r>
    </w:p>
    <w:p w:rsidR="003B410C" w:rsidRPr="00FD074E" w:rsidRDefault="00392BCF" w:rsidP="00392BCF">
      <w:pPr>
        <w:pStyle w:val="ManualConsidrant"/>
        <w:rPr>
          <w:noProof/>
        </w:rPr>
      </w:pPr>
      <w:r w:rsidRPr="00392BCF">
        <w:rPr>
          <w:noProof/>
        </w:rPr>
        <w:t>(3)</w:t>
      </w:r>
      <w:r w:rsidRPr="00392BCF">
        <w:rPr>
          <w:noProof/>
        </w:rPr>
        <w:tab/>
      </w:r>
      <w:r w:rsidR="003B410C" w:rsidRPr="00FD074E">
        <w:rPr>
          <w:noProof/>
        </w:rPr>
        <w:t>Annak biztosítása érdekében, hogy a csoportszintű szanálási tervek ténylegesen lefedjék az érintett csoportot, az uniós anyavállalatokra vonatkozó adatszolgáltatási kötelezettségek nem korlátozódhatnak kizárólag a szanálás alá vonható szervezetekre, hanem más releváns szervezetekre is ki kell terjedniük. A releváns szervezetek körét azonban a csoport szempontjából nem releváns vagy nem rendszerszintű jelentőséggel bíró szervezetek adatszolgáltatásának kizárása érdekében megfelelően körül kell határolni. E célból küszöbértékeket kell megállapítani a csoporthoz tartozó azon szervezetek meghatározására, amelyek tekintetében szanálási adatszolgáltatási követelményeket kell előírni. Emellett az (EU) 2024/1174 európai parlamenti és tanácsi irányelv</w:t>
      </w:r>
      <w:r w:rsidR="003B410C" w:rsidRPr="00FD074E">
        <w:rPr>
          <w:rStyle w:val="FootnoteReference"/>
          <w:noProof/>
        </w:rPr>
        <w:footnoteReference w:id="4"/>
      </w:r>
      <w:r w:rsidR="003B410C" w:rsidRPr="00FD074E">
        <w:rPr>
          <w:noProof/>
        </w:rPr>
        <w:t xml:space="preserve"> módosította a 2014/59/EU irányelvet többek között a „felszámolandó szervezet” fogalommeghatározásának bevezetésével. Ezen új fogalommeghatározás figyelembevétele érdekében különbséget kell tenni a felszámolandó szervezetekre, a szanálás alá vonható szervezetekre és a szanálás alá vonható csoportokhoz tartozó szervezetekre vonatkozó szanálási adatszolgáltatási követelmények között. Az adatszolgáltatási kötelezettségeket különösen fontos arra tekintettel is körülhatárolni, hogy az érintett szervezetek önálló szervezetek-e vagy csoportokhoz tartoznak, és hogy az ilyen szervezeteket vagy csoportokat azonosították-e felszámolandó szervezetként vagy magukban foglalnak-e olyan szervezeteket is, amelyeket felszámolandó szervezetként azonosítottak. Ezeket az adatszolgáltatási kötelezettségeket egyedi, szubkonszolidált vagy összevont szinten kell meghatározni oly módon, hogy az biztosítsa az arányosságot, ne veszélyeztesse a hatékony szanálástervezést, mentesítse a szervezeteket a különböző hatóságok által megkövetelt párhuzamos adatgyűjtés alól, és törölje a felügyeleti adatszolgáltatásokkal átfedésben lévő adatpontokat. Ezt olyan módszer alkalmazásával kell elérni, amely az érintett adatszolgáltató szervezet típusától függően módosítja a táblák számát. Különös figyelmet kell fordítani a valamely központi szervhez tartósan kapcsolt hitelintézetekből álló, szanálás alá vonható csoportokra és magára a központi szervre annak biztosítása érdekében, hogy a szanálási adatszolgáltatás ténylegesen kiterjedjen az adott szanálás alá vonható csoport központi szervéhez tartósan kapcsolt valamennyi hitelintézetre, magára a központi szervre és leányvállalataikra is egyedi, szubkonszolidált és összevont szinten egyaránt.</w:t>
      </w:r>
    </w:p>
    <w:p w:rsidR="003B410C" w:rsidRPr="00FD074E" w:rsidRDefault="00392BCF" w:rsidP="00392BCF">
      <w:pPr>
        <w:pStyle w:val="ManualConsidrant"/>
        <w:rPr>
          <w:noProof/>
        </w:rPr>
      </w:pPr>
      <w:r w:rsidRPr="00392BCF">
        <w:rPr>
          <w:noProof/>
        </w:rPr>
        <w:t>(4)</w:t>
      </w:r>
      <w:r w:rsidRPr="00392BCF">
        <w:rPr>
          <w:noProof/>
        </w:rPr>
        <w:tab/>
      </w:r>
      <w:r w:rsidR="003B410C" w:rsidRPr="00FD074E">
        <w:rPr>
          <w:noProof/>
        </w:rPr>
        <w:t>A hatékony szanálástervezés biztosítása és az arányosság megőrzése érdekében indokolt lehet, hogy a szanálási adatszolgáltatási követelmények hatálya eltérjen a prudenciális adatszolgáltatási követelmények hatályától, amennyiben ez szükséges annak biztosításához, hogy a szanálási hatóságok feladataik ellátásához megfelelő és hiteles adatokkal rendelkezzenek. Ezzel összefüggésben biztosítani kell, hogy a szanálási adatszolgáltatást ne akadályozzák prudenciális mentességek vagy a prudenciális konszolidációs követelmények hatálya alá nem tartozó, szanálás alá vonható csoportok.</w:t>
      </w:r>
    </w:p>
    <w:p w:rsidR="003B410C" w:rsidRPr="00FD074E" w:rsidRDefault="00392BCF" w:rsidP="00392BCF">
      <w:pPr>
        <w:pStyle w:val="ManualConsidrant"/>
        <w:rPr>
          <w:noProof/>
        </w:rPr>
      </w:pPr>
      <w:r w:rsidRPr="00392BCF">
        <w:rPr>
          <w:noProof/>
        </w:rPr>
        <w:t>(5)</w:t>
      </w:r>
      <w:r w:rsidRPr="00392BCF">
        <w:rPr>
          <w:noProof/>
        </w:rPr>
        <w:tab/>
      </w:r>
      <w:r w:rsidR="00012E4C" w:rsidRPr="00FD074E">
        <w:rPr>
          <w:noProof/>
        </w:rPr>
        <w:t>Annak biztosítása érdekében, hogy a szanálási tervek következetesen jó minőségű és pontos adatok minimális körén alapuljanak, a felügyeleti adatszolgáltatás gyakorlatához hasonlóan egységes adatmodellt kell elfogadni. Az egységes adatmodellnek az adatokat strukturáltan kell megjelenítenie, és az egységes szanálástervezési adatszolgáltatás céljából azonosítania kell valamennyi lényeges üzleti koncepciót és tartalmaznia kell az összes olyan releváns specifikációt, amely az egységes adatszolgáltatási informatikai megoldások továbbfejlesztéséhez szükséges.</w:t>
      </w:r>
    </w:p>
    <w:p w:rsidR="003B410C" w:rsidRPr="00FD074E" w:rsidRDefault="00392BCF" w:rsidP="00392BCF">
      <w:pPr>
        <w:pStyle w:val="ManualConsidrant"/>
        <w:rPr>
          <w:noProof/>
        </w:rPr>
      </w:pPr>
      <w:r w:rsidRPr="00392BCF">
        <w:rPr>
          <w:noProof/>
        </w:rPr>
        <w:t>(6)</w:t>
      </w:r>
      <w:r w:rsidRPr="00392BCF">
        <w:rPr>
          <w:noProof/>
        </w:rPr>
        <w:tab/>
      </w:r>
      <w:r w:rsidR="00980E18" w:rsidRPr="00FD074E">
        <w:rPr>
          <w:noProof/>
        </w:rPr>
        <w:t>Az intézmények által szolgáltatott adatok minőségének, konzisztenciájának és pontosságának megőrzése érdekében az adatoknak közös validálási szabályok hatálya alá kell tartozniuk.</w:t>
      </w:r>
    </w:p>
    <w:p w:rsidR="003B410C" w:rsidRPr="00FD074E" w:rsidRDefault="00392BCF" w:rsidP="00392BCF">
      <w:pPr>
        <w:pStyle w:val="ManualConsidrant"/>
        <w:rPr>
          <w:noProof/>
        </w:rPr>
      </w:pPr>
      <w:r w:rsidRPr="00392BCF">
        <w:rPr>
          <w:noProof/>
        </w:rPr>
        <w:t>(7)</w:t>
      </w:r>
      <w:r w:rsidRPr="00392BCF">
        <w:rPr>
          <w:noProof/>
        </w:rPr>
        <w:tab/>
      </w:r>
      <w:r w:rsidR="003B410C" w:rsidRPr="00FD074E">
        <w:rPr>
          <w:noProof/>
        </w:rPr>
        <w:t>Jellegükből adódóan a validálási szabályokat és az adatpont-meghatározásokat rendszeresen frissítik annak biztosítása érdekében, hogy mindenkor megfeleljenek a hatályos szabályozási, elemzési és informatikai követelményeknek. Mindazonáltal a részletes egységes adatmodell és a validálási szabályok elfogadásához és közzétételéhez jelenleg szükséges idő következtében nem lehetséges azokat a módosításokat kellően gyorsan és megfelelő időtartamon belül végrehajtani, amelyek az Unióban folyamatosan biztosítanák a szanálási tervekkel kapcsolatos egységes adatszolgáltatást. Ezért az egységes adatmodellre és a részletes közös validálási szabályokra vonatkozóan szigorú minőségi kritériumokat kell megállapítani, amelyeket az Európai Bankhatóság (EBH) elektronikus úton a weboldalán tesz közzé. A fentiek nem zárják ki, hogy az EBH a honlapján az e rendeletben meghatározott formanyomtatványok és táblák kitöltésére vonatkozó technikai útmutatót is közzétegyen.</w:t>
      </w:r>
    </w:p>
    <w:p w:rsidR="003B410C" w:rsidRPr="00FD074E" w:rsidRDefault="00392BCF" w:rsidP="00392BCF">
      <w:pPr>
        <w:pStyle w:val="ManualConsidrant"/>
        <w:rPr>
          <w:noProof/>
        </w:rPr>
      </w:pPr>
      <w:r w:rsidRPr="00392BCF">
        <w:rPr>
          <w:noProof/>
        </w:rPr>
        <w:t>(8)</w:t>
      </w:r>
      <w:r w:rsidRPr="00392BCF">
        <w:rPr>
          <w:noProof/>
        </w:rPr>
        <w:tab/>
      </w:r>
      <w:r w:rsidR="003B410C" w:rsidRPr="00FD074E">
        <w:rPr>
          <w:noProof/>
        </w:rPr>
        <w:t>A 2014/59/EU irányelv 11. cikkének (2) bekezdése arra kötelezi az illetékes és a szanálási hatóságokat, hogy az adatszolgáltatási követelmények átfedéseinek minimalizálása érdekében működjenek együtt. Az (EU) 2018/1624 végrehajtási rendelet e célból az illetékes és a szanálási hatóságokra vonatkozó együttműködési eljárást vezet be, amelyet fenn kell tartani annak érdekében, hogy az illetékes és a szanálási hatóságok közösen ellenőrizni tudják, hogy az illetékes hatóság részben vagy egészben már rendelkezik-e a szükséges információkkal. Amennyiben az információk az illetékes hatóság rendelkezésére állnak, helyénvaló, hogy azokat közvetlenül továbbítsa a szanálási hatóságnak.</w:t>
      </w:r>
    </w:p>
    <w:p w:rsidR="003B410C" w:rsidRPr="00FD074E" w:rsidRDefault="00392BCF" w:rsidP="00392BCF">
      <w:pPr>
        <w:pStyle w:val="ManualConsidrant"/>
        <w:rPr>
          <w:noProof/>
        </w:rPr>
      </w:pPr>
      <w:r w:rsidRPr="00392BCF">
        <w:rPr>
          <w:noProof/>
        </w:rPr>
        <w:t>(9)</w:t>
      </w:r>
      <w:r w:rsidRPr="00392BCF">
        <w:rPr>
          <w:noProof/>
        </w:rPr>
        <w:tab/>
      </w:r>
      <w:r w:rsidR="003B410C" w:rsidRPr="00FD074E">
        <w:rPr>
          <w:noProof/>
        </w:rPr>
        <w:t>Tekintettel az (EU) 2018/1624 végrehajtási rendelet módosításainak terjedelmére, a jogbiztonság és az egyértelműség érdekében célszerű új végrehajtási rendeletet elfogadni, az (EU) 2018/1624 végrehajtási rendeletet pedig hatályon kívül helyezni és az új rendelettel felváltani.</w:t>
      </w:r>
    </w:p>
    <w:p w:rsidR="003B410C" w:rsidRPr="00FD074E" w:rsidRDefault="00392BCF" w:rsidP="00392BCF">
      <w:pPr>
        <w:pStyle w:val="ManualConsidrant"/>
        <w:rPr>
          <w:noProof/>
        </w:rPr>
      </w:pPr>
      <w:r w:rsidRPr="00392BCF">
        <w:rPr>
          <w:noProof/>
        </w:rPr>
        <w:t>(10)</w:t>
      </w:r>
      <w:r w:rsidRPr="00392BCF">
        <w:rPr>
          <w:noProof/>
        </w:rPr>
        <w:tab/>
      </w:r>
      <w:r w:rsidR="003B410C" w:rsidRPr="00FD074E">
        <w:rPr>
          <w:noProof/>
        </w:rPr>
        <w:t>Ez a rendelet az EBH által a Bizottságnak benyújtott végrehajtás-technikai standardokon alapul.</w:t>
      </w:r>
    </w:p>
    <w:p w:rsidR="00860655" w:rsidRPr="00FD074E" w:rsidRDefault="00392BCF" w:rsidP="00392BCF">
      <w:pPr>
        <w:pStyle w:val="ManualConsidrant"/>
        <w:rPr>
          <w:noProof/>
        </w:rPr>
      </w:pPr>
      <w:r w:rsidRPr="00392BCF">
        <w:rPr>
          <w:noProof/>
        </w:rPr>
        <w:t>(11)</w:t>
      </w:r>
      <w:r w:rsidRPr="00392BCF">
        <w:rPr>
          <w:noProof/>
        </w:rPr>
        <w:tab/>
      </w:r>
      <w:r w:rsidR="003B410C" w:rsidRPr="00FD074E">
        <w:rPr>
          <w:noProof/>
        </w:rPr>
        <w:t>Az EBH nyilvános konzultációt folytatott az e rendelet alapját képező végrehajtás-technikai standardokról, elemezte az esetlegesen kapcsolódó költségeket és hasznot, továbbá kikérte az 1093/2010/EU európai parlamenti és tanácsi rendelet</w:t>
      </w:r>
      <w:r w:rsidR="003B410C" w:rsidRPr="00FD074E">
        <w:rPr>
          <w:rStyle w:val="FootnoteReference"/>
          <w:noProof/>
        </w:rPr>
        <w:footnoteReference w:id="5"/>
      </w:r>
      <w:r w:rsidR="003B410C" w:rsidRPr="00FD074E">
        <w:rPr>
          <w:noProof/>
        </w:rPr>
        <w:t xml:space="preserve"> 37. cikkével összhangban létrehozott Banki Érdekképviseleti Csoport tanácsát,</w:t>
      </w:r>
    </w:p>
    <w:p w:rsidR="00860655" w:rsidRPr="00FD074E" w:rsidRDefault="00860655" w:rsidP="00184085">
      <w:pPr>
        <w:pStyle w:val="Formuledadoption"/>
        <w:rPr>
          <w:noProof/>
        </w:rPr>
      </w:pPr>
      <w:r w:rsidRPr="00FD074E">
        <w:rPr>
          <w:noProof/>
        </w:rPr>
        <w:t>ELFOGADTA EZT A RENDELETET:</w:t>
      </w:r>
    </w:p>
    <w:p w:rsidR="00860655" w:rsidRPr="00FD074E" w:rsidRDefault="00860655" w:rsidP="00184085">
      <w:pPr>
        <w:pStyle w:val="Titrearticle"/>
        <w:rPr>
          <w:noProof/>
        </w:rPr>
      </w:pPr>
      <w:r w:rsidRPr="00FD074E">
        <w:rPr>
          <w:noProof/>
        </w:rPr>
        <w:t>1. cikk</w:t>
      </w:r>
    </w:p>
    <w:p w:rsidR="00860655" w:rsidRPr="00FD074E" w:rsidRDefault="003B410C" w:rsidP="00184085">
      <w:pPr>
        <w:pStyle w:val="Titrearticle"/>
        <w:rPr>
          <w:noProof/>
        </w:rPr>
      </w:pPr>
      <w:r w:rsidRPr="00FD074E">
        <w:rPr>
          <w:b/>
          <w:i w:val="0"/>
          <w:noProof/>
        </w:rPr>
        <w:t>Fogalommeghatározás</w:t>
      </w:r>
    </w:p>
    <w:p w:rsidR="003B410C" w:rsidRPr="00FD074E" w:rsidRDefault="003B410C" w:rsidP="00184085">
      <w:pPr>
        <w:rPr>
          <w:noProof/>
        </w:rPr>
      </w:pPr>
      <w:r w:rsidRPr="00FD074E">
        <w:rPr>
          <w:noProof/>
        </w:rPr>
        <w:t>E rendelet alkalmazásában „releváns szervezet”: a 2014/59/EU irányelv 2. cikke (1) bekezdésének 31. pontjában meghatározott csoporthoz tartozó, szanálás alá nem vonható szervezet, amely az Unióban letelepedett, és megfelel az alábbi feltételek bármelyikének:</w:t>
      </w:r>
    </w:p>
    <w:p w:rsidR="003B410C" w:rsidRPr="00FD074E" w:rsidRDefault="009A6919" w:rsidP="009A6919">
      <w:pPr>
        <w:pStyle w:val="Point0"/>
        <w:rPr>
          <w:noProof/>
        </w:rPr>
      </w:pPr>
      <w:r>
        <w:rPr>
          <w:noProof/>
        </w:rPr>
        <w:t>a)</w:t>
      </w:r>
      <w:r w:rsidRPr="009A6919">
        <w:rPr>
          <w:noProof/>
        </w:rPr>
        <w:tab/>
      </w:r>
      <w:r w:rsidR="003B410C" w:rsidRPr="00FD074E">
        <w:rPr>
          <w:noProof/>
        </w:rPr>
        <w:t>kritikus funkciókat lát el;</w:t>
      </w:r>
    </w:p>
    <w:p w:rsidR="003B410C" w:rsidRPr="00FD074E" w:rsidRDefault="009A6919" w:rsidP="009A6919">
      <w:pPr>
        <w:pStyle w:val="Point0"/>
        <w:rPr>
          <w:noProof/>
        </w:rPr>
      </w:pPr>
      <w:r>
        <w:rPr>
          <w:noProof/>
        </w:rPr>
        <w:t>b)</w:t>
      </w:r>
      <w:r w:rsidRPr="009A6919">
        <w:rPr>
          <w:noProof/>
        </w:rPr>
        <w:tab/>
      </w:r>
      <w:r w:rsidR="003B410C" w:rsidRPr="00FD074E">
        <w:rPr>
          <w:noProof/>
        </w:rPr>
        <w:t>az 575/2013/EU európai parlamenti és tanácsi rendelet</w:t>
      </w:r>
      <w:r w:rsidR="003B410C" w:rsidRPr="00FD074E">
        <w:rPr>
          <w:rStyle w:val="FootnoteReference"/>
          <w:noProof/>
        </w:rPr>
        <w:footnoteReference w:id="6"/>
      </w:r>
      <w:r w:rsidR="003B410C" w:rsidRPr="00FD074E">
        <w:rPr>
          <w:noProof/>
        </w:rPr>
        <w:t xml:space="preserve"> 92. cikke (3) bekezdésének megfelelően számított egyedi teljes kockázati kitettségértéke eléri vagy meghaladja az EU-szintű anyavállalat konszolidált teljes kockázati kitettségértékének 2 %-át;</w:t>
      </w:r>
    </w:p>
    <w:p w:rsidR="003B410C" w:rsidRPr="00FD074E" w:rsidRDefault="009A6919" w:rsidP="009A6919">
      <w:pPr>
        <w:pStyle w:val="Point0"/>
        <w:rPr>
          <w:noProof/>
        </w:rPr>
      </w:pPr>
      <w:r>
        <w:rPr>
          <w:noProof/>
        </w:rPr>
        <w:t>c)</w:t>
      </w:r>
      <w:r w:rsidRPr="009A6919">
        <w:rPr>
          <w:noProof/>
        </w:rPr>
        <w:tab/>
      </w:r>
      <w:r w:rsidR="003B410C" w:rsidRPr="00FD074E">
        <w:rPr>
          <w:noProof/>
        </w:rPr>
        <w:t>az 575/2013/EU rendelet 429. cikke (4) bekezdésében hivatkozott egyedi teljes kitettségi mértéke eléri vagy meghaladja az EU-szintű anyavállalat konszolidált teljes kitettségi mértékének 2 %-át;</w:t>
      </w:r>
    </w:p>
    <w:p w:rsidR="003B410C" w:rsidRPr="00FD074E" w:rsidRDefault="009A6919" w:rsidP="009A6919">
      <w:pPr>
        <w:pStyle w:val="Point0"/>
        <w:rPr>
          <w:noProof/>
        </w:rPr>
      </w:pPr>
      <w:r>
        <w:rPr>
          <w:noProof/>
        </w:rPr>
        <w:t>d)</w:t>
      </w:r>
      <w:r w:rsidRPr="009A6919">
        <w:rPr>
          <w:noProof/>
        </w:rPr>
        <w:tab/>
      </w:r>
      <w:r w:rsidR="003B410C" w:rsidRPr="00FD074E">
        <w:rPr>
          <w:noProof/>
        </w:rPr>
        <w:t>egyedi működési bevétele eléri vagy meghaladja a csoport EU-szintű anyavállalat szintjén számított konszolidált működési összbevételének 2 %-át;</w:t>
      </w:r>
    </w:p>
    <w:p w:rsidR="003B410C" w:rsidRPr="00FD074E" w:rsidRDefault="009A6919" w:rsidP="009A6919">
      <w:pPr>
        <w:pStyle w:val="Point0"/>
        <w:rPr>
          <w:noProof/>
        </w:rPr>
      </w:pPr>
      <w:r>
        <w:rPr>
          <w:noProof/>
        </w:rPr>
        <w:t>e)</w:t>
      </w:r>
      <w:r w:rsidRPr="009A6919">
        <w:rPr>
          <w:noProof/>
        </w:rPr>
        <w:tab/>
      </w:r>
      <w:r w:rsidR="003B410C" w:rsidRPr="00FD074E">
        <w:rPr>
          <w:noProof/>
        </w:rPr>
        <w:t>teljes egyedi eszközállománya meghaladja az 5 milliárd EUR-t;</w:t>
      </w:r>
    </w:p>
    <w:p w:rsidR="008F1E98" w:rsidRPr="00FD074E" w:rsidRDefault="009A6919" w:rsidP="009A6919">
      <w:pPr>
        <w:pStyle w:val="Point0"/>
        <w:rPr>
          <w:noProof/>
        </w:rPr>
      </w:pPr>
      <w:r>
        <w:rPr>
          <w:noProof/>
        </w:rPr>
        <w:t>f)</w:t>
      </w:r>
      <w:r w:rsidRPr="009A6919">
        <w:rPr>
          <w:noProof/>
        </w:rPr>
        <w:tab/>
      </w:r>
      <w:r w:rsidR="003B410C" w:rsidRPr="00FD074E">
        <w:rPr>
          <w:noProof/>
        </w:rPr>
        <w:t>legalább egy tagállam pénzügyi stabilitása szempontjából fontos szerepet tölt be.</w:t>
      </w:r>
    </w:p>
    <w:p w:rsidR="00A803C4" w:rsidRPr="00FD074E" w:rsidRDefault="008F1E98" w:rsidP="00184085">
      <w:pPr>
        <w:pStyle w:val="Text1"/>
        <w:rPr>
          <w:noProof/>
        </w:rPr>
      </w:pPr>
      <w:r w:rsidRPr="00FD074E">
        <w:rPr>
          <w:noProof/>
        </w:rPr>
        <w:t>A b) pont alkalmazásában az egynél több szanálás alá vonható szervezetből álló csoport esetében egy szervezetet akkor kell releváns szervezetnek tekinteni, ha annak egyedi teljes kockázati kitettségértéke a szanálás alá vonható csoport konszolidált szintjén eléri vagy meghaladja a szanálás alá vonható szervezet teljes kockázati kitettségértékének 2 %-át.</w:t>
      </w:r>
    </w:p>
    <w:p w:rsidR="008F1E98" w:rsidRPr="00FD074E" w:rsidRDefault="008F1E98" w:rsidP="00184085">
      <w:pPr>
        <w:pStyle w:val="Text1"/>
        <w:rPr>
          <w:noProof/>
        </w:rPr>
      </w:pPr>
      <w:r w:rsidRPr="00FD074E">
        <w:rPr>
          <w:noProof/>
        </w:rPr>
        <w:t>A c) pont alkalmazásában az egynél több szanálás alá vonható szervezetből álló csoport esetében egy szervezetet akkor kell releváns szervezetnek tekinteni, ha annak egyedi teljes kitettségi mértéke a szanálás alá vonható csoport konszolidált szintjén eléri vagy meghaladja a szanálás alá vonható szervezet teljes kitettségi mértékének 2 %-át.</w:t>
      </w:r>
    </w:p>
    <w:p w:rsidR="003B410C" w:rsidRPr="00FD074E" w:rsidRDefault="003B410C" w:rsidP="00184085">
      <w:pPr>
        <w:pStyle w:val="Titrearticle"/>
        <w:rPr>
          <w:noProof/>
        </w:rPr>
      </w:pPr>
      <w:bookmarkStart w:id="1" w:name="_Hlk168321151"/>
      <w:r w:rsidRPr="00FD074E">
        <w:rPr>
          <w:noProof/>
        </w:rPr>
        <w:t>2. cikk</w:t>
      </w:r>
    </w:p>
    <w:p w:rsidR="003B410C" w:rsidRPr="00FD074E" w:rsidRDefault="003B410C" w:rsidP="00184085">
      <w:pPr>
        <w:pStyle w:val="Titrearticle"/>
        <w:spacing w:before="0"/>
        <w:rPr>
          <w:b/>
          <w:bCs/>
          <w:i w:val="0"/>
          <w:iCs/>
          <w:noProof/>
        </w:rPr>
      </w:pPr>
      <w:r w:rsidRPr="00FD074E">
        <w:rPr>
          <w:b/>
          <w:i w:val="0"/>
          <w:noProof/>
        </w:rPr>
        <w:t>A 2013/36/EU irányelv 111. és 112. cikke szerinti összevont felügyelet hatálya alá tartozó csoporthoz nem tartozó intézmények szanálási adatszolgáltatása</w:t>
      </w:r>
      <w:bookmarkEnd w:id="1"/>
    </w:p>
    <w:p w:rsidR="003B410C" w:rsidRPr="00FD074E" w:rsidRDefault="009A6919" w:rsidP="009A6919">
      <w:pPr>
        <w:pStyle w:val="Point0"/>
        <w:rPr>
          <w:noProof/>
        </w:rPr>
      </w:pPr>
      <w:r w:rsidRPr="009A6919">
        <w:rPr>
          <w:noProof/>
        </w:rPr>
        <w:t>(1)</w:t>
      </w:r>
      <w:r w:rsidRPr="009A6919">
        <w:rPr>
          <w:noProof/>
        </w:rPr>
        <w:tab/>
      </w:r>
      <w:r w:rsidR="005E4DBA" w:rsidRPr="00FD074E">
        <w:rPr>
          <w:noProof/>
        </w:rPr>
        <w:t>A 2013/36/EU európai parlamenti és tanácsi irányelv</w:t>
      </w:r>
      <w:r w:rsidR="005E4DBA" w:rsidRPr="00FD074E">
        <w:rPr>
          <w:rStyle w:val="FootnoteReference"/>
          <w:noProof/>
        </w:rPr>
        <w:footnoteReference w:id="7"/>
      </w:r>
      <w:r w:rsidR="005E4DBA" w:rsidRPr="00FD074E">
        <w:rPr>
          <w:noProof/>
        </w:rPr>
        <w:t xml:space="preserve"> 111. és 112. cikke szerinti összevont felügyelet hatálya alá tartozó csoport részét nem képező szanálás alá vonható szervezeteknek egyedi alapon be kell nyújtaniuk a szanálási hatóságnak az e rendelet I. mellékletében foglalt valamennyi táblában meghatározott információkat, kivéve a Z 01.01, Z 04.00, Z 07.02, Z 07.03 és Z 11.00 táblában említett információkat.</w:t>
      </w:r>
    </w:p>
    <w:p w:rsidR="003B410C" w:rsidRPr="00FD074E" w:rsidRDefault="009A6919" w:rsidP="009A6919">
      <w:pPr>
        <w:pStyle w:val="Point0"/>
        <w:rPr>
          <w:noProof/>
        </w:rPr>
      </w:pPr>
      <w:r w:rsidRPr="009A6919">
        <w:rPr>
          <w:noProof/>
        </w:rPr>
        <w:t>(2)</w:t>
      </w:r>
      <w:r w:rsidRPr="009A6919">
        <w:rPr>
          <w:noProof/>
        </w:rPr>
        <w:tab/>
      </w:r>
      <w:r w:rsidR="0017578A" w:rsidRPr="00FD074E">
        <w:rPr>
          <w:noProof/>
        </w:rPr>
        <w:t>Azok a felszámolandó szervezetek, amelyek nem tartoznak egyszerűsített kötelezettségek hatálya alá, nem tagjai a 2013/36/EU irányelv 111. és 112. cikke szerinti összevont felügyelet hatálya alá tartozó csoportnak, és amelyekre vonatkozóan a szanálási hatóság nem írta elő a 2014/59/EU irányelv 45. cikkének (1) bekezdésében említett követelményt az említett irányelv 45c. cikke (2a) bekezdésének második albekezdésével összhangban, egyedi alapon nyújtják be a szanálási hatóságnak az e rendelet I. mellékletében foglalt Z 01.02, Z 02.00, Z 05.01, Z 05.02, Z 06.00, Z 07.01.1–Z 07.01.5, Z 07.04 és Z 09.01 táblában meghatározott információkat.</w:t>
      </w:r>
    </w:p>
    <w:p w:rsidR="003B410C" w:rsidRPr="00FD074E" w:rsidRDefault="009A6919" w:rsidP="009A6919">
      <w:pPr>
        <w:pStyle w:val="Point0"/>
        <w:rPr>
          <w:noProof/>
        </w:rPr>
      </w:pPr>
      <w:r w:rsidRPr="009A6919">
        <w:rPr>
          <w:noProof/>
        </w:rPr>
        <w:t>(3)</w:t>
      </w:r>
      <w:r w:rsidRPr="009A6919">
        <w:rPr>
          <w:noProof/>
        </w:rPr>
        <w:tab/>
      </w:r>
      <w:r w:rsidR="00436F80" w:rsidRPr="00FD074E">
        <w:rPr>
          <w:noProof/>
        </w:rPr>
        <w:t>Azok a felszámolandó szervezetek, amelyek nem tartoznak egyszerűsített kötelezettségek hatálya alá, nem tagjai a 2013/36/EU irányelv 111. és 112. cikke szerinti összevont felügyelet hatálya alá tartozó csoportnak, és amelyekre vonatkozóan a szanálási hatóság a 2014/59/EU irányelv 45c. cikke (2a) bekezdésének második albekezdésével összhangban előírta az irányelv 45. cikkének (1) bekezdésében említett követelményt, egyedi alapon benyújtják a szanálási hatóságnak az e rendelet I. mellékletében foglalt Z 01.02, Z 02.00, Z 03.01, Z 03.02, Z 05.01, Z 05.02, Z 06.00, Z 07.01.1–Z 07.01.5, Z 07.04 és Z 09.01 táblában meghatározott információkat.</w:t>
      </w:r>
    </w:p>
    <w:p w:rsidR="003B410C" w:rsidRPr="00FD074E" w:rsidRDefault="003B410C" w:rsidP="00184085">
      <w:pPr>
        <w:pStyle w:val="Titrearticle"/>
        <w:rPr>
          <w:noProof/>
        </w:rPr>
      </w:pPr>
      <w:r w:rsidRPr="00FD074E">
        <w:rPr>
          <w:noProof/>
        </w:rPr>
        <w:t>3. cikk</w:t>
      </w:r>
    </w:p>
    <w:p w:rsidR="003B410C" w:rsidRPr="00FD074E" w:rsidRDefault="003B410C" w:rsidP="00184085">
      <w:pPr>
        <w:pStyle w:val="Titrearticle"/>
        <w:spacing w:before="0"/>
        <w:rPr>
          <w:b/>
          <w:bCs/>
          <w:i w:val="0"/>
          <w:iCs/>
          <w:noProof/>
        </w:rPr>
      </w:pPr>
      <w:r w:rsidRPr="00FD074E">
        <w:rPr>
          <w:b/>
          <w:i w:val="0"/>
          <w:noProof/>
        </w:rPr>
        <w:t>Csoportszintű szanálási adatszolgáltatás – szanálás alá vonható csoportok</w:t>
      </w:r>
    </w:p>
    <w:p w:rsidR="003B410C" w:rsidRPr="00FD074E" w:rsidRDefault="009A6919" w:rsidP="009A6919">
      <w:pPr>
        <w:pStyle w:val="Point0"/>
        <w:rPr>
          <w:noProof/>
        </w:rPr>
      </w:pPr>
      <w:r w:rsidRPr="009A6919">
        <w:rPr>
          <w:noProof/>
        </w:rPr>
        <w:t>(1)</w:t>
      </w:r>
      <w:r w:rsidRPr="009A6919">
        <w:rPr>
          <w:noProof/>
        </w:rPr>
        <w:tab/>
      </w:r>
      <w:r w:rsidR="00873C72" w:rsidRPr="00FD074E">
        <w:rPr>
          <w:noProof/>
        </w:rPr>
        <w:t>Az EU-szintű anyavállalat a csoporthoz tartozó valamennyi vállalkozás tekintetében benyújtja a csoportszintű szanálási hatóságnak az I. mellékletben foglalt Z 01.01, Z 01.02 és Z 08.01–Z 09.04 táblában meghatározott információkat.</w:t>
      </w:r>
    </w:p>
    <w:p w:rsidR="003B410C" w:rsidRPr="00FD074E" w:rsidRDefault="009A6919" w:rsidP="009A6919">
      <w:pPr>
        <w:pStyle w:val="Point0"/>
        <w:rPr>
          <w:noProof/>
        </w:rPr>
      </w:pPr>
      <w:r w:rsidRPr="009A6919">
        <w:rPr>
          <w:noProof/>
        </w:rPr>
        <w:t>(2)</w:t>
      </w:r>
      <w:r w:rsidRPr="009A6919">
        <w:rPr>
          <w:noProof/>
        </w:rPr>
        <w:tab/>
      </w:r>
      <w:r w:rsidR="00873C72" w:rsidRPr="00FD074E">
        <w:rPr>
          <w:noProof/>
        </w:rPr>
        <w:t>Az EU-szintű anyavállalat benyújtja a csoportszintű szanálási hatóságnak az I. mellékletben foglalt Z 04.00 táblában meghatározott, a csoporthoz tartozó valamennyi vállalkozás közötti pénzügyi kapcsolatokra vonatkozó információkat.</w:t>
      </w:r>
    </w:p>
    <w:p w:rsidR="003B410C" w:rsidRPr="00FD074E" w:rsidRDefault="009A6919" w:rsidP="009A6919">
      <w:pPr>
        <w:pStyle w:val="Point0"/>
        <w:rPr>
          <w:noProof/>
        </w:rPr>
      </w:pPr>
      <w:r w:rsidRPr="009A6919">
        <w:rPr>
          <w:noProof/>
        </w:rPr>
        <w:t>(3)</w:t>
      </w:r>
      <w:r w:rsidRPr="009A6919">
        <w:rPr>
          <w:noProof/>
        </w:rPr>
        <w:tab/>
      </w:r>
      <w:r w:rsidR="001744A5" w:rsidRPr="00FD074E">
        <w:rPr>
          <w:noProof/>
        </w:rPr>
        <w:t>Az EU-szintű anyavállalat a következőképpen nyújtja be a csoportszintű szanálási hatóságnak az I. mellékletben foglalt Z 02.00 táblában meghatározott információkat:</w:t>
      </w:r>
    </w:p>
    <w:p w:rsidR="003B410C" w:rsidRPr="00FD074E" w:rsidRDefault="009A6919" w:rsidP="009A6919">
      <w:pPr>
        <w:pStyle w:val="Point1"/>
        <w:rPr>
          <w:noProof/>
        </w:rPr>
      </w:pPr>
      <w:r>
        <w:rPr>
          <w:noProof/>
        </w:rPr>
        <w:t>a)</w:t>
      </w:r>
      <w:r w:rsidRPr="009A6919">
        <w:rPr>
          <w:noProof/>
        </w:rPr>
        <w:tab/>
      </w:r>
      <w:r w:rsidR="003B410C" w:rsidRPr="00FD074E">
        <w:rPr>
          <w:noProof/>
        </w:rPr>
        <w:t>egyedi alapon a csoport valamennyi szanálás alá vonható szervezetére, köztük az EU-szintű anyavállalatra és az intézménynek minősülő valamennyi releváns szervezetre vonatkozóan;</w:t>
      </w:r>
    </w:p>
    <w:p w:rsidR="003B410C" w:rsidRPr="00FD074E" w:rsidRDefault="009A6919" w:rsidP="009A6919">
      <w:pPr>
        <w:pStyle w:val="Point1"/>
        <w:rPr>
          <w:noProof/>
        </w:rPr>
      </w:pPr>
      <w:r>
        <w:rPr>
          <w:noProof/>
        </w:rPr>
        <w:t>b)</w:t>
      </w:r>
      <w:r w:rsidRPr="009A6919">
        <w:rPr>
          <w:noProof/>
        </w:rPr>
        <w:tab/>
      </w:r>
      <w:r w:rsidR="003B410C" w:rsidRPr="00FD074E">
        <w:rPr>
          <w:noProof/>
        </w:rPr>
        <w:t>összevont alapon vagy adott esetben szubkonszolidált alapon a csoport valamennyi szanálás alá vonható szervezetére, beleértve az EU-szintű anyavállalatot is, valamint minden olyan releváns szervezetre, amelyre vonatkozóan a szanálási hatóság összevont vagy szubkonszolidált alapon a 2014/59/EU irányelv 45. cikkének (1) bekezdésében említett követelményt határozott meg, függetlenül attól, hogy az említett szervezetek az 575/2013/EU rendelet első része II. címe 2. fejezetének hatálya alá tartoznak-e.</w:t>
      </w:r>
    </w:p>
    <w:p w:rsidR="003B410C" w:rsidRPr="00FD074E" w:rsidRDefault="009A6919" w:rsidP="009A6919">
      <w:pPr>
        <w:pStyle w:val="Point0"/>
        <w:rPr>
          <w:noProof/>
        </w:rPr>
      </w:pPr>
      <w:r>
        <w:rPr>
          <w:noProof/>
        </w:rPr>
        <w:t>(4)</w:t>
      </w:r>
      <w:r w:rsidRPr="009A6919">
        <w:rPr>
          <w:noProof/>
        </w:rPr>
        <w:tab/>
      </w:r>
      <w:r w:rsidR="00207905" w:rsidRPr="00FD074E">
        <w:rPr>
          <w:noProof/>
        </w:rPr>
        <w:t>Az EU-szintű anyavállalat a következőképpen nyújtja be a csoportszintű szanálási hatóságnak az I. mellékletben foglalt Z 03.01 vagy Z 03.02 táblában meghatározott információkat:</w:t>
      </w:r>
    </w:p>
    <w:p w:rsidR="003B410C" w:rsidRPr="00FD074E" w:rsidRDefault="009A6919" w:rsidP="009A6919">
      <w:pPr>
        <w:pStyle w:val="Point1"/>
        <w:rPr>
          <w:noProof/>
        </w:rPr>
      </w:pPr>
      <w:r>
        <w:rPr>
          <w:noProof/>
        </w:rPr>
        <w:t>a)</w:t>
      </w:r>
      <w:r w:rsidRPr="009A6919">
        <w:rPr>
          <w:noProof/>
        </w:rPr>
        <w:tab/>
      </w:r>
      <w:r w:rsidR="003B410C" w:rsidRPr="00FD074E">
        <w:rPr>
          <w:noProof/>
        </w:rPr>
        <w:t>egyedi alapon a csoport valamennyi szanálás alá vonható szervezetére, beleértve az EU-szintű anyavállalatot is, valamint minden olyan releváns szervezetre, amely olyan intézmény, amelyre vonatkozóan a szanálási hatóság a 2014/59/EU irányelv 45. cikkének (1) bekezdésében említett követelményt határozott meg;</w:t>
      </w:r>
    </w:p>
    <w:p w:rsidR="003B410C" w:rsidRPr="00FD074E" w:rsidRDefault="009A6919" w:rsidP="009A6919">
      <w:pPr>
        <w:pStyle w:val="Point1"/>
        <w:rPr>
          <w:noProof/>
        </w:rPr>
      </w:pPr>
      <w:r>
        <w:rPr>
          <w:noProof/>
        </w:rPr>
        <w:t>b)</w:t>
      </w:r>
      <w:r w:rsidRPr="009A6919">
        <w:rPr>
          <w:noProof/>
        </w:rPr>
        <w:tab/>
      </w:r>
      <w:r w:rsidR="003B410C" w:rsidRPr="00FD074E">
        <w:rPr>
          <w:noProof/>
        </w:rPr>
        <w:t>összevont vagy szubkonszolidált alapon a csoport valamennyi szanálás alá vonható szervezetére, beleértve az EU-szintű anyavállalatot is, valamint minden olyan releváns szervezetre, amelyre vonatkozóan a szanálási hatóság a 2014/59/EU irányelv 45. cikkének (1) bekezdésében említett követelményt határozott meg, függetlenül attól, hogy az említett szervezetek az 575/2013/EU rendelet első része II. címe 2. fejezetének hatálya alá tartoznak-e.</w:t>
      </w:r>
    </w:p>
    <w:p w:rsidR="003B410C" w:rsidRPr="00FD074E" w:rsidRDefault="009A6919" w:rsidP="009A6919">
      <w:pPr>
        <w:pStyle w:val="Point0"/>
        <w:rPr>
          <w:noProof/>
        </w:rPr>
      </w:pPr>
      <w:r>
        <w:rPr>
          <w:noProof/>
        </w:rPr>
        <w:t>(5)</w:t>
      </w:r>
      <w:r w:rsidRPr="009A6919">
        <w:rPr>
          <w:noProof/>
        </w:rPr>
        <w:tab/>
      </w:r>
      <w:r w:rsidR="006E7726" w:rsidRPr="00FD074E">
        <w:rPr>
          <w:noProof/>
        </w:rPr>
        <w:t>Az EU-szintű anyavállalat benyújtja a csoportszintű szanálási hatóságnak az I. mellékletben foglalt Z 07.01.1, Z 07.01.2, Z 07.01.3, Z 07.01.4 és Z 07.01.5 táblában meghatározott információkat minden olyan tagállam szintjén, amelyben a csoport működik.</w:t>
      </w:r>
    </w:p>
    <w:p w:rsidR="003B410C" w:rsidRPr="00FD074E" w:rsidRDefault="009A6919" w:rsidP="009A6919">
      <w:pPr>
        <w:pStyle w:val="Point0"/>
        <w:rPr>
          <w:noProof/>
        </w:rPr>
      </w:pPr>
      <w:r>
        <w:rPr>
          <w:noProof/>
        </w:rPr>
        <w:t>(6)</w:t>
      </w:r>
      <w:r w:rsidRPr="009A6919">
        <w:rPr>
          <w:noProof/>
        </w:rPr>
        <w:tab/>
      </w:r>
      <w:r w:rsidR="006E7726" w:rsidRPr="00FD074E">
        <w:rPr>
          <w:noProof/>
        </w:rPr>
        <w:t>Az EU-szintű anyavállalat benyújtja a csoportszintű szanálási hatóságnak az I. mellékletben foglalt Z 07.02, Z 07.03 és Z 07.04 táblában meghatározott információkat a csoporthoz tartozó bármely vállalkozás által biztosított kritikus funkciókkal és fő üzletágakkal kapcsolatban.</w:t>
      </w:r>
    </w:p>
    <w:p w:rsidR="003B410C" w:rsidRPr="00FD074E" w:rsidRDefault="009A6919" w:rsidP="009A6919">
      <w:pPr>
        <w:pStyle w:val="Point0"/>
        <w:rPr>
          <w:noProof/>
        </w:rPr>
      </w:pPr>
      <w:r>
        <w:rPr>
          <w:noProof/>
        </w:rPr>
        <w:t>(7)</w:t>
      </w:r>
      <w:r w:rsidRPr="009A6919">
        <w:rPr>
          <w:noProof/>
        </w:rPr>
        <w:tab/>
      </w:r>
      <w:r w:rsidR="006E7726" w:rsidRPr="00FD074E">
        <w:rPr>
          <w:noProof/>
        </w:rPr>
        <w:t>Az EU-szintű anyavállalat egyedi alapon benyújtja a csoportszintű szanálási hatóságnak az I. mellékletben foglalt Z 05.01, Z 05.02, Z 06.00, Z 07.01.1–Z 07.01.5, Z 07.04 és Z 11.00–Z 17.00 táblában meghatározott információkat a csoport valamennyi szanálás alá vonható szervezetére, köztük az EU-szintű anyavállalatra.</w:t>
      </w:r>
    </w:p>
    <w:p w:rsidR="003B410C" w:rsidRPr="00FD074E" w:rsidRDefault="009A6919" w:rsidP="009A6919">
      <w:pPr>
        <w:pStyle w:val="Point0"/>
        <w:rPr>
          <w:noProof/>
        </w:rPr>
      </w:pPr>
      <w:r>
        <w:rPr>
          <w:noProof/>
        </w:rPr>
        <w:t>(8)</w:t>
      </w:r>
      <w:r w:rsidRPr="009A6919">
        <w:rPr>
          <w:noProof/>
        </w:rPr>
        <w:tab/>
      </w:r>
      <w:r w:rsidR="003B410C" w:rsidRPr="00FD074E">
        <w:rPr>
          <w:noProof/>
        </w:rPr>
        <w:t>Az EU-szintű anyavállalat egyedi alapon benyújtja a csoportszintű szanálási hatóságnak az I. mellékletben foglalt Z 05.01, Z 05.02, Z 06.00, Z 07.01.1–Z 07.01.5 és Z 07.04 táblában meghatározott információkat az intézménynek minősülő valamennyi releváns szervezetre vonatkozóan.</w:t>
      </w:r>
    </w:p>
    <w:p w:rsidR="003B410C" w:rsidRPr="00FD074E" w:rsidRDefault="009A6919" w:rsidP="009A6919">
      <w:pPr>
        <w:pStyle w:val="Point0"/>
        <w:rPr>
          <w:noProof/>
        </w:rPr>
      </w:pPr>
      <w:r>
        <w:rPr>
          <w:noProof/>
        </w:rPr>
        <w:t>(9)</w:t>
      </w:r>
      <w:r w:rsidRPr="009A6919">
        <w:rPr>
          <w:noProof/>
        </w:rPr>
        <w:tab/>
      </w:r>
      <w:r w:rsidR="003B410C" w:rsidRPr="00FD074E">
        <w:rPr>
          <w:noProof/>
        </w:rPr>
        <w:t xml:space="preserve">E cikk (2) bekezdése, (3) bekezdésének a) pontja, valamint (4), (5) és (6) bekezdése az 575/2013/EU rendelet 7. cikkének (1) vagy (3) bekezdésével vagy az (EU) </w:t>
      </w:r>
      <w:r w:rsidR="003B410C" w:rsidRPr="00FD074E">
        <w:rPr>
          <w:noProof/>
          <w:shd w:val="clear" w:color="auto" w:fill="FFFFFF" w:themeFill="background1"/>
        </w:rPr>
        <w:t>2019/2033 európai parlamenti és tanácsi rendelet</w:t>
      </w:r>
      <w:r w:rsidR="003B410C" w:rsidRPr="00FD074E">
        <w:rPr>
          <w:rStyle w:val="FootnoteReference"/>
          <w:noProof/>
          <w:shd w:val="clear" w:color="auto" w:fill="FFFFFF" w:themeFill="background1"/>
        </w:rPr>
        <w:footnoteReference w:id="8"/>
      </w:r>
      <w:r w:rsidR="003B410C" w:rsidRPr="00FD074E">
        <w:rPr>
          <w:noProof/>
          <w:shd w:val="clear" w:color="auto" w:fill="FFFFFF" w:themeFill="background1"/>
        </w:rPr>
        <w:t xml:space="preserve"> 8. cikkével</w:t>
      </w:r>
      <w:r w:rsidR="003B410C" w:rsidRPr="00FD074E">
        <w:rPr>
          <w:noProof/>
        </w:rPr>
        <w:t xml:space="preserve"> összhangban engedélyezett, a prudenciális követelmények alkalmazásától való bármely eltéréstől, illetve a 2014/59/EU irányelv 45f. cikkével összhangban biztosított, a szavatolótőkére és a leírható, illetve átalakítható kötelezettségekre vonatkozó minimumkövetelmény alkalmazása alóli bármely mentességtől függetlenül alkalmazandó.</w:t>
      </w:r>
    </w:p>
    <w:p w:rsidR="003B410C" w:rsidRPr="00FD074E" w:rsidRDefault="003B410C" w:rsidP="00184085">
      <w:pPr>
        <w:pStyle w:val="Titrearticle"/>
        <w:rPr>
          <w:noProof/>
        </w:rPr>
      </w:pPr>
      <w:r w:rsidRPr="00FD074E">
        <w:rPr>
          <w:noProof/>
        </w:rPr>
        <w:t>4. cikk</w:t>
      </w:r>
    </w:p>
    <w:p w:rsidR="003B410C" w:rsidRPr="00FD074E" w:rsidRDefault="003B410C" w:rsidP="00184085">
      <w:pPr>
        <w:pStyle w:val="Titrearticle"/>
        <w:spacing w:before="0"/>
        <w:rPr>
          <w:b/>
          <w:bCs/>
          <w:i w:val="0"/>
          <w:iCs/>
          <w:noProof/>
        </w:rPr>
      </w:pPr>
      <w:r w:rsidRPr="00FD074E">
        <w:rPr>
          <w:b/>
          <w:i w:val="0"/>
          <w:noProof/>
        </w:rPr>
        <w:t>Csoportszintű szanálási adatszolgáltatás – csak felszámolandó szervezetekből álló csoportok</w:t>
      </w:r>
    </w:p>
    <w:p w:rsidR="003B410C" w:rsidRPr="00FD074E" w:rsidRDefault="00F95432" w:rsidP="00184085">
      <w:pPr>
        <w:rPr>
          <w:noProof/>
        </w:rPr>
      </w:pPr>
      <w:r w:rsidRPr="00FD074E">
        <w:rPr>
          <w:noProof/>
        </w:rPr>
        <w:t>A kizárólag az egyszerűsített kötelezettségek hatálya alá nem tartozó felszámolandó szervezetekből álló csoport EU-szintű anyavállalata a csoportszintű szanálási hatóságnak a következőket nyújtja be:</w:t>
      </w:r>
    </w:p>
    <w:p w:rsidR="003B410C" w:rsidRPr="00FD074E" w:rsidRDefault="00E26F0A" w:rsidP="00E26F0A">
      <w:pPr>
        <w:pStyle w:val="Point0"/>
        <w:rPr>
          <w:noProof/>
        </w:rPr>
      </w:pPr>
      <w:r>
        <w:rPr>
          <w:noProof/>
        </w:rPr>
        <w:t>a)</w:t>
      </w:r>
      <w:r w:rsidRPr="00E26F0A">
        <w:rPr>
          <w:noProof/>
        </w:rPr>
        <w:tab/>
      </w:r>
      <w:r w:rsidR="003B410C" w:rsidRPr="00FD074E">
        <w:rPr>
          <w:noProof/>
        </w:rPr>
        <w:t>az I. mellékletben foglalt Z 01.01, Z 01.02, Z 07.01.1–Z 07.01.5 és Z 09.01 táblában meghatározott információk a csoporthoz tartozó valamennyi vállalkozás tekintetében, a Z 02.00 táblában meghatározott információk összevont alapon, valamint a Z 04.00 táblában meghatározott információk a csoporthoz tartozó valamennyi vállalkozás közötti pénzügyi kapcsolatok tekintetében;</w:t>
      </w:r>
    </w:p>
    <w:p w:rsidR="003B410C" w:rsidRPr="00FD074E" w:rsidRDefault="00E26F0A" w:rsidP="00E26F0A">
      <w:pPr>
        <w:pStyle w:val="Point0"/>
        <w:rPr>
          <w:noProof/>
        </w:rPr>
      </w:pPr>
      <w:r>
        <w:rPr>
          <w:noProof/>
        </w:rPr>
        <w:t>b)</w:t>
      </w:r>
      <w:r w:rsidRPr="00E26F0A">
        <w:rPr>
          <w:noProof/>
        </w:rPr>
        <w:tab/>
      </w:r>
      <w:r w:rsidR="009F0766" w:rsidRPr="00FD074E">
        <w:rPr>
          <w:noProof/>
        </w:rPr>
        <w:t>egyedi alapon, saját maga és minden olyan releváns szervezet tekintetében, amelyre vonatkozóan a szanálási hatóság nem határozta meg a 2014/59/EU irányelv 45. cikkének (1) bekezdésében említett követelményt az említett irányelv 45c. cikke (2a) bekezdésének második albekezdésével összhangban, az e rendelet I. mellékletében foglalt Z 02.00, Z 05.01, Z 05.02, Z 06.00, Z 07.01.1–Z 07.01.5 és Z 07.04 táblában meghatározott információk;</w:t>
      </w:r>
    </w:p>
    <w:p w:rsidR="00E522C4" w:rsidRPr="00FD074E" w:rsidRDefault="00E26F0A" w:rsidP="00E26F0A">
      <w:pPr>
        <w:pStyle w:val="Point0"/>
        <w:rPr>
          <w:noProof/>
        </w:rPr>
      </w:pPr>
      <w:r>
        <w:rPr>
          <w:noProof/>
        </w:rPr>
        <w:t>c)</w:t>
      </w:r>
      <w:r w:rsidRPr="00E26F0A">
        <w:rPr>
          <w:noProof/>
        </w:rPr>
        <w:tab/>
      </w:r>
      <w:r w:rsidR="009F0766" w:rsidRPr="00FD074E">
        <w:rPr>
          <w:noProof/>
        </w:rPr>
        <w:t>egyedi alapon, saját maga és minden olyan releváns szervezet tekintetében, amelyre vonatkozóan a szanálási hatóság meghatározta a 2014/59/EU irányelv 45. cikkének (1) bekezdésében említett követelményt az említett irányelv 45c. cikke (2a) bekezdésének második albekezdésével összhangban, az e rendelet I. mellékletében foglalt Z 02.00, Z 03.01, Z 03.02, Z 05.01, Z 05.02, Z 06.00, Z 07.01.1–Z 07.01.5 és Z 07.04 táblában meghatározott információk.</w:t>
      </w:r>
    </w:p>
    <w:p w:rsidR="00E522C4" w:rsidRPr="00FD074E" w:rsidRDefault="00E522C4" w:rsidP="00184085">
      <w:pPr>
        <w:pStyle w:val="Titrearticle"/>
        <w:rPr>
          <w:noProof/>
        </w:rPr>
      </w:pPr>
      <w:r w:rsidRPr="00FD074E">
        <w:rPr>
          <w:noProof/>
        </w:rPr>
        <w:t>5. cikk</w:t>
      </w:r>
    </w:p>
    <w:p w:rsidR="00E522C4" w:rsidRPr="00FD074E" w:rsidRDefault="00E522C4" w:rsidP="00184085">
      <w:pPr>
        <w:pStyle w:val="Titrearticle"/>
        <w:spacing w:before="0"/>
        <w:rPr>
          <w:b/>
          <w:bCs/>
          <w:i w:val="0"/>
          <w:iCs/>
          <w:noProof/>
        </w:rPr>
      </w:pPr>
      <w:r w:rsidRPr="00FD074E">
        <w:rPr>
          <w:b/>
          <w:i w:val="0"/>
          <w:noProof/>
        </w:rPr>
        <w:t>A csoportszintű szanálási adatszolgáltatás kiigazításai</w:t>
      </w:r>
    </w:p>
    <w:p w:rsidR="00E522C4" w:rsidRPr="00FD074E" w:rsidRDefault="00E26F0A" w:rsidP="00E26F0A">
      <w:pPr>
        <w:pStyle w:val="Point0"/>
        <w:rPr>
          <w:noProof/>
        </w:rPr>
      </w:pPr>
      <w:r w:rsidRPr="00E26F0A">
        <w:rPr>
          <w:noProof/>
        </w:rPr>
        <w:t>(1)</w:t>
      </w:r>
      <w:r w:rsidRPr="00E26F0A">
        <w:rPr>
          <w:noProof/>
        </w:rPr>
        <w:tab/>
      </w:r>
      <w:r w:rsidR="00E522C4" w:rsidRPr="00FD074E">
        <w:rPr>
          <w:noProof/>
        </w:rPr>
        <w:t>Az olyan csoport esetében, amelynek EU-szintű anyavállalata felszámolandó szervezet, és amely szanálás alá vonható szervezeteket foglal magában, az EU-szintű anyavállalatnak a következőket kell benyújtania:</w:t>
      </w:r>
    </w:p>
    <w:p w:rsidR="00E522C4" w:rsidRPr="00FD074E" w:rsidRDefault="00E26F0A" w:rsidP="00E26F0A">
      <w:pPr>
        <w:pStyle w:val="Point1"/>
        <w:rPr>
          <w:noProof/>
        </w:rPr>
      </w:pPr>
      <w:r>
        <w:rPr>
          <w:noProof/>
        </w:rPr>
        <w:t>a)</w:t>
      </w:r>
      <w:r w:rsidRPr="00E26F0A">
        <w:rPr>
          <w:noProof/>
        </w:rPr>
        <w:tab/>
      </w:r>
      <w:r w:rsidR="000C210A" w:rsidRPr="00FD074E">
        <w:rPr>
          <w:noProof/>
        </w:rPr>
        <w:t>a szanálás alá vonható csoportokhoz tartozó csoporton belüli vállalkozások esetében a 3. cikkben meghatározott információk;</w:t>
      </w:r>
    </w:p>
    <w:p w:rsidR="00E522C4" w:rsidRPr="00FD074E" w:rsidRDefault="00E26F0A" w:rsidP="00E26F0A">
      <w:pPr>
        <w:pStyle w:val="Point1"/>
        <w:rPr>
          <w:noProof/>
        </w:rPr>
      </w:pPr>
      <w:r>
        <w:rPr>
          <w:noProof/>
        </w:rPr>
        <w:t>b)</w:t>
      </w:r>
      <w:r w:rsidRPr="00E26F0A">
        <w:rPr>
          <w:noProof/>
        </w:rPr>
        <w:tab/>
      </w:r>
      <w:r w:rsidR="000C210A" w:rsidRPr="00FD074E">
        <w:rPr>
          <w:noProof/>
        </w:rPr>
        <w:t>az egyszerűsített kötelezettségek hatálya alá nem tartozó és egyetlen szanálás alá vonható csoport részét sem képező felszámolandó szervezetek esetében a 4. cikkben meghatározott információk.</w:t>
      </w:r>
    </w:p>
    <w:p w:rsidR="00E522C4" w:rsidRPr="00FD074E" w:rsidRDefault="00E26F0A" w:rsidP="00E26F0A">
      <w:pPr>
        <w:pStyle w:val="Point0"/>
        <w:rPr>
          <w:noProof/>
        </w:rPr>
      </w:pPr>
      <w:r>
        <w:rPr>
          <w:noProof/>
        </w:rPr>
        <w:t>(2)</w:t>
      </w:r>
      <w:r w:rsidRPr="00E26F0A">
        <w:rPr>
          <w:noProof/>
        </w:rPr>
        <w:tab/>
      </w:r>
      <w:r w:rsidR="00E522C4" w:rsidRPr="00FD074E">
        <w:rPr>
          <w:noProof/>
        </w:rPr>
        <w:t>A 2014/59/EU irányelv 2. cikke (1) bekezdése 83b. pontjának b) alpontjában említett szanálás alá vonható csoport esetében az e rendelet 3. cikkében megnevezett információkat a csoport legalább egy szanálás alá vonható szervezetének be kell nyújtania. Ezeknek az információknak ténylegesen ki kell terjedniük az adott szanálás alá vonható csoport központi szervéhez tartósan kapcsolt valamennyi hitelintézetre, magára a központi szervre és azok leányvállalataira, adott esetben egyedi, szubkonszolidált és összevont alapon.</w:t>
      </w:r>
    </w:p>
    <w:p w:rsidR="00E522C4" w:rsidRPr="00FD074E" w:rsidRDefault="00E522C4" w:rsidP="00184085">
      <w:pPr>
        <w:pStyle w:val="Titrearticle"/>
        <w:rPr>
          <w:noProof/>
        </w:rPr>
      </w:pPr>
      <w:r w:rsidRPr="00FD074E">
        <w:rPr>
          <w:noProof/>
        </w:rPr>
        <w:t>6. cikk</w:t>
      </w:r>
    </w:p>
    <w:p w:rsidR="00E522C4" w:rsidRPr="00FD074E" w:rsidRDefault="00E522C4" w:rsidP="00184085">
      <w:pPr>
        <w:pStyle w:val="Titrearticle"/>
        <w:spacing w:before="0"/>
        <w:rPr>
          <w:b/>
          <w:bCs/>
          <w:i w:val="0"/>
          <w:iCs/>
          <w:noProof/>
        </w:rPr>
      </w:pPr>
      <w:r w:rsidRPr="00FD074E">
        <w:rPr>
          <w:b/>
          <w:i w:val="0"/>
          <w:noProof/>
        </w:rPr>
        <w:t>Gyakoriság, vonatkozási időpontok és beküldési időpontok</w:t>
      </w:r>
    </w:p>
    <w:p w:rsidR="00E522C4" w:rsidRPr="00FD074E" w:rsidRDefault="00392BCF" w:rsidP="00392BCF">
      <w:pPr>
        <w:pStyle w:val="Point0"/>
        <w:rPr>
          <w:noProof/>
        </w:rPr>
      </w:pPr>
      <w:r w:rsidRPr="00392BCF">
        <w:rPr>
          <w:noProof/>
        </w:rPr>
        <w:t>(1)</w:t>
      </w:r>
      <w:r w:rsidRPr="00392BCF">
        <w:rPr>
          <w:noProof/>
        </w:rPr>
        <w:tab/>
      </w:r>
      <w:r w:rsidR="00E522C4" w:rsidRPr="00FD074E">
        <w:rPr>
          <w:noProof/>
        </w:rPr>
        <w:t>Az intézmények vagy csoportok esetében az EU-szintű anyavállalat a 2–5. cikkben említett információkat a következők szerint nyújtja be:</w:t>
      </w:r>
    </w:p>
    <w:p w:rsidR="00E522C4" w:rsidRPr="00FD074E" w:rsidRDefault="00E26F0A" w:rsidP="00E26F0A">
      <w:pPr>
        <w:pStyle w:val="Point1"/>
        <w:rPr>
          <w:noProof/>
        </w:rPr>
      </w:pPr>
      <w:r>
        <w:rPr>
          <w:noProof/>
        </w:rPr>
        <w:t>a)</w:t>
      </w:r>
      <w:r w:rsidRPr="00E26F0A">
        <w:rPr>
          <w:noProof/>
        </w:rPr>
        <w:tab/>
      </w:r>
      <w:r w:rsidR="00A071C3" w:rsidRPr="00FD074E">
        <w:rPr>
          <w:noProof/>
        </w:rPr>
        <w:t xml:space="preserve">a </w:t>
      </w:r>
      <w:bookmarkStart w:id="2" w:name="_Hlk188952542"/>
      <w:r w:rsidR="00A071C3" w:rsidRPr="00FD074E">
        <w:rPr>
          <w:noProof/>
        </w:rPr>
        <w:t>Z 01.01, Z 01.02, Z 02.00, Z 03.01, Z 03.02, Z 04.00, Z 05.01, Z 05.02, Z 06.00 és Z 11.00–Z 17.00 táblákat</w:t>
      </w:r>
      <w:bookmarkEnd w:id="2"/>
      <w:r w:rsidR="00A071C3" w:rsidRPr="00FD074E">
        <w:rPr>
          <w:noProof/>
        </w:rPr>
        <w:t xml:space="preserve"> legkésőbb minden év március 31-ig az előző naptári év utolsó napja tekintetében;</w:t>
      </w:r>
    </w:p>
    <w:p w:rsidR="00E522C4" w:rsidRPr="00FD074E" w:rsidRDefault="00E26F0A" w:rsidP="00E26F0A">
      <w:pPr>
        <w:pStyle w:val="Point1"/>
        <w:rPr>
          <w:noProof/>
        </w:rPr>
      </w:pPr>
      <w:r>
        <w:rPr>
          <w:noProof/>
        </w:rPr>
        <w:t>b)</w:t>
      </w:r>
      <w:r w:rsidRPr="00E26F0A">
        <w:rPr>
          <w:noProof/>
        </w:rPr>
        <w:tab/>
      </w:r>
      <w:r w:rsidR="003F636B" w:rsidRPr="00FD074E">
        <w:rPr>
          <w:noProof/>
        </w:rPr>
        <w:t>a Z 07.01.1–Z 07.04, Z 08.01–Z 08.05 és a Z 09.01–Z 09.04 táblákat legkésőbb minden év április 30-ig az előző naptári év utolsó napja tekintetében.</w:t>
      </w:r>
    </w:p>
    <w:p w:rsidR="003F636B" w:rsidRPr="00FD074E" w:rsidRDefault="003F636B" w:rsidP="00184085">
      <w:pPr>
        <w:pStyle w:val="Text1"/>
        <w:rPr>
          <w:noProof/>
        </w:rPr>
      </w:pPr>
      <w:r w:rsidRPr="00FD074E">
        <w:rPr>
          <w:noProof/>
        </w:rPr>
        <w:t>Az a) pont alkalmazásában, amennyiben március 31. nem munkanap, az információkat a következő munkanapon kell megadni.</w:t>
      </w:r>
    </w:p>
    <w:p w:rsidR="003F636B" w:rsidRPr="00FD074E" w:rsidRDefault="003F636B" w:rsidP="00184085">
      <w:pPr>
        <w:pStyle w:val="Text1"/>
        <w:rPr>
          <w:noProof/>
        </w:rPr>
      </w:pPr>
      <w:r w:rsidRPr="00FD074E">
        <w:rPr>
          <w:noProof/>
        </w:rPr>
        <w:t>A b) pont alkalmazásában, amennyiben április 30. nem munkanap, az információkat a következő munkanapon kell megadni.</w:t>
      </w:r>
    </w:p>
    <w:p w:rsidR="00E522C4" w:rsidRPr="00FD074E" w:rsidRDefault="00E26F0A" w:rsidP="00E26F0A">
      <w:pPr>
        <w:pStyle w:val="Point0"/>
        <w:rPr>
          <w:noProof/>
        </w:rPr>
      </w:pPr>
      <w:r w:rsidRPr="00E26F0A">
        <w:rPr>
          <w:noProof/>
        </w:rPr>
        <w:t>(2)</w:t>
      </w:r>
      <w:r w:rsidRPr="00E26F0A">
        <w:rPr>
          <w:noProof/>
        </w:rPr>
        <w:tab/>
      </w:r>
      <w:r w:rsidR="00E522C4" w:rsidRPr="00FD074E">
        <w:rPr>
          <w:noProof/>
        </w:rPr>
        <w:t>A szanálási hatóságoknak meg kell határozniuk, hogy az információkat közvetlenül a szanálási hatóságnak vagy adott esetben az illetékes hatóságnak kell-e benyújtani.</w:t>
      </w:r>
    </w:p>
    <w:p w:rsidR="00E522C4" w:rsidRPr="00FD074E" w:rsidRDefault="00E26F0A" w:rsidP="00E26F0A">
      <w:pPr>
        <w:pStyle w:val="Point0"/>
        <w:rPr>
          <w:noProof/>
        </w:rPr>
      </w:pPr>
      <w:r w:rsidRPr="00E26F0A">
        <w:rPr>
          <w:noProof/>
        </w:rPr>
        <w:t>(3)</w:t>
      </w:r>
      <w:r w:rsidRPr="00E26F0A">
        <w:rPr>
          <w:noProof/>
        </w:rPr>
        <w:tab/>
      </w:r>
      <w:r w:rsidR="00E522C4" w:rsidRPr="00FD074E">
        <w:rPr>
          <w:noProof/>
        </w:rPr>
        <w:t>Az intézmények vagy – csoportok esetében – az EU-szintű anyavállalatok nem auditált adatokat is benyújthatnak. Amennyiben az auditált adatok eltérnek a benyújtott nem auditált adatoktól, a módosított, auditált adatokat indokolatlan késedelem nélkül be kell nyújtani.</w:t>
      </w:r>
    </w:p>
    <w:p w:rsidR="00E522C4" w:rsidRPr="00FD074E" w:rsidRDefault="00E26F0A" w:rsidP="00E26F0A">
      <w:pPr>
        <w:pStyle w:val="Point0"/>
        <w:rPr>
          <w:noProof/>
        </w:rPr>
      </w:pPr>
      <w:r w:rsidRPr="00E26F0A">
        <w:rPr>
          <w:noProof/>
        </w:rPr>
        <w:t>(4)</w:t>
      </w:r>
      <w:r w:rsidRPr="00E26F0A">
        <w:rPr>
          <w:noProof/>
        </w:rPr>
        <w:tab/>
      </w:r>
      <w:r w:rsidR="00E522C4" w:rsidRPr="00FD074E">
        <w:rPr>
          <w:noProof/>
        </w:rPr>
        <w:t>A (3) bekezdés alkalmazásában a „nem auditált adatok” olyan adatok, amelyekről külső könyvvizsgáló nem alkotott könyvvizsgálói véleményt, míg az „auditált adatok” olyan adatok, amelyeket külső könyvvizsgáló auditált és amelyekről könyvvizsgálói véleményt alkotott.</w:t>
      </w:r>
    </w:p>
    <w:p w:rsidR="00E522C4" w:rsidRPr="00FD074E" w:rsidRDefault="00E26F0A" w:rsidP="00E26F0A">
      <w:pPr>
        <w:pStyle w:val="Point0"/>
        <w:rPr>
          <w:noProof/>
        </w:rPr>
      </w:pPr>
      <w:r w:rsidRPr="00E26F0A">
        <w:rPr>
          <w:noProof/>
        </w:rPr>
        <w:t>(5)</w:t>
      </w:r>
      <w:r w:rsidRPr="00E26F0A">
        <w:rPr>
          <w:noProof/>
        </w:rPr>
        <w:tab/>
      </w:r>
      <w:r w:rsidR="00E522C4" w:rsidRPr="00FD074E">
        <w:rPr>
          <w:noProof/>
        </w:rPr>
        <w:t>A benyújtott jelentések javításait indokolatlan késedelem nélkül be kell nyújtani.</w:t>
      </w:r>
    </w:p>
    <w:p w:rsidR="00E522C4" w:rsidRPr="00FD074E" w:rsidRDefault="00E522C4" w:rsidP="00184085">
      <w:pPr>
        <w:pStyle w:val="Titrearticle"/>
        <w:rPr>
          <w:noProof/>
        </w:rPr>
      </w:pPr>
      <w:r w:rsidRPr="00FD074E">
        <w:rPr>
          <w:noProof/>
        </w:rPr>
        <w:t>7. cikk</w:t>
      </w:r>
    </w:p>
    <w:p w:rsidR="00E522C4" w:rsidRPr="00FD074E" w:rsidRDefault="00E522C4" w:rsidP="00184085">
      <w:pPr>
        <w:pStyle w:val="Titrearticle"/>
        <w:spacing w:before="0"/>
        <w:rPr>
          <w:b/>
          <w:bCs/>
          <w:i w:val="0"/>
          <w:iCs/>
          <w:noProof/>
        </w:rPr>
      </w:pPr>
      <w:r w:rsidRPr="00FD074E">
        <w:rPr>
          <w:b/>
          <w:i w:val="0"/>
          <w:noProof/>
        </w:rPr>
        <w:t>Adatcsere-formátumok és az adatszolgáltatást kísérő információk</w:t>
      </w:r>
    </w:p>
    <w:p w:rsidR="00E522C4" w:rsidRPr="00FD074E" w:rsidRDefault="00E26F0A" w:rsidP="00E26F0A">
      <w:pPr>
        <w:pStyle w:val="Point0"/>
        <w:rPr>
          <w:noProof/>
        </w:rPr>
      </w:pPr>
      <w:r>
        <w:rPr>
          <w:noProof/>
        </w:rPr>
        <w:t>(1)</w:t>
      </w:r>
      <w:r w:rsidRPr="00E26F0A">
        <w:rPr>
          <w:noProof/>
        </w:rPr>
        <w:tab/>
      </w:r>
      <w:r w:rsidR="00E522C4" w:rsidRPr="00FD074E">
        <w:rPr>
          <w:noProof/>
        </w:rPr>
        <w:t>Az intézmények vagy – csoportok esetében – az EU-szintű anyavállalatok a 2–5. cikkben meghatározott információkat az I. mellékletben található táblákban meghatározott módon, a szanálási hatóságok által meghatározott adatcsere-formátumban és megjelenítési formában nyújtják be, és betartják az adatpontok II. mellékletben található egységes adatmodellben szereplő fogalommeghatározását, valamint a III. mellékletben meghatározott validálási szabályokat.</w:t>
      </w:r>
    </w:p>
    <w:p w:rsidR="00E522C4" w:rsidRPr="00FD074E" w:rsidRDefault="00E26F0A" w:rsidP="00E26F0A">
      <w:pPr>
        <w:pStyle w:val="Point0"/>
        <w:rPr>
          <w:noProof/>
        </w:rPr>
      </w:pPr>
      <w:r>
        <w:rPr>
          <w:noProof/>
        </w:rPr>
        <w:t>(2)</w:t>
      </w:r>
      <w:r w:rsidRPr="00E26F0A">
        <w:rPr>
          <w:noProof/>
        </w:rPr>
        <w:tab/>
      </w:r>
      <w:r w:rsidR="00E522C4" w:rsidRPr="00FD074E">
        <w:rPr>
          <w:noProof/>
        </w:rPr>
        <w:t>Az (1) bekezdésben meghatározott kötelezettségen túlmenően az intézmények vagy – csoportok esetében – az EU-szintű anyavállalatok a következőket biztosítják:</w:t>
      </w:r>
    </w:p>
    <w:p w:rsidR="00E522C4" w:rsidRPr="00FD074E" w:rsidRDefault="00E26F0A" w:rsidP="00E26F0A">
      <w:pPr>
        <w:pStyle w:val="Point1"/>
        <w:rPr>
          <w:noProof/>
        </w:rPr>
      </w:pPr>
      <w:r>
        <w:rPr>
          <w:noProof/>
        </w:rPr>
        <w:t>a)</w:t>
      </w:r>
      <w:r w:rsidRPr="00E26F0A">
        <w:rPr>
          <w:noProof/>
        </w:rPr>
        <w:tab/>
      </w:r>
      <w:r w:rsidR="00E522C4" w:rsidRPr="00FD074E">
        <w:rPr>
          <w:noProof/>
        </w:rPr>
        <w:t>a numerikus értékeket a következőképpen kell megadni:</w:t>
      </w:r>
    </w:p>
    <w:p w:rsidR="00E522C4" w:rsidRPr="00FD074E" w:rsidRDefault="00E522C4" w:rsidP="00184085">
      <w:pPr>
        <w:pStyle w:val="Point2"/>
        <w:rPr>
          <w:noProof/>
        </w:rPr>
      </w:pPr>
      <w:r w:rsidRPr="00FD074E">
        <w:rPr>
          <w:noProof/>
        </w:rPr>
        <w:t>i.</w:t>
      </w:r>
      <w:r w:rsidRPr="00FD074E">
        <w:rPr>
          <w:noProof/>
        </w:rPr>
        <w:tab/>
        <w:t>a „monetáris” típusú adatokat minimum tízezres nagyságrendű pontossággal kell jelenteni;</w:t>
      </w:r>
    </w:p>
    <w:p w:rsidR="00E522C4" w:rsidRPr="00FD074E" w:rsidRDefault="00E522C4" w:rsidP="00184085">
      <w:pPr>
        <w:pStyle w:val="Point2"/>
        <w:rPr>
          <w:noProof/>
        </w:rPr>
      </w:pPr>
      <w:r w:rsidRPr="00FD074E">
        <w:rPr>
          <w:noProof/>
        </w:rPr>
        <w:t>ii.</w:t>
      </w:r>
      <w:r w:rsidRPr="00FD074E">
        <w:rPr>
          <w:noProof/>
        </w:rPr>
        <w:tab/>
        <w:t>a „százalék” típusú adatokat egységnyi értékben kifejezve, legalább négy tizedesjegy pontossággal kell jelenteni;</w:t>
      </w:r>
    </w:p>
    <w:p w:rsidR="00E522C4" w:rsidRPr="00FD074E" w:rsidRDefault="00E522C4" w:rsidP="00184085">
      <w:pPr>
        <w:pStyle w:val="Point2"/>
        <w:rPr>
          <w:noProof/>
        </w:rPr>
      </w:pPr>
      <w:r w:rsidRPr="00FD074E">
        <w:rPr>
          <w:noProof/>
        </w:rPr>
        <w:t>iii.</w:t>
      </w:r>
      <w:r w:rsidRPr="00FD074E">
        <w:rPr>
          <w:noProof/>
        </w:rPr>
        <w:tab/>
        <w:t>az „egész szám” típusú adatokat tizedesjegyek alkalmazása nélkül, egész számnak megfelelő pontossággal kell jelenteni.</w:t>
      </w:r>
    </w:p>
    <w:p w:rsidR="00E522C4" w:rsidRPr="00FD074E" w:rsidRDefault="00E26F0A" w:rsidP="00E26F0A">
      <w:pPr>
        <w:pStyle w:val="Point1"/>
        <w:rPr>
          <w:noProof/>
        </w:rPr>
      </w:pPr>
      <w:r>
        <w:rPr>
          <w:noProof/>
        </w:rPr>
        <w:t>b)</w:t>
      </w:r>
      <w:r w:rsidRPr="00E26F0A">
        <w:rPr>
          <w:noProof/>
        </w:rPr>
        <w:tab/>
      </w:r>
      <w:r w:rsidR="00E522C4" w:rsidRPr="00FD074E">
        <w:rPr>
          <w:noProof/>
        </w:rPr>
        <w:t>az intézményeket és a biztosítókat kizárólag jogalany-azonosítójukkal (LEI) szabad azonosítani;</w:t>
      </w:r>
    </w:p>
    <w:p w:rsidR="00E522C4" w:rsidRPr="00FD074E" w:rsidRDefault="00E26F0A" w:rsidP="00E26F0A">
      <w:pPr>
        <w:pStyle w:val="Point1"/>
        <w:rPr>
          <w:noProof/>
        </w:rPr>
      </w:pPr>
      <w:r>
        <w:rPr>
          <w:noProof/>
        </w:rPr>
        <w:t>c)</w:t>
      </w:r>
      <w:r w:rsidRPr="00E26F0A">
        <w:rPr>
          <w:noProof/>
        </w:rPr>
        <w:tab/>
      </w:r>
      <w:r w:rsidR="00E522C4" w:rsidRPr="00FD074E">
        <w:rPr>
          <w:noProof/>
        </w:rPr>
        <w:t>az intézményektől és biztosítóktól eltérő jogi személyeket és szervezeteket jogalany-azonosítójukkal kell azonosítani, amennyiben az rendelkezésre áll;</w:t>
      </w:r>
    </w:p>
    <w:p w:rsidR="0046629F" w:rsidRPr="00FD074E" w:rsidRDefault="00E26F0A" w:rsidP="00E26F0A">
      <w:pPr>
        <w:pStyle w:val="Point1"/>
        <w:rPr>
          <w:noProof/>
        </w:rPr>
      </w:pPr>
      <w:r>
        <w:rPr>
          <w:noProof/>
        </w:rPr>
        <w:t>d)</w:t>
      </w:r>
      <w:r w:rsidRPr="00E26F0A">
        <w:rPr>
          <w:noProof/>
        </w:rPr>
        <w:tab/>
      </w:r>
      <w:r w:rsidR="0046629F" w:rsidRPr="00FD074E">
        <w:rPr>
          <w:noProof/>
        </w:rPr>
        <w:t>a nem előírt vagy nem alkalmazandó információk nem szerepelhetnek a benyújtott adatok között.</w:t>
      </w:r>
    </w:p>
    <w:p w:rsidR="00E522C4" w:rsidRPr="00FD074E" w:rsidRDefault="00E26F0A" w:rsidP="00E26F0A">
      <w:pPr>
        <w:pStyle w:val="Point0"/>
        <w:rPr>
          <w:noProof/>
        </w:rPr>
      </w:pPr>
      <w:r>
        <w:rPr>
          <w:noProof/>
        </w:rPr>
        <w:t>(3)</w:t>
      </w:r>
      <w:r w:rsidRPr="00E26F0A">
        <w:rPr>
          <w:noProof/>
        </w:rPr>
        <w:tab/>
      </w:r>
      <w:r w:rsidR="004B472A" w:rsidRPr="00FD074E">
        <w:rPr>
          <w:noProof/>
        </w:rPr>
        <w:t>Az intézmények, vagy – csoportok esetében – az EU-szintű anyavállalatok által benyújtott adatokat a következő információkkal együtt kell beküldeni:</w:t>
      </w:r>
    </w:p>
    <w:p w:rsidR="004B472A" w:rsidRPr="00FD074E" w:rsidRDefault="00E26F0A" w:rsidP="00E26F0A">
      <w:pPr>
        <w:pStyle w:val="Point1"/>
        <w:rPr>
          <w:noProof/>
        </w:rPr>
      </w:pPr>
      <w:r>
        <w:rPr>
          <w:noProof/>
        </w:rPr>
        <w:t>a)</w:t>
      </w:r>
      <w:r w:rsidRPr="00E26F0A">
        <w:rPr>
          <w:noProof/>
        </w:rPr>
        <w:tab/>
      </w:r>
      <w:r w:rsidR="004B472A" w:rsidRPr="00FD074E">
        <w:rPr>
          <w:noProof/>
        </w:rPr>
        <w:t>vonatkozási időpont;</w:t>
      </w:r>
    </w:p>
    <w:p w:rsidR="004B472A" w:rsidRPr="00FD074E" w:rsidRDefault="00E26F0A" w:rsidP="00E26F0A">
      <w:pPr>
        <w:pStyle w:val="Point1"/>
        <w:rPr>
          <w:noProof/>
        </w:rPr>
      </w:pPr>
      <w:r>
        <w:rPr>
          <w:noProof/>
        </w:rPr>
        <w:t>b)</w:t>
      </w:r>
      <w:r w:rsidRPr="00E26F0A">
        <w:rPr>
          <w:noProof/>
        </w:rPr>
        <w:tab/>
      </w:r>
      <w:r w:rsidR="004B472A" w:rsidRPr="00FD074E">
        <w:rPr>
          <w:noProof/>
        </w:rPr>
        <w:t>adatszolgáltatás pénzneme;</w:t>
      </w:r>
    </w:p>
    <w:p w:rsidR="004B472A" w:rsidRPr="00FD074E" w:rsidRDefault="00E26F0A" w:rsidP="00E26F0A">
      <w:pPr>
        <w:pStyle w:val="Point1"/>
        <w:rPr>
          <w:noProof/>
        </w:rPr>
      </w:pPr>
      <w:r>
        <w:rPr>
          <w:noProof/>
        </w:rPr>
        <w:t>c)</w:t>
      </w:r>
      <w:r w:rsidRPr="00E26F0A">
        <w:rPr>
          <w:noProof/>
        </w:rPr>
        <w:tab/>
      </w:r>
      <w:r w:rsidR="004B472A" w:rsidRPr="00FD074E">
        <w:rPr>
          <w:noProof/>
        </w:rPr>
        <w:t>számviteli standard;</w:t>
      </w:r>
    </w:p>
    <w:p w:rsidR="004B472A" w:rsidRPr="00FD074E" w:rsidRDefault="00E26F0A" w:rsidP="00E26F0A">
      <w:pPr>
        <w:pStyle w:val="Point1"/>
        <w:rPr>
          <w:noProof/>
        </w:rPr>
      </w:pPr>
      <w:r>
        <w:rPr>
          <w:noProof/>
        </w:rPr>
        <w:t>d)</w:t>
      </w:r>
      <w:r w:rsidRPr="00E26F0A">
        <w:rPr>
          <w:noProof/>
        </w:rPr>
        <w:tab/>
      </w:r>
      <w:r w:rsidR="004B472A" w:rsidRPr="00FD074E">
        <w:rPr>
          <w:noProof/>
        </w:rPr>
        <w:t>az adatszolgáltató szervezet jogalany-azonosítója;</w:t>
      </w:r>
    </w:p>
    <w:p w:rsidR="004B472A" w:rsidRPr="00FD074E" w:rsidRDefault="00E26F0A" w:rsidP="00E26F0A">
      <w:pPr>
        <w:pStyle w:val="Point1"/>
        <w:rPr>
          <w:noProof/>
        </w:rPr>
      </w:pPr>
      <w:r>
        <w:rPr>
          <w:noProof/>
        </w:rPr>
        <w:t>e)</w:t>
      </w:r>
      <w:r w:rsidRPr="00E26F0A">
        <w:rPr>
          <w:noProof/>
        </w:rPr>
        <w:tab/>
      </w:r>
      <w:r w:rsidR="004B472A" w:rsidRPr="00FD074E">
        <w:rPr>
          <w:noProof/>
        </w:rPr>
        <w:t>a 2., 3. és 4. cikkben meghatározott alkalmazási szint.</w:t>
      </w:r>
    </w:p>
    <w:p w:rsidR="004B472A" w:rsidRPr="00FD074E" w:rsidRDefault="004B472A" w:rsidP="00184085">
      <w:pPr>
        <w:pStyle w:val="Titrearticle"/>
        <w:rPr>
          <w:noProof/>
        </w:rPr>
      </w:pPr>
      <w:bookmarkStart w:id="3" w:name="_Hlk169616472"/>
      <w:r w:rsidRPr="00FD074E">
        <w:rPr>
          <w:noProof/>
        </w:rPr>
        <w:t>8. cikk</w:t>
      </w:r>
    </w:p>
    <w:p w:rsidR="004B472A" w:rsidRPr="00FD074E" w:rsidRDefault="004B472A" w:rsidP="00184085">
      <w:pPr>
        <w:pStyle w:val="Titrearticle"/>
        <w:spacing w:before="0"/>
        <w:rPr>
          <w:b/>
          <w:bCs/>
          <w:i w:val="0"/>
          <w:iCs/>
          <w:noProof/>
        </w:rPr>
      </w:pPr>
      <w:r w:rsidRPr="00FD074E">
        <w:rPr>
          <w:b/>
          <w:i w:val="0"/>
          <w:noProof/>
        </w:rPr>
        <w:t xml:space="preserve">Kiegészítő információk szolgáltatása az egyéni vagy a csoportszintű szanálási tervekhez </w:t>
      </w:r>
    </w:p>
    <w:bookmarkEnd w:id="3"/>
    <w:p w:rsidR="00FA69C1" w:rsidRPr="00FD074E" w:rsidRDefault="00223B39" w:rsidP="00223B39">
      <w:pPr>
        <w:pStyle w:val="Point0"/>
        <w:rPr>
          <w:noProof/>
        </w:rPr>
      </w:pPr>
      <w:r>
        <w:rPr>
          <w:noProof/>
        </w:rPr>
        <w:t>(1)</w:t>
      </w:r>
      <w:r w:rsidRPr="00223B39">
        <w:rPr>
          <w:noProof/>
        </w:rPr>
        <w:tab/>
      </w:r>
      <w:r w:rsidR="00C747E3" w:rsidRPr="00FD074E">
        <w:rPr>
          <w:noProof/>
        </w:rPr>
        <w:t>A szanálási hatóság vagy a csoportszintű szanálási hatóság további információkat vagy új formátumú információkat kér az érintett intézménytől vagy az EU-szintű anyavállalattól, amennyiben a következők bármelyike fennáll:</w:t>
      </w:r>
    </w:p>
    <w:p w:rsidR="00FA69C1" w:rsidRPr="00FD074E" w:rsidRDefault="00223B39" w:rsidP="00223B39">
      <w:pPr>
        <w:pStyle w:val="Point1"/>
        <w:rPr>
          <w:noProof/>
        </w:rPr>
      </w:pPr>
      <w:r>
        <w:rPr>
          <w:noProof/>
        </w:rPr>
        <w:t>a)</w:t>
      </w:r>
      <w:r w:rsidRPr="00223B39">
        <w:rPr>
          <w:noProof/>
        </w:rPr>
        <w:tab/>
      </w:r>
      <w:r w:rsidR="00FA69C1" w:rsidRPr="00FD074E">
        <w:rPr>
          <w:noProof/>
        </w:rPr>
        <w:t>a szanálási hatóság vagy a csoportszintű szanálási hatóság úgy ítéli meg, hogy ezeket az információkat nem fedik le az I. mellékletben foglalt táblák, és azok szükségesek a szanálási tervek kidolgozásához és végrehajtásához;</w:t>
      </w:r>
    </w:p>
    <w:p w:rsidR="00FA69C1" w:rsidRPr="00FD074E" w:rsidRDefault="00223B39" w:rsidP="00223B39">
      <w:pPr>
        <w:pStyle w:val="Point1"/>
        <w:rPr>
          <w:noProof/>
        </w:rPr>
      </w:pPr>
      <w:r>
        <w:rPr>
          <w:noProof/>
        </w:rPr>
        <w:t>b)</w:t>
      </w:r>
      <w:r w:rsidRPr="00223B39">
        <w:rPr>
          <w:noProof/>
        </w:rPr>
        <w:tab/>
      </w:r>
      <w:r w:rsidR="00FA69C1" w:rsidRPr="00FD074E">
        <w:rPr>
          <w:noProof/>
        </w:rPr>
        <w:t>a szanálási hatóság vagy a csoportszintű szanálási hatóság úgy ítéli meg, hogy az egyszerűsített kötelezettségek hatálya alá tartozó szervezetek esetében szükség van ezeknek az információknak a benyújtására a szanálási tervek kidolgozásához és végrehajtásához;</w:t>
      </w:r>
    </w:p>
    <w:p w:rsidR="00FA69C1" w:rsidRPr="00FD074E" w:rsidRDefault="00223B39" w:rsidP="00223B39">
      <w:pPr>
        <w:pStyle w:val="Point1"/>
        <w:rPr>
          <w:noProof/>
        </w:rPr>
      </w:pPr>
      <w:r>
        <w:rPr>
          <w:noProof/>
        </w:rPr>
        <w:t>c)</w:t>
      </w:r>
      <w:r w:rsidRPr="00223B39">
        <w:rPr>
          <w:noProof/>
        </w:rPr>
        <w:tab/>
      </w:r>
      <w:r w:rsidR="00FA69C1" w:rsidRPr="00FD074E">
        <w:rPr>
          <w:noProof/>
        </w:rPr>
        <w:t>az a formátum, amelyben az illetékes hatóság a 9. cikk (2) bekezdése szerint tájékoztatást nyújt, nem alkalmas szanálási tervek kidolgozására vagy végrehajtására.</w:t>
      </w:r>
    </w:p>
    <w:p w:rsidR="004B472A" w:rsidRPr="00FD074E" w:rsidRDefault="003861A3" w:rsidP="003861A3">
      <w:pPr>
        <w:pStyle w:val="Point0"/>
        <w:rPr>
          <w:noProof/>
        </w:rPr>
      </w:pPr>
      <w:r w:rsidRPr="003861A3">
        <w:rPr>
          <w:noProof/>
        </w:rPr>
        <w:t>(2)</w:t>
      </w:r>
      <w:r w:rsidRPr="003861A3">
        <w:rPr>
          <w:noProof/>
        </w:rPr>
        <w:tab/>
      </w:r>
      <w:r w:rsidR="004B472A" w:rsidRPr="00FD074E">
        <w:rPr>
          <w:noProof/>
        </w:rPr>
        <w:t>Az (1) bekezdés szerinti információkérés céljából a szanálási hatóság:</w:t>
      </w:r>
    </w:p>
    <w:p w:rsidR="004B472A" w:rsidRPr="00FD074E" w:rsidRDefault="003861A3" w:rsidP="003861A3">
      <w:pPr>
        <w:pStyle w:val="Point1"/>
        <w:rPr>
          <w:noProof/>
        </w:rPr>
      </w:pPr>
      <w:r>
        <w:rPr>
          <w:noProof/>
        </w:rPr>
        <w:t>a)</w:t>
      </w:r>
      <w:r w:rsidRPr="003861A3">
        <w:rPr>
          <w:noProof/>
        </w:rPr>
        <w:tab/>
      </w:r>
      <w:r w:rsidR="004B472A" w:rsidRPr="00FD074E">
        <w:rPr>
          <w:noProof/>
        </w:rPr>
        <w:t>azonosítja a benyújtandó kiegészítő információkat;</w:t>
      </w:r>
    </w:p>
    <w:p w:rsidR="004B472A" w:rsidRPr="00FD074E" w:rsidRDefault="003861A3" w:rsidP="003861A3">
      <w:pPr>
        <w:pStyle w:val="Point1"/>
        <w:rPr>
          <w:noProof/>
        </w:rPr>
      </w:pPr>
      <w:r>
        <w:rPr>
          <w:noProof/>
        </w:rPr>
        <w:t>b)</w:t>
      </w:r>
      <w:r w:rsidRPr="003861A3">
        <w:rPr>
          <w:noProof/>
        </w:rPr>
        <w:tab/>
      </w:r>
      <w:r w:rsidR="004B472A" w:rsidRPr="00FD074E">
        <w:rPr>
          <w:noProof/>
        </w:rPr>
        <w:t>a kért információk mennyiségét és összetettségét figyelembe véve meghatározza azt a megfelelő időkeretet, amelyen belül az intézménynek, illetve csoportok esetében az EU-szintű anyavállalatnak az információkat a szanálási hatóság rendelkezésére kell bocsátania;</w:t>
      </w:r>
    </w:p>
    <w:p w:rsidR="004B472A" w:rsidRPr="00FD074E" w:rsidRDefault="003861A3" w:rsidP="003861A3">
      <w:pPr>
        <w:pStyle w:val="Point1"/>
        <w:rPr>
          <w:noProof/>
        </w:rPr>
      </w:pPr>
      <w:r>
        <w:rPr>
          <w:noProof/>
        </w:rPr>
        <w:t>c)</w:t>
      </w:r>
      <w:r w:rsidRPr="003861A3">
        <w:rPr>
          <w:noProof/>
        </w:rPr>
        <w:tab/>
      </w:r>
      <w:r w:rsidR="004B472A" w:rsidRPr="00FD074E">
        <w:rPr>
          <w:noProof/>
        </w:rPr>
        <w:t>meghatározza az intézmények vagy – csoportok esetében – az EU-szintű anyavállalatok által az információk szanálási hatóságok részére történő átadásához használandó formátumot;</w:t>
      </w:r>
    </w:p>
    <w:p w:rsidR="004B472A" w:rsidRPr="00FD074E" w:rsidRDefault="003861A3" w:rsidP="003861A3">
      <w:pPr>
        <w:pStyle w:val="Point1"/>
        <w:rPr>
          <w:noProof/>
        </w:rPr>
      </w:pPr>
      <w:r>
        <w:rPr>
          <w:noProof/>
        </w:rPr>
        <w:t>d)</w:t>
      </w:r>
      <w:r w:rsidRPr="003861A3">
        <w:rPr>
          <w:noProof/>
        </w:rPr>
        <w:tab/>
      </w:r>
      <w:r w:rsidR="004B472A" w:rsidRPr="00FD074E">
        <w:rPr>
          <w:noProof/>
        </w:rPr>
        <w:t>meghatározza, hogy az információkat egyedi, szubkonszolidált vagy összevont alapon kell megadni, valamint hogy az alkalmazási kör helyi, uniós vagy globális szintű;</w:t>
      </w:r>
    </w:p>
    <w:p w:rsidR="004B472A" w:rsidRPr="00FD074E" w:rsidRDefault="003861A3" w:rsidP="003861A3">
      <w:pPr>
        <w:pStyle w:val="Point1"/>
        <w:rPr>
          <w:noProof/>
        </w:rPr>
      </w:pPr>
      <w:r>
        <w:rPr>
          <w:noProof/>
        </w:rPr>
        <w:t>e)</w:t>
      </w:r>
      <w:r w:rsidRPr="003861A3">
        <w:rPr>
          <w:noProof/>
        </w:rPr>
        <w:tab/>
      </w:r>
      <w:r w:rsidR="004B472A" w:rsidRPr="00FD074E">
        <w:rPr>
          <w:noProof/>
        </w:rPr>
        <w:t>megadja a pontos címzettet, az adatcsere formátumát és a beadványokat kísérő információkat arra az esetre, ha további információkat kell megadni.</w:t>
      </w:r>
    </w:p>
    <w:p w:rsidR="004B472A" w:rsidRPr="00FD074E" w:rsidRDefault="004B472A" w:rsidP="00184085">
      <w:pPr>
        <w:pStyle w:val="Titrearticle"/>
        <w:rPr>
          <w:noProof/>
        </w:rPr>
      </w:pPr>
      <w:r w:rsidRPr="00FD074E">
        <w:rPr>
          <w:noProof/>
        </w:rPr>
        <w:t>9. cikk</w:t>
      </w:r>
    </w:p>
    <w:p w:rsidR="004B472A" w:rsidRPr="00FD074E" w:rsidRDefault="004B472A" w:rsidP="00184085">
      <w:pPr>
        <w:pStyle w:val="Titrearticle"/>
        <w:spacing w:before="0"/>
        <w:rPr>
          <w:b/>
          <w:bCs/>
          <w:i w:val="0"/>
          <w:iCs/>
          <w:noProof/>
        </w:rPr>
      </w:pPr>
      <w:r w:rsidRPr="00FD074E">
        <w:rPr>
          <w:b/>
          <w:i w:val="0"/>
          <w:noProof/>
        </w:rPr>
        <w:t>Az illetékes és a szanálási hatóságok közötti együttműködés</w:t>
      </w:r>
    </w:p>
    <w:p w:rsidR="004B472A" w:rsidRPr="00FD074E" w:rsidRDefault="003861A3" w:rsidP="003861A3">
      <w:pPr>
        <w:pStyle w:val="Point0"/>
        <w:rPr>
          <w:noProof/>
        </w:rPr>
      </w:pPr>
      <w:r>
        <w:rPr>
          <w:noProof/>
        </w:rPr>
        <w:t>(1)</w:t>
      </w:r>
      <w:r w:rsidRPr="003861A3">
        <w:rPr>
          <w:noProof/>
        </w:rPr>
        <w:tab/>
      </w:r>
      <w:r w:rsidR="004B472A" w:rsidRPr="00FD074E">
        <w:rPr>
          <w:noProof/>
        </w:rPr>
        <w:t>Az illetékes és a szanálási hatóságok közösen ellenőrzik, hogy a 2–5. cikk, valamint a 7. és 8. cikk szerint a szanálási hatóság rendelkezésére bocsátandó információk részben vagy egészben már az illetékes hatóság rendelkezésére állnak-e.</w:t>
      </w:r>
    </w:p>
    <w:p w:rsidR="004B472A" w:rsidRPr="00FD074E" w:rsidRDefault="003861A3" w:rsidP="003861A3">
      <w:pPr>
        <w:pStyle w:val="Point0"/>
        <w:rPr>
          <w:noProof/>
        </w:rPr>
      </w:pPr>
      <w:r>
        <w:rPr>
          <w:noProof/>
        </w:rPr>
        <w:t>(2)</w:t>
      </w:r>
      <w:r w:rsidRPr="003861A3">
        <w:rPr>
          <w:noProof/>
        </w:rPr>
        <w:tab/>
      </w:r>
      <w:r w:rsidR="004B472A" w:rsidRPr="00FD074E">
        <w:rPr>
          <w:noProof/>
        </w:rPr>
        <w:t>Amennyiben az információk részben vagy egészben már az illetékes hatóság rendelkezésére állnak, utóbbi hatóság ezeket az információkat mielőbb továbbítja a szanálási hatóságnak.</w:t>
      </w:r>
    </w:p>
    <w:p w:rsidR="004B472A" w:rsidRPr="00FD074E" w:rsidRDefault="003861A3" w:rsidP="003861A3">
      <w:pPr>
        <w:pStyle w:val="Point0"/>
        <w:rPr>
          <w:noProof/>
        </w:rPr>
      </w:pPr>
      <w:r>
        <w:rPr>
          <w:noProof/>
        </w:rPr>
        <w:t>(3)</w:t>
      </w:r>
      <w:r w:rsidRPr="003861A3">
        <w:rPr>
          <w:noProof/>
        </w:rPr>
        <w:tab/>
      </w:r>
      <w:r w:rsidR="00914032" w:rsidRPr="00FD074E">
        <w:rPr>
          <w:noProof/>
        </w:rPr>
        <w:t>A (2) bekezdés alkalmazásában a szanálási hatóságok tájékoztatják az intézményeket vagy – csoportok esetében – az EU-szintű anyavállalatokat az e rendelet szerinti információszolgáltatásba belefoglalandó információkról. A szanálási hatóságok a szóban forgó információkat az I. mellékletben foglalt táblákra való hivatkozással azonosítják.</w:t>
      </w:r>
    </w:p>
    <w:p w:rsidR="004B472A" w:rsidRPr="00FD074E" w:rsidRDefault="004B472A" w:rsidP="00184085">
      <w:pPr>
        <w:pStyle w:val="Titrearticle"/>
        <w:rPr>
          <w:noProof/>
        </w:rPr>
      </w:pPr>
      <w:r w:rsidRPr="00FD074E">
        <w:rPr>
          <w:noProof/>
        </w:rPr>
        <w:t>10. cikk</w:t>
      </w:r>
    </w:p>
    <w:p w:rsidR="004B472A" w:rsidRPr="00FD074E" w:rsidRDefault="004B472A" w:rsidP="00184085">
      <w:pPr>
        <w:pStyle w:val="Titrearticle"/>
        <w:spacing w:before="0"/>
        <w:rPr>
          <w:b/>
          <w:bCs/>
          <w:i w:val="0"/>
          <w:iCs/>
          <w:noProof/>
        </w:rPr>
      </w:pPr>
      <w:r w:rsidRPr="00FD074E">
        <w:rPr>
          <w:b/>
          <w:i w:val="0"/>
          <w:noProof/>
        </w:rPr>
        <w:t>Hatályon kívül helyezés</w:t>
      </w:r>
    </w:p>
    <w:p w:rsidR="004B472A" w:rsidRPr="00FD074E" w:rsidRDefault="004B472A" w:rsidP="00184085">
      <w:pPr>
        <w:rPr>
          <w:noProof/>
        </w:rPr>
      </w:pPr>
      <w:r w:rsidRPr="00FD074E">
        <w:rPr>
          <w:noProof/>
        </w:rPr>
        <w:t>Az (EU) 2018/1624 végrehajtási rendelet hatályát veszti.</w:t>
      </w:r>
    </w:p>
    <w:p w:rsidR="004B472A" w:rsidRPr="00FD074E" w:rsidRDefault="004B472A" w:rsidP="00184085">
      <w:pPr>
        <w:rPr>
          <w:noProof/>
        </w:rPr>
      </w:pPr>
      <w:r w:rsidRPr="00FD074E">
        <w:rPr>
          <w:noProof/>
        </w:rPr>
        <w:t>A hatályon kívül helyezett végrehajtási rendeletre való hivatkozásokat erre a rendeletre való hivatkozásként kell értelmezni.</w:t>
      </w:r>
    </w:p>
    <w:p w:rsidR="00860655" w:rsidRPr="00FD074E" w:rsidRDefault="00860655" w:rsidP="00184085">
      <w:pPr>
        <w:pStyle w:val="Titrearticle"/>
        <w:rPr>
          <w:noProof/>
        </w:rPr>
      </w:pPr>
      <w:r w:rsidRPr="00FD074E">
        <w:rPr>
          <w:noProof/>
        </w:rPr>
        <w:t>11. cikk</w:t>
      </w:r>
    </w:p>
    <w:p w:rsidR="004B472A" w:rsidRPr="00FD074E" w:rsidRDefault="004B472A" w:rsidP="00184085">
      <w:pPr>
        <w:pStyle w:val="Titrearticle"/>
        <w:spacing w:before="0"/>
        <w:rPr>
          <w:b/>
          <w:bCs/>
          <w:i w:val="0"/>
          <w:iCs/>
          <w:noProof/>
        </w:rPr>
      </w:pPr>
      <w:r w:rsidRPr="00FD074E">
        <w:rPr>
          <w:b/>
          <w:i w:val="0"/>
          <w:noProof/>
        </w:rPr>
        <w:t>Hatálybalépés</w:t>
      </w:r>
    </w:p>
    <w:p w:rsidR="00860655" w:rsidRPr="00FD074E" w:rsidRDefault="00860655" w:rsidP="00184085">
      <w:pPr>
        <w:rPr>
          <w:noProof/>
        </w:rPr>
      </w:pPr>
      <w:r w:rsidRPr="00FD074E">
        <w:rPr>
          <w:noProof/>
        </w:rPr>
        <w:t xml:space="preserve">Ez a rendelet az </w:t>
      </w:r>
      <w:r w:rsidRPr="00FD074E">
        <w:rPr>
          <w:i/>
          <w:noProof/>
        </w:rPr>
        <w:t>Európai Unió Hivatalos Lapjában</w:t>
      </w:r>
      <w:r w:rsidRPr="00FD074E">
        <w:rPr>
          <w:noProof/>
        </w:rPr>
        <w:t xml:space="preserve"> való kihirdetését követő huszadik napon lép hatályba.</w:t>
      </w:r>
    </w:p>
    <w:p w:rsidR="00860655" w:rsidRPr="00FD074E" w:rsidRDefault="00860655" w:rsidP="00184085">
      <w:pPr>
        <w:pStyle w:val="Applicationdirecte"/>
        <w:rPr>
          <w:noProof/>
        </w:rPr>
      </w:pPr>
      <w:r w:rsidRPr="00FD074E">
        <w:rPr>
          <w:noProof/>
        </w:rPr>
        <w:t>A rendelet teljes egészében kötelező és közvetlenül alkalmazandó valamennyi tagállamban.</w:t>
      </w:r>
    </w:p>
    <w:p w:rsidR="00860655" w:rsidRPr="00FD074E" w:rsidRDefault="006B2EB2" w:rsidP="00263DEB">
      <w:pPr>
        <w:pStyle w:val="Fait"/>
        <w:rPr>
          <w:noProof/>
        </w:rPr>
      </w:pPr>
      <w:r>
        <w:rPr>
          <w:noProof/>
        </w:rPr>
        <w:t>Kelt Brüsszelben, -án/-én. 2025.11.14.</w:t>
      </w:r>
    </w:p>
    <w:p w:rsidR="00860655" w:rsidRPr="00FD074E" w:rsidRDefault="00860655" w:rsidP="00263DEB">
      <w:pPr>
        <w:pStyle w:val="Institutionquisigne"/>
        <w:rPr>
          <w:noProof/>
        </w:rPr>
      </w:pPr>
      <w:r w:rsidRPr="00FD074E">
        <w:rPr>
          <w:noProof/>
        </w:rPr>
        <w:tab/>
        <w:t>a Bizottság részéről</w:t>
      </w:r>
    </w:p>
    <w:p w:rsidR="00860655" w:rsidRPr="00FD074E" w:rsidRDefault="007D32A6" w:rsidP="00184085">
      <w:pPr>
        <w:pStyle w:val="Personnequisigne"/>
        <w:rPr>
          <w:noProof/>
        </w:rPr>
      </w:pPr>
      <w:r>
        <w:rPr>
          <w:noProof/>
        </w:rPr>
        <w:tab/>
        <w:t>elnök</w:t>
      </w:r>
      <w:r>
        <w:rPr>
          <w:noProof/>
        </w:rPr>
        <w:br/>
      </w:r>
      <w:r>
        <w:rPr>
          <w:noProof/>
        </w:rPr>
        <w:tab/>
        <w:t>Ursula VON DER LEYEN</w:t>
      </w:r>
    </w:p>
    <w:sectPr w:rsidR="00860655" w:rsidRPr="00FD074E" w:rsidSect="007F4A75">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A75" w:rsidRPr="007F4A75" w:rsidRDefault="007F4A75" w:rsidP="007F4A75">
    <w:pPr>
      <w:pStyle w:val="Footer"/>
      <w:rPr>
        <w:rFonts w:ascii="Arial" w:hAnsi="Arial" w:cs="Arial"/>
        <w:b/>
        <w:sz w:val="48"/>
      </w:rPr>
    </w:pPr>
    <w:r w:rsidRPr="007F4A75">
      <w:rPr>
        <w:rFonts w:ascii="Arial" w:hAnsi="Arial" w:cs="Arial"/>
        <w:b/>
        <w:sz w:val="48"/>
      </w:rPr>
      <w:t>HU</w:t>
    </w:r>
    <w:r w:rsidRPr="007F4A75">
      <w:rPr>
        <w:rFonts w:ascii="Arial" w:hAnsi="Arial" w:cs="Arial"/>
        <w:b/>
        <w:sz w:val="48"/>
      </w:rPr>
      <w:tab/>
    </w:r>
    <w:r w:rsidRPr="007F4A75">
      <w:rPr>
        <w:rFonts w:ascii="Arial" w:hAnsi="Arial" w:cs="Arial"/>
        <w:b/>
        <w:sz w:val="48"/>
      </w:rPr>
      <w:tab/>
    </w:r>
    <w:r w:rsidRPr="007F4A75">
      <w:tab/>
    </w:r>
    <w:r w:rsidRPr="007F4A75">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A75" w:rsidRPr="007F4A75" w:rsidRDefault="007F4A75" w:rsidP="007F4A75">
    <w:pPr>
      <w:pStyle w:val="Footer"/>
      <w:rPr>
        <w:rFonts w:ascii="Arial" w:hAnsi="Arial" w:cs="Arial"/>
        <w:b/>
        <w:sz w:val="48"/>
      </w:rPr>
    </w:pPr>
    <w:r w:rsidRPr="007F4A75">
      <w:rPr>
        <w:rFonts w:ascii="Arial" w:hAnsi="Arial" w:cs="Arial"/>
        <w:b/>
        <w:sz w:val="48"/>
      </w:rPr>
      <w:t>HU</w:t>
    </w:r>
    <w:r w:rsidRPr="007F4A75">
      <w:rPr>
        <w:rFonts w:ascii="Arial" w:hAnsi="Arial" w:cs="Arial"/>
        <w:b/>
        <w:sz w:val="48"/>
      </w:rPr>
      <w:tab/>
    </w:r>
    <w:r w:rsidRPr="007F4A75">
      <w:rPr>
        <w:rFonts w:ascii="Arial" w:hAnsi="Arial" w:cs="Arial"/>
        <w:b/>
        <w:sz w:val="48"/>
      </w:rPr>
      <w:tab/>
    </w:r>
    <w:r w:rsidRPr="007F4A75">
      <w:tab/>
    </w:r>
    <w:r w:rsidRPr="007F4A75">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A75" w:rsidRDefault="007F4A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A75" w:rsidRPr="007F4A75" w:rsidRDefault="007F4A75" w:rsidP="007F4A75">
    <w:pPr>
      <w:pStyle w:val="Footer"/>
      <w:rPr>
        <w:rFonts w:ascii="Arial" w:hAnsi="Arial" w:cs="Arial"/>
        <w:b/>
        <w:sz w:val="48"/>
      </w:rPr>
    </w:pPr>
    <w:r w:rsidRPr="007F4A75">
      <w:rPr>
        <w:rFonts w:ascii="Arial" w:hAnsi="Arial" w:cs="Arial"/>
        <w:b/>
        <w:sz w:val="48"/>
      </w:rPr>
      <w:t>HU</w:t>
    </w:r>
    <w:r w:rsidRPr="007F4A75">
      <w:rPr>
        <w:rFonts w:ascii="Arial" w:hAnsi="Arial" w:cs="Arial"/>
        <w:b/>
        <w:sz w:val="48"/>
      </w:rPr>
      <w:tab/>
    </w:r>
    <w:r>
      <w:fldChar w:fldCharType="begin"/>
    </w:r>
    <w:r>
      <w:instrText xml:space="preserve"> PAGE  \* MERGEFORMAT </w:instrText>
    </w:r>
    <w:r>
      <w:fldChar w:fldCharType="separate"/>
    </w:r>
    <w:r w:rsidR="00263DEB">
      <w:rPr>
        <w:noProof/>
      </w:rPr>
      <w:t>10</w:t>
    </w:r>
    <w:r>
      <w:fldChar w:fldCharType="end"/>
    </w:r>
    <w:r>
      <w:tab/>
    </w:r>
    <w:r w:rsidRPr="007F4A75">
      <w:tab/>
    </w:r>
    <w:r w:rsidRPr="007F4A75">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A75" w:rsidRDefault="007F4A75" w:rsidP="007F4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32641B" w:rsidRDefault="00860655" w:rsidP="00730DBE">
      <w:pPr>
        <w:pStyle w:val="FootnoteText"/>
      </w:pPr>
      <w:r>
        <w:rPr>
          <w:rStyle w:val="FootnoteReference"/>
        </w:rPr>
        <w:footnoteRef/>
      </w:r>
      <w:r>
        <w:tab/>
        <w:t>HL L 173., 2014.6.12., 190. o., ELI: http://data.europa.eu/eli/dir/2014/59/oj.</w:t>
      </w:r>
    </w:p>
  </w:footnote>
  <w:footnote w:id="3">
    <w:p w:rsidR="00736C47" w:rsidRPr="004E6E7D" w:rsidRDefault="00736C47">
      <w:pPr>
        <w:pStyle w:val="FootnoteText"/>
      </w:pPr>
      <w:r>
        <w:rPr>
          <w:rStyle w:val="FootnoteReference"/>
        </w:rPr>
        <w:footnoteRef/>
      </w:r>
      <w:r>
        <w:tab/>
        <w:t>A Bizottság (EU) 2018/1624 végrehajtási rendelete (2018. október 23.) a 2014/59/EU európai parlamenti és tanácsi irányelvnek megfelelően a hitelintézetek és befektetési vállalkozások szanálási terveihez történő adatszolgáltatáshoz kapcsolódó eljárásokra, valamint egységes formanyomtatványokra és táblákra vonatkozó végrehajtás-technikai standardok meghatározásáról és az (EU) 2016/1066 bizottsági végrehajtási rendelet hatályon kívül helyezéséről (HL L 277., 2018.11.7., 1. o., ELI: http://data.europa.eu/eli/reg_impl/2018/1624/oj).</w:t>
      </w:r>
    </w:p>
  </w:footnote>
  <w:footnote w:id="4">
    <w:p w:rsidR="00736C47" w:rsidRPr="004E6E7D" w:rsidRDefault="00736C47">
      <w:pPr>
        <w:pStyle w:val="FootnoteText"/>
      </w:pPr>
      <w:r>
        <w:rPr>
          <w:rStyle w:val="FootnoteReference"/>
        </w:rPr>
        <w:footnoteRef/>
      </w:r>
      <w:r>
        <w:tab/>
        <w:t>Az Európai Parlament és a Tanács (EU) 2024/1174 irányelve (2024. április 11.) a 2014/59/EU irányelvnek és a 806/2014/EU rendeletnek a szavatolótőkére és a leírható, illetve átalakítható kötelezettségekre vonatkozó minimumkövetelmény egyes vonatkozásai tekintetében történő módosításáról (HL L, 2024/1174, 2024.4.22., 1. o., ELI: http://data.europa.eu/eli/dir/2024/1174/oj).</w:t>
      </w:r>
    </w:p>
  </w:footnote>
  <w:footnote w:id="5">
    <w:p w:rsidR="00736C47" w:rsidRPr="004E6E7D" w:rsidRDefault="00736C47">
      <w:pPr>
        <w:pStyle w:val="FootnoteText"/>
      </w:pPr>
      <w:r>
        <w:rPr>
          <w:rStyle w:val="FootnoteReference"/>
        </w:rPr>
        <w:footnoteRef/>
      </w:r>
      <w:r>
        <w:tab/>
        <w:t>Az Európai Parlament és a Tanács 1093/2010/EU rendelete (2010. november 24.) az európai felügyeleti hatóság (Európai Bankhatóság) létrehozásáról, a 716/2009/EK határozat módosításáról és a 2009/78/EK bizottsági határozat hatályon kívül helyezéséről (HL L 331., 2010.12.15., 12. o., ELI: http://data.europa.eu/eli/reg/2010/1093/oj).</w:t>
      </w:r>
    </w:p>
  </w:footnote>
  <w:footnote w:id="6">
    <w:p w:rsidR="00736C47" w:rsidRPr="004E6E7D" w:rsidRDefault="00736C47">
      <w:pPr>
        <w:pStyle w:val="FootnoteText"/>
      </w:pPr>
      <w:r>
        <w:rPr>
          <w:rStyle w:val="FootnoteReference"/>
        </w:rPr>
        <w:footnoteRef/>
      </w:r>
      <w:r>
        <w:tab/>
        <w:t>Az Európai Parlament és a Tanács 575/2013/EU rendelete (2013. június 26.) a hitelintézetekre és befektetési vállalkozásokra vonatkozó prudenciális követelményekről és a 648/2012/EU rendelet módosításáról (HL L 176., 2013.6.27., 1. o., ELI: http://data.europa.eu/eli/reg/2013/575/oj).</w:t>
      </w:r>
    </w:p>
  </w:footnote>
  <w:footnote w:id="7">
    <w:p w:rsidR="00736C47" w:rsidRPr="004E6E7D" w:rsidRDefault="00736C47">
      <w:pPr>
        <w:pStyle w:val="FootnoteText"/>
      </w:pPr>
      <w:r>
        <w:rPr>
          <w:rStyle w:val="FootnoteReference"/>
        </w:rPr>
        <w:footnoteRef/>
      </w:r>
      <w:r>
        <w:tab/>
        <w:t>Az Európai Parlament és a Tanács 2013/36/EU irányelve (2013. június 26.) a hitelintézetek tevékenységéhez való hozzáférésről és a hitelintézetek és befektetési vállalkozások prudenciális felügyeletéről, a 2002/87/EK irányelv módosításáról, a 2006/48/EK és a 2006/49/EK irányelv hatályon kívül helyezéséről (HL L 176., 2013.6.27., 338. o. ELI: http://data.europa.eu/eli/dir/2013/36/oj).</w:t>
      </w:r>
    </w:p>
  </w:footnote>
  <w:footnote w:id="8">
    <w:p w:rsidR="00736C47" w:rsidRPr="00736C47" w:rsidRDefault="00736C47">
      <w:pPr>
        <w:pStyle w:val="FootnoteText"/>
      </w:pPr>
      <w:r>
        <w:rPr>
          <w:rStyle w:val="FootnoteReference"/>
        </w:rPr>
        <w:footnoteRef/>
      </w:r>
      <w:r>
        <w:tab/>
        <w:t>Az Európai Parlament és a Tanács (EU) 2019/2033 rendelete (2019. november 27.) a befektetési vállalkozásokra vonatkozó prudenciális követelményekről, valamint az 1093/2010/EU, az 575/2013/EU, a 600/2014/EU és a 806/2014/EU rendelet módosításáról (HL L 314., 2019.12.5., 1 o.,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A75" w:rsidRDefault="007F4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A75" w:rsidRDefault="007F4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3"/>
    <w:lvlOverride w:ilvl="0">
      <w:startOverride w:val="1"/>
    </w:lvlOverride>
  </w:num>
  <w:num w:numId="6">
    <w:abstractNumId w:val="22"/>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9:5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65A431D-76E6-4259-B9E3-C2308A1E7113"/>
    <w:docVar w:name="LW_COVERPAGE_TYPE" w:val="1"/>
    <w:docVar w:name="LW_CreatedUtc" w:val="2025-04-09T13:24:10.7425134Z"/>
    <w:docVar w:name="LW_CROSSREFERENCE" w:val="&lt;UNUSED&gt;"/>
    <w:docVar w:name="LW_DATE.ADOPT.CP" w:val="(2025.11.14.)"/>
    <w:docVar w:name="LW_DATE.ADOPT.CP_DATEFORMAT" w:val="(%DATE%)"/>
    <w:docVar w:name="LW_DATE.ADOPT.CP_ISODATE" w:val="2025-11-14"/>
    <w:docVar w:name="LW_DocType" w:val="COM"/>
    <w:docVar w:name="LW_EMISSION" w:val="2025.11.14."/>
    <w:docVar w:name="LW_EMISSION_ISODATE" w:val="2025-11-14"/>
    <w:docVar w:name="LW_EMISSION_LOCATION" w:val="BRX"/>
    <w:docVar w:name="LW_EMISSION_PREFIX" w:val="Brüsszel, "/>
    <w:docVar w:name="LW_EMISSION_SUFFIX" w:val=" "/>
    <w:docVar w:name="LW_ID_DOCMODEL" w:val="SJ-004"/>
    <w:docVar w:name="LW_ID_DOCSIGNATURE" w:val="SJ-004"/>
    <w:docVar w:name="LW_ID_DOCSTRUCTURE" w:val="COM/AA"/>
    <w:docVar w:name="LW_ID_DOCTYPE" w:val="SJ-004"/>
    <w:docVar w:name="LW_INTERETEEE.CP" w:val="(EGT-vonatkozású szöveg)"/>
    <w:docVar w:name="LW_LANGUE" w:val="HU"/>
    <w:docVar w:name="LW_LANGUESFAISANTFOI.CP" w:val="&lt;UNUSED&gt;"/>
    <w:docVar w:name="LW_LEVEL_OF_SENSITIVITY" w:val="Standard treatment"/>
    <w:docVar w:name="LW_NOM.INST" w:val="EURÓPAI BIZOTTSÁG"/>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2014/59/EU európai parlamenti és tanácsi irányelvnek megfelel\u337?en a hitelintézetek és befektetési vállalkozások szanálási terveihez történ\u337? adatszolgáltatáshoz kapcsolódó eljárásokra, valamint egységes formanyomtatványokra és táblákra vonatkozó végrehajtás-technikai standardok meghatározásáról és az (EU) 2018/1624 bizottsági végrehajtási rendelet hatályon kívül helyezésér\u337?l"/>
    <w:docVar w:name="LW_TYPE.DOC.CP" w:val="A BIZOTTSÁG (EU) .../... VÉGREHAJTÁSI RENDELETE"/>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8CA"/>
    <w:rsid w:val="000401A4"/>
    <w:rsid w:val="0004065D"/>
    <w:rsid w:val="0004405C"/>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7008A"/>
    <w:rsid w:val="0007047E"/>
    <w:rsid w:val="000707FA"/>
    <w:rsid w:val="000727CE"/>
    <w:rsid w:val="0007402A"/>
    <w:rsid w:val="00075308"/>
    <w:rsid w:val="000754EB"/>
    <w:rsid w:val="000767F8"/>
    <w:rsid w:val="0008385B"/>
    <w:rsid w:val="00085BAD"/>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40D3"/>
    <w:rsid w:val="00157915"/>
    <w:rsid w:val="00160DD9"/>
    <w:rsid w:val="0016114F"/>
    <w:rsid w:val="00163996"/>
    <w:rsid w:val="0016454F"/>
    <w:rsid w:val="00164FCD"/>
    <w:rsid w:val="00165B97"/>
    <w:rsid w:val="001660D8"/>
    <w:rsid w:val="00170C08"/>
    <w:rsid w:val="00170FDC"/>
    <w:rsid w:val="0017169C"/>
    <w:rsid w:val="001719F5"/>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3B39"/>
    <w:rsid w:val="002240FE"/>
    <w:rsid w:val="002254AE"/>
    <w:rsid w:val="00225EC6"/>
    <w:rsid w:val="00226CAF"/>
    <w:rsid w:val="00227B0D"/>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3DEB"/>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3BCA"/>
    <w:rsid w:val="00315946"/>
    <w:rsid w:val="00316773"/>
    <w:rsid w:val="00322949"/>
    <w:rsid w:val="00325642"/>
    <w:rsid w:val="0032641B"/>
    <w:rsid w:val="00327C58"/>
    <w:rsid w:val="003318F5"/>
    <w:rsid w:val="00332846"/>
    <w:rsid w:val="0033344A"/>
    <w:rsid w:val="00333A23"/>
    <w:rsid w:val="00334ACB"/>
    <w:rsid w:val="003366E7"/>
    <w:rsid w:val="003367BD"/>
    <w:rsid w:val="00336DA0"/>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861A3"/>
    <w:rsid w:val="00392BCF"/>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87CC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655BA"/>
    <w:rsid w:val="00573EF6"/>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048"/>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10E8E"/>
    <w:rsid w:val="00611E70"/>
    <w:rsid w:val="00611F25"/>
    <w:rsid w:val="00612BC5"/>
    <w:rsid w:val="00624324"/>
    <w:rsid w:val="006265C3"/>
    <w:rsid w:val="00626A19"/>
    <w:rsid w:val="00626D86"/>
    <w:rsid w:val="0063050B"/>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1EC3"/>
    <w:rsid w:val="006920CD"/>
    <w:rsid w:val="00694AFE"/>
    <w:rsid w:val="00694F0B"/>
    <w:rsid w:val="00696893"/>
    <w:rsid w:val="00697E0E"/>
    <w:rsid w:val="006A0137"/>
    <w:rsid w:val="006A0F10"/>
    <w:rsid w:val="006A269B"/>
    <w:rsid w:val="006A5DD5"/>
    <w:rsid w:val="006A60EA"/>
    <w:rsid w:val="006B2EB2"/>
    <w:rsid w:val="006B6FB1"/>
    <w:rsid w:val="006C0B4F"/>
    <w:rsid w:val="006C12BE"/>
    <w:rsid w:val="006C55AC"/>
    <w:rsid w:val="006C6559"/>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457"/>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E16"/>
    <w:rsid w:val="007945A5"/>
    <w:rsid w:val="00794C86"/>
    <w:rsid w:val="007A42DC"/>
    <w:rsid w:val="007A4E37"/>
    <w:rsid w:val="007A7A4D"/>
    <w:rsid w:val="007C52FD"/>
    <w:rsid w:val="007D0861"/>
    <w:rsid w:val="007D1F30"/>
    <w:rsid w:val="007D237E"/>
    <w:rsid w:val="007D32A6"/>
    <w:rsid w:val="007D4B20"/>
    <w:rsid w:val="007D5D9D"/>
    <w:rsid w:val="007D68D4"/>
    <w:rsid w:val="007D74F6"/>
    <w:rsid w:val="007E010B"/>
    <w:rsid w:val="007E05B0"/>
    <w:rsid w:val="007E0B64"/>
    <w:rsid w:val="007E2B7C"/>
    <w:rsid w:val="007E3E70"/>
    <w:rsid w:val="007E7B55"/>
    <w:rsid w:val="007F3A84"/>
    <w:rsid w:val="007F4A75"/>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18A8"/>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A6919"/>
    <w:rsid w:val="009B3320"/>
    <w:rsid w:val="009B4623"/>
    <w:rsid w:val="009B5048"/>
    <w:rsid w:val="009B5878"/>
    <w:rsid w:val="009B6887"/>
    <w:rsid w:val="009B7970"/>
    <w:rsid w:val="009C3882"/>
    <w:rsid w:val="009C3C55"/>
    <w:rsid w:val="009C4AA1"/>
    <w:rsid w:val="009D050A"/>
    <w:rsid w:val="009D0D09"/>
    <w:rsid w:val="009D2BE4"/>
    <w:rsid w:val="009E3C0D"/>
    <w:rsid w:val="009E3E39"/>
    <w:rsid w:val="009F034F"/>
    <w:rsid w:val="009F0766"/>
    <w:rsid w:val="009F0864"/>
    <w:rsid w:val="009F0D40"/>
    <w:rsid w:val="009F41D3"/>
    <w:rsid w:val="009F50B1"/>
    <w:rsid w:val="009F59D3"/>
    <w:rsid w:val="009F6C7C"/>
    <w:rsid w:val="00A00058"/>
    <w:rsid w:val="00A03896"/>
    <w:rsid w:val="00A071C3"/>
    <w:rsid w:val="00A200E0"/>
    <w:rsid w:val="00A22E8B"/>
    <w:rsid w:val="00A250B4"/>
    <w:rsid w:val="00A27572"/>
    <w:rsid w:val="00A30A77"/>
    <w:rsid w:val="00A312DC"/>
    <w:rsid w:val="00A313A9"/>
    <w:rsid w:val="00A32434"/>
    <w:rsid w:val="00A330AD"/>
    <w:rsid w:val="00A33B70"/>
    <w:rsid w:val="00A33E48"/>
    <w:rsid w:val="00A33EB7"/>
    <w:rsid w:val="00A36CB9"/>
    <w:rsid w:val="00A3777B"/>
    <w:rsid w:val="00A40116"/>
    <w:rsid w:val="00A40143"/>
    <w:rsid w:val="00A42598"/>
    <w:rsid w:val="00A43B15"/>
    <w:rsid w:val="00A4581A"/>
    <w:rsid w:val="00A46DE3"/>
    <w:rsid w:val="00A546BE"/>
    <w:rsid w:val="00A5534F"/>
    <w:rsid w:val="00A565C7"/>
    <w:rsid w:val="00A61F97"/>
    <w:rsid w:val="00A62D23"/>
    <w:rsid w:val="00A634A0"/>
    <w:rsid w:val="00A642FA"/>
    <w:rsid w:val="00A748FA"/>
    <w:rsid w:val="00A803C4"/>
    <w:rsid w:val="00A82F1C"/>
    <w:rsid w:val="00A85B65"/>
    <w:rsid w:val="00A93F8D"/>
    <w:rsid w:val="00A95E76"/>
    <w:rsid w:val="00AA112B"/>
    <w:rsid w:val="00AA1EA4"/>
    <w:rsid w:val="00AC295E"/>
    <w:rsid w:val="00AC3770"/>
    <w:rsid w:val="00AC74CC"/>
    <w:rsid w:val="00AC7E59"/>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2DA8"/>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3610"/>
    <w:rsid w:val="00BC4FE7"/>
    <w:rsid w:val="00BC52C4"/>
    <w:rsid w:val="00BD3695"/>
    <w:rsid w:val="00BD5399"/>
    <w:rsid w:val="00BD585C"/>
    <w:rsid w:val="00BD6CA6"/>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272DF"/>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24F0"/>
    <w:rsid w:val="00CE6508"/>
    <w:rsid w:val="00CE76FF"/>
    <w:rsid w:val="00CE775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8EA"/>
    <w:rsid w:val="00D712E4"/>
    <w:rsid w:val="00D763CC"/>
    <w:rsid w:val="00D77F5A"/>
    <w:rsid w:val="00D80DDB"/>
    <w:rsid w:val="00D816C1"/>
    <w:rsid w:val="00D837D8"/>
    <w:rsid w:val="00D8563D"/>
    <w:rsid w:val="00D86024"/>
    <w:rsid w:val="00D87E74"/>
    <w:rsid w:val="00D9060D"/>
    <w:rsid w:val="00D96D85"/>
    <w:rsid w:val="00D975AA"/>
    <w:rsid w:val="00DA2214"/>
    <w:rsid w:val="00DA3B8F"/>
    <w:rsid w:val="00DA744D"/>
    <w:rsid w:val="00DB2642"/>
    <w:rsid w:val="00DB4867"/>
    <w:rsid w:val="00DB4B20"/>
    <w:rsid w:val="00DB5830"/>
    <w:rsid w:val="00DC1A68"/>
    <w:rsid w:val="00DC2B49"/>
    <w:rsid w:val="00DC2FF2"/>
    <w:rsid w:val="00DC7883"/>
    <w:rsid w:val="00DC7E05"/>
    <w:rsid w:val="00DD0B0B"/>
    <w:rsid w:val="00DD40EE"/>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7235"/>
    <w:rsid w:val="00E11317"/>
    <w:rsid w:val="00E22DC4"/>
    <w:rsid w:val="00E2669D"/>
    <w:rsid w:val="00E26AB7"/>
    <w:rsid w:val="00E26F0A"/>
    <w:rsid w:val="00E273C1"/>
    <w:rsid w:val="00E277D4"/>
    <w:rsid w:val="00E332EC"/>
    <w:rsid w:val="00E33C9F"/>
    <w:rsid w:val="00E353E4"/>
    <w:rsid w:val="00E35D44"/>
    <w:rsid w:val="00E40170"/>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97A02"/>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60A6"/>
    <w:rsid w:val="00F336AC"/>
    <w:rsid w:val="00F411AA"/>
    <w:rsid w:val="00F4455F"/>
    <w:rsid w:val="00F50966"/>
    <w:rsid w:val="00F603E8"/>
    <w:rsid w:val="00F6057B"/>
    <w:rsid w:val="00F62F9E"/>
    <w:rsid w:val="00F62FF5"/>
    <w:rsid w:val="00F658FB"/>
    <w:rsid w:val="00F66A8D"/>
    <w:rsid w:val="00F674E6"/>
    <w:rsid w:val="00F715B9"/>
    <w:rsid w:val="00F71D65"/>
    <w:rsid w:val="00F7500C"/>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074E"/>
    <w:rsid w:val="00FD1163"/>
    <w:rsid w:val="00FD1E41"/>
    <w:rsid w:val="00FD6440"/>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hu-HU"/>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hu-HU"/>
    </w:rPr>
  </w:style>
  <w:style w:type="paragraph" w:customStyle="1" w:styleId="Numberedtilelevel1">
    <w:name w:val="Numbered tile level 1"/>
    <w:basedOn w:val="Normal"/>
    <w:qFormat/>
    <w:rsid w:val="00F66A8D"/>
    <w:pPr>
      <w:numPr>
        <w:numId w:val="6"/>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6"/>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6"/>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7"/>
      </w:numPr>
      <w:contextualSpacing/>
    </w:pPr>
  </w:style>
  <w:style w:type="paragraph" w:styleId="ListNumber2">
    <w:name w:val="List Number 2"/>
    <w:basedOn w:val="Normal"/>
    <w:uiPriority w:val="99"/>
    <w:semiHidden/>
    <w:unhideWhenUsed/>
    <w:rsid w:val="00F66A8D"/>
    <w:pPr>
      <w:numPr>
        <w:numId w:val="8"/>
      </w:numPr>
      <w:contextualSpacing/>
    </w:pPr>
  </w:style>
  <w:style w:type="paragraph" w:styleId="ListNumber3">
    <w:name w:val="List Number 3"/>
    <w:basedOn w:val="Normal"/>
    <w:uiPriority w:val="99"/>
    <w:semiHidden/>
    <w:unhideWhenUsed/>
    <w:rsid w:val="00F66A8D"/>
    <w:pPr>
      <w:numPr>
        <w:numId w:val="9"/>
      </w:numPr>
      <w:contextualSpacing/>
    </w:pPr>
  </w:style>
  <w:style w:type="paragraph" w:styleId="ListNumber4">
    <w:name w:val="List Number 4"/>
    <w:basedOn w:val="Normal"/>
    <w:uiPriority w:val="99"/>
    <w:semiHidden/>
    <w:unhideWhenUsed/>
    <w:rsid w:val="00F66A8D"/>
    <w:pPr>
      <w:numPr>
        <w:numId w:val="10"/>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7F4A75"/>
    <w:rPr>
      <w:rFonts w:ascii="Times New Roman" w:hAnsi="Times New Roman" w:cs="Times New Roman"/>
      <w:sz w:val="24"/>
      <w:lang w:val="hu-HU"/>
    </w:rPr>
  </w:style>
  <w:style w:type="character" w:customStyle="1" w:styleId="FooterChar">
    <w:name w:val="Footer Char"/>
    <w:basedOn w:val="DefaultParagraphFont"/>
    <w:link w:val="Footer"/>
    <w:uiPriority w:val="99"/>
    <w:rsid w:val="007F4A75"/>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F4A7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F4A75"/>
    <w:pPr>
      <w:spacing w:before="0"/>
      <w:jc w:val="right"/>
    </w:pPr>
    <w:rPr>
      <w:sz w:val="28"/>
    </w:rPr>
  </w:style>
  <w:style w:type="paragraph" w:customStyle="1" w:styleId="FooterSensitivity">
    <w:name w:val="Footer Sensitivity"/>
    <w:basedOn w:val="Normal"/>
    <w:rsid w:val="007F4A7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F4A75"/>
    <w:pPr>
      <w:tabs>
        <w:tab w:val="center" w:pos="4535"/>
        <w:tab w:val="right" w:pos="9071"/>
      </w:tabs>
      <w:spacing w:before="0"/>
    </w:pPr>
  </w:style>
  <w:style w:type="paragraph" w:customStyle="1" w:styleId="HeaderLandscape">
    <w:name w:val="HeaderLandscape"/>
    <w:basedOn w:val="Normal"/>
    <w:rsid w:val="007F4A75"/>
    <w:pPr>
      <w:tabs>
        <w:tab w:val="center" w:pos="7285"/>
        <w:tab w:val="right" w:pos="14003"/>
      </w:tabs>
      <w:spacing w:before="0"/>
    </w:pPr>
  </w:style>
  <w:style w:type="paragraph" w:styleId="Footer">
    <w:name w:val="footer"/>
    <w:basedOn w:val="Normal"/>
    <w:link w:val="FooterChar"/>
    <w:uiPriority w:val="99"/>
    <w:unhideWhenUsed/>
    <w:rsid w:val="007F4A7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F4A7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60BCE-8EB3-4832-AFC2-329D9AD324F7}">
  <ds:schemaRefs>
    <ds:schemaRef ds:uri="http://schemas.microsoft.com/sharepoint/v3/contenttype/forms"/>
  </ds:schemaRefs>
</ds:datastoreItem>
</file>

<file path=customXml/itemProps2.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40</TotalTime>
  <Pages>11</Pages>
  <Words>3867</Words>
  <Characters>22043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62</cp:revision>
  <dcterms:created xsi:type="dcterms:W3CDTF">2025-08-04T13:17:00Z</dcterms:created>
  <dcterms:modified xsi:type="dcterms:W3CDTF">2025-11-07T09:09:00Z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