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80217C" w:rsidRDefault="008D3305" w:rsidP="008D330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FC5D23E-B0C6-4C5C-A2F1-2FFE9C487EF4" style="width:455.25pt;height:426pt">
            <v:imagedata r:id="rId10" o:title=""/>
          </v:shape>
        </w:pict>
      </w:r>
    </w:p>
    <w:p w:rsidR="00860655" w:rsidRPr="0080217C" w:rsidRDefault="00860655" w:rsidP="00184085">
      <w:pPr>
        <w:rPr>
          <w:noProof/>
        </w:rPr>
        <w:sectPr w:rsidR="00860655" w:rsidRPr="0080217C" w:rsidSect="008D3305">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80217C" w:rsidRDefault="0080217C" w:rsidP="0080217C">
      <w:pPr>
        <w:pStyle w:val="Typedudocument"/>
        <w:rPr>
          <w:noProof/>
        </w:rPr>
      </w:pPr>
      <w:bookmarkStart w:id="0" w:name="_GoBack"/>
      <w:bookmarkEnd w:id="0"/>
      <w:r w:rsidRPr="0080217C">
        <w:rPr>
          <w:noProof/>
        </w:rPr>
        <w:lastRenderedPageBreak/>
        <w:t>PROVEDBENA UREDBA KOMISIJE (EU) …/...</w:t>
      </w:r>
    </w:p>
    <w:p w:rsidR="00860655" w:rsidRPr="0080217C" w:rsidRDefault="009027C4" w:rsidP="0080217C">
      <w:pPr>
        <w:pStyle w:val="Datedadoption"/>
        <w:rPr>
          <w:noProof/>
        </w:rPr>
      </w:pPr>
      <w:r>
        <w:rPr>
          <w:noProof/>
        </w:rPr>
        <w:t>оd 14.11.2025.</w:t>
      </w:r>
    </w:p>
    <w:p w:rsidR="00860655" w:rsidRPr="0080217C" w:rsidRDefault="0080217C" w:rsidP="0080217C">
      <w:pPr>
        <w:pStyle w:val="Titreobjet"/>
        <w:rPr>
          <w:noProof/>
        </w:rPr>
      </w:pPr>
      <w:r w:rsidRPr="0080217C">
        <w:rPr>
          <w:noProof/>
        </w:rPr>
        <w:t>o utvrđivanju provedbenih tehničkih standarda u pogledu postupaka, standardnih obrazaca i predložaka za pružanje informacija za potrebe planova sanacije kreditnih institucija i investicijskih društava u skladu s Direktivom 2014/59/EU Europskog parlamenta i Vijeća i o stavljanju izvan snage Provedbene uredbe Komisije (EU) 2018/1624</w:t>
      </w:r>
    </w:p>
    <w:p w:rsidR="00860655" w:rsidRPr="0080217C" w:rsidRDefault="0080217C" w:rsidP="0080217C">
      <w:pPr>
        <w:pStyle w:val="IntrtEEE"/>
        <w:rPr>
          <w:noProof/>
        </w:rPr>
      </w:pPr>
      <w:r w:rsidRPr="0080217C">
        <w:rPr>
          <w:noProof/>
        </w:rPr>
        <w:t>(Tekst značajan za EGP)</w:t>
      </w:r>
    </w:p>
    <w:p w:rsidR="00860655" w:rsidRPr="0080217C" w:rsidRDefault="00860655" w:rsidP="00184085">
      <w:pPr>
        <w:pStyle w:val="Institutionquiagit"/>
        <w:rPr>
          <w:noProof/>
        </w:rPr>
      </w:pPr>
      <w:r w:rsidRPr="0080217C">
        <w:rPr>
          <w:noProof/>
        </w:rPr>
        <w:t>EUROPSKA KOMISIJA,</w:t>
      </w:r>
    </w:p>
    <w:p w:rsidR="00860655" w:rsidRPr="0080217C" w:rsidRDefault="00860655" w:rsidP="00184085">
      <w:pPr>
        <w:rPr>
          <w:noProof/>
        </w:rPr>
      </w:pPr>
      <w:r w:rsidRPr="0080217C">
        <w:rPr>
          <w:noProof/>
          <w:color w:val="000000"/>
        </w:rPr>
        <w:t>uzimajući u obzir Ugovor o funkcioniranju Europske unije</w:t>
      </w:r>
      <w:r w:rsidRPr="0080217C">
        <w:rPr>
          <w:noProof/>
        </w:rPr>
        <w:t>,</w:t>
      </w:r>
    </w:p>
    <w:p w:rsidR="00860655" w:rsidRPr="0080217C" w:rsidRDefault="00860655" w:rsidP="00184085">
      <w:pPr>
        <w:rPr>
          <w:noProof/>
        </w:rPr>
      </w:pPr>
      <w:r w:rsidRPr="0080217C">
        <w:rPr>
          <w:noProof/>
        </w:rPr>
        <w:t>uzimajući u obzir Direktivu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w:t>
      </w:r>
      <w:r w:rsidRPr="0080217C">
        <w:rPr>
          <w:rStyle w:val="FootnoteReference"/>
          <w:noProof/>
        </w:rPr>
        <w:footnoteReference w:id="2"/>
      </w:r>
      <w:r w:rsidRPr="0080217C">
        <w:rPr>
          <w:noProof/>
        </w:rPr>
        <w:t>, a posebno njezin članak 11. stavak 3.,</w:t>
      </w:r>
    </w:p>
    <w:p w:rsidR="00860655" w:rsidRPr="0080217C" w:rsidRDefault="00860655" w:rsidP="00184085">
      <w:pPr>
        <w:rPr>
          <w:noProof/>
        </w:rPr>
      </w:pPr>
      <w:r w:rsidRPr="0080217C">
        <w:rPr>
          <w:noProof/>
        </w:rPr>
        <w:t>budući da:</w:t>
      </w:r>
    </w:p>
    <w:p w:rsidR="00860655" w:rsidRPr="0080217C" w:rsidRDefault="00263554" w:rsidP="00263554">
      <w:pPr>
        <w:pStyle w:val="ManualConsidrant"/>
        <w:rPr>
          <w:noProof/>
        </w:rPr>
      </w:pPr>
      <w:r w:rsidRPr="00263554">
        <w:rPr>
          <w:noProof/>
        </w:rPr>
        <w:t>(1)</w:t>
      </w:r>
      <w:r w:rsidRPr="00263554">
        <w:rPr>
          <w:noProof/>
        </w:rPr>
        <w:tab/>
      </w:r>
      <w:r w:rsidR="00860655" w:rsidRPr="0080217C">
        <w:rPr>
          <w:noProof/>
        </w:rPr>
        <w:t>U Provedbenoj uredbi Komisije (EU) 2018/1624</w:t>
      </w:r>
      <w:r w:rsidR="00860655" w:rsidRPr="0080217C">
        <w:rPr>
          <w:rStyle w:val="FootnoteReference"/>
          <w:noProof/>
        </w:rPr>
        <w:footnoteReference w:id="3"/>
      </w:r>
      <w:r w:rsidR="00860655" w:rsidRPr="0080217C">
        <w:rPr>
          <w:noProof/>
        </w:rPr>
        <w:t xml:space="preserve"> utvrđuje se postupak i uvodi minimalni skup predložaka za dostavljanje informacija kreditnih institucija ili investicijskih društava sanacijskim tijelima za potrebe izrade i provedbe planova sanacije institucija. Od donošenja te uredbe sanacijska tijela stekla su iskustvo u području planiranja sanacija, a Direktiva 2014/59/EU je izmijenjena. S obzirom na to iskustvo i na nove odredbe te direktive potrebno je ažurirati minimalni skup predložaka za prikupljanje informacija za potrebe planiranja sanacija.</w:t>
      </w:r>
    </w:p>
    <w:p w:rsidR="003B410C" w:rsidRPr="0080217C" w:rsidRDefault="00263554" w:rsidP="00263554">
      <w:pPr>
        <w:pStyle w:val="ManualConsidrant"/>
        <w:rPr>
          <w:noProof/>
        </w:rPr>
      </w:pPr>
      <w:r w:rsidRPr="00263554">
        <w:rPr>
          <w:noProof/>
        </w:rPr>
        <w:t>(2)</w:t>
      </w:r>
      <w:r w:rsidRPr="00263554">
        <w:rPr>
          <w:noProof/>
        </w:rPr>
        <w:tab/>
      </w:r>
      <w:r w:rsidR="003B410C" w:rsidRPr="0080217C">
        <w:rPr>
          <w:noProof/>
        </w:rPr>
        <w:t>U Provedbenoj uredbi (EU) 2018/1624 utvrđuje se postupak i minimalni skup predložaka za dostavljanje informacija od strane institucija sanacijskim tijelima kako bi se sanacijskim tijelima omogućilo dosljedno prikupljanje tih informacija u cijeloj Uniji i olakšala razmjena informacija među relevantnim tijelima. Iskustvo je pak pokazalo da je usklađeni pristup prikupljanju tih informacija tek djelomično ostvaren. Stoga je tu provedbenu uredbu potrebno preispitati kako bi se potaknulo usklađivanje obveza izvješćivanja u cijeloj Uniji na temelju revidiranog skupa predložaka koji je dosljedan i prilagođeniji potrebama sanacijskih tijela. To ne bi trebalo spriječiti sanacijska tijela u prikupljanju dodatnih informacija koje smatraju potrebnima za izradu i provedbu planova sanacije ili za određivanje pojednostavnjenih obveza informiranja u skladu s člankom 4. Direktive 2014/59/EU.</w:t>
      </w:r>
    </w:p>
    <w:p w:rsidR="003B410C" w:rsidRPr="0080217C" w:rsidRDefault="00263554" w:rsidP="00263554">
      <w:pPr>
        <w:pStyle w:val="ManualConsidrant"/>
        <w:rPr>
          <w:noProof/>
        </w:rPr>
      </w:pPr>
      <w:r w:rsidRPr="00263554">
        <w:rPr>
          <w:noProof/>
        </w:rPr>
        <w:lastRenderedPageBreak/>
        <w:t>(3)</w:t>
      </w:r>
      <w:r w:rsidRPr="00263554">
        <w:rPr>
          <w:noProof/>
        </w:rPr>
        <w:tab/>
      </w:r>
      <w:r w:rsidR="003B410C" w:rsidRPr="0080217C">
        <w:rPr>
          <w:noProof/>
        </w:rPr>
        <w:t>Kako bi planovi sanacije grupe učinkovito pokrili dotičnu grupu, obveze izvješćivanja uvedene matičnim društvima u Uniji ne bi se trebale odnositi samo na sanacijske subjekte nego i na druge relevantne pravne subjekte. Tu relevantnost trebalo bi definirati na odgovarajući način kako bi se isključilo izvješćivanje za subjekte koji nisu relevantni za grupu ili sistemski važni. U tu bi svrhu trebalo utvrditi pragove za identificiranje pravnih subjekata grupe kojima bi trebalo uvesti zahtjeve za izvješćivanje o sanaciji. Nadalje, Direktivom (EU) 2024/1174 Europskog parlamenta i Vijeća</w:t>
      </w:r>
      <w:r w:rsidR="003B410C" w:rsidRPr="0080217C">
        <w:rPr>
          <w:rStyle w:val="FootnoteReference"/>
          <w:noProof/>
        </w:rPr>
        <w:footnoteReference w:id="4"/>
      </w:r>
      <w:r w:rsidR="003B410C" w:rsidRPr="0080217C">
        <w:rPr>
          <w:noProof/>
        </w:rPr>
        <w:t xml:space="preserve"> izmijenjena je Direktiva 2014/59/EU uvođenjem, među ostalim, definicije „subjekta planiranog za likvidaciju”. Kako bi se uzela u obzir ta nova definicija, potrebno je razlikovati zahtjeve za izvješćivanje o sanaciji za subjekte planirane za likvidaciju, sanacijske subjekte i subjekte koji pripadaju sanacijskoj grupi. Točnije, potrebno je utvrditi obveze izvješćivanja uzimajući u obzir jesu li dotični subjekti samostalni subjekti ili pripadaju grupama te jesu li ti subjekti ili grupe identificirani ili uključuju subjekte koji su identificirani kao subjekti planirani za likvidaciju. Te bi obveze izvješćivanja trebalo utvrditi na pojedinačnoj, potkonsolidiranoj ili konsolidiranoj razini na način kojim se osigurava proporcionalnost, ne ugrožava učinkovito planiranje sanacija, subjekti oslobađaju istodobnog prikupljanja podataka od raznih tijela te uklanjaju podatkovne točke koje se preklapaju s okvirima nadzornog izvješćivanja. Za to bi trebalo primijeniti pristup kojim se broj predložaka prilagođava ovisno o vrsti izvještajnog subjekta. Posebnu bi pozornost trebalo posvetiti sanacijskim grupama koje se sastoje od kreditnih institucija koje su stalno povezane sa središnjim tijelom i samom središnjem tijelu kako bi izvješćivanje o sanaciji učinkovito obuhvaćalo sve kreditne institucije koje su stalno povezane sa središnjim tijelom te sanacijske grupe, samo središnje tijelo i njihova društva kćeri na pojedinačnoj, potkonsolidiranoj i konsolidiranoj razini.</w:t>
      </w:r>
    </w:p>
    <w:p w:rsidR="003B410C" w:rsidRPr="0080217C" w:rsidRDefault="00263554" w:rsidP="00263554">
      <w:pPr>
        <w:pStyle w:val="ManualConsidrant"/>
        <w:rPr>
          <w:noProof/>
        </w:rPr>
      </w:pPr>
      <w:r w:rsidRPr="00263554">
        <w:rPr>
          <w:noProof/>
        </w:rPr>
        <w:t>(4)</w:t>
      </w:r>
      <w:r w:rsidRPr="00263554">
        <w:rPr>
          <w:noProof/>
        </w:rPr>
        <w:tab/>
      </w:r>
      <w:r w:rsidR="003B410C" w:rsidRPr="0080217C">
        <w:rPr>
          <w:noProof/>
        </w:rPr>
        <w:t>Kako bi se osiguralo učinkovito planiranje sanacija i pritom očuvala proporcionalnost, područje primjene zahtjeva za izvješćivanje o sanaciji možda će se morati razlikovati od područja primjene zahtjeva za bonitetno izvješćivanje kad je to potrebno da bi sanacijska tijela imala odgovarajuće i vjerodostojne podatke za obavljanje svojih zadaća. U tom kontekstu treba voditi računa o tome da izvješćivanje o sanaciji nije otežano zbog izuzeća od bonitetnih zahtjeva ili sanacijskih grupa na koje se ne primjenjuju zahtjevi bonitetne konsolidacije.</w:t>
      </w:r>
    </w:p>
    <w:p w:rsidR="003B410C" w:rsidRPr="0080217C" w:rsidRDefault="00263554" w:rsidP="00263554">
      <w:pPr>
        <w:pStyle w:val="ManualConsidrant"/>
        <w:rPr>
          <w:noProof/>
        </w:rPr>
      </w:pPr>
      <w:r w:rsidRPr="00263554">
        <w:rPr>
          <w:noProof/>
        </w:rPr>
        <w:t>(5)</w:t>
      </w:r>
      <w:r w:rsidRPr="00263554">
        <w:rPr>
          <w:noProof/>
        </w:rPr>
        <w:tab/>
      </w:r>
      <w:r w:rsidR="00012E4C" w:rsidRPr="0080217C">
        <w:rPr>
          <w:noProof/>
        </w:rPr>
        <w:t>Kako bi se zajamčilo da se planovi sanacije temelje na minimalnom skupu podataka dosljedno visoke razine kvalitete i preciznosti, trebalo bi uvesti jedinstveni obrazac s točkama podataka, kao što je to praksa u nadzornom izvješćivanju. Jedinstveni obrazac s točkama podataka trebao bi sadržavati strukturni prikaz podataka, u njemu bi trebalo utvrditi sve relevantne poslovne koncepte za potrebe jedinstvenog izvješćivanja za planiranje sanacija i trebao bi sadržavati sve relevantne specifikacije nužne za daljnji razvoj jedinstvenih informatičkih rješenja za izvješćivanje.</w:t>
      </w:r>
    </w:p>
    <w:p w:rsidR="003B410C" w:rsidRPr="0080217C" w:rsidRDefault="00263554" w:rsidP="00263554">
      <w:pPr>
        <w:pStyle w:val="ManualConsidrant"/>
        <w:rPr>
          <w:noProof/>
        </w:rPr>
      </w:pPr>
      <w:r w:rsidRPr="00263554">
        <w:rPr>
          <w:noProof/>
        </w:rPr>
        <w:t>(6)</w:t>
      </w:r>
      <w:r w:rsidRPr="00263554">
        <w:rPr>
          <w:noProof/>
        </w:rPr>
        <w:tab/>
      </w:r>
      <w:r w:rsidR="00980E18" w:rsidRPr="0080217C">
        <w:rPr>
          <w:noProof/>
        </w:rPr>
        <w:t>Kako bi se osigurala kvaliteta, dosljednost i točnost podataka koje dostavljaju institucije, na podatke bi se trebala primjenjivati zajednička pravila validacije.</w:t>
      </w:r>
    </w:p>
    <w:p w:rsidR="003B410C" w:rsidRPr="0080217C" w:rsidRDefault="00263554" w:rsidP="00263554">
      <w:pPr>
        <w:pStyle w:val="ManualConsidrant"/>
        <w:rPr>
          <w:noProof/>
        </w:rPr>
      </w:pPr>
      <w:r w:rsidRPr="00263554">
        <w:rPr>
          <w:noProof/>
        </w:rPr>
        <w:t>(7)</w:t>
      </w:r>
      <w:r w:rsidRPr="00263554">
        <w:rPr>
          <w:noProof/>
        </w:rPr>
        <w:tab/>
      </w:r>
      <w:r w:rsidR="003B410C" w:rsidRPr="0080217C">
        <w:rPr>
          <w:noProof/>
        </w:rPr>
        <w:t>Pravila validacije i definicije točaka podataka zbog svoje se prirode redovito ažuriraju kako bi u svakom trenutku ispunjavali primjenjive regulatorne, analitičke i informatičke zahtjeve. Međutim, vrijeme koje je trenutačno potrebno za uvođenje i objavu detaljnog jedinstvenog obrasca s točkama podataka i pravila validacije znači da se promjene ne mogu provesti dovoljno brzo i pravodobno kako bi se osiguralo stalno dostavljanje jedinstvenih informacija za potrebe planova sanacije u Uniji. Stoga je potrebno utvrditi stroge kvalitativne kriterije za detaljni jedinstveni obrazac s točkama podataka i detaljna zajednička pravila validacije koje će Europsko nadzorno tijelo za bankarstvo (EBA) elektronički objaviti na svojim internetskim stranicama. Navedeno ne isključuje mogućnost da EBA na svojim internetskim stranicama objavljuje i tehničke upute za ispunjavanje obrazaca i predložaka iz ove Uredbe.</w:t>
      </w:r>
    </w:p>
    <w:p w:rsidR="003B410C" w:rsidRPr="0080217C" w:rsidRDefault="00263554" w:rsidP="00263554">
      <w:pPr>
        <w:pStyle w:val="ManualConsidrant"/>
        <w:rPr>
          <w:noProof/>
        </w:rPr>
      </w:pPr>
      <w:r w:rsidRPr="00263554">
        <w:rPr>
          <w:noProof/>
        </w:rPr>
        <w:t>(8)</w:t>
      </w:r>
      <w:r w:rsidRPr="00263554">
        <w:rPr>
          <w:noProof/>
        </w:rPr>
        <w:tab/>
      </w:r>
      <w:r w:rsidR="003B410C" w:rsidRPr="0080217C">
        <w:rPr>
          <w:noProof/>
        </w:rPr>
        <w:t>Člankom 11. stavkom 2. Direktive 2014/59/EU nadležna i sanacijska tijela obvezuju se na suradnju kako bi se udvostručavanje zahtjeva za informacije svelo na minimum. U tu je svrhu Provedbenom uredbom (EU) 2018/1624 uveden postupak suradnje između nadležnih i sanacijskih tijela, koji bi se trebao provoditi tako da nadležna i sanacijska tijela zajednički provjeravaju jesu li neke ili sve zatražene informacije već dostupne nadležnom tijelu. Ako su te informacije dostupne nadležnom tijelu, primjereno je da ih ono izravno prenese sanacijskom tijelu.</w:t>
      </w:r>
    </w:p>
    <w:p w:rsidR="003B410C" w:rsidRPr="0080217C" w:rsidRDefault="00263554" w:rsidP="00263554">
      <w:pPr>
        <w:pStyle w:val="ManualConsidrant"/>
        <w:rPr>
          <w:noProof/>
        </w:rPr>
      </w:pPr>
      <w:r w:rsidRPr="00263554">
        <w:rPr>
          <w:noProof/>
        </w:rPr>
        <w:t>(9)</w:t>
      </w:r>
      <w:r w:rsidRPr="00263554">
        <w:rPr>
          <w:noProof/>
        </w:rPr>
        <w:tab/>
      </w:r>
      <w:r w:rsidR="003B410C" w:rsidRPr="0080217C">
        <w:rPr>
          <w:noProof/>
        </w:rPr>
        <w:t>S obzirom na opsežnost izmjena Provedbene uredbe (EU) 2018/1624 primjereno je da se, radi pravne sigurnosti i jasnoće, donese nova provedbena uredba i da se stoga Provedbena uredba (EU) 2018/1624 zamijeni i stavi izvan snage.</w:t>
      </w:r>
    </w:p>
    <w:p w:rsidR="003B410C" w:rsidRPr="0080217C" w:rsidRDefault="00263554" w:rsidP="00263554">
      <w:pPr>
        <w:pStyle w:val="ManualConsidrant"/>
        <w:rPr>
          <w:noProof/>
        </w:rPr>
      </w:pPr>
      <w:r w:rsidRPr="00263554">
        <w:rPr>
          <w:noProof/>
        </w:rPr>
        <w:t>(10)</w:t>
      </w:r>
      <w:r w:rsidRPr="00263554">
        <w:rPr>
          <w:noProof/>
        </w:rPr>
        <w:tab/>
      </w:r>
      <w:r w:rsidR="003B410C" w:rsidRPr="0080217C">
        <w:rPr>
          <w:noProof/>
        </w:rPr>
        <w:t>Ova se Uredba temelji na provedbenim tehničkim standardima koje je EBA dostavila Komisiji.</w:t>
      </w:r>
    </w:p>
    <w:p w:rsidR="00860655" w:rsidRPr="0080217C" w:rsidRDefault="00263554" w:rsidP="00263554">
      <w:pPr>
        <w:pStyle w:val="ManualConsidrant"/>
        <w:rPr>
          <w:noProof/>
        </w:rPr>
      </w:pPr>
      <w:r w:rsidRPr="00263554">
        <w:rPr>
          <w:noProof/>
        </w:rPr>
        <w:t>(11)</w:t>
      </w:r>
      <w:r w:rsidRPr="00263554">
        <w:rPr>
          <w:noProof/>
        </w:rPr>
        <w:tab/>
      </w:r>
      <w:r w:rsidR="003B410C" w:rsidRPr="0080217C">
        <w:rPr>
          <w:noProof/>
        </w:rPr>
        <w:t>EBA je provela otvoreno javno savjetovanje o nacrtu provedbenih tehničkih standarda na kojem se temelji ova Uredba, analizirala moguće povezane troškove i koristi te zatražila savjet Interesne skupine za bankarstvo osnovane u skladu s člankom 37. Uredbe (EU) br. 1093/2010 Europskog parlamenta i Vijeća</w:t>
      </w:r>
      <w:r w:rsidR="003B410C" w:rsidRPr="0080217C">
        <w:rPr>
          <w:rStyle w:val="FootnoteReference"/>
          <w:noProof/>
        </w:rPr>
        <w:footnoteReference w:id="5"/>
      </w:r>
      <w:r w:rsidR="003B410C" w:rsidRPr="0080217C">
        <w:rPr>
          <w:noProof/>
        </w:rPr>
        <w:t>,</w:t>
      </w:r>
    </w:p>
    <w:p w:rsidR="00860655" w:rsidRPr="0080217C" w:rsidRDefault="00860655" w:rsidP="00184085">
      <w:pPr>
        <w:pStyle w:val="Formuledadoption"/>
        <w:rPr>
          <w:noProof/>
        </w:rPr>
      </w:pPr>
      <w:r w:rsidRPr="0080217C">
        <w:rPr>
          <w:noProof/>
        </w:rPr>
        <w:t>DONIJELA JE OVU UREDBU:</w:t>
      </w:r>
    </w:p>
    <w:p w:rsidR="00860655" w:rsidRPr="0080217C" w:rsidRDefault="00860655" w:rsidP="00184085">
      <w:pPr>
        <w:pStyle w:val="Titrearticle"/>
        <w:rPr>
          <w:noProof/>
        </w:rPr>
      </w:pPr>
      <w:r w:rsidRPr="0080217C">
        <w:rPr>
          <w:noProof/>
        </w:rPr>
        <w:t>Članak 1.</w:t>
      </w:r>
    </w:p>
    <w:p w:rsidR="00860655" w:rsidRPr="0080217C" w:rsidRDefault="003B410C" w:rsidP="00184085">
      <w:pPr>
        <w:pStyle w:val="Titrearticle"/>
        <w:rPr>
          <w:noProof/>
        </w:rPr>
      </w:pPr>
      <w:r w:rsidRPr="0080217C">
        <w:rPr>
          <w:b/>
          <w:i w:val="0"/>
          <w:noProof/>
        </w:rPr>
        <w:t>Definicija</w:t>
      </w:r>
    </w:p>
    <w:p w:rsidR="003B410C" w:rsidRPr="0080217C" w:rsidRDefault="003B410C" w:rsidP="00184085">
      <w:pPr>
        <w:rPr>
          <w:noProof/>
        </w:rPr>
      </w:pPr>
      <w:r w:rsidRPr="0080217C">
        <w:rPr>
          <w:noProof/>
        </w:rPr>
        <w:t>Za potrebe ove Uredbe „relevantni pravni subjekt” znači subjekt grupe kako je definiran u članku 2. stavku 1. točki 31. Direktive 2014/59/EU, koji nije sanacijski subjekt, koji ima poslovni nastan u Uniji i ispunjava bilo koji od sljedećih uvjeta:</w:t>
      </w:r>
    </w:p>
    <w:p w:rsidR="003B410C" w:rsidRPr="0080217C" w:rsidRDefault="00263554" w:rsidP="00263554">
      <w:pPr>
        <w:pStyle w:val="Point0"/>
        <w:rPr>
          <w:noProof/>
        </w:rPr>
      </w:pPr>
      <w:r w:rsidRPr="00263554">
        <w:rPr>
          <w:noProof/>
        </w:rPr>
        <w:t>(a)</w:t>
      </w:r>
      <w:r w:rsidRPr="00263554">
        <w:rPr>
          <w:noProof/>
        </w:rPr>
        <w:tab/>
      </w:r>
      <w:r w:rsidR="003B410C" w:rsidRPr="0080217C">
        <w:rPr>
          <w:noProof/>
        </w:rPr>
        <w:t>izvršava ključne funkcije;</w:t>
      </w:r>
    </w:p>
    <w:p w:rsidR="003B410C" w:rsidRPr="0080217C" w:rsidRDefault="00263554" w:rsidP="00263554">
      <w:pPr>
        <w:pStyle w:val="Point0"/>
        <w:rPr>
          <w:noProof/>
        </w:rPr>
      </w:pPr>
      <w:r w:rsidRPr="00263554">
        <w:rPr>
          <w:noProof/>
        </w:rPr>
        <w:t>(b)</w:t>
      </w:r>
      <w:r w:rsidRPr="00263554">
        <w:rPr>
          <w:noProof/>
        </w:rPr>
        <w:tab/>
      </w:r>
      <w:r w:rsidR="003B410C" w:rsidRPr="0080217C">
        <w:rPr>
          <w:noProof/>
        </w:rPr>
        <w:t>njegov pojedinačni ukupni iznos izloženosti riziku izračunan u skladu s člankom 92. stavkom 3. Uredbe (EU) br. 575/2013 Europskog parlamenta i Vijeća</w:t>
      </w:r>
      <w:r w:rsidR="003B410C" w:rsidRPr="0080217C">
        <w:rPr>
          <w:rStyle w:val="FootnoteReference"/>
          <w:noProof/>
        </w:rPr>
        <w:footnoteReference w:id="6"/>
      </w:r>
      <w:r w:rsidR="003B410C" w:rsidRPr="0080217C">
        <w:rPr>
          <w:noProof/>
        </w:rPr>
        <w:t xml:space="preserve"> jednak je ili prelazi 2 % konsolidiranog ukupnog iznosa izloženosti riziku matičnog društva u Uniji;</w:t>
      </w:r>
    </w:p>
    <w:p w:rsidR="003B410C" w:rsidRPr="0080217C" w:rsidRDefault="00263554" w:rsidP="00263554">
      <w:pPr>
        <w:pStyle w:val="Point0"/>
        <w:rPr>
          <w:noProof/>
        </w:rPr>
      </w:pPr>
      <w:r w:rsidRPr="00263554">
        <w:rPr>
          <w:noProof/>
        </w:rPr>
        <w:t>(c)</w:t>
      </w:r>
      <w:r w:rsidRPr="00263554">
        <w:rPr>
          <w:noProof/>
        </w:rPr>
        <w:tab/>
      </w:r>
      <w:r w:rsidR="003B410C" w:rsidRPr="0080217C">
        <w:rPr>
          <w:noProof/>
        </w:rPr>
        <w:t>njegova pojedinačna mjera ukupne izloženosti iz članka 429. stavka 4. Uredbe (EU) br. 575/2013 jednaka je ili prelazi 2 % konsolidirane mjere ukupne izloženosti matičnog društva u Uniji;</w:t>
      </w:r>
    </w:p>
    <w:p w:rsidR="003B410C" w:rsidRPr="0080217C" w:rsidRDefault="00263554" w:rsidP="00263554">
      <w:pPr>
        <w:pStyle w:val="Point0"/>
        <w:rPr>
          <w:noProof/>
        </w:rPr>
      </w:pPr>
      <w:r w:rsidRPr="00263554">
        <w:rPr>
          <w:noProof/>
        </w:rPr>
        <w:t>(d)</w:t>
      </w:r>
      <w:r w:rsidRPr="00263554">
        <w:rPr>
          <w:noProof/>
        </w:rPr>
        <w:tab/>
      </w:r>
      <w:r w:rsidR="003B410C" w:rsidRPr="0080217C">
        <w:rPr>
          <w:noProof/>
        </w:rPr>
        <w:t>njegovi pojedinačni prihodi iz poslovanja jednaki su ili prelaze 2 % konsolidiranih ukupnih poslovnih prihoda grupe izračunanih na razini matičnog društva u Uniji;</w:t>
      </w:r>
    </w:p>
    <w:p w:rsidR="003B410C" w:rsidRPr="0080217C" w:rsidRDefault="00263554" w:rsidP="00263554">
      <w:pPr>
        <w:pStyle w:val="Point0"/>
        <w:rPr>
          <w:noProof/>
        </w:rPr>
      </w:pPr>
      <w:r w:rsidRPr="00263554">
        <w:rPr>
          <w:noProof/>
        </w:rPr>
        <w:t>(e)</w:t>
      </w:r>
      <w:r w:rsidRPr="00263554">
        <w:rPr>
          <w:noProof/>
        </w:rPr>
        <w:tab/>
      </w:r>
      <w:r w:rsidR="003B410C" w:rsidRPr="0080217C">
        <w:rPr>
          <w:noProof/>
        </w:rPr>
        <w:t>njegova pojedinačna ukupna imovina premašuje 5 milijardi EUR;</w:t>
      </w:r>
    </w:p>
    <w:p w:rsidR="008F1E98" w:rsidRPr="0080217C" w:rsidRDefault="00263554" w:rsidP="00263554">
      <w:pPr>
        <w:pStyle w:val="Point0"/>
        <w:rPr>
          <w:noProof/>
        </w:rPr>
      </w:pPr>
      <w:r w:rsidRPr="00263554">
        <w:rPr>
          <w:noProof/>
        </w:rPr>
        <w:t>(f)</w:t>
      </w:r>
      <w:r w:rsidRPr="00263554">
        <w:rPr>
          <w:noProof/>
        </w:rPr>
        <w:tab/>
      </w:r>
      <w:r w:rsidR="003B410C" w:rsidRPr="0080217C">
        <w:rPr>
          <w:noProof/>
        </w:rPr>
        <w:t>važan je za financijsku stabilnost u barem jednoj državi članici.</w:t>
      </w:r>
    </w:p>
    <w:p w:rsidR="00A803C4" w:rsidRPr="0080217C" w:rsidRDefault="008F1E98" w:rsidP="00184085">
      <w:pPr>
        <w:pStyle w:val="Text1"/>
        <w:rPr>
          <w:noProof/>
        </w:rPr>
      </w:pPr>
      <w:r w:rsidRPr="0080217C">
        <w:rPr>
          <w:noProof/>
        </w:rPr>
        <w:t>Za potrebe točke (b), za grupu koja se sastoji od više od jednog sanacijskog subjekta, subjekt se smatra relevantnim pravnim subjektom ako je njegov pojedinačni ukupni iznos izloženosti riziku jednak ili prelazi 2 % ukupnog iznosa izloženosti riziku sanacijskog subjekta na konsolidiranoj razini sanacijske grupe.</w:t>
      </w:r>
    </w:p>
    <w:p w:rsidR="008F1E98" w:rsidRPr="0080217C" w:rsidRDefault="008F1E98" w:rsidP="00184085">
      <w:pPr>
        <w:pStyle w:val="Text1"/>
        <w:rPr>
          <w:noProof/>
        </w:rPr>
      </w:pPr>
      <w:r w:rsidRPr="0080217C">
        <w:rPr>
          <w:noProof/>
        </w:rPr>
        <w:t>Za potrebe točke (c), za grupu koja se sastoji od više od jednog sanacijskog subjekta, subjekt se smatra relevantnim pravnim subjektom ako je njegova pojedinačna mjera ukupne izloženosti jednaka ili prelazi 2 % mjere ukupne izloženosti sanacijskog subjekta na konsolidiranoj razini sanacijske grupe.</w:t>
      </w:r>
    </w:p>
    <w:p w:rsidR="003B410C" w:rsidRPr="0080217C" w:rsidRDefault="003B410C" w:rsidP="00184085">
      <w:pPr>
        <w:pStyle w:val="Titrearticle"/>
        <w:rPr>
          <w:noProof/>
        </w:rPr>
      </w:pPr>
      <w:bookmarkStart w:id="1" w:name="_Hlk168321151"/>
      <w:r w:rsidRPr="0080217C">
        <w:rPr>
          <w:noProof/>
        </w:rPr>
        <w:t>Članak 2.</w:t>
      </w:r>
    </w:p>
    <w:p w:rsidR="003B410C" w:rsidRPr="0080217C" w:rsidRDefault="003B410C" w:rsidP="00184085">
      <w:pPr>
        <w:pStyle w:val="Titrearticle"/>
        <w:spacing w:before="0"/>
        <w:rPr>
          <w:b/>
          <w:bCs/>
          <w:i w:val="0"/>
          <w:iCs/>
          <w:noProof/>
        </w:rPr>
      </w:pPr>
      <w:r w:rsidRPr="0080217C">
        <w:rPr>
          <w:b/>
          <w:i w:val="0"/>
          <w:noProof/>
        </w:rPr>
        <w:t>Izvješćivanje o sanaciji koje provode institucije koje nisu dio grupe koja podliježe konsolidiranom nadzoru u skladu s člancima 111. i 112. Direktive 2013/36/EU</w:t>
      </w:r>
      <w:bookmarkEnd w:id="1"/>
    </w:p>
    <w:p w:rsidR="003B410C" w:rsidRPr="0080217C" w:rsidRDefault="00263554" w:rsidP="00263554">
      <w:pPr>
        <w:pStyle w:val="ManualNumPar1"/>
        <w:rPr>
          <w:noProof/>
        </w:rPr>
      </w:pPr>
      <w:r w:rsidRPr="00263554">
        <w:rPr>
          <w:noProof/>
        </w:rPr>
        <w:t>1.</w:t>
      </w:r>
      <w:r w:rsidRPr="00263554">
        <w:rPr>
          <w:noProof/>
        </w:rPr>
        <w:tab/>
      </w:r>
      <w:r w:rsidR="005E4DBA" w:rsidRPr="0080217C">
        <w:rPr>
          <w:noProof/>
        </w:rPr>
        <w:t>Sanacijski subjekti koji nisu dio grupe koja podliježe konsolidiranom nadzoru u skladu s člancima 111. i 112. Direktive 2013/36/EU Europskog parlamenta i Vijeća</w:t>
      </w:r>
      <w:r w:rsidR="005E4DBA" w:rsidRPr="0080217C">
        <w:rPr>
          <w:rStyle w:val="FootnoteReference"/>
          <w:noProof/>
        </w:rPr>
        <w:footnoteReference w:id="7"/>
      </w:r>
      <w:r w:rsidR="005E4DBA" w:rsidRPr="0080217C">
        <w:rPr>
          <w:noProof/>
        </w:rPr>
        <w:t xml:space="preserve"> sanacijskom tijelu na pojedinačnoj osnovi dostavljaju informacije navedene u svim predlošcima iz Priloga I. ovoj Uredbi, osim informacija iz predložaka Z 01.01, Z 04.00, Z 07.02, Z 07.03 i Z 11.00.</w:t>
      </w:r>
    </w:p>
    <w:p w:rsidR="003B410C" w:rsidRPr="0080217C" w:rsidRDefault="00263554" w:rsidP="00263554">
      <w:pPr>
        <w:pStyle w:val="ManualNumPar1"/>
        <w:rPr>
          <w:noProof/>
        </w:rPr>
      </w:pPr>
      <w:r w:rsidRPr="00263554">
        <w:rPr>
          <w:noProof/>
        </w:rPr>
        <w:t>2.</w:t>
      </w:r>
      <w:r w:rsidRPr="00263554">
        <w:rPr>
          <w:noProof/>
        </w:rPr>
        <w:tab/>
      </w:r>
      <w:r w:rsidR="0017578A" w:rsidRPr="0080217C">
        <w:rPr>
          <w:noProof/>
        </w:rPr>
        <w:t>Subjekti planirani za likvidaciju na koje se ne primjenjuju pojednostavnjene obveze, koji nisu dio grupe koja podliježe konsolidiranom nadzoru u skladu s člancima 111. i 112. Direktive 2013/36/EU i za koje sanacijsko tijelo nije odredilo zahtjev iz članka 45. stavka 1. Direktive 2014/59/EU u skladu s člankom 45.c stavkom 2.a drugim podstavkom te direktive sanacijskom tijelu na pojedinačnoj osnovi dostavljaju informacije iz predložaka Z 01.02, Z 02.00, Z 05.01, Z 05.02, Z 06.00, Z 07.01.1 do Z 07.01.5, Z 07.04 i Z 09.01 u Prilogu I. ovoj Uredbi.</w:t>
      </w:r>
    </w:p>
    <w:p w:rsidR="003B410C" w:rsidRPr="0080217C" w:rsidRDefault="00263554" w:rsidP="00263554">
      <w:pPr>
        <w:pStyle w:val="ManualNumPar1"/>
        <w:rPr>
          <w:noProof/>
        </w:rPr>
      </w:pPr>
      <w:r w:rsidRPr="00263554">
        <w:rPr>
          <w:noProof/>
        </w:rPr>
        <w:t>3.</w:t>
      </w:r>
      <w:r w:rsidRPr="00263554">
        <w:rPr>
          <w:noProof/>
        </w:rPr>
        <w:tab/>
      </w:r>
      <w:r w:rsidR="00436F80" w:rsidRPr="0080217C">
        <w:rPr>
          <w:noProof/>
        </w:rPr>
        <w:t>Subjekti planirani za likvidaciju na koje se ne primjenjuju pojednostavnjene obveze, koji nisu dio grupe koja podliježe konsolidiranom nadzoru u skladu s člancima 111. i 112. Direktive 2013/36/EU i za koje je sanacijsko tijelo odredilo zahtjev iz članka 45. stavka 1. Direktive 2014/59/EU u skladu s člankom 45.c stavkom 2.a drugim podstavkom te direktive sanacijskom tijelu na pojedinačnoj osnovi dostavljaju informacije iz predložaka Z 01.02, Z 02.00, Z 03.01, Z 03.02, Z 05.01, Z 05.02, Z 06.00, Z 07.01.1 do Z 07.01.5, Z 07.04 i Z 09.01 u Prilogu I. ovoj Uredbi.</w:t>
      </w:r>
    </w:p>
    <w:p w:rsidR="003B410C" w:rsidRPr="0080217C" w:rsidRDefault="003B410C" w:rsidP="00184085">
      <w:pPr>
        <w:pStyle w:val="Titrearticle"/>
        <w:rPr>
          <w:noProof/>
        </w:rPr>
      </w:pPr>
      <w:r w:rsidRPr="0080217C">
        <w:rPr>
          <w:noProof/>
        </w:rPr>
        <w:t>Članak 3.</w:t>
      </w:r>
    </w:p>
    <w:p w:rsidR="003B410C" w:rsidRPr="0080217C" w:rsidRDefault="003B410C" w:rsidP="00184085">
      <w:pPr>
        <w:pStyle w:val="Titrearticle"/>
        <w:spacing w:before="0"/>
        <w:rPr>
          <w:b/>
          <w:bCs/>
          <w:i w:val="0"/>
          <w:iCs/>
          <w:noProof/>
        </w:rPr>
      </w:pPr>
      <w:r w:rsidRPr="0080217C">
        <w:rPr>
          <w:b/>
          <w:i w:val="0"/>
          <w:noProof/>
        </w:rPr>
        <w:t>Izvješćivanje o sanaciji grupe – sanacijske grupe</w:t>
      </w:r>
    </w:p>
    <w:p w:rsidR="003B410C" w:rsidRPr="0080217C" w:rsidRDefault="00263554" w:rsidP="00263554">
      <w:pPr>
        <w:pStyle w:val="ManualNumPar1"/>
        <w:rPr>
          <w:noProof/>
        </w:rPr>
      </w:pPr>
      <w:r w:rsidRPr="00263554">
        <w:rPr>
          <w:noProof/>
        </w:rPr>
        <w:t>1.</w:t>
      </w:r>
      <w:r w:rsidRPr="00263554">
        <w:rPr>
          <w:noProof/>
        </w:rPr>
        <w:tab/>
      </w:r>
      <w:r w:rsidR="00873C72" w:rsidRPr="0080217C">
        <w:rPr>
          <w:noProof/>
        </w:rPr>
        <w:t>Matično društvo u Uniji sanacijskom tijelu za grupu dostavlja informacije iz predložaka Z 01.01, Z 01.02 i Z 08.01 do Z 09.04 u Prilogu I. za sve subjekte grupe.</w:t>
      </w:r>
    </w:p>
    <w:p w:rsidR="003B410C" w:rsidRPr="0080217C" w:rsidRDefault="00263554" w:rsidP="00263554">
      <w:pPr>
        <w:pStyle w:val="ManualNumPar1"/>
        <w:rPr>
          <w:noProof/>
        </w:rPr>
      </w:pPr>
      <w:r w:rsidRPr="00263554">
        <w:rPr>
          <w:noProof/>
        </w:rPr>
        <w:t>2.</w:t>
      </w:r>
      <w:r w:rsidRPr="00263554">
        <w:rPr>
          <w:noProof/>
        </w:rPr>
        <w:tab/>
      </w:r>
      <w:r w:rsidR="00873C72" w:rsidRPr="0080217C">
        <w:rPr>
          <w:noProof/>
        </w:rPr>
        <w:t>Matično društvo u Uniji sanacijskom tijelu za grupu dostavlja informacije o financijskim vezama između svih subjekata grupe u skladu s predloškom Z 04.00 iz Priloga I.</w:t>
      </w:r>
    </w:p>
    <w:p w:rsidR="003B410C" w:rsidRPr="0080217C" w:rsidRDefault="00263554" w:rsidP="00263554">
      <w:pPr>
        <w:pStyle w:val="ManualNumPar1"/>
        <w:rPr>
          <w:noProof/>
        </w:rPr>
      </w:pPr>
      <w:r w:rsidRPr="00263554">
        <w:rPr>
          <w:noProof/>
        </w:rPr>
        <w:t>3.</w:t>
      </w:r>
      <w:r w:rsidRPr="00263554">
        <w:rPr>
          <w:noProof/>
        </w:rPr>
        <w:tab/>
      </w:r>
      <w:r w:rsidR="001744A5" w:rsidRPr="0080217C">
        <w:rPr>
          <w:noProof/>
        </w:rPr>
        <w:t>Matično društvo u Uniji sanacijskom tijelu za grupu na sljedeći način dostavlja informacije iz predloška Z 02.00 u Prilogu I.:</w:t>
      </w:r>
    </w:p>
    <w:p w:rsidR="003B410C" w:rsidRPr="0080217C" w:rsidRDefault="00263554" w:rsidP="00263554">
      <w:pPr>
        <w:pStyle w:val="Point1"/>
        <w:rPr>
          <w:noProof/>
        </w:rPr>
      </w:pPr>
      <w:r w:rsidRPr="00263554">
        <w:rPr>
          <w:noProof/>
        </w:rPr>
        <w:t>(a)</w:t>
      </w:r>
      <w:r w:rsidRPr="00263554">
        <w:rPr>
          <w:noProof/>
        </w:rPr>
        <w:tab/>
      </w:r>
      <w:r w:rsidR="003B410C" w:rsidRPr="0080217C">
        <w:rPr>
          <w:noProof/>
        </w:rPr>
        <w:t>na pojedinačnoj osnovi za sve sanacijske subjekte grupe, uključujući matično društvo u Uniji, i za sve relevantne pravne subjekte koji su institucije;</w:t>
      </w:r>
    </w:p>
    <w:p w:rsidR="003B410C" w:rsidRPr="0080217C" w:rsidRDefault="00263554" w:rsidP="00263554">
      <w:pPr>
        <w:pStyle w:val="Point1"/>
        <w:rPr>
          <w:noProof/>
        </w:rPr>
      </w:pPr>
      <w:r w:rsidRPr="00263554">
        <w:rPr>
          <w:noProof/>
        </w:rPr>
        <w:t>(b)</w:t>
      </w:r>
      <w:r w:rsidRPr="00263554">
        <w:rPr>
          <w:noProof/>
        </w:rPr>
        <w:tab/>
      </w:r>
      <w:r w:rsidR="003B410C" w:rsidRPr="0080217C">
        <w:rPr>
          <w:noProof/>
        </w:rPr>
        <w:t>na konsolidiranoj ili, ovisno o slučaju, na potkonsolidiranoj osnovi, za sve sanacijske subjekte grupe, uključujući matično društvo u Uniji, i za sve relevantne pravne subjekte za koje je sanacijsko tijelo odredilo zahtjev iz članka 45. stavka 1. Direktive 2014/59/EU na konsolidiranoj ili potkonsolidiranoj osnovi, bez obzira na to primjenjuje li se na te subjekte dio prvi glava II. poglavlje 2. Uredbe (EU) br. 575/2013.</w:t>
      </w:r>
    </w:p>
    <w:p w:rsidR="003B410C" w:rsidRPr="0080217C" w:rsidRDefault="00263554" w:rsidP="00263554">
      <w:pPr>
        <w:pStyle w:val="ManualNumPar1"/>
        <w:rPr>
          <w:noProof/>
        </w:rPr>
      </w:pPr>
      <w:r w:rsidRPr="00263554">
        <w:rPr>
          <w:noProof/>
        </w:rPr>
        <w:t>4.</w:t>
      </w:r>
      <w:r w:rsidRPr="00263554">
        <w:rPr>
          <w:noProof/>
        </w:rPr>
        <w:tab/>
      </w:r>
      <w:r w:rsidR="00207905" w:rsidRPr="0080217C">
        <w:rPr>
          <w:noProof/>
        </w:rPr>
        <w:t>Matično društvo u Uniji sanacijskom tijelu za grupu na sljedeći način dostavlja informacije iz predloška Z 03.01 ili Z 03.02 u Prilogu I.:</w:t>
      </w:r>
    </w:p>
    <w:p w:rsidR="003B410C" w:rsidRPr="0080217C" w:rsidRDefault="00263554" w:rsidP="00263554">
      <w:pPr>
        <w:pStyle w:val="Point1"/>
        <w:rPr>
          <w:noProof/>
        </w:rPr>
      </w:pPr>
      <w:r w:rsidRPr="00263554">
        <w:rPr>
          <w:noProof/>
        </w:rPr>
        <w:t>(a)</w:t>
      </w:r>
      <w:r w:rsidRPr="00263554">
        <w:rPr>
          <w:noProof/>
        </w:rPr>
        <w:tab/>
      </w:r>
      <w:r w:rsidR="003B410C" w:rsidRPr="0080217C">
        <w:rPr>
          <w:noProof/>
        </w:rPr>
        <w:t>na pojedinačnoj osnovi za sve sanacijske subjekte grupe, uključujući matično društvo u Uniji, i za sve relevantne pravne subjekte koji su institucije za koje je sanacijsko tijelo odredilo zahtjev iz članka 45. stavka 1. Direktive 2014/59/EU;</w:t>
      </w:r>
    </w:p>
    <w:p w:rsidR="003B410C" w:rsidRPr="0080217C" w:rsidRDefault="00263554" w:rsidP="00263554">
      <w:pPr>
        <w:pStyle w:val="Point1"/>
        <w:rPr>
          <w:noProof/>
        </w:rPr>
      </w:pPr>
      <w:r w:rsidRPr="00263554">
        <w:rPr>
          <w:noProof/>
        </w:rPr>
        <w:t>(b)</w:t>
      </w:r>
      <w:r w:rsidRPr="00263554">
        <w:rPr>
          <w:noProof/>
        </w:rPr>
        <w:tab/>
      </w:r>
      <w:r w:rsidR="003B410C" w:rsidRPr="0080217C">
        <w:rPr>
          <w:noProof/>
        </w:rPr>
        <w:t>na konsolidiranoj ili potkonsolidiranoj osnovi, za sve sanacijske subjekte grupe, uključujući matično društvo u Uniji, i za sve relevantne pravne subjekte koji su institucije za koje je sanacijsko tijelo odredilo zahtjev iz članka 45. stavka 1. Direktive 2014/59/EU, bez obzira na to primjenjuje li se na te subjekte dio prvi glava II. poglavlje 2. Uredbe (EU) br. 575/2013.</w:t>
      </w:r>
    </w:p>
    <w:p w:rsidR="003B410C" w:rsidRPr="0080217C" w:rsidRDefault="00263554" w:rsidP="00263554">
      <w:pPr>
        <w:pStyle w:val="ManualNumPar1"/>
        <w:rPr>
          <w:noProof/>
        </w:rPr>
      </w:pPr>
      <w:r w:rsidRPr="00263554">
        <w:rPr>
          <w:noProof/>
        </w:rPr>
        <w:t>5.</w:t>
      </w:r>
      <w:r w:rsidRPr="00263554">
        <w:rPr>
          <w:noProof/>
        </w:rPr>
        <w:tab/>
      </w:r>
      <w:r w:rsidR="006E7726" w:rsidRPr="0080217C">
        <w:rPr>
          <w:noProof/>
        </w:rPr>
        <w:t>Matično društvo u Uniji sanacijskom tijelu za grupu dostavlja informacije iz predložaka Z 07.01.1, Z 07.01.2, Z 07.01.3, Z 07.01.4 i Z 07.01.5 u Prilogu I. na razini svake države članice u kojoj grupa posluje.</w:t>
      </w:r>
    </w:p>
    <w:p w:rsidR="003B410C" w:rsidRPr="0080217C" w:rsidRDefault="00263554" w:rsidP="00263554">
      <w:pPr>
        <w:pStyle w:val="ManualNumPar1"/>
        <w:rPr>
          <w:noProof/>
        </w:rPr>
      </w:pPr>
      <w:r w:rsidRPr="00263554">
        <w:rPr>
          <w:noProof/>
        </w:rPr>
        <w:t>6.</w:t>
      </w:r>
      <w:r w:rsidRPr="00263554">
        <w:rPr>
          <w:noProof/>
        </w:rPr>
        <w:tab/>
      </w:r>
      <w:r w:rsidR="006E7726" w:rsidRPr="0080217C">
        <w:rPr>
          <w:noProof/>
        </w:rPr>
        <w:t>Matično društvo u Uniji sanacijskom tijelu za grupu dostavlja informacije iz predložaka Z 07.02, Z 07.03 i Z 07.04 u Prilogu I. u vezi s ključnim funkcijama i temeljnim linijama poslovanja bilo kojeg subjekta grupe.</w:t>
      </w:r>
    </w:p>
    <w:p w:rsidR="003B410C" w:rsidRPr="0080217C" w:rsidRDefault="00263554" w:rsidP="00263554">
      <w:pPr>
        <w:pStyle w:val="ManualNumPar1"/>
        <w:rPr>
          <w:noProof/>
        </w:rPr>
      </w:pPr>
      <w:r w:rsidRPr="00263554">
        <w:rPr>
          <w:noProof/>
        </w:rPr>
        <w:t>7.</w:t>
      </w:r>
      <w:r w:rsidRPr="00263554">
        <w:rPr>
          <w:noProof/>
        </w:rPr>
        <w:tab/>
      </w:r>
      <w:r w:rsidR="006E7726" w:rsidRPr="0080217C">
        <w:rPr>
          <w:noProof/>
        </w:rPr>
        <w:t>Matično društvo u Uniji sanacijskom tijelu za grupu na pojedinačnoj osnovi dostavlja informacije iz predložaka Z 05.01, Z 05.02, Z 06.00, Z 07.01.1 do Z 07.01.5, Z 07.04 i Z 11.00 do Z 17.00 u Prilogu I. za sve sanacijske subjekte grupe, uključujući matično društvo u Uniji.</w:t>
      </w:r>
    </w:p>
    <w:p w:rsidR="003B410C" w:rsidRPr="0080217C" w:rsidRDefault="00263554" w:rsidP="00263554">
      <w:pPr>
        <w:pStyle w:val="ManualNumPar1"/>
        <w:rPr>
          <w:noProof/>
        </w:rPr>
      </w:pPr>
      <w:r w:rsidRPr="00263554">
        <w:rPr>
          <w:noProof/>
        </w:rPr>
        <w:t>8.</w:t>
      </w:r>
      <w:r w:rsidRPr="00263554">
        <w:rPr>
          <w:noProof/>
        </w:rPr>
        <w:tab/>
      </w:r>
      <w:r w:rsidR="003B410C" w:rsidRPr="0080217C">
        <w:rPr>
          <w:noProof/>
        </w:rPr>
        <w:t>Matično društvo u Uniji sanacijskom tijelu za grupu na pojedinačnoj osnovi dostavlja informacije iz predložaka Z 05.01, Z 05.02, Z 06.00, Z 07.01.1 do Z 07.01.5 i Z 07.04 u Prilogu I. za sve relevantne pravne subjekte koji su institucije.</w:t>
      </w:r>
    </w:p>
    <w:p w:rsidR="003B410C" w:rsidRPr="0080217C" w:rsidRDefault="00263554" w:rsidP="00263554">
      <w:pPr>
        <w:pStyle w:val="ManualNumPar1"/>
        <w:rPr>
          <w:noProof/>
        </w:rPr>
      </w:pPr>
      <w:r w:rsidRPr="00263554">
        <w:rPr>
          <w:noProof/>
        </w:rPr>
        <w:t>9.</w:t>
      </w:r>
      <w:r w:rsidRPr="00263554">
        <w:rPr>
          <w:noProof/>
        </w:rPr>
        <w:tab/>
      </w:r>
      <w:r w:rsidR="003B410C" w:rsidRPr="0080217C">
        <w:rPr>
          <w:noProof/>
        </w:rPr>
        <w:t>Stavak 2., stavak 3. točka (a) i stavci 4., 5. i 6. ovog članka primjenjuju se neovisno o bilo kojem odstupanju od primjene bonitetnih zahtjeva odobrenom u skladu s člankom 7. stavcima 1. ili 3. Uredbe (EU) br. 575/2013 ili člankom 8. Uredbe (EU) 2019/2033 Europskog parlamenta i Vijeća</w:t>
      </w:r>
      <w:r w:rsidR="003B410C" w:rsidRPr="0080217C">
        <w:rPr>
          <w:rStyle w:val="FootnoteReference"/>
          <w:noProof/>
          <w:shd w:val="clear" w:color="auto" w:fill="FFFFFF" w:themeFill="background1"/>
        </w:rPr>
        <w:footnoteReference w:id="8"/>
      </w:r>
      <w:r w:rsidR="003B410C" w:rsidRPr="0080217C">
        <w:rPr>
          <w:noProof/>
        </w:rPr>
        <w:t xml:space="preserve"> ili bilo kojem izuzeću od primjene minimalnog zahtjeva za regulatorni kapital i prihvatljive obveze odobrenom u skladu s člankom 45.f Direktive 2014/59/EU.</w:t>
      </w:r>
    </w:p>
    <w:p w:rsidR="003B410C" w:rsidRPr="0080217C" w:rsidRDefault="003B410C" w:rsidP="00184085">
      <w:pPr>
        <w:pStyle w:val="Titrearticle"/>
        <w:rPr>
          <w:noProof/>
        </w:rPr>
      </w:pPr>
      <w:r w:rsidRPr="0080217C">
        <w:rPr>
          <w:noProof/>
        </w:rPr>
        <w:t>Članak 4.</w:t>
      </w:r>
    </w:p>
    <w:p w:rsidR="003B410C" w:rsidRPr="0080217C" w:rsidRDefault="003B410C" w:rsidP="00184085">
      <w:pPr>
        <w:pStyle w:val="Titrearticle"/>
        <w:spacing w:before="0"/>
        <w:rPr>
          <w:b/>
          <w:bCs/>
          <w:i w:val="0"/>
          <w:iCs/>
          <w:noProof/>
        </w:rPr>
      </w:pPr>
      <w:r w:rsidRPr="0080217C">
        <w:rPr>
          <w:b/>
          <w:i w:val="0"/>
          <w:noProof/>
        </w:rPr>
        <w:t>Izvješćivanje o sanaciji grupe – grupe koje se sastoje samo od subjekata planiranih za likvidaciju</w:t>
      </w:r>
    </w:p>
    <w:p w:rsidR="003B410C" w:rsidRPr="0080217C" w:rsidRDefault="00F95432" w:rsidP="00184085">
      <w:pPr>
        <w:rPr>
          <w:noProof/>
        </w:rPr>
      </w:pPr>
      <w:r w:rsidRPr="0080217C">
        <w:rPr>
          <w:noProof/>
        </w:rPr>
        <w:t>Matično društvo u Uniji grupe koja se sastoji samo od subjekata planiranih za likvidaciju na koje se ne primjenjuju pojednostavnjene obveze dostavlja sanacijskom tijelu za grupu:</w:t>
      </w:r>
    </w:p>
    <w:p w:rsidR="003B410C" w:rsidRPr="0080217C" w:rsidRDefault="00263554" w:rsidP="00263554">
      <w:pPr>
        <w:pStyle w:val="Point0"/>
        <w:rPr>
          <w:noProof/>
        </w:rPr>
      </w:pPr>
      <w:r w:rsidRPr="00263554">
        <w:rPr>
          <w:noProof/>
        </w:rPr>
        <w:t>(a)</w:t>
      </w:r>
      <w:r w:rsidRPr="00263554">
        <w:rPr>
          <w:noProof/>
        </w:rPr>
        <w:tab/>
      </w:r>
      <w:r w:rsidR="003B410C" w:rsidRPr="0080217C">
        <w:rPr>
          <w:noProof/>
        </w:rPr>
        <w:t>informacije iz predložaka Z 01.01, Z 01.02, Z 07.01.1 do Z 07.01.5 i Z 09.01 u Prilogu I. u vezi sa svim subjektima grupe, predloška Z 02.00 na konsolidiranoj osnovi i predloška Z 04.00 u vezi s međusobnim financijskim vezama između svih subjekata grupe;</w:t>
      </w:r>
    </w:p>
    <w:p w:rsidR="003B410C" w:rsidRPr="0080217C" w:rsidRDefault="00263554" w:rsidP="00263554">
      <w:pPr>
        <w:pStyle w:val="Point0"/>
        <w:rPr>
          <w:noProof/>
        </w:rPr>
      </w:pPr>
      <w:r w:rsidRPr="00263554">
        <w:rPr>
          <w:noProof/>
        </w:rPr>
        <w:t>(b)</w:t>
      </w:r>
      <w:r w:rsidRPr="00263554">
        <w:rPr>
          <w:noProof/>
        </w:rPr>
        <w:tab/>
      </w:r>
      <w:r w:rsidR="009F0766" w:rsidRPr="0080217C">
        <w:rPr>
          <w:noProof/>
        </w:rPr>
        <w:t>na pojedinačnoj osnovi, za sebe i za svaki relevantni pravni subjekt za koji sanacijsko tijelo nije odredilo zahtjev iz članka 45. stavka 1. Direktive 2014/59/EU u skladu s člankom 45.c stavkom 2.a drugim podstavkom te direktive, informacije iz predložaka Z 02.00, Z 05.01, Z 05.02, Z 06.00, Z 07.01.1 do Z 07.01.5 i Z 07.04 u Prilogu I. ovoj Uredbi;</w:t>
      </w:r>
    </w:p>
    <w:p w:rsidR="00E522C4" w:rsidRPr="0080217C" w:rsidRDefault="00263554" w:rsidP="00263554">
      <w:pPr>
        <w:pStyle w:val="Point0"/>
        <w:rPr>
          <w:noProof/>
        </w:rPr>
      </w:pPr>
      <w:r w:rsidRPr="00263554">
        <w:rPr>
          <w:noProof/>
        </w:rPr>
        <w:t>(c)</w:t>
      </w:r>
      <w:r w:rsidRPr="00263554">
        <w:rPr>
          <w:noProof/>
        </w:rPr>
        <w:tab/>
      </w:r>
      <w:r w:rsidR="009F0766" w:rsidRPr="0080217C">
        <w:rPr>
          <w:noProof/>
        </w:rPr>
        <w:t>na pojedinačnoj osnovi, za sebe i za svaki relevantni pravni subjekt za koji je sanacijsko tijelo odredilo zahtjev iz članka 45. stavka 1. Direktive 2014/59/EU u skladu s člankom 45.c stavkom 2.a drugim podstavkom te direktive, informacije iz predložaka Z 02.00, Z 03.01, Z 03.02, Z 05.01, Z 05.02, Z 06.00, Z 07.01.1 do Z 07.01.5 i Z 07.04 u Prilogu I. ovoj Uredbi.</w:t>
      </w:r>
    </w:p>
    <w:p w:rsidR="00E522C4" w:rsidRPr="0080217C" w:rsidRDefault="00E522C4" w:rsidP="00184085">
      <w:pPr>
        <w:pStyle w:val="Titrearticle"/>
        <w:rPr>
          <w:noProof/>
        </w:rPr>
      </w:pPr>
      <w:r w:rsidRPr="0080217C">
        <w:rPr>
          <w:noProof/>
        </w:rPr>
        <w:t>Članak 5.</w:t>
      </w:r>
    </w:p>
    <w:p w:rsidR="00E522C4" w:rsidRPr="0080217C" w:rsidRDefault="00E522C4" w:rsidP="00184085">
      <w:pPr>
        <w:pStyle w:val="Titrearticle"/>
        <w:spacing w:before="0"/>
        <w:rPr>
          <w:b/>
          <w:bCs/>
          <w:i w:val="0"/>
          <w:iCs/>
          <w:noProof/>
        </w:rPr>
      </w:pPr>
      <w:r w:rsidRPr="0080217C">
        <w:rPr>
          <w:b/>
          <w:i w:val="0"/>
          <w:noProof/>
        </w:rPr>
        <w:t>Prilagodbe izvješćivanja o sanaciji grupe</w:t>
      </w:r>
    </w:p>
    <w:p w:rsidR="00E522C4" w:rsidRPr="0080217C" w:rsidRDefault="00263554" w:rsidP="00263554">
      <w:pPr>
        <w:pStyle w:val="ManualNumPar1"/>
        <w:rPr>
          <w:noProof/>
        </w:rPr>
      </w:pPr>
      <w:r w:rsidRPr="00263554">
        <w:rPr>
          <w:noProof/>
        </w:rPr>
        <w:t>1.</w:t>
      </w:r>
      <w:r w:rsidRPr="00263554">
        <w:rPr>
          <w:noProof/>
        </w:rPr>
        <w:tab/>
      </w:r>
      <w:r w:rsidR="00E522C4" w:rsidRPr="0080217C">
        <w:rPr>
          <w:noProof/>
        </w:rPr>
        <w:t>Za grupu čije je matično društvo u Uniji subjekt planiran za likvidaciju i koja se sastoji od sanacijskih subjekata matično društvo u Uniji dostavlja sljedeće:</w:t>
      </w:r>
    </w:p>
    <w:p w:rsidR="00E522C4" w:rsidRPr="0080217C" w:rsidRDefault="00263554" w:rsidP="00263554">
      <w:pPr>
        <w:pStyle w:val="Point1"/>
        <w:rPr>
          <w:noProof/>
        </w:rPr>
      </w:pPr>
      <w:r w:rsidRPr="00263554">
        <w:rPr>
          <w:noProof/>
        </w:rPr>
        <w:t>(a)</w:t>
      </w:r>
      <w:r w:rsidRPr="00263554">
        <w:rPr>
          <w:noProof/>
        </w:rPr>
        <w:tab/>
      </w:r>
      <w:r w:rsidR="000C210A" w:rsidRPr="0080217C">
        <w:rPr>
          <w:noProof/>
        </w:rPr>
        <w:t>za subjekte grupe koji pripadaju sanacijskim grupama, informacije iz članka 3.;</w:t>
      </w:r>
    </w:p>
    <w:p w:rsidR="00E522C4" w:rsidRPr="0080217C" w:rsidRDefault="00263554" w:rsidP="00263554">
      <w:pPr>
        <w:pStyle w:val="Point1"/>
        <w:rPr>
          <w:noProof/>
        </w:rPr>
      </w:pPr>
      <w:r w:rsidRPr="00263554">
        <w:rPr>
          <w:noProof/>
        </w:rPr>
        <w:t>(b)</w:t>
      </w:r>
      <w:r w:rsidRPr="00263554">
        <w:rPr>
          <w:noProof/>
        </w:rPr>
        <w:tab/>
      </w:r>
      <w:r w:rsidR="000C210A" w:rsidRPr="0080217C">
        <w:rPr>
          <w:noProof/>
        </w:rPr>
        <w:t>za subjekte planirane za likvidaciju na koje se ne primjenjuju pojednostavnjene obveze i koji nisu dio nijedne sanacijske grupe, informacije iz članka 4.</w:t>
      </w:r>
    </w:p>
    <w:p w:rsidR="00E522C4" w:rsidRPr="0080217C" w:rsidRDefault="00263554" w:rsidP="00263554">
      <w:pPr>
        <w:pStyle w:val="ManualNumPar1"/>
        <w:rPr>
          <w:noProof/>
        </w:rPr>
      </w:pPr>
      <w:r w:rsidRPr="00263554">
        <w:rPr>
          <w:noProof/>
        </w:rPr>
        <w:t>2.</w:t>
      </w:r>
      <w:r w:rsidRPr="00263554">
        <w:rPr>
          <w:noProof/>
        </w:rPr>
        <w:tab/>
      </w:r>
      <w:r w:rsidR="00E522C4" w:rsidRPr="0080217C">
        <w:rPr>
          <w:noProof/>
        </w:rPr>
        <w:t>Za sanacijsku grupu iz članka 2. stavka 1. točke 83.b podtočke (b) Direktive 2014/59/EU informacije iz članka 3. ove Uredbe dostavlja barem jedan sanacijski subjekt grupe. Te informacije moraju obuhvaćati sve kreditne institucije koje su stalno povezane sa središnjim tijelom te sanacijske grupe, samo središnje tijelo i njihova društva kćeri, na pojedinačnoj, potkonsolidiranoj i konsolidiranoj osnovi, ovisno o slučaju.</w:t>
      </w:r>
    </w:p>
    <w:p w:rsidR="00E522C4" w:rsidRPr="0080217C" w:rsidRDefault="00E522C4" w:rsidP="00184085">
      <w:pPr>
        <w:pStyle w:val="Titrearticle"/>
        <w:rPr>
          <w:noProof/>
        </w:rPr>
      </w:pPr>
      <w:r w:rsidRPr="0080217C">
        <w:rPr>
          <w:noProof/>
        </w:rPr>
        <w:t>Članak 6.</w:t>
      </w:r>
    </w:p>
    <w:p w:rsidR="00E522C4" w:rsidRPr="0080217C" w:rsidRDefault="00E522C4" w:rsidP="00184085">
      <w:pPr>
        <w:pStyle w:val="Titrearticle"/>
        <w:spacing w:before="0"/>
        <w:rPr>
          <w:b/>
          <w:bCs/>
          <w:i w:val="0"/>
          <w:iCs/>
          <w:noProof/>
        </w:rPr>
      </w:pPr>
      <w:r w:rsidRPr="0080217C">
        <w:rPr>
          <w:b/>
          <w:i w:val="0"/>
          <w:noProof/>
        </w:rPr>
        <w:t>Učestalost izvješćivanja, referentni datumi i datumi dostave izvješća</w:t>
      </w:r>
    </w:p>
    <w:p w:rsidR="00E522C4" w:rsidRPr="0080217C" w:rsidRDefault="00263554" w:rsidP="00263554">
      <w:pPr>
        <w:pStyle w:val="ManualNumPar1"/>
        <w:rPr>
          <w:noProof/>
        </w:rPr>
      </w:pPr>
      <w:r w:rsidRPr="00263554">
        <w:rPr>
          <w:noProof/>
        </w:rPr>
        <w:t>1.</w:t>
      </w:r>
      <w:r w:rsidRPr="00263554">
        <w:rPr>
          <w:noProof/>
        </w:rPr>
        <w:tab/>
      </w:r>
      <w:r w:rsidR="00E522C4" w:rsidRPr="0080217C">
        <w:rPr>
          <w:noProof/>
        </w:rPr>
        <w:t>Institucije ili, u slučaju grupa, matična društva u Uniji dostavljaju informacije iz članaka od 2. do 5.:</w:t>
      </w:r>
    </w:p>
    <w:p w:rsidR="00E522C4" w:rsidRPr="0080217C" w:rsidRDefault="00263554" w:rsidP="00263554">
      <w:pPr>
        <w:pStyle w:val="Point1"/>
        <w:rPr>
          <w:noProof/>
        </w:rPr>
      </w:pPr>
      <w:r w:rsidRPr="00263554">
        <w:rPr>
          <w:noProof/>
        </w:rPr>
        <w:t>(a)</w:t>
      </w:r>
      <w:r w:rsidRPr="00263554">
        <w:rPr>
          <w:noProof/>
        </w:rPr>
        <w:tab/>
      </w:r>
      <w:r w:rsidR="00A071C3" w:rsidRPr="0080217C">
        <w:rPr>
          <w:noProof/>
        </w:rPr>
        <w:t xml:space="preserve">za predloške </w:t>
      </w:r>
      <w:bookmarkStart w:id="2" w:name="_Hlk188952542"/>
      <w:r w:rsidR="00A071C3" w:rsidRPr="0080217C">
        <w:rPr>
          <w:noProof/>
        </w:rPr>
        <w:t>Z 01.01, Z 01.02, Z 02.00, Z 03.01, Z 03.02, Z 04.00, Z 05.01, Z 05.02, Z 06.00 i Z 11.00 do Z 17.00</w:t>
      </w:r>
      <w:bookmarkEnd w:id="2"/>
      <w:r w:rsidR="00A071C3" w:rsidRPr="0080217C">
        <w:rPr>
          <w:noProof/>
        </w:rPr>
        <w:t>, najkasnije do 31. ožujka svake godine za zadnji dan prethodne kalendarske godine;</w:t>
      </w:r>
    </w:p>
    <w:p w:rsidR="00E522C4" w:rsidRPr="0080217C" w:rsidRDefault="00263554" w:rsidP="00263554">
      <w:pPr>
        <w:pStyle w:val="Point1"/>
        <w:rPr>
          <w:noProof/>
        </w:rPr>
      </w:pPr>
      <w:r w:rsidRPr="00263554">
        <w:rPr>
          <w:noProof/>
        </w:rPr>
        <w:t>(b)</w:t>
      </w:r>
      <w:r w:rsidRPr="00263554">
        <w:rPr>
          <w:noProof/>
        </w:rPr>
        <w:tab/>
      </w:r>
      <w:r w:rsidR="003F636B" w:rsidRPr="0080217C">
        <w:rPr>
          <w:noProof/>
        </w:rPr>
        <w:t xml:space="preserve">za predloške Z 07.01.1 do Z 07.04, Z 08.01 do Z 08.05 i Z 09.01 do Z 09.04, najkasnije do 30. travnja svake godine za zadnji dan prethodne kalendarske godine. </w:t>
      </w:r>
    </w:p>
    <w:p w:rsidR="003F636B" w:rsidRPr="0080217C" w:rsidRDefault="003F636B" w:rsidP="00184085">
      <w:pPr>
        <w:pStyle w:val="Text1"/>
        <w:rPr>
          <w:noProof/>
        </w:rPr>
      </w:pPr>
      <w:r w:rsidRPr="0080217C">
        <w:rPr>
          <w:noProof/>
        </w:rPr>
        <w:t>Za potrebe točke (a), ako 31. ožujka nije radni dan, informacije se dostavljaju sljedeći radni dan.</w:t>
      </w:r>
    </w:p>
    <w:p w:rsidR="003F636B" w:rsidRPr="0080217C" w:rsidRDefault="003F636B" w:rsidP="00184085">
      <w:pPr>
        <w:pStyle w:val="Text1"/>
        <w:rPr>
          <w:noProof/>
        </w:rPr>
      </w:pPr>
      <w:r w:rsidRPr="0080217C">
        <w:rPr>
          <w:noProof/>
        </w:rPr>
        <w:t>Za potrebe točke (b), ako 30. travnja nije radni dan, informacije se dostavljaju sljedeći radni dan.</w:t>
      </w:r>
    </w:p>
    <w:p w:rsidR="00E522C4" w:rsidRPr="0080217C" w:rsidRDefault="00263554" w:rsidP="00263554">
      <w:pPr>
        <w:pStyle w:val="ManualNumPar1"/>
        <w:rPr>
          <w:noProof/>
        </w:rPr>
      </w:pPr>
      <w:r w:rsidRPr="00263554">
        <w:rPr>
          <w:noProof/>
        </w:rPr>
        <w:t>2.</w:t>
      </w:r>
      <w:r w:rsidRPr="00263554">
        <w:rPr>
          <w:noProof/>
        </w:rPr>
        <w:tab/>
      </w:r>
      <w:r w:rsidR="00E522C4" w:rsidRPr="0080217C">
        <w:rPr>
          <w:noProof/>
        </w:rPr>
        <w:t>Sanacijska tijela navode dostavljaju li se informacije izravno sanacijskom tijelu ili se umjesto toga dostavljaju nadležnom tijelu, ovisno o slučaju.</w:t>
      </w:r>
    </w:p>
    <w:p w:rsidR="00E522C4" w:rsidRPr="0080217C" w:rsidRDefault="00263554" w:rsidP="00263554">
      <w:pPr>
        <w:pStyle w:val="ManualNumPar1"/>
        <w:rPr>
          <w:noProof/>
        </w:rPr>
      </w:pPr>
      <w:r w:rsidRPr="00263554">
        <w:rPr>
          <w:noProof/>
        </w:rPr>
        <w:t>3.</w:t>
      </w:r>
      <w:r w:rsidRPr="00263554">
        <w:rPr>
          <w:noProof/>
        </w:rPr>
        <w:tab/>
      </w:r>
      <w:r w:rsidR="00E522C4" w:rsidRPr="0080217C">
        <w:rPr>
          <w:noProof/>
        </w:rPr>
        <w:t xml:space="preserve">Institucije ili, u slučaju grupa, matična društva u Uniji mogu dostaviti nerevidirane podatke. Ako revidirani podaci odstupaju od dostavljenih nerevidiranih podataka, izmijenjeni revidirani podaci moraju se dostaviti bez nepotrebne odgode. </w:t>
      </w:r>
    </w:p>
    <w:p w:rsidR="00E522C4" w:rsidRPr="0080217C" w:rsidRDefault="00263554" w:rsidP="00263554">
      <w:pPr>
        <w:pStyle w:val="ManualNumPar1"/>
        <w:rPr>
          <w:noProof/>
        </w:rPr>
      </w:pPr>
      <w:r w:rsidRPr="00263554">
        <w:rPr>
          <w:noProof/>
        </w:rPr>
        <w:t>4.</w:t>
      </w:r>
      <w:r w:rsidRPr="00263554">
        <w:rPr>
          <w:noProof/>
        </w:rPr>
        <w:tab/>
      </w:r>
      <w:r w:rsidR="00E522C4" w:rsidRPr="0080217C">
        <w:rPr>
          <w:noProof/>
        </w:rPr>
        <w:t xml:space="preserve">Za potrebe stavka 3. nerevidirani podaci su podaci za koje nije dobiveno mišljenje vanjskog revizora, a revidirani podaci su podaci koje je vanjski revizor revidirao i o njima dao revizorsko mišljenje. </w:t>
      </w:r>
    </w:p>
    <w:p w:rsidR="00E522C4" w:rsidRPr="0080217C" w:rsidRDefault="00263554" w:rsidP="00263554">
      <w:pPr>
        <w:pStyle w:val="ManualNumPar1"/>
        <w:rPr>
          <w:noProof/>
        </w:rPr>
      </w:pPr>
      <w:r w:rsidRPr="00263554">
        <w:rPr>
          <w:noProof/>
        </w:rPr>
        <w:t>5.</w:t>
      </w:r>
      <w:r w:rsidRPr="00263554">
        <w:rPr>
          <w:noProof/>
        </w:rPr>
        <w:tab/>
      </w:r>
      <w:r w:rsidR="00E522C4" w:rsidRPr="0080217C">
        <w:rPr>
          <w:noProof/>
        </w:rPr>
        <w:t>Ispravci dostavljenih izvješća moraju se dostaviti bez nepotrebne odgode.</w:t>
      </w:r>
    </w:p>
    <w:p w:rsidR="00E522C4" w:rsidRPr="0080217C" w:rsidRDefault="00E522C4" w:rsidP="00184085">
      <w:pPr>
        <w:pStyle w:val="Titrearticle"/>
        <w:rPr>
          <w:noProof/>
        </w:rPr>
      </w:pPr>
      <w:r w:rsidRPr="0080217C">
        <w:rPr>
          <w:noProof/>
        </w:rPr>
        <w:t>Članak 7.</w:t>
      </w:r>
    </w:p>
    <w:p w:rsidR="00E522C4" w:rsidRPr="0080217C" w:rsidRDefault="00E522C4" w:rsidP="00184085">
      <w:pPr>
        <w:pStyle w:val="Titrearticle"/>
        <w:spacing w:before="0"/>
        <w:rPr>
          <w:b/>
          <w:bCs/>
          <w:i w:val="0"/>
          <w:iCs/>
          <w:noProof/>
        </w:rPr>
      </w:pPr>
      <w:r w:rsidRPr="0080217C">
        <w:rPr>
          <w:b/>
          <w:i w:val="0"/>
          <w:noProof/>
        </w:rPr>
        <w:t>Formati za razmjenu podataka i dodatne informacije</w:t>
      </w:r>
    </w:p>
    <w:p w:rsidR="00E522C4" w:rsidRPr="0080217C" w:rsidRDefault="00263554" w:rsidP="00263554">
      <w:pPr>
        <w:pStyle w:val="ManualNumPar1"/>
        <w:rPr>
          <w:noProof/>
        </w:rPr>
      </w:pPr>
      <w:r w:rsidRPr="00263554">
        <w:rPr>
          <w:noProof/>
        </w:rPr>
        <w:t>1.</w:t>
      </w:r>
      <w:r w:rsidRPr="00263554">
        <w:rPr>
          <w:noProof/>
        </w:rPr>
        <w:tab/>
      </w:r>
      <w:r w:rsidR="00E522C4" w:rsidRPr="0080217C">
        <w:rPr>
          <w:noProof/>
        </w:rPr>
        <w:t xml:space="preserve">Institucije ili, u slučaju grupa, matična društva u Uniji dostavljaju informacije iz članaka od 2. do 5. navedene u predlošcima iz Priloga I. u skladu s formatima za razmjenu podataka i načinima prikazivanja koje su odredila sanacijska tijela te poštuju definicije točaka podataka iz jedinstvenog obrasca s točkama podataka iz Priloga II. i pravila validacije iz Priloga III. </w:t>
      </w:r>
    </w:p>
    <w:p w:rsidR="00E522C4" w:rsidRPr="0080217C" w:rsidRDefault="00263554" w:rsidP="00263554">
      <w:pPr>
        <w:pStyle w:val="ManualNumPar1"/>
        <w:rPr>
          <w:noProof/>
        </w:rPr>
      </w:pPr>
      <w:r w:rsidRPr="00263554">
        <w:rPr>
          <w:noProof/>
        </w:rPr>
        <w:t>2.</w:t>
      </w:r>
      <w:r w:rsidRPr="00263554">
        <w:rPr>
          <w:noProof/>
        </w:rPr>
        <w:tab/>
      </w:r>
      <w:r w:rsidR="00E522C4" w:rsidRPr="0080217C">
        <w:rPr>
          <w:noProof/>
        </w:rPr>
        <w:t>Uz obvezu iz stavka 1. institucije ili, u slučaju grupa, matična društva u Uniji vode računa o sljedećem:</w:t>
      </w:r>
    </w:p>
    <w:p w:rsidR="00E522C4" w:rsidRPr="0080217C" w:rsidRDefault="00263554" w:rsidP="00263554">
      <w:pPr>
        <w:pStyle w:val="Point1"/>
        <w:rPr>
          <w:noProof/>
        </w:rPr>
      </w:pPr>
      <w:r w:rsidRPr="00263554">
        <w:rPr>
          <w:noProof/>
        </w:rPr>
        <w:t>(a)</w:t>
      </w:r>
      <w:r w:rsidRPr="00263554">
        <w:rPr>
          <w:noProof/>
        </w:rPr>
        <w:tab/>
      </w:r>
      <w:r w:rsidR="00E522C4" w:rsidRPr="0080217C">
        <w:rPr>
          <w:noProof/>
        </w:rPr>
        <w:t>numeričke vrijednosti dostavljaju se kako slijedi:</w:t>
      </w:r>
    </w:p>
    <w:p w:rsidR="00E522C4" w:rsidRPr="0080217C" w:rsidRDefault="00E522C4" w:rsidP="00184085">
      <w:pPr>
        <w:pStyle w:val="Point2"/>
        <w:rPr>
          <w:noProof/>
        </w:rPr>
      </w:pPr>
      <w:r w:rsidRPr="0080217C">
        <w:rPr>
          <w:noProof/>
        </w:rPr>
        <w:t>i.</w:t>
      </w:r>
      <w:r w:rsidRPr="0080217C">
        <w:rPr>
          <w:noProof/>
        </w:rPr>
        <w:tab/>
        <w:t xml:space="preserve">točke podataka vrste „novčani iznos” iskazuju se s minimalnom preciznošću na razini deset tisuća jedinica; </w:t>
      </w:r>
    </w:p>
    <w:p w:rsidR="00E522C4" w:rsidRPr="0080217C" w:rsidRDefault="00E522C4" w:rsidP="00184085">
      <w:pPr>
        <w:pStyle w:val="Point2"/>
        <w:rPr>
          <w:noProof/>
        </w:rPr>
      </w:pPr>
      <w:r w:rsidRPr="0080217C">
        <w:rPr>
          <w:noProof/>
        </w:rPr>
        <w:t>ii.</w:t>
      </w:r>
      <w:r w:rsidRPr="0080217C">
        <w:rPr>
          <w:noProof/>
        </w:rPr>
        <w:tab/>
        <w:t>točke podataka vrste „postotak” iskazuju se po jedinici s minimalnom preciznošću na razini četiri decimale;</w:t>
      </w:r>
    </w:p>
    <w:p w:rsidR="00E522C4" w:rsidRPr="0080217C" w:rsidRDefault="00E522C4" w:rsidP="00184085">
      <w:pPr>
        <w:pStyle w:val="Point2"/>
        <w:rPr>
          <w:noProof/>
        </w:rPr>
      </w:pPr>
      <w:r w:rsidRPr="0080217C">
        <w:rPr>
          <w:noProof/>
        </w:rPr>
        <w:t>iii.</w:t>
      </w:r>
      <w:r w:rsidRPr="0080217C">
        <w:rPr>
          <w:noProof/>
        </w:rPr>
        <w:tab/>
        <w:t>točke podataka vrste „cijeli broj” prikazuju se bez decimalnih mjesta, s minimalnom preciznošću na razini jedinica;</w:t>
      </w:r>
    </w:p>
    <w:p w:rsidR="00E522C4" w:rsidRPr="0080217C" w:rsidRDefault="00263554" w:rsidP="00263554">
      <w:pPr>
        <w:pStyle w:val="Point1"/>
        <w:rPr>
          <w:noProof/>
        </w:rPr>
      </w:pPr>
      <w:r w:rsidRPr="00263554">
        <w:rPr>
          <w:noProof/>
        </w:rPr>
        <w:t>(b)</w:t>
      </w:r>
      <w:r w:rsidRPr="00263554">
        <w:rPr>
          <w:noProof/>
        </w:rPr>
        <w:tab/>
      </w:r>
      <w:r w:rsidR="00E522C4" w:rsidRPr="0080217C">
        <w:rPr>
          <w:noProof/>
        </w:rPr>
        <w:t>institucije i društva za osiguranje identificiraju se isključivo identifikacijskom oznakom pravne osobe;</w:t>
      </w:r>
    </w:p>
    <w:p w:rsidR="00E522C4" w:rsidRPr="0080217C" w:rsidRDefault="00263554" w:rsidP="00263554">
      <w:pPr>
        <w:pStyle w:val="Point1"/>
        <w:rPr>
          <w:noProof/>
        </w:rPr>
      </w:pPr>
      <w:r w:rsidRPr="00263554">
        <w:rPr>
          <w:noProof/>
        </w:rPr>
        <w:t>(c)</w:t>
      </w:r>
      <w:r w:rsidRPr="00263554">
        <w:rPr>
          <w:noProof/>
        </w:rPr>
        <w:tab/>
      </w:r>
      <w:r w:rsidR="00E522C4" w:rsidRPr="0080217C">
        <w:rPr>
          <w:noProof/>
        </w:rPr>
        <w:t>pravni subjekti i druge ugovorne strane, osim institucija i društava za osiguranje, identificiraju se identifikacijskom oznakom pravne osobe ako je imaju;</w:t>
      </w:r>
    </w:p>
    <w:p w:rsidR="0046629F" w:rsidRPr="0080217C" w:rsidRDefault="00263554" w:rsidP="00263554">
      <w:pPr>
        <w:pStyle w:val="Point1"/>
        <w:rPr>
          <w:noProof/>
        </w:rPr>
      </w:pPr>
      <w:r w:rsidRPr="00263554">
        <w:rPr>
          <w:noProof/>
        </w:rPr>
        <w:t>(d)</w:t>
      </w:r>
      <w:r w:rsidRPr="00263554">
        <w:rPr>
          <w:noProof/>
        </w:rPr>
        <w:tab/>
      </w:r>
      <w:r w:rsidR="0046629F" w:rsidRPr="0080217C">
        <w:rPr>
          <w:noProof/>
        </w:rPr>
        <w:t>informacije koje nisu potrebne ili primjenjive ne dostavljaju se.</w:t>
      </w:r>
    </w:p>
    <w:p w:rsidR="00E522C4" w:rsidRPr="0080217C" w:rsidRDefault="00263554" w:rsidP="00263554">
      <w:pPr>
        <w:pStyle w:val="ManualNumPar1"/>
        <w:rPr>
          <w:noProof/>
        </w:rPr>
      </w:pPr>
      <w:r w:rsidRPr="00263554">
        <w:rPr>
          <w:noProof/>
        </w:rPr>
        <w:t>3.</w:t>
      </w:r>
      <w:r w:rsidRPr="00263554">
        <w:rPr>
          <w:noProof/>
        </w:rPr>
        <w:tab/>
      </w:r>
      <w:r w:rsidR="004B472A" w:rsidRPr="0080217C">
        <w:rPr>
          <w:noProof/>
        </w:rPr>
        <w:t>Institucije ili, u slučaju grupa, matična društva u Uniji uz dostavljene podatke navode:</w:t>
      </w:r>
    </w:p>
    <w:p w:rsidR="004B472A" w:rsidRPr="0080217C" w:rsidRDefault="00263554" w:rsidP="00263554">
      <w:pPr>
        <w:pStyle w:val="Point1"/>
        <w:rPr>
          <w:noProof/>
        </w:rPr>
      </w:pPr>
      <w:r w:rsidRPr="00263554">
        <w:rPr>
          <w:noProof/>
        </w:rPr>
        <w:t>(a)</w:t>
      </w:r>
      <w:r w:rsidRPr="00263554">
        <w:rPr>
          <w:noProof/>
        </w:rPr>
        <w:tab/>
      </w:r>
      <w:r w:rsidR="004B472A" w:rsidRPr="0080217C">
        <w:rPr>
          <w:noProof/>
        </w:rPr>
        <w:t>referentni datum;</w:t>
      </w:r>
    </w:p>
    <w:p w:rsidR="004B472A" w:rsidRPr="0080217C" w:rsidRDefault="00263554" w:rsidP="00263554">
      <w:pPr>
        <w:pStyle w:val="Point1"/>
        <w:rPr>
          <w:noProof/>
        </w:rPr>
      </w:pPr>
      <w:r w:rsidRPr="00263554">
        <w:rPr>
          <w:noProof/>
        </w:rPr>
        <w:t>(b)</w:t>
      </w:r>
      <w:r w:rsidRPr="00263554">
        <w:rPr>
          <w:noProof/>
        </w:rPr>
        <w:tab/>
      </w:r>
      <w:r w:rsidR="004B472A" w:rsidRPr="0080217C">
        <w:rPr>
          <w:noProof/>
        </w:rPr>
        <w:t>izvještajnu valutu;</w:t>
      </w:r>
    </w:p>
    <w:p w:rsidR="004B472A" w:rsidRPr="0080217C" w:rsidRDefault="00263554" w:rsidP="00263554">
      <w:pPr>
        <w:pStyle w:val="Point1"/>
        <w:rPr>
          <w:noProof/>
        </w:rPr>
      </w:pPr>
      <w:r w:rsidRPr="00263554">
        <w:rPr>
          <w:noProof/>
        </w:rPr>
        <w:t>(c)</w:t>
      </w:r>
      <w:r w:rsidRPr="00263554">
        <w:rPr>
          <w:noProof/>
        </w:rPr>
        <w:tab/>
      </w:r>
      <w:r w:rsidR="004B472A" w:rsidRPr="0080217C">
        <w:rPr>
          <w:noProof/>
        </w:rPr>
        <w:t>računovodstveni standard;</w:t>
      </w:r>
    </w:p>
    <w:p w:rsidR="004B472A" w:rsidRPr="0080217C" w:rsidRDefault="00263554" w:rsidP="00263554">
      <w:pPr>
        <w:pStyle w:val="Point1"/>
        <w:rPr>
          <w:noProof/>
        </w:rPr>
      </w:pPr>
      <w:r w:rsidRPr="00263554">
        <w:rPr>
          <w:noProof/>
        </w:rPr>
        <w:t>(d)</w:t>
      </w:r>
      <w:r w:rsidRPr="00263554">
        <w:rPr>
          <w:noProof/>
        </w:rPr>
        <w:tab/>
      </w:r>
      <w:r w:rsidR="004B472A" w:rsidRPr="0080217C">
        <w:rPr>
          <w:noProof/>
        </w:rPr>
        <w:t>identifikacijsku oznaku pravne osobe izvještajnog subjekta;</w:t>
      </w:r>
    </w:p>
    <w:p w:rsidR="004B472A" w:rsidRPr="0080217C" w:rsidRDefault="00263554" w:rsidP="00263554">
      <w:pPr>
        <w:pStyle w:val="Point1"/>
        <w:rPr>
          <w:noProof/>
        </w:rPr>
      </w:pPr>
      <w:r w:rsidRPr="00263554">
        <w:rPr>
          <w:noProof/>
        </w:rPr>
        <w:t>(e)</w:t>
      </w:r>
      <w:r w:rsidRPr="00263554">
        <w:rPr>
          <w:noProof/>
        </w:rPr>
        <w:tab/>
      </w:r>
      <w:r w:rsidR="004B472A" w:rsidRPr="0080217C">
        <w:rPr>
          <w:noProof/>
        </w:rPr>
        <w:t>razinu primjene u skladu s člancima 2., 3. i 4.</w:t>
      </w:r>
    </w:p>
    <w:p w:rsidR="004B472A" w:rsidRPr="0080217C" w:rsidRDefault="004B472A" w:rsidP="00184085">
      <w:pPr>
        <w:pStyle w:val="Titrearticle"/>
        <w:rPr>
          <w:noProof/>
        </w:rPr>
      </w:pPr>
      <w:bookmarkStart w:id="3" w:name="_Hlk169616472"/>
      <w:r w:rsidRPr="0080217C">
        <w:rPr>
          <w:noProof/>
        </w:rPr>
        <w:t>Članak 8.</w:t>
      </w:r>
    </w:p>
    <w:p w:rsidR="004B472A" w:rsidRPr="0080217C" w:rsidRDefault="004B472A" w:rsidP="00184085">
      <w:pPr>
        <w:pStyle w:val="Titrearticle"/>
        <w:spacing w:before="0"/>
        <w:rPr>
          <w:b/>
          <w:bCs/>
          <w:i w:val="0"/>
          <w:iCs/>
          <w:noProof/>
        </w:rPr>
      </w:pPr>
      <w:r w:rsidRPr="0080217C">
        <w:rPr>
          <w:b/>
          <w:i w:val="0"/>
          <w:noProof/>
        </w:rPr>
        <w:t xml:space="preserve">Dostavljanje dodatnih informacija za potrebe pojedinačnih planova sanacije ili planova sanacije grupe </w:t>
      </w:r>
    </w:p>
    <w:bookmarkEnd w:id="3"/>
    <w:p w:rsidR="00FA69C1" w:rsidRPr="0080217C" w:rsidRDefault="00263554" w:rsidP="00263554">
      <w:pPr>
        <w:pStyle w:val="ManualNumPar1"/>
        <w:rPr>
          <w:noProof/>
        </w:rPr>
      </w:pPr>
      <w:r w:rsidRPr="00263554">
        <w:rPr>
          <w:noProof/>
        </w:rPr>
        <w:t>1.</w:t>
      </w:r>
      <w:r w:rsidRPr="00263554">
        <w:rPr>
          <w:noProof/>
        </w:rPr>
        <w:tab/>
      </w:r>
      <w:r w:rsidR="00C747E3" w:rsidRPr="0080217C">
        <w:rPr>
          <w:noProof/>
        </w:rPr>
        <w:t>Sanacijsko tijelo ili sanacijsko tijelo za grupu traži dodatne informacije ili informacije u novom formatu od relevantne institucije ili matičnog društva u Uniji u bilo kojem od sljedećih slučajeva:</w:t>
      </w:r>
    </w:p>
    <w:p w:rsidR="00FA69C1" w:rsidRPr="0080217C" w:rsidRDefault="00263554" w:rsidP="00263554">
      <w:pPr>
        <w:pStyle w:val="Point1"/>
        <w:rPr>
          <w:noProof/>
        </w:rPr>
      </w:pPr>
      <w:r w:rsidRPr="00263554">
        <w:rPr>
          <w:noProof/>
        </w:rPr>
        <w:t>(a)</w:t>
      </w:r>
      <w:r w:rsidRPr="00263554">
        <w:rPr>
          <w:noProof/>
        </w:rPr>
        <w:tab/>
      </w:r>
      <w:r w:rsidR="00FA69C1" w:rsidRPr="0080217C">
        <w:rPr>
          <w:noProof/>
        </w:rPr>
        <w:t>ako sanacijsko tijelo ili sanacijsko tijelo za grupu smatra da te informacije nisu obuhvaćene nijednim predloškom iz Priloga I., a potrebne su za izradu i provedbu planova sanacije;</w:t>
      </w:r>
    </w:p>
    <w:p w:rsidR="00FA69C1" w:rsidRPr="0080217C" w:rsidRDefault="00263554" w:rsidP="00263554">
      <w:pPr>
        <w:pStyle w:val="Point1"/>
        <w:rPr>
          <w:noProof/>
        </w:rPr>
      </w:pPr>
      <w:r w:rsidRPr="00263554">
        <w:rPr>
          <w:noProof/>
        </w:rPr>
        <w:t>(b)</w:t>
      </w:r>
      <w:r w:rsidRPr="00263554">
        <w:rPr>
          <w:noProof/>
        </w:rPr>
        <w:tab/>
      </w:r>
      <w:r w:rsidR="00FA69C1" w:rsidRPr="0080217C">
        <w:rPr>
          <w:noProof/>
        </w:rPr>
        <w:t>ako sanacijsko tijelo ili sanacijsko tijelo za grupu smatra da je dobivanje tih informacija od subjekata na koje se primjenjuju pojednostavnjene obveze potrebno za izradu i provedbu planova sanacije;</w:t>
      </w:r>
    </w:p>
    <w:p w:rsidR="00FA69C1" w:rsidRPr="0080217C" w:rsidRDefault="00263554" w:rsidP="00263554">
      <w:pPr>
        <w:pStyle w:val="Point1"/>
        <w:rPr>
          <w:noProof/>
        </w:rPr>
      </w:pPr>
      <w:r w:rsidRPr="00263554">
        <w:rPr>
          <w:noProof/>
        </w:rPr>
        <w:t>(c)</w:t>
      </w:r>
      <w:r w:rsidRPr="00263554">
        <w:rPr>
          <w:noProof/>
        </w:rPr>
        <w:tab/>
      </w:r>
      <w:r w:rsidR="00FA69C1" w:rsidRPr="0080217C">
        <w:rPr>
          <w:noProof/>
        </w:rPr>
        <w:t>ako format u kojem nadležno tijelo dostavlja informacije u skladu s člankom 9. stavkom 2. nije prikladan za izradu ili provedbu planova sanacije.</w:t>
      </w:r>
    </w:p>
    <w:p w:rsidR="004B472A" w:rsidRPr="0080217C" w:rsidRDefault="00263554" w:rsidP="00263554">
      <w:pPr>
        <w:pStyle w:val="ManualNumPar1"/>
        <w:rPr>
          <w:noProof/>
        </w:rPr>
      </w:pPr>
      <w:r w:rsidRPr="00263554">
        <w:rPr>
          <w:noProof/>
        </w:rPr>
        <w:t>2.</w:t>
      </w:r>
      <w:r w:rsidRPr="00263554">
        <w:rPr>
          <w:noProof/>
        </w:rPr>
        <w:tab/>
      </w:r>
      <w:r w:rsidR="004B472A" w:rsidRPr="0080217C">
        <w:rPr>
          <w:noProof/>
        </w:rPr>
        <w:t>Za potrebe zahtjeva iz stavka 1. sanacijsko tijelo:</w:t>
      </w:r>
    </w:p>
    <w:p w:rsidR="004B472A" w:rsidRPr="0080217C" w:rsidRDefault="00263554" w:rsidP="00263554">
      <w:pPr>
        <w:pStyle w:val="Point1"/>
        <w:rPr>
          <w:noProof/>
        </w:rPr>
      </w:pPr>
      <w:r w:rsidRPr="00263554">
        <w:rPr>
          <w:noProof/>
        </w:rPr>
        <w:t>(a)</w:t>
      </w:r>
      <w:r w:rsidRPr="00263554">
        <w:rPr>
          <w:noProof/>
        </w:rPr>
        <w:tab/>
      </w:r>
      <w:r w:rsidR="004B472A" w:rsidRPr="0080217C">
        <w:rPr>
          <w:noProof/>
        </w:rPr>
        <w:t>utvrđuje dodatne informacije koje treba dostaviti;</w:t>
      </w:r>
    </w:p>
    <w:p w:rsidR="004B472A" w:rsidRPr="0080217C" w:rsidRDefault="00263554" w:rsidP="00263554">
      <w:pPr>
        <w:pStyle w:val="Point1"/>
        <w:rPr>
          <w:noProof/>
        </w:rPr>
      </w:pPr>
      <w:r w:rsidRPr="00263554">
        <w:rPr>
          <w:noProof/>
        </w:rPr>
        <w:t>(b)</w:t>
      </w:r>
      <w:r w:rsidRPr="00263554">
        <w:rPr>
          <w:noProof/>
        </w:rPr>
        <w:tab/>
      </w:r>
      <w:r w:rsidR="004B472A" w:rsidRPr="0080217C">
        <w:rPr>
          <w:noProof/>
        </w:rPr>
        <w:t>određuje odgovarajući rok u kojem institucija ili, u slučaju grupa, matično društvo u Uniji dostavlja informacije sanacijskom tijelu, uzimajući u obzir količinu i složenost potrebnih informacija;</w:t>
      </w:r>
    </w:p>
    <w:p w:rsidR="004B472A" w:rsidRPr="0080217C" w:rsidRDefault="00263554" w:rsidP="00263554">
      <w:pPr>
        <w:pStyle w:val="Point1"/>
        <w:rPr>
          <w:noProof/>
        </w:rPr>
      </w:pPr>
      <w:r w:rsidRPr="00263554">
        <w:rPr>
          <w:noProof/>
        </w:rPr>
        <w:t>(c)</w:t>
      </w:r>
      <w:r w:rsidRPr="00263554">
        <w:rPr>
          <w:noProof/>
        </w:rPr>
        <w:tab/>
      </w:r>
      <w:r w:rsidR="004B472A" w:rsidRPr="0080217C">
        <w:rPr>
          <w:noProof/>
        </w:rPr>
        <w:t>određuje format u kojem institucije ili, u slučaju grupa, matična društva u Uniji trebaju dostaviti informacije sanacijskom tijelu;</w:t>
      </w:r>
    </w:p>
    <w:p w:rsidR="004B472A" w:rsidRPr="0080217C" w:rsidRDefault="00263554" w:rsidP="00263554">
      <w:pPr>
        <w:pStyle w:val="Point1"/>
        <w:rPr>
          <w:noProof/>
        </w:rPr>
      </w:pPr>
      <w:r w:rsidRPr="00263554">
        <w:rPr>
          <w:noProof/>
        </w:rPr>
        <w:t>(d)</w:t>
      </w:r>
      <w:r w:rsidRPr="00263554">
        <w:rPr>
          <w:noProof/>
        </w:rPr>
        <w:tab/>
      </w:r>
      <w:r w:rsidR="004B472A" w:rsidRPr="0080217C">
        <w:rPr>
          <w:noProof/>
        </w:rPr>
        <w:t>određuje trebaju li se te informacije dostaviti na pojedinačnoj, potkonsolidiranoj ili konsolidiranoj osnovi i trebaju li po opsegu biti lokalne, na razini Unije ili globalne;</w:t>
      </w:r>
    </w:p>
    <w:p w:rsidR="004B472A" w:rsidRPr="0080217C" w:rsidRDefault="00263554" w:rsidP="00263554">
      <w:pPr>
        <w:pStyle w:val="Point1"/>
        <w:rPr>
          <w:noProof/>
        </w:rPr>
      </w:pPr>
      <w:r w:rsidRPr="00263554">
        <w:rPr>
          <w:noProof/>
        </w:rPr>
        <w:t>(e)</w:t>
      </w:r>
      <w:r w:rsidRPr="00263554">
        <w:rPr>
          <w:noProof/>
        </w:rPr>
        <w:tab/>
      </w:r>
      <w:r w:rsidR="004B472A" w:rsidRPr="0080217C">
        <w:rPr>
          <w:noProof/>
        </w:rPr>
        <w:t>navodi točnog primatelja, formate za razmjenu podataka i dodatne informacije ako su potrebne.</w:t>
      </w:r>
    </w:p>
    <w:p w:rsidR="004B472A" w:rsidRPr="0080217C" w:rsidRDefault="004B472A" w:rsidP="00184085">
      <w:pPr>
        <w:pStyle w:val="Titrearticle"/>
        <w:rPr>
          <w:noProof/>
        </w:rPr>
      </w:pPr>
      <w:r w:rsidRPr="0080217C">
        <w:rPr>
          <w:noProof/>
        </w:rPr>
        <w:t>Članak 9.</w:t>
      </w:r>
    </w:p>
    <w:p w:rsidR="004B472A" w:rsidRPr="0080217C" w:rsidRDefault="004B472A" w:rsidP="00184085">
      <w:pPr>
        <w:pStyle w:val="Titrearticle"/>
        <w:spacing w:before="0"/>
        <w:rPr>
          <w:b/>
          <w:bCs/>
          <w:i w:val="0"/>
          <w:iCs/>
          <w:noProof/>
        </w:rPr>
      </w:pPr>
      <w:r w:rsidRPr="0080217C">
        <w:rPr>
          <w:b/>
          <w:i w:val="0"/>
          <w:noProof/>
        </w:rPr>
        <w:t>Suradnja između nadležnih i sanacijskih tijela</w:t>
      </w:r>
    </w:p>
    <w:p w:rsidR="004B472A" w:rsidRPr="0080217C" w:rsidRDefault="00263554" w:rsidP="00263554">
      <w:pPr>
        <w:pStyle w:val="ManualNumPar1"/>
        <w:rPr>
          <w:noProof/>
        </w:rPr>
      </w:pPr>
      <w:r w:rsidRPr="00263554">
        <w:rPr>
          <w:noProof/>
        </w:rPr>
        <w:t>1.</w:t>
      </w:r>
      <w:r w:rsidRPr="00263554">
        <w:rPr>
          <w:noProof/>
        </w:rPr>
        <w:tab/>
      </w:r>
      <w:r w:rsidR="004B472A" w:rsidRPr="0080217C">
        <w:rPr>
          <w:noProof/>
        </w:rPr>
        <w:t>Nadležna i sanacijska tijela zajednički provjeravaju jesu li neke ili sve informacije koje se dostavljaju sanacijskom tijelu u skladu s člancima od 2. do 5. i člancima 7. i 8. već dostupne nadležnom tijelu.</w:t>
      </w:r>
    </w:p>
    <w:p w:rsidR="004B472A" w:rsidRPr="0080217C" w:rsidRDefault="00263554" w:rsidP="00263554">
      <w:pPr>
        <w:pStyle w:val="ManualNumPar1"/>
        <w:rPr>
          <w:noProof/>
        </w:rPr>
      </w:pPr>
      <w:r w:rsidRPr="00263554">
        <w:rPr>
          <w:noProof/>
        </w:rPr>
        <w:t>2.</w:t>
      </w:r>
      <w:r w:rsidRPr="00263554">
        <w:rPr>
          <w:noProof/>
        </w:rPr>
        <w:tab/>
      </w:r>
      <w:r w:rsidR="004B472A" w:rsidRPr="0080217C">
        <w:rPr>
          <w:noProof/>
        </w:rPr>
        <w:t xml:space="preserve">Ako su nadležnom tijelu neke ili sve informacije već dostupne, ono ih pravodobno dostavlja sanacijskom tijelu. </w:t>
      </w:r>
    </w:p>
    <w:p w:rsidR="004B472A" w:rsidRPr="0080217C" w:rsidRDefault="00263554" w:rsidP="00263554">
      <w:pPr>
        <w:pStyle w:val="ManualNumPar1"/>
        <w:rPr>
          <w:noProof/>
        </w:rPr>
      </w:pPr>
      <w:r w:rsidRPr="00263554">
        <w:rPr>
          <w:noProof/>
        </w:rPr>
        <w:t>3.</w:t>
      </w:r>
      <w:r w:rsidRPr="00263554">
        <w:rPr>
          <w:noProof/>
        </w:rPr>
        <w:tab/>
      </w:r>
      <w:r w:rsidR="00914032" w:rsidRPr="0080217C">
        <w:rPr>
          <w:noProof/>
        </w:rPr>
        <w:t>Za potrebe stavka 2. sanacijska tijela obavješćuju institucije ili, u slučaju grupa, matična društva u Uniji o informacijama koje je potrebno uključiti u dostavu informacija u skladu s ovom Uredbom. Sanacijska tijela navode te informacije upućivanjem na predloške iz Priloga I.</w:t>
      </w:r>
    </w:p>
    <w:p w:rsidR="004B472A" w:rsidRPr="0080217C" w:rsidRDefault="004B472A" w:rsidP="00184085">
      <w:pPr>
        <w:pStyle w:val="Titrearticle"/>
        <w:rPr>
          <w:noProof/>
        </w:rPr>
      </w:pPr>
      <w:r w:rsidRPr="0080217C">
        <w:rPr>
          <w:noProof/>
        </w:rPr>
        <w:t>Članak 10.</w:t>
      </w:r>
    </w:p>
    <w:p w:rsidR="004B472A" w:rsidRPr="0080217C" w:rsidRDefault="004B472A" w:rsidP="00184085">
      <w:pPr>
        <w:pStyle w:val="Titrearticle"/>
        <w:spacing w:before="0"/>
        <w:rPr>
          <w:b/>
          <w:bCs/>
          <w:i w:val="0"/>
          <w:iCs/>
          <w:noProof/>
        </w:rPr>
      </w:pPr>
      <w:r w:rsidRPr="0080217C">
        <w:rPr>
          <w:b/>
          <w:i w:val="0"/>
          <w:noProof/>
        </w:rPr>
        <w:t>Stavljanje izvan snage</w:t>
      </w:r>
    </w:p>
    <w:p w:rsidR="004B472A" w:rsidRPr="0080217C" w:rsidRDefault="004B472A" w:rsidP="00184085">
      <w:pPr>
        <w:rPr>
          <w:noProof/>
        </w:rPr>
      </w:pPr>
      <w:r w:rsidRPr="0080217C">
        <w:rPr>
          <w:noProof/>
        </w:rPr>
        <w:t>Provedbena uredba (EU) 2018/1624 stavlja se izvan snage.</w:t>
      </w:r>
    </w:p>
    <w:p w:rsidR="004B472A" w:rsidRPr="0080217C" w:rsidRDefault="004B472A" w:rsidP="00184085">
      <w:pPr>
        <w:rPr>
          <w:noProof/>
        </w:rPr>
      </w:pPr>
      <w:r w:rsidRPr="0080217C">
        <w:rPr>
          <w:noProof/>
        </w:rPr>
        <w:t>Upućivanja na provedbenu uredbu stavljenu izvan snage tumače se kao upućivanja na ovu Uredbu.</w:t>
      </w:r>
    </w:p>
    <w:p w:rsidR="00860655" w:rsidRPr="0080217C" w:rsidRDefault="00860655" w:rsidP="00184085">
      <w:pPr>
        <w:pStyle w:val="Titrearticle"/>
        <w:rPr>
          <w:noProof/>
        </w:rPr>
      </w:pPr>
      <w:r w:rsidRPr="0080217C">
        <w:rPr>
          <w:noProof/>
        </w:rPr>
        <w:t>Članak 11.</w:t>
      </w:r>
    </w:p>
    <w:p w:rsidR="004B472A" w:rsidRPr="0080217C" w:rsidRDefault="004B472A" w:rsidP="00184085">
      <w:pPr>
        <w:pStyle w:val="Titrearticle"/>
        <w:spacing w:before="0"/>
        <w:rPr>
          <w:b/>
          <w:bCs/>
          <w:i w:val="0"/>
          <w:iCs/>
          <w:noProof/>
        </w:rPr>
      </w:pPr>
      <w:r w:rsidRPr="0080217C">
        <w:rPr>
          <w:b/>
          <w:i w:val="0"/>
          <w:noProof/>
        </w:rPr>
        <w:t>Stupanje na snagu</w:t>
      </w:r>
    </w:p>
    <w:p w:rsidR="00860655" w:rsidRPr="0080217C" w:rsidRDefault="00860655" w:rsidP="00184085">
      <w:pPr>
        <w:rPr>
          <w:noProof/>
        </w:rPr>
      </w:pPr>
      <w:r w:rsidRPr="0080217C">
        <w:rPr>
          <w:noProof/>
        </w:rPr>
        <w:t xml:space="preserve">Ova Uredba stupa na snagu dvadesetog dana od dana objave u </w:t>
      </w:r>
      <w:r w:rsidRPr="0080217C">
        <w:rPr>
          <w:i/>
          <w:noProof/>
        </w:rPr>
        <w:t>Službenom listu Europske unije</w:t>
      </w:r>
      <w:r w:rsidRPr="0080217C">
        <w:rPr>
          <w:noProof/>
        </w:rPr>
        <w:t>.</w:t>
      </w:r>
    </w:p>
    <w:p w:rsidR="00860655" w:rsidRPr="0080217C" w:rsidRDefault="00860655" w:rsidP="00184085">
      <w:pPr>
        <w:pStyle w:val="Applicationdirecte"/>
        <w:rPr>
          <w:noProof/>
        </w:rPr>
      </w:pPr>
      <w:r w:rsidRPr="0080217C">
        <w:rPr>
          <w:noProof/>
        </w:rPr>
        <w:t>Ova je Uredba u cijelosti obvezujuća i izravno se primjenjuje u svim državama članicama.</w:t>
      </w:r>
    </w:p>
    <w:p w:rsidR="00860655" w:rsidRPr="0080217C" w:rsidRDefault="009027C4" w:rsidP="000370FB">
      <w:pPr>
        <w:pStyle w:val="Fait"/>
        <w:rPr>
          <w:noProof/>
        </w:rPr>
      </w:pPr>
      <w:r>
        <w:rPr>
          <w:noProof/>
        </w:rPr>
        <w:t>Sastavljeno u Bruxellesu 14.11.2025.</w:t>
      </w:r>
    </w:p>
    <w:p w:rsidR="00860655" w:rsidRPr="0080217C" w:rsidRDefault="00860655" w:rsidP="000370FB">
      <w:pPr>
        <w:pStyle w:val="Institutionquisigne"/>
        <w:rPr>
          <w:noProof/>
        </w:rPr>
      </w:pPr>
      <w:r w:rsidRPr="0080217C">
        <w:rPr>
          <w:noProof/>
        </w:rPr>
        <w:tab/>
        <w:t>Za Komisiju</w:t>
      </w:r>
    </w:p>
    <w:p w:rsidR="00860655" w:rsidRPr="0080217C" w:rsidRDefault="00B62AA8" w:rsidP="00184085">
      <w:pPr>
        <w:pStyle w:val="Personnequisigne"/>
        <w:rPr>
          <w:noProof/>
        </w:rPr>
      </w:pPr>
      <w:r>
        <w:rPr>
          <w:noProof/>
        </w:rPr>
        <w:tab/>
        <w:t>Predsjednica</w:t>
      </w:r>
      <w:r>
        <w:rPr>
          <w:noProof/>
        </w:rPr>
        <w:br/>
      </w:r>
      <w:r>
        <w:rPr>
          <w:noProof/>
        </w:rPr>
        <w:tab/>
        <w:t>Ursula VON DER LEYEN</w:t>
      </w:r>
    </w:p>
    <w:sectPr w:rsidR="00860655" w:rsidRPr="0080217C" w:rsidSect="008D3305">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Pr="0080217C" w:rsidRDefault="004D41FA" w:rsidP="00860655">
      <w:pPr>
        <w:spacing w:before="0" w:after="0"/>
      </w:pPr>
      <w:r w:rsidRPr="0080217C">
        <w:separator/>
      </w:r>
    </w:p>
  </w:endnote>
  <w:endnote w:type="continuationSeparator" w:id="0">
    <w:p w:rsidR="004D41FA" w:rsidRPr="0080217C" w:rsidRDefault="004D41FA" w:rsidP="00860655">
      <w:pPr>
        <w:spacing w:before="0" w:after="0"/>
      </w:pPr>
      <w:r w:rsidRPr="0080217C">
        <w:continuationSeparator/>
      </w:r>
    </w:p>
  </w:endnote>
  <w:endnote w:type="continuationNotice" w:id="1">
    <w:p w:rsidR="004D41FA" w:rsidRPr="0080217C"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05" w:rsidRPr="008D3305" w:rsidRDefault="008D3305" w:rsidP="008D3305">
    <w:pPr>
      <w:pStyle w:val="Footer"/>
      <w:rPr>
        <w:rFonts w:ascii="Arial" w:hAnsi="Arial" w:cs="Arial"/>
        <w:b/>
        <w:sz w:val="48"/>
      </w:rPr>
    </w:pPr>
    <w:r w:rsidRPr="008D3305">
      <w:rPr>
        <w:rFonts w:ascii="Arial" w:hAnsi="Arial" w:cs="Arial"/>
        <w:b/>
        <w:sz w:val="48"/>
      </w:rPr>
      <w:t>HR</w:t>
    </w:r>
    <w:r w:rsidRPr="008D3305">
      <w:rPr>
        <w:rFonts w:ascii="Arial" w:hAnsi="Arial" w:cs="Arial"/>
        <w:b/>
        <w:sz w:val="48"/>
      </w:rPr>
      <w:tab/>
    </w:r>
    <w:r w:rsidRPr="008D3305">
      <w:rPr>
        <w:rFonts w:ascii="Arial" w:hAnsi="Arial" w:cs="Arial"/>
        <w:b/>
        <w:sz w:val="48"/>
      </w:rPr>
      <w:tab/>
    </w:r>
    <w:r w:rsidRPr="008D3305">
      <w:tab/>
    </w:r>
    <w:r w:rsidRPr="008D3305">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05" w:rsidRPr="008D3305" w:rsidRDefault="008D3305" w:rsidP="008D3305">
    <w:pPr>
      <w:pStyle w:val="Footer"/>
      <w:rPr>
        <w:rFonts w:ascii="Arial" w:hAnsi="Arial" w:cs="Arial"/>
        <w:b/>
        <w:sz w:val="48"/>
      </w:rPr>
    </w:pPr>
    <w:r w:rsidRPr="008D3305">
      <w:rPr>
        <w:rFonts w:ascii="Arial" w:hAnsi="Arial" w:cs="Arial"/>
        <w:b/>
        <w:sz w:val="48"/>
      </w:rPr>
      <w:t>HR</w:t>
    </w:r>
    <w:r w:rsidRPr="008D3305">
      <w:rPr>
        <w:rFonts w:ascii="Arial" w:hAnsi="Arial" w:cs="Arial"/>
        <w:b/>
        <w:sz w:val="48"/>
      </w:rPr>
      <w:tab/>
    </w:r>
    <w:r w:rsidRPr="008D3305">
      <w:rPr>
        <w:rFonts w:ascii="Arial" w:hAnsi="Arial" w:cs="Arial"/>
        <w:b/>
        <w:sz w:val="48"/>
      </w:rPr>
      <w:tab/>
    </w:r>
    <w:r w:rsidRPr="008D3305">
      <w:tab/>
    </w:r>
    <w:r w:rsidRPr="008D3305">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05" w:rsidRDefault="008D3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05" w:rsidRPr="008D3305" w:rsidRDefault="008D3305" w:rsidP="008D3305">
    <w:pPr>
      <w:pStyle w:val="Footer"/>
      <w:rPr>
        <w:rFonts w:ascii="Arial" w:hAnsi="Arial" w:cs="Arial"/>
        <w:b/>
        <w:sz w:val="48"/>
      </w:rPr>
    </w:pPr>
    <w:r w:rsidRPr="008D3305">
      <w:rPr>
        <w:rFonts w:ascii="Arial" w:hAnsi="Arial" w:cs="Arial"/>
        <w:b/>
        <w:sz w:val="48"/>
      </w:rPr>
      <w:t>HR</w:t>
    </w:r>
    <w:r w:rsidRPr="008D3305">
      <w:rPr>
        <w:rFonts w:ascii="Arial" w:hAnsi="Arial" w:cs="Arial"/>
        <w:b/>
        <w:sz w:val="48"/>
      </w:rPr>
      <w:tab/>
    </w:r>
    <w:r>
      <w:fldChar w:fldCharType="begin"/>
    </w:r>
    <w:r>
      <w:instrText xml:space="preserve"> PAGE  \* MERGEFORMAT </w:instrText>
    </w:r>
    <w:r>
      <w:fldChar w:fldCharType="separate"/>
    </w:r>
    <w:r w:rsidR="000370FB">
      <w:rPr>
        <w:noProof/>
      </w:rPr>
      <w:t>9</w:t>
    </w:r>
    <w:r>
      <w:fldChar w:fldCharType="end"/>
    </w:r>
    <w:r>
      <w:tab/>
    </w:r>
    <w:r w:rsidRPr="008D3305">
      <w:tab/>
    </w:r>
    <w:r w:rsidRPr="008D3305">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05" w:rsidRDefault="008D3305" w:rsidP="008D3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Pr="0080217C" w:rsidRDefault="004D41FA" w:rsidP="00860655">
      <w:pPr>
        <w:spacing w:before="0" w:after="0"/>
      </w:pPr>
      <w:r w:rsidRPr="0080217C">
        <w:separator/>
      </w:r>
    </w:p>
  </w:footnote>
  <w:footnote w:type="continuationSeparator" w:id="0">
    <w:p w:rsidR="004D41FA" w:rsidRPr="0080217C" w:rsidRDefault="004D41FA" w:rsidP="00860655">
      <w:pPr>
        <w:spacing w:before="0" w:after="0"/>
      </w:pPr>
      <w:r w:rsidRPr="0080217C">
        <w:continuationSeparator/>
      </w:r>
    </w:p>
  </w:footnote>
  <w:footnote w:type="continuationNotice" w:id="1">
    <w:p w:rsidR="004D41FA" w:rsidRPr="0080217C" w:rsidRDefault="004D41FA">
      <w:pPr>
        <w:spacing w:before="0" w:after="0"/>
      </w:pPr>
    </w:p>
  </w:footnote>
  <w:footnote w:id="2">
    <w:p w:rsidR="00860655" w:rsidRPr="0080217C" w:rsidRDefault="00860655" w:rsidP="00730DBE">
      <w:pPr>
        <w:pStyle w:val="FootnoteText"/>
      </w:pPr>
      <w:r w:rsidRPr="0080217C">
        <w:rPr>
          <w:rStyle w:val="FootnoteReference"/>
        </w:rPr>
        <w:footnoteRef/>
      </w:r>
      <w:r w:rsidRPr="0080217C">
        <w:tab/>
        <w:t>SL L 173, 12.6.2014., str. 190., ELI: http://data.europa.eu/eli/dir/2014/59/oj.</w:t>
      </w:r>
    </w:p>
  </w:footnote>
  <w:footnote w:id="3">
    <w:p w:rsidR="00736C47" w:rsidRPr="0080217C" w:rsidRDefault="00736C47">
      <w:pPr>
        <w:pStyle w:val="FootnoteText"/>
      </w:pPr>
      <w:r w:rsidRPr="0080217C">
        <w:rPr>
          <w:rStyle w:val="FootnoteReference"/>
        </w:rPr>
        <w:footnoteRef/>
      </w:r>
      <w:r w:rsidRPr="0080217C">
        <w:tab/>
        <w:t>Provedbena uredba Komisije (EU) 2018/1624 od 23. listopada 2018. o utvrđivanju provedbenih tehničkih standarda u pogledu postupaka te standardnih obrazaca i predložaka za pružanje informacija za potrebe planova sanacije kreditnih institucija i investicijskih društava u skladu s Direktivom 2014/59/EU Europskog parlamenta i Vijeća i o stavljanju izvan snage Provedbene uredbe Komisije (EU) 2016/1066 (SL L 277, 7.11.2018., str. 1., ELI: http://data.europa.eu/eli/reg_impl/2018/1624/oj).</w:t>
      </w:r>
    </w:p>
  </w:footnote>
  <w:footnote w:id="4">
    <w:p w:rsidR="00736C47" w:rsidRPr="0080217C" w:rsidRDefault="00736C47">
      <w:pPr>
        <w:pStyle w:val="FootnoteText"/>
      </w:pPr>
      <w:r w:rsidRPr="0080217C">
        <w:rPr>
          <w:rStyle w:val="FootnoteReference"/>
        </w:rPr>
        <w:footnoteRef/>
      </w:r>
      <w:r w:rsidRPr="0080217C">
        <w:tab/>
        <w:t>Direktiva (EU) 2024/1174 Europskog parlamenta i Vijeća od 11. travnja 2024. o izmjeni Direktive 2014/59/EU i Uredbe (EU) br. 806/2014 u pogledu određenih aspekata minimalnog zahtjeva za regulatorni kapital i prihvatljive obveze (SL L, 2024/1174, 22.4.2024., str. 1., ELI: http://data.europa.eu/eli/dir/2024/1174/oj).</w:t>
      </w:r>
    </w:p>
  </w:footnote>
  <w:footnote w:id="5">
    <w:p w:rsidR="00736C47" w:rsidRPr="0080217C" w:rsidRDefault="00736C47">
      <w:pPr>
        <w:pStyle w:val="FootnoteText"/>
      </w:pPr>
      <w:r w:rsidRPr="0080217C">
        <w:rPr>
          <w:rStyle w:val="FootnoteReference"/>
        </w:rPr>
        <w:footnoteRef/>
      </w:r>
      <w:r w:rsidRPr="0080217C">
        <w:tab/>
        <w:t>Uredba (EU) br. 1093/2010 Europskog parlamenta i Vijeća od 24. studenog 2010. o osnivanju europskog nadzornog tijela (Europskog nadzornog tijela za bankarstvo), kojom se izmjenjuje Odluka br. 716/2009/EZ i stavlja izvan snage Odluka Komisije 2009/78/EZ (SL L 331, 15.12.2010., str. 12., ELI: http://data.europa.eu/eli/reg/2010/1093/oj).</w:t>
      </w:r>
    </w:p>
  </w:footnote>
  <w:footnote w:id="6">
    <w:p w:rsidR="00736C47" w:rsidRPr="0080217C" w:rsidRDefault="00736C47">
      <w:pPr>
        <w:pStyle w:val="FootnoteText"/>
      </w:pPr>
      <w:r w:rsidRPr="0080217C">
        <w:rPr>
          <w:rStyle w:val="FootnoteReference"/>
        </w:rPr>
        <w:footnoteRef/>
      </w:r>
      <w:r w:rsidRPr="0080217C">
        <w:tab/>
        <w:t>Uredba (EU) br. 575/2013 Europskog parlamenta i Vijeća od 26. lipnja 2013. o bonitetnim zahtjevima za kreditne institucije i o izmjeni Uredbe (EU) br. 648/2012 (SL L 176, 27.6.2013., str. 1., ELI: http://data.europa.eu/eli/reg/2013/575/oj).</w:t>
      </w:r>
    </w:p>
  </w:footnote>
  <w:footnote w:id="7">
    <w:p w:rsidR="00736C47" w:rsidRPr="0080217C" w:rsidRDefault="00736C47">
      <w:pPr>
        <w:pStyle w:val="FootnoteText"/>
      </w:pPr>
      <w:r w:rsidRPr="0080217C">
        <w:rPr>
          <w:rStyle w:val="FootnoteReference"/>
        </w:rPr>
        <w:footnoteRef/>
      </w:r>
      <w:r w:rsidRPr="0080217C">
        <w:tab/>
        <w:t>Direktiva 2013/36/EU Europskog parlamenta i Vijeća od 26. lipnja 2013. o pristupanju djelatnosti kreditnih institucija i bonitetnom nadzoru nad kreditnim institucijama, izmjeni Direktive 2002/87/EZ te stavljanju izvan snage direktiva 2006/48/EZ i 2006/49/EZ (SL L 176, 27.6.2013., str. 338., ELI: http://data.europa.eu/eli/dir/2013/36/oj).</w:t>
      </w:r>
    </w:p>
  </w:footnote>
  <w:footnote w:id="8">
    <w:p w:rsidR="00736C47" w:rsidRPr="00736C47" w:rsidRDefault="00736C47">
      <w:pPr>
        <w:pStyle w:val="FootnoteText"/>
      </w:pPr>
      <w:r w:rsidRPr="0080217C">
        <w:rPr>
          <w:rStyle w:val="FootnoteReference"/>
        </w:rPr>
        <w:footnoteRef/>
      </w:r>
      <w:r w:rsidRPr="0080217C">
        <w:tab/>
        <w:t>Uredba (EU) 2019/2033 Europskog parlamenta i Vijeća od 27. studenog 2019. o bonitetnim zahtjevima za investicijska društva i o izmjeni uredaba (EU) br. 1093/2010, (EU) br. 575/2013, (EU) br. 600/2014 i (EU) br. 806/2014 (SL L 314, 5.12.2019., str.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05" w:rsidRDefault="008D3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05" w:rsidRDefault="008D3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10: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FC5D23E-B0C6-4C5C-A2F1-2FFE9C487EF4"/>
    <w:docVar w:name="LW_COVERPAGE_TYPE" w:val="1"/>
    <w:docVar w:name="LW_CreatedUtc" w:val="2025-04-09T13:24:10.7425134Z"/>
    <w:docVar w:name="LW_CROSSREFERENCE" w:val="&lt;UNUSED&gt;"/>
    <w:docVar w:name="LW_DATE.ADOPT.CP" w:val="\u1086?d 14.11.2025."/>
    <w:docVar w:name="LW_DATE.ADOPT.CP_DATEFORMAT" w:val="\u1086?d %DATE%"/>
    <w:docVar w:name="LW_DATE.ADOPT.CP_ISODATE" w:val="2025-11-14"/>
    <w:docVar w:name="LW_DocType" w:val="COM"/>
    <w:docVar w:name="LW_EMISSION" w:val="14.11.2025."/>
    <w:docVar w:name="LW_EMISSION_ISODATE" w:val="2025-11-14"/>
    <w:docVar w:name="LW_EMISSION_LOCATION" w:val="BRX"/>
    <w:docVar w:name="LW_EMISSION_PREFIX" w:val="Bruxelles, "/>
    <w:docVar w:name="LW_EMISSION_SUFFIX" w:val="&lt;EMPTY&gt;"/>
    <w:docVar w:name="LW_ID_DOCMODEL" w:val="SJ-004"/>
    <w:docVar w:name="LW_ID_DOCSIGNATURE" w:val="SJ-004"/>
    <w:docVar w:name="LW_ID_DOCSTRUCTURE" w:val="COM/AA"/>
    <w:docVar w:name="LW_ID_DOCTYPE" w:val="SJ-004"/>
    <w:docVar w:name="LW_INTERETEEE.CP" w:val="(Tekst zna\u269?ajan za EGP)"/>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utvr\u273?ivanju provedbenih tehni\u269?kih standarda u pogledu postupaka, standardnih obrazaca i predlo\u382?aka za pru\u382?anje informacija za potrebe planova sanacije kreditnih institucija i investicijskih dru\u353?tava u skladu s Direktivom 2014/59/EU Europskog parlamenta i Vije\u263?a i o stavljanju izvan snage Provedbene uredbe Komisije (EU) 2018/1624"/>
    <w:docVar w:name="LW_TYPE.DOC.CP" w:val="PROVEDBENA UREDBA KOMISIJE (EU) \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0FB"/>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16A"/>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5D7"/>
    <w:rsid w:val="002429BB"/>
    <w:rsid w:val="00242A02"/>
    <w:rsid w:val="00244B76"/>
    <w:rsid w:val="0024597B"/>
    <w:rsid w:val="00247779"/>
    <w:rsid w:val="00255B8B"/>
    <w:rsid w:val="00257211"/>
    <w:rsid w:val="0026031F"/>
    <w:rsid w:val="002609E9"/>
    <w:rsid w:val="00260BAA"/>
    <w:rsid w:val="00263554"/>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8CA"/>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44B"/>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7C"/>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25A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347"/>
    <w:rsid w:val="008A2914"/>
    <w:rsid w:val="008A2E4E"/>
    <w:rsid w:val="008B64CB"/>
    <w:rsid w:val="008B7352"/>
    <w:rsid w:val="008C00D9"/>
    <w:rsid w:val="008C1416"/>
    <w:rsid w:val="008C22D5"/>
    <w:rsid w:val="008C515F"/>
    <w:rsid w:val="008D1888"/>
    <w:rsid w:val="008D2ECA"/>
    <w:rsid w:val="008D3305"/>
    <w:rsid w:val="008D4B10"/>
    <w:rsid w:val="008D4CC2"/>
    <w:rsid w:val="008D6F98"/>
    <w:rsid w:val="008E0371"/>
    <w:rsid w:val="008E2694"/>
    <w:rsid w:val="008E44BD"/>
    <w:rsid w:val="008E4D8E"/>
    <w:rsid w:val="008E6B32"/>
    <w:rsid w:val="008E7391"/>
    <w:rsid w:val="008F1E98"/>
    <w:rsid w:val="008F2AC7"/>
    <w:rsid w:val="008F3CA9"/>
    <w:rsid w:val="008F3DDE"/>
    <w:rsid w:val="008F55B8"/>
    <w:rsid w:val="008F7FFC"/>
    <w:rsid w:val="009027C4"/>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01A2"/>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3CA"/>
    <w:rsid w:val="00A43B15"/>
    <w:rsid w:val="00A4581A"/>
    <w:rsid w:val="00A46DE3"/>
    <w:rsid w:val="00A546BE"/>
    <w:rsid w:val="00A5534F"/>
    <w:rsid w:val="00A565C7"/>
    <w:rsid w:val="00A61F97"/>
    <w:rsid w:val="00A62D23"/>
    <w:rsid w:val="00A634A0"/>
    <w:rsid w:val="00A642FA"/>
    <w:rsid w:val="00A748FA"/>
    <w:rsid w:val="00A803C4"/>
    <w:rsid w:val="00A82561"/>
    <w:rsid w:val="00A82F1C"/>
    <w:rsid w:val="00A85B65"/>
    <w:rsid w:val="00A93F8D"/>
    <w:rsid w:val="00A95E76"/>
    <w:rsid w:val="00AA112B"/>
    <w:rsid w:val="00AA1EA4"/>
    <w:rsid w:val="00AC295E"/>
    <w:rsid w:val="00AC3770"/>
    <w:rsid w:val="00AC74CC"/>
    <w:rsid w:val="00AC7E59"/>
    <w:rsid w:val="00AD6BA4"/>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47DBD"/>
    <w:rsid w:val="00B625B1"/>
    <w:rsid w:val="00B62AA8"/>
    <w:rsid w:val="00B705D2"/>
    <w:rsid w:val="00B71AFC"/>
    <w:rsid w:val="00B74145"/>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17D4F"/>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05E5"/>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576BE"/>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18BB"/>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D7059"/>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hr-HR"/>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hr-HR"/>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8D3305"/>
    <w:rPr>
      <w:rFonts w:ascii="Times New Roman" w:hAnsi="Times New Roman" w:cs="Times New Roman"/>
      <w:sz w:val="24"/>
      <w:lang w:val="hr-HR"/>
    </w:rPr>
  </w:style>
  <w:style w:type="character" w:customStyle="1" w:styleId="FooterChar">
    <w:name w:val="Footer Char"/>
    <w:basedOn w:val="DefaultParagraphFont"/>
    <w:link w:val="Footer"/>
    <w:uiPriority w:val="99"/>
    <w:rsid w:val="008D3305"/>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D33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D3305"/>
    <w:pPr>
      <w:spacing w:before="0"/>
      <w:jc w:val="right"/>
    </w:pPr>
    <w:rPr>
      <w:sz w:val="28"/>
    </w:rPr>
  </w:style>
  <w:style w:type="paragraph" w:customStyle="1" w:styleId="FooterSensitivity">
    <w:name w:val="Footer Sensitivity"/>
    <w:basedOn w:val="Normal"/>
    <w:rsid w:val="008D33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D3305"/>
    <w:pPr>
      <w:tabs>
        <w:tab w:val="center" w:pos="4535"/>
        <w:tab w:val="right" w:pos="9071"/>
      </w:tabs>
      <w:spacing w:before="0"/>
    </w:pPr>
  </w:style>
  <w:style w:type="paragraph" w:customStyle="1" w:styleId="HeaderLandscape">
    <w:name w:val="HeaderLandscape"/>
    <w:basedOn w:val="Normal"/>
    <w:rsid w:val="008D3305"/>
    <w:pPr>
      <w:tabs>
        <w:tab w:val="center" w:pos="7285"/>
        <w:tab w:val="right" w:pos="14003"/>
      </w:tabs>
      <w:spacing w:before="0"/>
    </w:pPr>
  </w:style>
  <w:style w:type="paragraph" w:styleId="Footer">
    <w:name w:val="footer"/>
    <w:basedOn w:val="Normal"/>
    <w:link w:val="FooterChar"/>
    <w:uiPriority w:val="99"/>
    <w:unhideWhenUsed/>
    <w:rsid w:val="008D330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D330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2.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10</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56</cp:revision>
  <dcterms:created xsi:type="dcterms:W3CDTF">2025-08-04T13:17:00Z</dcterms:created>
  <dcterms:modified xsi:type="dcterms:W3CDTF">2025-11-07T09:10:00Z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