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BD6375" w:rsidRDefault="00CE256B" w:rsidP="00CE256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D4394A3-0D41-4E34-926B-52183F67183D" style="width:455.25pt;height:426pt">
            <v:imagedata r:id="rId10" o:title=""/>
          </v:shape>
        </w:pict>
      </w:r>
    </w:p>
    <w:p w:rsidR="00860655" w:rsidRPr="00BD6375" w:rsidRDefault="00860655" w:rsidP="00184085">
      <w:pPr>
        <w:rPr>
          <w:noProof/>
        </w:rPr>
        <w:sectPr w:rsidR="00860655" w:rsidRPr="00BD6375" w:rsidSect="00CE256B">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BD6375" w:rsidRDefault="00BD6375" w:rsidP="00BD6375">
      <w:pPr>
        <w:pStyle w:val="Typedudocument"/>
        <w:rPr>
          <w:noProof/>
        </w:rPr>
      </w:pPr>
      <w:bookmarkStart w:id="0" w:name="_GoBack"/>
      <w:bookmarkEnd w:id="0"/>
      <w:r w:rsidRPr="00BD6375">
        <w:rPr>
          <w:noProof/>
        </w:rPr>
        <w:lastRenderedPageBreak/>
        <w:t>KOMISSION TÄYTÄNTÖÖNPANOASETUS (EU) …/…,</w:t>
      </w:r>
    </w:p>
    <w:p w:rsidR="00860655" w:rsidRPr="00BD6375" w:rsidRDefault="002D6782" w:rsidP="00BD6375">
      <w:pPr>
        <w:pStyle w:val="Datedadoption"/>
        <w:rPr>
          <w:noProof/>
        </w:rPr>
      </w:pPr>
      <w:r>
        <w:rPr>
          <w:noProof/>
        </w:rPr>
        <w:t>annettu 14.11.2025,</w:t>
      </w:r>
    </w:p>
    <w:p w:rsidR="00860655" w:rsidRPr="00BD6375" w:rsidRDefault="00BD6375" w:rsidP="00BD6375">
      <w:pPr>
        <w:pStyle w:val="Titreobjet"/>
        <w:rPr>
          <w:noProof/>
        </w:rPr>
      </w:pPr>
      <w:r w:rsidRPr="00BD6375">
        <w:rPr>
          <w:noProof/>
        </w:rPr>
        <w:t>Euroopan parlamentin ja neuvoston direktiivin 2014/59/EU mukaisia luottolaitosten ja sijoituspalveluyritysten kriisinratkaisusuunnitelmia varten toimitettaviin tietoihin liittyviä menettelyjä ja vakiomuotoisia lomakkeita ja malleja koskevista teknisistä täytäntöönpanostandardeista ja komission täytäntöönpanoasetuksen (EU) 2018/1624 kumoamisesta</w:t>
      </w:r>
    </w:p>
    <w:p w:rsidR="00860655" w:rsidRPr="00BD6375" w:rsidRDefault="00BD6375" w:rsidP="00BD6375">
      <w:pPr>
        <w:pStyle w:val="IntrtEEE"/>
        <w:rPr>
          <w:noProof/>
        </w:rPr>
      </w:pPr>
      <w:r w:rsidRPr="00BD6375">
        <w:rPr>
          <w:noProof/>
        </w:rPr>
        <w:t>(ETA:n kannalta merkityksellinen teksti)</w:t>
      </w:r>
    </w:p>
    <w:p w:rsidR="00860655" w:rsidRPr="00BD6375" w:rsidRDefault="00860655" w:rsidP="00184085">
      <w:pPr>
        <w:pStyle w:val="Institutionquiagit"/>
        <w:rPr>
          <w:noProof/>
        </w:rPr>
      </w:pPr>
      <w:r w:rsidRPr="00BD6375">
        <w:rPr>
          <w:noProof/>
        </w:rPr>
        <w:t>EUROOPAN KOMISSIO, joka</w:t>
      </w:r>
    </w:p>
    <w:p w:rsidR="00860655" w:rsidRPr="00BD6375" w:rsidRDefault="00860655" w:rsidP="00184085">
      <w:pPr>
        <w:rPr>
          <w:noProof/>
        </w:rPr>
      </w:pPr>
      <w:r w:rsidRPr="00BD6375">
        <w:rPr>
          <w:noProof/>
        </w:rPr>
        <w:t>ottaa huomioon Euroopan unionin toiminnasta tehdyn sopimuksen,</w:t>
      </w:r>
    </w:p>
    <w:p w:rsidR="00860655" w:rsidRPr="00BD6375" w:rsidRDefault="00860655" w:rsidP="00184085">
      <w:pPr>
        <w:rPr>
          <w:noProof/>
        </w:rPr>
      </w:pPr>
      <w:r w:rsidRPr="00BD6375">
        <w:rPr>
          <w:noProof/>
        </w:rPr>
        <w:t>ottaa huomioon luottolaitosten ja sijoituspalveluyritysten elvytys- ja kriisinratkaisukehyksestä sekä neuvoston direktiivin 82/891/ETY, Euroopan parlamentin ja neuvoston direktiivien 2001/24/EY, 2002/47/EY, 2004/25/EY, 2005/56/EY, 2007/36/EY, 2011/35/EU, 2012/30/EU ja 2013/36/EU ja asetusten (EU) N:o 1093/2010 ja (EU) N:o 648/2012 muuttamisesta 15 päivänä toukokuuta 2014 annetun Euroopan parlamentin ja neuvoston direktiivin 2014/59/EU</w:t>
      </w:r>
      <w:r w:rsidRPr="00BD6375">
        <w:rPr>
          <w:rStyle w:val="FootnoteReference"/>
          <w:noProof/>
        </w:rPr>
        <w:footnoteReference w:id="2"/>
      </w:r>
      <w:r w:rsidRPr="00BD6375">
        <w:rPr>
          <w:noProof/>
        </w:rPr>
        <w:t xml:space="preserve"> ja erityisesti sen 11 artiklan 3 kohdan,</w:t>
      </w:r>
    </w:p>
    <w:p w:rsidR="00860655" w:rsidRPr="00BD6375" w:rsidRDefault="00860655" w:rsidP="00184085">
      <w:pPr>
        <w:rPr>
          <w:noProof/>
        </w:rPr>
      </w:pPr>
      <w:r w:rsidRPr="00BD6375">
        <w:rPr>
          <w:noProof/>
        </w:rPr>
        <w:t>sekä katsoo seuraavaa:</w:t>
      </w:r>
    </w:p>
    <w:p w:rsidR="00860655" w:rsidRPr="00BD6375" w:rsidRDefault="00067BDE" w:rsidP="00067BDE">
      <w:pPr>
        <w:pStyle w:val="ManualConsidrant"/>
        <w:rPr>
          <w:noProof/>
        </w:rPr>
      </w:pPr>
      <w:r w:rsidRPr="00067BDE">
        <w:rPr>
          <w:noProof/>
        </w:rPr>
        <w:t>(1)</w:t>
      </w:r>
      <w:r w:rsidRPr="00067BDE">
        <w:rPr>
          <w:noProof/>
        </w:rPr>
        <w:tab/>
      </w:r>
      <w:r w:rsidR="00860655" w:rsidRPr="00BD6375">
        <w:rPr>
          <w:noProof/>
        </w:rPr>
        <w:t>Komission täytäntöönpanoasetuksessa (EU) 2018/1624</w:t>
      </w:r>
      <w:r w:rsidR="00860655" w:rsidRPr="00BD6375">
        <w:rPr>
          <w:rStyle w:val="FootnoteReference"/>
          <w:noProof/>
        </w:rPr>
        <w:footnoteReference w:id="3"/>
      </w:r>
      <w:r w:rsidR="00860655" w:rsidRPr="00BD6375">
        <w:rPr>
          <w:noProof/>
        </w:rPr>
        <w:t xml:space="preserve"> määritetään menettely ja otetaan käyttöön vähimmäismäärä lomakkeita, joiden mukaisesti luottolaitosten tai sijoituspalveluyritysten on toimitettava kriisinratkaisuviranomaisille tietoja kriisinratkaisusuunnitelmien laatimiseksi laitoksille ja niiden panemiseksi täytäntöön. Kriisinratkaisuviranomaiset ovat saaneet kokemusta kriisinratkaisun suunnittelusta kyseisen asetuksen antamisen jälkeen, ja direktiiviä (EU) 2014/59 on muutettu. Saatujen kokemusten perusteella ja kyseisen direktiivin uusien säännösten huomioon ottamiseksi on tarpeen päivittää vähimmäismäärä lomakkeita, joita käytetään tietojen keräämiseksi kriisinratkaisun suunnittelua varten.</w:t>
      </w:r>
    </w:p>
    <w:p w:rsidR="003B410C" w:rsidRPr="00BD6375" w:rsidRDefault="00067BDE" w:rsidP="00067BDE">
      <w:pPr>
        <w:pStyle w:val="ManualConsidrant"/>
        <w:rPr>
          <w:noProof/>
        </w:rPr>
      </w:pPr>
      <w:r w:rsidRPr="00067BDE">
        <w:rPr>
          <w:noProof/>
        </w:rPr>
        <w:t>(2)</w:t>
      </w:r>
      <w:r w:rsidRPr="00067BDE">
        <w:rPr>
          <w:noProof/>
        </w:rPr>
        <w:tab/>
      </w:r>
      <w:r w:rsidR="003B410C" w:rsidRPr="00BD6375">
        <w:rPr>
          <w:noProof/>
        </w:rPr>
        <w:t>Täytäntöönpanoasetuksessa (EU) 2018/1624 vahvistetaan menettely ja vähimmäismäärä lomakkeita, joita laitokset käyttävät tietojen toimittamiseen kriisinratkaisuviranomaisille siten, että kriisinratkaisuviranomaiset voivat kerätä kyseiset tiedot yhdenmukaisella tavalla koko unionissa ja tietojenvaihto helpottuu asianomaisten viranomaisten välillä. Kokemus on kuitenkin osoittanut, että yhdenmukainen tietojenkeruu on saavutettu vain osittain. Sen vuoksi on tarpeen tarkistaa kyseistä täytäntöönpanoasetusta raportointivelvoitteiden yhdenmukaistamiseksi koko unionissa ja muuttaa lomakkeita siten, että kriisinratkaisuviranomaisten tarpeet otetaan paremmin huomioon johdonmukaisella tavalla. Tämä ei saisi estää kriisinratkaisuviranomaisia keräämästä sellaisia lisätietoja, joita ne pitävät tarpeellisina kriisinratkaisusuunnitelmien laatimiseksi ja täytäntöön panemiseksi tai direktiivin 2014/59/EU 4 artiklassa tarkoitettujen yksinkertaistettujen tiedonantovelvoitteiden määrittämiseksi.</w:t>
      </w:r>
    </w:p>
    <w:p w:rsidR="003B410C" w:rsidRPr="00BD6375" w:rsidRDefault="00067BDE" w:rsidP="00067BDE">
      <w:pPr>
        <w:pStyle w:val="ManualConsidrant"/>
        <w:rPr>
          <w:noProof/>
        </w:rPr>
      </w:pPr>
      <w:r w:rsidRPr="00067BDE">
        <w:rPr>
          <w:noProof/>
        </w:rPr>
        <w:t>(3)</w:t>
      </w:r>
      <w:r w:rsidRPr="00067BDE">
        <w:rPr>
          <w:noProof/>
        </w:rPr>
        <w:tab/>
      </w:r>
      <w:r w:rsidR="003B410C" w:rsidRPr="00BD6375">
        <w:rPr>
          <w:noProof/>
        </w:rPr>
        <w:t>Jotta voidaan varmistaa, että konsernin kriisinratkaisusuunnitelmat kattavat kyseisen konsernin kokonaisuudessaan, unionissa emoyrityksenä toimiville yrityksille asetettujen raportointivelvoitteiden pitäisi kattaa kriisinratkaisun kohteena olevien yhteisöjen lisäksi myös muut merkitykselliset oikeushenkilöt. Tällainen merkityksellisyys olisi kuitenkin rajattava asianmukaisesti niin, että raportointivelvoite voidaan poistaa sellaisten yhteisöjen osalta, jotka eivät ole konsernin kannalta merkityksellisiä tai järjestelmän kannalta merkittäviä. Tätä varten olisi asetettava vähimmäisrajat konsernin niiden oikeushenkilöiden yksilöimiseksi, jotka kriisinratkaisua koskevien raportointivaatimuksien tulisi kattaa. Lisäksi Euroopan parlamentin ja neuvoston direktiivillä (EU) 2024/1174</w:t>
      </w:r>
      <w:r w:rsidR="003B410C" w:rsidRPr="00BD6375">
        <w:rPr>
          <w:rStyle w:val="FootnoteReference"/>
          <w:noProof/>
        </w:rPr>
        <w:footnoteReference w:id="4"/>
      </w:r>
      <w:r w:rsidR="003B410C" w:rsidRPr="00BD6375">
        <w:rPr>
          <w:noProof/>
        </w:rPr>
        <w:t xml:space="preserve"> muutettiin direktiiviä 2014/59/EU muun muassa ottamalla käyttöön ’likvidoitavan yhteisön’ määritelmä. Tämän uuden määritelmän huomioon ottamiseksi on tarpeen erottaa toisistaan kriisinratkaisua koskevat raportointivaatimukset, jotka koskevat likvidoitavia yhteisöjä, kriisinratkaisun kohteena olevia yhteisöjä ja kriisinratkaisun kohteena oleviin konserneihin kuuluvia yhteisöjä. Erityisesti on tarpeen täsmentää raportointivelvoitteita niin, että niissä otetaan huomioon, ovatko asianomaiset yhteisöt itsenäisiä yhteisöjä vai kuuluvatko ne konserneihin ja onko tällaiset yhteisöt tai konsernit yksilöity likvidoitaviksi yhteisöiksi tai sisältyykö niihin likvidoitaviksi yhteisöiksi luokiteltuja yhteisöjä. Raportointivelvoitteet olisi asetettava yksittäisen yhteisön tasolla, alakonsolidointiryhmän tasolla tai konsolidoidusti siten, että varmistetaan oikeasuhteisuus, ei vaaranneta tehokasta kriisinratkaisusuunnittelua, vapautetaan yhteisöt eri viranomaisten rinnakkaisesta tiedonkeruusta ja poistetaan valvontaan liittyvien raportointikehysten kanssa päällekkäiset tietopisteet. Tämä olisi saavutettava ottamalla käyttöön toimintamalli, jossa lomakkeiden määrää mukautetaan asianomaisen raportoivan yhteisön tyypin mukaan. Erityistä huomiota olisi kiinnitettävä myös kriisinratkaisun kohteena oleviin konserneihin, jotka koostuvat keskusyhteisöön pysyvästi liittyneistä luottolaitoksista ja itse keskusyhteisöstä, jotta voidaan varmistaa, että kriisinratkaisuun liittyvä raportointi kattaa tosiasiallisesti kaikki kyseisen kriisinratkaisun kohteena olevan konsernin keskusyhteisöön pysyvästi liittyneet luottolaitokset, itse keskusyhteisön ja niiden tytäryritykset yksittäisen yhteisön tasolla, alakonsolidointiryhmän tasolla ja konsolidoidusti.</w:t>
      </w:r>
    </w:p>
    <w:p w:rsidR="003B410C" w:rsidRPr="00BD6375" w:rsidRDefault="00067BDE" w:rsidP="00067BDE">
      <w:pPr>
        <w:pStyle w:val="ManualConsidrant"/>
        <w:rPr>
          <w:noProof/>
        </w:rPr>
      </w:pPr>
      <w:r w:rsidRPr="00067BDE">
        <w:rPr>
          <w:noProof/>
        </w:rPr>
        <w:t>(4)</w:t>
      </w:r>
      <w:r w:rsidRPr="00067BDE">
        <w:rPr>
          <w:noProof/>
        </w:rPr>
        <w:tab/>
      </w:r>
      <w:r w:rsidR="003B410C" w:rsidRPr="00BD6375">
        <w:rPr>
          <w:noProof/>
        </w:rPr>
        <w:t>Jotta voidaan varmistaa tehokas kriisinratkaisun suunnittelu ja säilyttää samalla oikeasuhteisuus, kriisinratkaisua koskevien raportointivaatimusten soveltamisala voi olla erilainen kuin vakavaraisuutta koskevien raportointivaatimusten soveltamisala, jos se on tarpeen sen varmistamiseksi, että kriisinratkaisuviranomaisilla on riittävät ja luotettavat tiedot tehtäviensä suorittamiseksi. Tässä yhteydessä on tarpeen varmistaa, että vakavaraisuutta koskevat vapautukset tai kriisinratkaisun kohteena olevat konsernit, joihin ei sovelleta varovaisuusperiaatteen mukaista konsolidointia koskevia vaatimuksia, eivät estä kriisinratkaisuun liittyvää raportointia.</w:t>
      </w:r>
    </w:p>
    <w:p w:rsidR="003B410C" w:rsidRPr="00BD6375" w:rsidRDefault="00067BDE" w:rsidP="00067BDE">
      <w:pPr>
        <w:pStyle w:val="ManualConsidrant"/>
        <w:rPr>
          <w:noProof/>
        </w:rPr>
      </w:pPr>
      <w:r w:rsidRPr="00067BDE">
        <w:rPr>
          <w:noProof/>
        </w:rPr>
        <w:t>(5)</w:t>
      </w:r>
      <w:r w:rsidRPr="00067BDE">
        <w:rPr>
          <w:noProof/>
        </w:rPr>
        <w:tab/>
      </w:r>
      <w:r w:rsidR="00012E4C" w:rsidRPr="00BD6375">
        <w:rPr>
          <w:noProof/>
        </w:rPr>
        <w:t>Jotta voidaan varmistaa, että kriisinratkaisusuunnitelmat perustuvat vähimmäismäärään tasaisesti korkealaatuisia ja tarkkoja tietoja, olisi otettava käyttöön yhteinen tietopistemalli, joka on jo käytäntönä vakavaraisuusvalvontaan liittyvässä raportoinnissa. Yhteisen tietopistemallin olisi koostuttava tietoeristä laaditusta strukturoidusta esityksestä, siinä olisi yksilöitävä kaikki asianomaiset liiketoimintamallit kriisinratkaisusuunnitteluun liittyvää yhdenmukaista raportointia varten ja sen olisi sisällettävä kaikki asiaa koskevat eritelmät, joita tarvitaan yhtenäisten tietoteknisten raportointisovellusten jatkokehittämisessä.</w:t>
      </w:r>
    </w:p>
    <w:p w:rsidR="003B410C" w:rsidRPr="00BD6375" w:rsidRDefault="00067BDE" w:rsidP="00067BDE">
      <w:pPr>
        <w:pStyle w:val="ManualConsidrant"/>
        <w:rPr>
          <w:noProof/>
        </w:rPr>
      </w:pPr>
      <w:r w:rsidRPr="00067BDE">
        <w:rPr>
          <w:noProof/>
        </w:rPr>
        <w:t>(6)</w:t>
      </w:r>
      <w:r w:rsidRPr="00067BDE">
        <w:rPr>
          <w:noProof/>
        </w:rPr>
        <w:tab/>
      </w:r>
      <w:r w:rsidR="00980E18" w:rsidRPr="00BD6375">
        <w:rPr>
          <w:noProof/>
        </w:rPr>
        <w:t>Jotta voidaan varmistaa laitosten ilmoittamien tietoerien laatu, johdonmukaisuus ja tarkkuus, tietoeriin olisi sovellettava yhteisiä validointisääntöjä.</w:t>
      </w:r>
    </w:p>
    <w:p w:rsidR="003B410C" w:rsidRPr="00BD6375" w:rsidRDefault="00067BDE" w:rsidP="00067BDE">
      <w:pPr>
        <w:pStyle w:val="ManualConsidrant"/>
        <w:rPr>
          <w:noProof/>
        </w:rPr>
      </w:pPr>
      <w:r w:rsidRPr="00067BDE">
        <w:rPr>
          <w:noProof/>
        </w:rPr>
        <w:t>(7)</w:t>
      </w:r>
      <w:r w:rsidRPr="00067BDE">
        <w:rPr>
          <w:noProof/>
        </w:rPr>
        <w:tab/>
      </w:r>
      <w:r w:rsidR="003B410C" w:rsidRPr="00BD6375">
        <w:rPr>
          <w:noProof/>
        </w:rPr>
        <w:t>Luonteensa vuoksi validointisääntöjä ja tietopisteiden määritelmiä ajantasaistetaan säännöllisesti sen varmistamiseksi, että ne täyttävät sovellettavat sääntelyvaatimukset, analyyttiset vaatimukset ja tietotekniikkavaatimukset kaikkina aikoina. Yksityiskohtaisen yhteisen tietopistemallin ja validointisääntöjen hyväksyminen ja julkaiseminen on kuitenkin tällä hetkellä niin aikaa vievää, että muutoksia on mahdotonta tehdä riittävän nopeasti ja ajoissa, jotta voitaisiin varmistaa kriisinratkaisusuunnitelmia koskevien yhdenmukaisten tietojen jatkuva toimittaminen unionissa. Sen vuoksi olisi vahvistettava yksityiskohtaista yhteistä tietopistemallia ja yksityiskohtaisia yhteisiä validointisääntöjä koskevat tiukat laatuvaatimukset, jotka Euroopan pankkiviranomainen (EPV) julkaisee sähköisesti verkkosivuillaan. Edellä mainittu ei estä EPV:tä julkaisemasta verkkosivustollaan myös teknisiä ohjeita tässä asetuksessa määriteltyjen lomakkeiden ja mallien täyttämiseksi.</w:t>
      </w:r>
    </w:p>
    <w:p w:rsidR="003B410C" w:rsidRPr="00BD6375" w:rsidRDefault="00067BDE" w:rsidP="00067BDE">
      <w:pPr>
        <w:pStyle w:val="ManualConsidrant"/>
        <w:rPr>
          <w:noProof/>
        </w:rPr>
      </w:pPr>
      <w:r w:rsidRPr="00067BDE">
        <w:rPr>
          <w:noProof/>
        </w:rPr>
        <w:t>(8)</w:t>
      </w:r>
      <w:r w:rsidRPr="00067BDE">
        <w:rPr>
          <w:noProof/>
        </w:rPr>
        <w:tab/>
      </w:r>
      <w:r w:rsidR="003B410C" w:rsidRPr="00BD6375">
        <w:rPr>
          <w:noProof/>
        </w:rPr>
        <w:t>Direktiivin 2014/59/EU 11 artiklan 2 kohdassa toimivaltaiset viranomaiset ja kriisinratkaisuviranomaiset velvoitetaan tekemään yhteistyötä päällekkäisten tietovaatimusten minimoimiseksi. Täytäntöönpanoasetuksella (EU) 2018/1624 otettiin tätä varten käyttöön toimivaltaisten viranomaisten ja kriisinratkaisuviranomaisten välinen yhteistyömenettely. Tämä menettely olisi säilytettävä, jotta toimivaltaiset viranomaiset ja kriisinratkaisuviranomaiset varmistavat yhdessä, ovatko jotkin tai kaikki pyydetyt tiedot jo toimivaltaisen viranomaisen saatavilla. Jos tiedot ovat toimivaltaisen viranomaisen saatavilla, on asianmukaista, että se toimittaa tiedot suoraan kriisinratkaisuviranomaiselle.</w:t>
      </w:r>
    </w:p>
    <w:p w:rsidR="003B410C" w:rsidRPr="00BD6375" w:rsidRDefault="00067BDE" w:rsidP="00067BDE">
      <w:pPr>
        <w:pStyle w:val="ManualConsidrant"/>
        <w:rPr>
          <w:noProof/>
        </w:rPr>
      </w:pPr>
      <w:r w:rsidRPr="00067BDE">
        <w:rPr>
          <w:noProof/>
        </w:rPr>
        <w:t>(9)</w:t>
      </w:r>
      <w:r w:rsidRPr="00067BDE">
        <w:rPr>
          <w:noProof/>
        </w:rPr>
        <w:tab/>
      </w:r>
      <w:r w:rsidR="003B410C" w:rsidRPr="00BD6375">
        <w:rPr>
          <w:noProof/>
        </w:rPr>
        <w:t>Ottaen huomioon täytäntöönpanoasetukseen (EU) 2018/1624 muutosten laajuus on oikeusvarmuuden ja selkeyden vuoksi aiheellista hyväksyä uusi täytäntöönpanoasetus ja sen vuoksi kumota ja korvata täytäntöönpanoasetus (EU) 2018/1624.</w:t>
      </w:r>
    </w:p>
    <w:p w:rsidR="003B410C" w:rsidRPr="00BD6375" w:rsidRDefault="00067BDE" w:rsidP="00067BDE">
      <w:pPr>
        <w:pStyle w:val="ManualConsidrant"/>
        <w:rPr>
          <w:noProof/>
        </w:rPr>
      </w:pPr>
      <w:r w:rsidRPr="00067BDE">
        <w:rPr>
          <w:noProof/>
        </w:rPr>
        <w:t>(10)</w:t>
      </w:r>
      <w:r w:rsidRPr="00067BDE">
        <w:rPr>
          <w:noProof/>
        </w:rPr>
        <w:tab/>
      </w:r>
      <w:r w:rsidR="003B410C" w:rsidRPr="00BD6375">
        <w:rPr>
          <w:noProof/>
        </w:rPr>
        <w:t>Tämä asetus perustuu teknisiin täytäntöönpanostandardeihin, jotka EPV on toimittanut komissiolle.</w:t>
      </w:r>
    </w:p>
    <w:p w:rsidR="00860655" w:rsidRPr="00BD6375" w:rsidRDefault="00067BDE" w:rsidP="00067BDE">
      <w:pPr>
        <w:pStyle w:val="ManualConsidrant"/>
        <w:rPr>
          <w:noProof/>
        </w:rPr>
      </w:pPr>
      <w:r w:rsidRPr="00067BDE">
        <w:rPr>
          <w:noProof/>
        </w:rPr>
        <w:t>(11)</w:t>
      </w:r>
      <w:r w:rsidRPr="00067BDE">
        <w:rPr>
          <w:noProof/>
        </w:rPr>
        <w:tab/>
      </w:r>
      <w:r w:rsidR="003B410C" w:rsidRPr="00BD6375">
        <w:rPr>
          <w:noProof/>
        </w:rPr>
        <w:t>EPV on järjestänyt avoimia julkisia kuulemisia niistä teknisistä täytäntöönpanostandardeista, joihin tämä asetus perustuu, analysoinut niihin mahdollisesti liittyviä kustannuksia ja hyötyjä sekä pyytänyt neuvoa Euroopan parlamentin ja neuvoston asetuksen (EU) N:o 1093/2010</w:t>
      </w:r>
      <w:r w:rsidR="003B410C" w:rsidRPr="00BD6375">
        <w:rPr>
          <w:rStyle w:val="FootnoteReference"/>
          <w:noProof/>
        </w:rPr>
        <w:footnoteReference w:id="5"/>
      </w:r>
      <w:r w:rsidR="003B410C" w:rsidRPr="00BD6375">
        <w:rPr>
          <w:noProof/>
        </w:rPr>
        <w:t xml:space="preserve"> 37 artiklan mukaisesti perustetulta pankkialan osallisryhmältä,</w:t>
      </w:r>
    </w:p>
    <w:p w:rsidR="00860655" w:rsidRPr="00BD6375" w:rsidRDefault="00860655" w:rsidP="00184085">
      <w:pPr>
        <w:pStyle w:val="Formuledadoption"/>
        <w:rPr>
          <w:noProof/>
        </w:rPr>
      </w:pPr>
      <w:r w:rsidRPr="00BD6375">
        <w:rPr>
          <w:noProof/>
        </w:rPr>
        <w:t>ON HYVÄKSYNYT TÄMÄN ASETUKSEN:</w:t>
      </w:r>
    </w:p>
    <w:p w:rsidR="00860655" w:rsidRPr="00BD6375" w:rsidRDefault="00860655" w:rsidP="00184085">
      <w:pPr>
        <w:pStyle w:val="Titrearticle"/>
        <w:rPr>
          <w:noProof/>
        </w:rPr>
      </w:pPr>
      <w:r w:rsidRPr="00BD6375">
        <w:rPr>
          <w:noProof/>
        </w:rPr>
        <w:t>1 artikla</w:t>
      </w:r>
    </w:p>
    <w:p w:rsidR="00860655" w:rsidRPr="00BD6375" w:rsidRDefault="003B410C" w:rsidP="00184085">
      <w:pPr>
        <w:pStyle w:val="Titrearticle"/>
        <w:rPr>
          <w:noProof/>
        </w:rPr>
      </w:pPr>
      <w:r w:rsidRPr="00BD6375">
        <w:rPr>
          <w:b/>
          <w:i w:val="0"/>
          <w:noProof/>
        </w:rPr>
        <w:t>Määritelmät</w:t>
      </w:r>
    </w:p>
    <w:p w:rsidR="003B410C" w:rsidRPr="00BD6375" w:rsidRDefault="003B410C" w:rsidP="00184085">
      <w:pPr>
        <w:rPr>
          <w:noProof/>
        </w:rPr>
      </w:pPr>
      <w:r w:rsidRPr="00BD6375">
        <w:rPr>
          <w:noProof/>
        </w:rPr>
        <w:t>Tässä asetuksessa tarkoitetaan ’merkityksellisellä oikeushenkilöllä’ direktiivin 2014/59/EU 2 artiklan 1 kohdan 31 alakohdassa määriteltyä konserniyhteisöä, joka ei ole kriisinratkaisun kohteena oleva yhteisö ja joka on sijoittautunut unioniin ja täyttää jonkin seuraavista edellytyksistä:</w:t>
      </w:r>
    </w:p>
    <w:p w:rsidR="003B410C" w:rsidRPr="00BD6375" w:rsidRDefault="002F05C7" w:rsidP="002F05C7">
      <w:pPr>
        <w:pStyle w:val="Point0"/>
        <w:rPr>
          <w:noProof/>
        </w:rPr>
      </w:pPr>
      <w:r>
        <w:rPr>
          <w:noProof/>
        </w:rPr>
        <w:t>a)</w:t>
      </w:r>
      <w:r>
        <w:rPr>
          <w:noProof/>
        </w:rPr>
        <w:tab/>
      </w:r>
      <w:r w:rsidR="003B410C" w:rsidRPr="00BD6375">
        <w:rPr>
          <w:noProof/>
        </w:rPr>
        <w:t>se tarjoaa kriittisiä toimintoja;</w:t>
      </w:r>
    </w:p>
    <w:p w:rsidR="003B410C" w:rsidRPr="00BD6375" w:rsidRDefault="002F05C7" w:rsidP="002F05C7">
      <w:pPr>
        <w:pStyle w:val="Point0"/>
        <w:rPr>
          <w:noProof/>
        </w:rPr>
      </w:pPr>
      <w:r>
        <w:rPr>
          <w:noProof/>
        </w:rPr>
        <w:t>b)</w:t>
      </w:r>
      <w:r>
        <w:rPr>
          <w:noProof/>
        </w:rPr>
        <w:tab/>
      </w:r>
      <w:r w:rsidR="003B410C" w:rsidRPr="00BD6375">
        <w:rPr>
          <w:noProof/>
        </w:rPr>
        <w:t>sen Euroopan parlamentin ja neuvoston asetuksen (EU) N:o 575/2013</w:t>
      </w:r>
      <w:r w:rsidR="003B410C" w:rsidRPr="00BD6375">
        <w:rPr>
          <w:rStyle w:val="FootnoteReference"/>
          <w:noProof/>
        </w:rPr>
        <w:footnoteReference w:id="6"/>
      </w:r>
      <w:r w:rsidR="003B410C" w:rsidRPr="00BD6375">
        <w:rPr>
          <w:noProof/>
        </w:rPr>
        <w:t xml:space="preserve"> 92 artiklan 3 kohdan mukaisesti laskettu yksittäisen yhteisön kokonaisriskin määrä on vähintään 2 prosenttia unionissa emoyrityksenä toimivan yrityksen konsolidoidusta kokonaisriskin määrästä;</w:t>
      </w:r>
    </w:p>
    <w:p w:rsidR="003B410C" w:rsidRPr="00BD6375" w:rsidRDefault="002F05C7" w:rsidP="002F05C7">
      <w:pPr>
        <w:pStyle w:val="Point0"/>
        <w:rPr>
          <w:noProof/>
        </w:rPr>
      </w:pPr>
      <w:r>
        <w:rPr>
          <w:noProof/>
        </w:rPr>
        <w:t>c)</w:t>
      </w:r>
      <w:r>
        <w:rPr>
          <w:noProof/>
        </w:rPr>
        <w:tab/>
      </w:r>
      <w:r w:rsidR="003B410C" w:rsidRPr="00BD6375">
        <w:rPr>
          <w:noProof/>
        </w:rPr>
        <w:t>sen Euroopan parlamentin ja neuvoston asetuksen (EU) N:o 575/2013 429 artiklan 4 kohdan mukaisesti laskettu yksittäisen yhteisön vastuiden kokonaismäärä on vähintään 2 prosenttia unionissa emoyrityksenä toimivan yrityksen konsolidoidusta vastuiden kokonaismäärästä;</w:t>
      </w:r>
    </w:p>
    <w:p w:rsidR="003B410C" w:rsidRPr="00BD6375" w:rsidRDefault="002F05C7" w:rsidP="002F05C7">
      <w:pPr>
        <w:pStyle w:val="Point0"/>
        <w:rPr>
          <w:noProof/>
        </w:rPr>
      </w:pPr>
      <w:r>
        <w:rPr>
          <w:noProof/>
        </w:rPr>
        <w:t>d)</w:t>
      </w:r>
      <w:r>
        <w:rPr>
          <w:noProof/>
        </w:rPr>
        <w:tab/>
      </w:r>
      <w:r w:rsidR="003B410C" w:rsidRPr="00BD6375">
        <w:rPr>
          <w:noProof/>
        </w:rPr>
        <w:t>sen yksittäisen yhteisön liiketoiminnan tuotto on vähintään 2 prosenttia konsernin konsolidoidusta liiketoiminnan kokonaistuotoista unionissa emoyrityksenä toimivan yrityksen tasolla laskettuna;</w:t>
      </w:r>
    </w:p>
    <w:p w:rsidR="003B410C" w:rsidRPr="00BD6375" w:rsidRDefault="002F05C7" w:rsidP="002F05C7">
      <w:pPr>
        <w:pStyle w:val="Point0"/>
        <w:rPr>
          <w:noProof/>
        </w:rPr>
      </w:pPr>
      <w:r>
        <w:rPr>
          <w:noProof/>
        </w:rPr>
        <w:t>e)</w:t>
      </w:r>
      <w:r>
        <w:rPr>
          <w:noProof/>
        </w:rPr>
        <w:tab/>
      </w:r>
      <w:r w:rsidR="003B410C" w:rsidRPr="00BD6375">
        <w:rPr>
          <w:noProof/>
        </w:rPr>
        <w:t>sen yksittäisen yhteisön varojen kokonaisarvo on yli 5 miljardia euroa;</w:t>
      </w:r>
    </w:p>
    <w:p w:rsidR="008F1E98" w:rsidRPr="00BD6375" w:rsidRDefault="002F05C7" w:rsidP="002F05C7">
      <w:pPr>
        <w:pStyle w:val="Point0"/>
        <w:rPr>
          <w:noProof/>
        </w:rPr>
      </w:pPr>
      <w:r>
        <w:rPr>
          <w:noProof/>
        </w:rPr>
        <w:t>f)</w:t>
      </w:r>
      <w:r>
        <w:rPr>
          <w:noProof/>
        </w:rPr>
        <w:tab/>
      </w:r>
      <w:r w:rsidR="003B410C" w:rsidRPr="00BD6375">
        <w:rPr>
          <w:noProof/>
        </w:rPr>
        <w:t>se on merkittävä vähintään yhden jäsenvaltion rahoitusvakauden kannalta.</w:t>
      </w:r>
    </w:p>
    <w:p w:rsidR="00A803C4" w:rsidRPr="00BD6375" w:rsidRDefault="008F1E98" w:rsidP="00184085">
      <w:pPr>
        <w:pStyle w:val="Text1"/>
        <w:rPr>
          <w:noProof/>
        </w:rPr>
      </w:pPr>
      <w:r w:rsidRPr="00BD6375">
        <w:rPr>
          <w:noProof/>
        </w:rPr>
        <w:t>Sovellettaessa b alakohtaa useammasta kuin yhdestä kriisinratkaisun kohteena olevasta yhteisöstä koostuvan konsernin osalta yhteisöä on pidettävä merkityksellisenä oikeushenkilönä, jos sen yksittäisen yhteisön kokonaisriskin määrä on vähintään 2 prosenttia kriisinratkaisun kohteena olevan yhteisön kokonaisriskin määrästä kriisinratkaisun kohteena olevan konsernin konsolidoidulla tasolla.</w:t>
      </w:r>
    </w:p>
    <w:p w:rsidR="008F1E98" w:rsidRPr="00BD6375" w:rsidRDefault="008F1E98" w:rsidP="00184085">
      <w:pPr>
        <w:pStyle w:val="Text1"/>
        <w:rPr>
          <w:noProof/>
        </w:rPr>
      </w:pPr>
      <w:r w:rsidRPr="00BD6375">
        <w:rPr>
          <w:noProof/>
        </w:rPr>
        <w:t>Sovellettaessa c alakohtaa useammasta kuin yhdestä kriisinratkaisun kohteena olevasta yhteisöstä koostuvan konsernin osalta yhteisöä on pidettävä merkityksellisenä oikeushenkilönä, jos sen yksittäisen yhteisön vastuiden kokonaismäärä on vähintään 2 prosenttia kriisinratkaisun kohteena olevan yhteisön vastuiden kokonaismäärästä kriisinratkaisun kohteena olevan konsernin konsolidoidulla tasolla.</w:t>
      </w:r>
    </w:p>
    <w:p w:rsidR="003B410C" w:rsidRPr="00BD6375" w:rsidRDefault="003B410C" w:rsidP="00184085">
      <w:pPr>
        <w:pStyle w:val="Titrearticle"/>
        <w:rPr>
          <w:noProof/>
        </w:rPr>
      </w:pPr>
      <w:r w:rsidRPr="00BD6375">
        <w:rPr>
          <w:noProof/>
        </w:rPr>
        <w:t>2 artikla</w:t>
      </w:r>
      <w:bookmarkStart w:id="1" w:name="_Hlk168321151"/>
    </w:p>
    <w:p w:rsidR="003B410C" w:rsidRPr="00BD6375" w:rsidRDefault="003B410C" w:rsidP="00184085">
      <w:pPr>
        <w:pStyle w:val="Titrearticle"/>
        <w:spacing w:before="0"/>
        <w:rPr>
          <w:b/>
          <w:bCs/>
          <w:i w:val="0"/>
          <w:iCs/>
          <w:noProof/>
        </w:rPr>
      </w:pPr>
      <w:r w:rsidRPr="00BD6375">
        <w:rPr>
          <w:b/>
          <w:i w:val="0"/>
          <w:noProof/>
        </w:rPr>
        <w:t>Sellaisten laitosten kriisinratkaisuun liittyvä raportointi, jotka eivät kuulu konserniin, johon sovelletaan konsolidoitua valvontaa direktiivin 2013/36/EU 111 ja 112 artiklan nojalla</w:t>
      </w:r>
      <w:bookmarkEnd w:id="1"/>
    </w:p>
    <w:p w:rsidR="003B410C" w:rsidRPr="00BD6375" w:rsidRDefault="00067BDE" w:rsidP="00067BDE">
      <w:pPr>
        <w:pStyle w:val="ManualNumPar1"/>
        <w:rPr>
          <w:noProof/>
        </w:rPr>
      </w:pPr>
      <w:r w:rsidRPr="00067BDE">
        <w:rPr>
          <w:noProof/>
        </w:rPr>
        <w:t>1.</w:t>
      </w:r>
      <w:r w:rsidRPr="00067BDE">
        <w:rPr>
          <w:noProof/>
        </w:rPr>
        <w:tab/>
      </w:r>
      <w:r w:rsidR="005E4DBA" w:rsidRPr="00BD6375">
        <w:rPr>
          <w:noProof/>
        </w:rPr>
        <w:t>Kriisinratkaisun kohteena olevien yhteisöjen, jotka eivät kuulu Euroopan parlamentin ja neuvoston direktiivin 2013/36/EU</w:t>
      </w:r>
      <w:r w:rsidR="005E4DBA" w:rsidRPr="00BD6375">
        <w:rPr>
          <w:rStyle w:val="FootnoteReference"/>
          <w:noProof/>
        </w:rPr>
        <w:footnoteReference w:id="7"/>
      </w:r>
      <w:r w:rsidR="005E4DBA" w:rsidRPr="00BD6375">
        <w:rPr>
          <w:noProof/>
        </w:rPr>
        <w:t xml:space="preserve"> 111 ja 112 artiklan nojalla konsolidoidun valvonnan piiriin kuuluvaan konserniin, on toimitettava kriisinratkaisuviranomaiselle yksittäisinä yhteisöinä kaikissa tämän asetuksen liitteessä I olevissa lomakkeissa täsmennetyt tiedot, lukuun ottamatta lomakkeissa Z 01.01, Z 04.00, Z 07.02, Z 07.03 ja Z 11.00 tarkoitettuja tietoja.</w:t>
      </w:r>
    </w:p>
    <w:p w:rsidR="003B410C" w:rsidRPr="00BD6375" w:rsidRDefault="00067BDE" w:rsidP="00067BDE">
      <w:pPr>
        <w:pStyle w:val="ManualNumPar1"/>
        <w:rPr>
          <w:noProof/>
        </w:rPr>
      </w:pPr>
      <w:r w:rsidRPr="00067BDE">
        <w:rPr>
          <w:noProof/>
        </w:rPr>
        <w:t>2.</w:t>
      </w:r>
      <w:r w:rsidRPr="00067BDE">
        <w:rPr>
          <w:noProof/>
        </w:rPr>
        <w:tab/>
      </w:r>
      <w:r w:rsidR="0017578A" w:rsidRPr="00BD6375">
        <w:rPr>
          <w:noProof/>
        </w:rPr>
        <w:t>Likvidoitavien yhteisöjen, joihin ei sovelleta yksinkertaistettuja velvoitteita ja jotka eivät kuulu direktiivin 2013/36/EU 111 ja 112 artiklan nojalla konsolidoidun valvonnan piiriin kuuluvaan konserniin ja joiden osalta kriisinratkaisuviranomainen ei ole määrittänyt direktiivin 2014/59/EU 45 artiklan 1 kohdassa tarkoitettua vaatimusta kyseisen direktiivin 45 c artiklan 2 a kohdan toisen alakohdan mukaisesti, on toimitettava kriisinratkaisuviranomaiselle yksittäisinä yhteisöinä tämän asetuksen liitteessä I olevissa lomakkeissa Z 01.02, Z 02.00, Z 05.01, Z 05.02, Z 06.00, Z 07.01.1–Z 07.01.5, Z 07.04 ja Z 09.01 täsmennetyt tiedot.</w:t>
      </w:r>
    </w:p>
    <w:p w:rsidR="003B410C" w:rsidRPr="00BD6375" w:rsidRDefault="00067BDE" w:rsidP="00067BDE">
      <w:pPr>
        <w:pStyle w:val="ManualNumPar1"/>
        <w:rPr>
          <w:noProof/>
        </w:rPr>
      </w:pPr>
      <w:r w:rsidRPr="00067BDE">
        <w:rPr>
          <w:noProof/>
        </w:rPr>
        <w:t>3.</w:t>
      </w:r>
      <w:r w:rsidRPr="00067BDE">
        <w:rPr>
          <w:noProof/>
        </w:rPr>
        <w:tab/>
      </w:r>
      <w:r w:rsidR="00436F80" w:rsidRPr="00BD6375">
        <w:rPr>
          <w:noProof/>
        </w:rPr>
        <w:t>Likvidoitavien yhteisöjen, joihin ei sovelleta yksinkertaistettuja velvoitteita ja jotka eivät kuulu direktiivin 2013/36/EU 111 ja 112 artiklan nojalla konsolidoidun valvonnan piiriin kuuluvaan konserniin ja joiden osalta kriisinratkaisuviranomainen on määrittänyt direktiivin 2014/59/EU 45 artiklan 1 kohdassa tarkoitetun vaatimuksen kyseisen direktiivin 45 c artiklan 2 a kohdan toisen alakohdan mukaisesti, on toimitettava kriisinratkaisuviranomaiselle yksittäisinä yhteisöinä tämän asetuksen liitteessä I olevissa lomakkeissa Z 01.02, Z 02.00, Z 03.01, Z 03.02, Z 05.01, Z 05.02, Z 06.00, Z 07.01.1–Z 07.01.5, Z 07.04 ja Z 09.01 täsmennetyt tiedot.</w:t>
      </w:r>
    </w:p>
    <w:p w:rsidR="003B410C" w:rsidRPr="00BD6375" w:rsidRDefault="003B410C" w:rsidP="00184085">
      <w:pPr>
        <w:pStyle w:val="Titrearticle"/>
        <w:rPr>
          <w:noProof/>
        </w:rPr>
      </w:pPr>
      <w:r w:rsidRPr="00BD6375">
        <w:rPr>
          <w:noProof/>
        </w:rPr>
        <w:t>3 artikla</w:t>
      </w:r>
    </w:p>
    <w:p w:rsidR="003B410C" w:rsidRPr="00BD6375" w:rsidRDefault="003B410C" w:rsidP="00184085">
      <w:pPr>
        <w:pStyle w:val="Titrearticle"/>
        <w:spacing w:before="0"/>
        <w:rPr>
          <w:b/>
          <w:bCs/>
          <w:i w:val="0"/>
          <w:iCs/>
          <w:noProof/>
        </w:rPr>
      </w:pPr>
      <w:r w:rsidRPr="00BD6375">
        <w:rPr>
          <w:b/>
          <w:i w:val="0"/>
          <w:noProof/>
        </w:rPr>
        <w:t>Konsernin kriisinratkaisuun liittyvä raportointi – kriisinratkaisun kohteena olevat konsernit</w:t>
      </w:r>
    </w:p>
    <w:p w:rsidR="003B410C" w:rsidRPr="00BD6375" w:rsidRDefault="00067BDE" w:rsidP="00067BDE">
      <w:pPr>
        <w:pStyle w:val="ManualNumPar1"/>
        <w:rPr>
          <w:noProof/>
        </w:rPr>
      </w:pPr>
      <w:r w:rsidRPr="00067BDE">
        <w:rPr>
          <w:noProof/>
        </w:rPr>
        <w:t>1.</w:t>
      </w:r>
      <w:r w:rsidRPr="00067BDE">
        <w:rPr>
          <w:noProof/>
        </w:rPr>
        <w:tab/>
      </w:r>
      <w:r w:rsidR="00873C72" w:rsidRPr="00BD6375">
        <w:rPr>
          <w:noProof/>
        </w:rPr>
        <w:t>Unionissa emoyrityksenä toimivan yrityksen on toimitettava konsernitason kriisinratkaisuviranomaiselle liitteessä I olevissa lomakkeissa Z 01.01, Z 01.02 ja Z 08.01–Z 09.04 täsmennetyt tiedot kaikkien konserniyhteisöjen osalta.</w:t>
      </w:r>
    </w:p>
    <w:p w:rsidR="003B410C" w:rsidRPr="00BD6375" w:rsidRDefault="00067BDE" w:rsidP="00067BDE">
      <w:pPr>
        <w:pStyle w:val="ManualNumPar1"/>
        <w:rPr>
          <w:noProof/>
        </w:rPr>
      </w:pPr>
      <w:r w:rsidRPr="00067BDE">
        <w:rPr>
          <w:noProof/>
        </w:rPr>
        <w:t>2.</w:t>
      </w:r>
      <w:r w:rsidRPr="00067BDE">
        <w:rPr>
          <w:noProof/>
        </w:rPr>
        <w:tab/>
      </w:r>
      <w:r w:rsidR="00873C72" w:rsidRPr="00BD6375">
        <w:rPr>
          <w:noProof/>
        </w:rPr>
        <w:t>Unionissa emoyrityksenä toimivan yrityksen on toimitettava konsernitason kriisinratkaisuviranomaiselle liitteessä I olevassa lomakkeessa Z 04.00 täsmennetyt tiedot kaikkien konserniyhteisöjen välisistä taloudellisista sidoksista.</w:t>
      </w:r>
    </w:p>
    <w:p w:rsidR="003B410C" w:rsidRPr="00BD6375" w:rsidRDefault="00067BDE" w:rsidP="00067BDE">
      <w:pPr>
        <w:pStyle w:val="ManualNumPar1"/>
        <w:rPr>
          <w:noProof/>
        </w:rPr>
      </w:pPr>
      <w:r w:rsidRPr="00067BDE">
        <w:rPr>
          <w:noProof/>
        </w:rPr>
        <w:t>3.</w:t>
      </w:r>
      <w:r w:rsidRPr="00067BDE">
        <w:rPr>
          <w:noProof/>
        </w:rPr>
        <w:tab/>
      </w:r>
      <w:r w:rsidR="001744A5" w:rsidRPr="00BD6375">
        <w:rPr>
          <w:noProof/>
        </w:rPr>
        <w:t>Unionissa emoyrityksenä toimivan yrityksen on toimitettava konsernitason kriisinratkaisuviranomaiselle liitteessä I olevassa lomakkeessa Z 02.00 täsmennetyt tiedot seuraavasti:</w:t>
      </w:r>
    </w:p>
    <w:p w:rsidR="003B410C" w:rsidRPr="00BD6375" w:rsidRDefault="002F05C7" w:rsidP="002F05C7">
      <w:pPr>
        <w:pStyle w:val="Point1"/>
        <w:rPr>
          <w:noProof/>
        </w:rPr>
      </w:pPr>
      <w:r>
        <w:rPr>
          <w:noProof/>
        </w:rPr>
        <w:t>a)</w:t>
      </w:r>
      <w:r>
        <w:rPr>
          <w:noProof/>
        </w:rPr>
        <w:tab/>
      </w:r>
      <w:r w:rsidR="003B410C" w:rsidRPr="00BD6375">
        <w:rPr>
          <w:noProof/>
        </w:rPr>
        <w:t>yksittäisen yhteisön tasolla kaikkien konsernin kriisinratkaisun kohteena olevien yhteisöjen, mukaan lukien unionissa emoyrityksenä toimiva yritys, ja kaikkien sellaisten merkityksellisten oikeushenkilöiden osalta, jotka ovat laitoksia;</w:t>
      </w:r>
    </w:p>
    <w:p w:rsidR="003B410C" w:rsidRPr="00BD6375" w:rsidRDefault="002F05C7" w:rsidP="002F05C7">
      <w:pPr>
        <w:pStyle w:val="Point1"/>
        <w:rPr>
          <w:noProof/>
        </w:rPr>
      </w:pPr>
      <w:r>
        <w:rPr>
          <w:noProof/>
        </w:rPr>
        <w:t>b)</w:t>
      </w:r>
      <w:r>
        <w:rPr>
          <w:noProof/>
        </w:rPr>
        <w:tab/>
      </w:r>
      <w:r w:rsidR="003B410C" w:rsidRPr="00BD6375">
        <w:rPr>
          <w:noProof/>
        </w:rPr>
        <w:t>konsolidoidusti tai tapauksen mukaan alakonsolidointiryhmän tasolla kaikkien konsernin kriisinratkaisun kohteena olevien yhteisöjen, mukaan lukien unionissa emoyrityksenä toimiva yritys, ja kaikkien sellaisten merkityksellisten oikeushenkilöiden osalta, joille kriisinratkaisuviranomainen on määrittänyt direktiivin 2014/59/EU 45 artiklan 1 kohdassa tarkoitetun vaatimuksen konsolidoinnin perusteella tai alakonsolidointiryhmän tasolla, riippumatta siitä, sovelletaanko kyseisiin yhteisöihin asetuksen (EU) N:o 575/2013 ensimmäisen osan II osaston 2 lukua.</w:t>
      </w:r>
    </w:p>
    <w:p w:rsidR="003B410C" w:rsidRPr="00BD6375" w:rsidRDefault="00067BDE" w:rsidP="00067BDE">
      <w:pPr>
        <w:pStyle w:val="ManualNumPar1"/>
        <w:rPr>
          <w:noProof/>
        </w:rPr>
      </w:pPr>
      <w:r w:rsidRPr="00067BDE">
        <w:rPr>
          <w:noProof/>
        </w:rPr>
        <w:t>4.</w:t>
      </w:r>
      <w:r w:rsidRPr="00067BDE">
        <w:rPr>
          <w:noProof/>
        </w:rPr>
        <w:tab/>
      </w:r>
      <w:r w:rsidR="00207905" w:rsidRPr="00BD6375">
        <w:rPr>
          <w:noProof/>
        </w:rPr>
        <w:t>Unionissa emoyrityksenä toimivan yrityksen on toimitettava konsernitason kriisinratkaisuviranomaiselle liitteessä I olevassa lomakkeessa Z 03.01 tai Z 03.02 täsmennetyt tiedot seuraavasti:</w:t>
      </w:r>
    </w:p>
    <w:p w:rsidR="003B410C" w:rsidRPr="00BD6375" w:rsidRDefault="002F05C7" w:rsidP="002F05C7">
      <w:pPr>
        <w:pStyle w:val="Point1"/>
        <w:rPr>
          <w:noProof/>
        </w:rPr>
      </w:pPr>
      <w:r>
        <w:rPr>
          <w:noProof/>
        </w:rPr>
        <w:t>a)</w:t>
      </w:r>
      <w:r>
        <w:rPr>
          <w:noProof/>
        </w:rPr>
        <w:tab/>
      </w:r>
      <w:r w:rsidR="003B410C" w:rsidRPr="00BD6375">
        <w:rPr>
          <w:noProof/>
        </w:rPr>
        <w:t>yksittäisen yhteisön tasolla kaikkien konsernin kriisinratkaisun kohteena olevien yhteisöjen, mukaan lukien unionissa emoyrityksenä toimiva yritys, ja kaikkien sellaisten merkityksellisten oikeushenkilöiden osalta, jotka ovat laitoksia, joille kriisinratkaisuviranomainen on määrittänyt direktiivin 2014/59/EU 45 artiklan 1 kohdassa tarkoitetun vaatimuksen;</w:t>
      </w:r>
    </w:p>
    <w:p w:rsidR="003B410C" w:rsidRPr="00BD6375" w:rsidRDefault="002F05C7" w:rsidP="002F05C7">
      <w:pPr>
        <w:pStyle w:val="Point1"/>
        <w:rPr>
          <w:noProof/>
        </w:rPr>
      </w:pPr>
      <w:r>
        <w:rPr>
          <w:noProof/>
        </w:rPr>
        <w:t>b)</w:t>
      </w:r>
      <w:r>
        <w:rPr>
          <w:noProof/>
        </w:rPr>
        <w:tab/>
      </w:r>
      <w:r w:rsidR="003B410C" w:rsidRPr="00BD6375">
        <w:rPr>
          <w:noProof/>
        </w:rPr>
        <w:t>konsolidoidusti tai alakonsolidointiryhmän tasolla kaikkien konsernin kriisinratkaisun kohteena olevien yhteisöjen, mukaan lukien unionissa emoyrityksenä toimiva yritys, ja kaikkien sellaisten merkityksellisten oikeushenkilöiden osalta, jotka ovat laitoksia, joille kriisinratkaisuviranomainen on määrittänyt direktiivin 2014/59/EU 45 artiklan 1 kohdassa tarkoitetun vaatimuksen, riippumatta siitä, sovelletaanko kyseisiin yhteisöihin asetuksen (EU) N:o 575/2013 ensimmäisen osan II osaston 2 lukua.</w:t>
      </w:r>
    </w:p>
    <w:p w:rsidR="003B410C" w:rsidRPr="00BD6375" w:rsidRDefault="00067BDE" w:rsidP="00067BDE">
      <w:pPr>
        <w:pStyle w:val="ManualNumPar1"/>
        <w:rPr>
          <w:noProof/>
        </w:rPr>
      </w:pPr>
      <w:r w:rsidRPr="00067BDE">
        <w:rPr>
          <w:noProof/>
        </w:rPr>
        <w:t>5.</w:t>
      </w:r>
      <w:r w:rsidRPr="00067BDE">
        <w:rPr>
          <w:noProof/>
        </w:rPr>
        <w:tab/>
      </w:r>
      <w:r w:rsidR="006E7726" w:rsidRPr="00BD6375">
        <w:rPr>
          <w:noProof/>
        </w:rPr>
        <w:t>Unionissa emoyrityksenä toimivan yrityksen on toimitettava konsernitason kriisinratkaisuviranomaiselle liitteessä I olevissa lomakkeissa Z 07.01.1, Z 07.01.2, Z 07.01.3, Z 07.01.4 ja Z 07.01.5 täsmennetyt tiedot kunkin sellaisen jäsenvaltion tasolla, jossa konserni toimii.</w:t>
      </w:r>
    </w:p>
    <w:p w:rsidR="003B410C" w:rsidRPr="00BD6375" w:rsidRDefault="00067BDE" w:rsidP="00067BDE">
      <w:pPr>
        <w:pStyle w:val="ManualNumPar1"/>
        <w:rPr>
          <w:noProof/>
        </w:rPr>
      </w:pPr>
      <w:r w:rsidRPr="00067BDE">
        <w:rPr>
          <w:noProof/>
        </w:rPr>
        <w:t>6.</w:t>
      </w:r>
      <w:r w:rsidRPr="00067BDE">
        <w:rPr>
          <w:noProof/>
        </w:rPr>
        <w:tab/>
      </w:r>
      <w:r w:rsidR="006E7726" w:rsidRPr="00BD6375">
        <w:rPr>
          <w:noProof/>
        </w:rPr>
        <w:t>Unionissa emoyrityksenä toimivan yrityksen on toimitettava konsernitason kriisinratkaisuviranomaiselle liitteessä I olevissa lomakkeissa Z 07.02, Z 07.03 ja Z 07.04 täsmennetyt tiedot kaikkien konserniyhteisöjen tarjoamien kriittisten toimintojen ja ydinliiketoiminta-alueiden osalta.</w:t>
      </w:r>
    </w:p>
    <w:p w:rsidR="003B410C" w:rsidRPr="00BD6375" w:rsidRDefault="00067BDE" w:rsidP="00067BDE">
      <w:pPr>
        <w:pStyle w:val="ManualNumPar1"/>
        <w:rPr>
          <w:noProof/>
        </w:rPr>
      </w:pPr>
      <w:r w:rsidRPr="00067BDE">
        <w:rPr>
          <w:noProof/>
        </w:rPr>
        <w:t>7.</w:t>
      </w:r>
      <w:r w:rsidRPr="00067BDE">
        <w:rPr>
          <w:noProof/>
        </w:rPr>
        <w:tab/>
      </w:r>
      <w:r w:rsidR="006E7726" w:rsidRPr="00BD6375">
        <w:rPr>
          <w:noProof/>
        </w:rPr>
        <w:t>Unionissa emoyrityksenä toimivan yrityksen on toimitettava konsernitason kriisinratkaisuviranomaiselle liitteessä I olevissa lomakkeissa Z 05.01, Z 05.02, Z 06.00, Z 07.01.1–Z 07.01.5, Z 07.04 ja Z 11.00–Z 17.00 täsmennetyt tiedot yksittäisen yhteisön tasolla kaikista konsernin kriisinratkaisun kohteena olevista yhteisöistä, mukaan lukien unionissa emoyrityksenä toimiva yritys.</w:t>
      </w:r>
    </w:p>
    <w:p w:rsidR="003B410C" w:rsidRPr="00BD6375" w:rsidRDefault="00067BDE" w:rsidP="00067BDE">
      <w:pPr>
        <w:pStyle w:val="ManualNumPar1"/>
        <w:rPr>
          <w:noProof/>
        </w:rPr>
      </w:pPr>
      <w:r w:rsidRPr="00067BDE">
        <w:rPr>
          <w:noProof/>
        </w:rPr>
        <w:t>8.</w:t>
      </w:r>
      <w:r w:rsidRPr="00067BDE">
        <w:rPr>
          <w:noProof/>
        </w:rPr>
        <w:tab/>
      </w:r>
      <w:r w:rsidR="003B410C" w:rsidRPr="00BD6375">
        <w:rPr>
          <w:noProof/>
        </w:rPr>
        <w:t>Unionissa emoyrityksenä toimivan yrityksen on toimitettava konsernitason kriisinratkaisuviranomaiselle liitteessä I olevissa lomakkeissa Z 05.01, Z 05.02, Z 06.00, Z 07.01.1–Z 07.01.5 ja Z 07.04 täsmennetyt tiedot yksittäisen yhteisön tasolla kaikista merkityksellisistä oikeushenkilöistä, jotka ovat laitoksia.</w:t>
      </w:r>
    </w:p>
    <w:p w:rsidR="003B410C" w:rsidRPr="00BD6375" w:rsidRDefault="00067BDE" w:rsidP="00067BDE">
      <w:pPr>
        <w:pStyle w:val="ManualNumPar1"/>
        <w:rPr>
          <w:noProof/>
        </w:rPr>
      </w:pPr>
      <w:r w:rsidRPr="00067BDE">
        <w:rPr>
          <w:noProof/>
        </w:rPr>
        <w:t>9.</w:t>
      </w:r>
      <w:r w:rsidRPr="00067BDE">
        <w:rPr>
          <w:noProof/>
        </w:rPr>
        <w:tab/>
      </w:r>
      <w:r w:rsidR="003B410C" w:rsidRPr="00BD6375">
        <w:rPr>
          <w:noProof/>
        </w:rPr>
        <w:t>Tämän artiklan 2 kohdan 3 alakohdan a alakohtaa sekä 4, 5 ja 6 kohtaa sovelletaan riippumatta mahdollisista asetuksen (EU) N:o 575/2013 7 artiklan 1 tai 3 kohdan tai Euroopan parlamentin ja neuvoston asetuksen (EU) 2019/2033</w:t>
      </w:r>
      <w:r w:rsidR="003B410C" w:rsidRPr="00BD6375">
        <w:rPr>
          <w:rStyle w:val="FootnoteReference"/>
          <w:noProof/>
          <w:shd w:val="clear" w:color="auto" w:fill="FFFFFF" w:themeFill="background1"/>
        </w:rPr>
        <w:footnoteReference w:id="8"/>
      </w:r>
      <w:r w:rsidR="003B410C" w:rsidRPr="00BD6375">
        <w:rPr>
          <w:noProof/>
        </w:rPr>
        <w:t xml:space="preserve"> 8 artiklan mukaisesti myönnetyistä vakavaraisuusvaatimusten soveltamista koskevista poikkeuksista tai direktiivin 2014/59/EU 45 f artiklan mukaisesti myönnetyistä omia varoja ja hyväksyttäviä velkoja koskevan vähimmäisvaatimuksen soveltamista koskevista vapautuksista.</w:t>
      </w:r>
    </w:p>
    <w:p w:rsidR="003B410C" w:rsidRPr="00BD6375" w:rsidRDefault="003B410C" w:rsidP="00184085">
      <w:pPr>
        <w:pStyle w:val="Titrearticle"/>
        <w:rPr>
          <w:noProof/>
        </w:rPr>
      </w:pPr>
      <w:r w:rsidRPr="00BD6375">
        <w:rPr>
          <w:noProof/>
        </w:rPr>
        <w:t>4 artikla</w:t>
      </w:r>
    </w:p>
    <w:p w:rsidR="003B410C" w:rsidRPr="00BD6375" w:rsidRDefault="003B410C" w:rsidP="00184085">
      <w:pPr>
        <w:pStyle w:val="Titrearticle"/>
        <w:spacing w:before="0"/>
        <w:rPr>
          <w:b/>
          <w:bCs/>
          <w:i w:val="0"/>
          <w:iCs/>
          <w:noProof/>
        </w:rPr>
      </w:pPr>
      <w:r w:rsidRPr="00BD6375">
        <w:rPr>
          <w:b/>
          <w:i w:val="0"/>
          <w:noProof/>
        </w:rPr>
        <w:t>Konsernin kriisinratkaisuun liittyvä raportointi – ainoastaan likvidoitavista yhteisöistä muodostuvat konsernit</w:t>
      </w:r>
    </w:p>
    <w:p w:rsidR="003B410C" w:rsidRPr="00BD6375" w:rsidRDefault="00F95432" w:rsidP="00184085">
      <w:pPr>
        <w:rPr>
          <w:noProof/>
        </w:rPr>
      </w:pPr>
      <w:r w:rsidRPr="00BD6375">
        <w:rPr>
          <w:noProof/>
        </w:rPr>
        <w:t>Sellaisen konsernin unionissa emoyrityksenä toimivan yrityksen, joka muodostuu ainoastaan likvidoitavista yhteisöistä, joihin ei sovelleta yksinkertaistettuja velvoitteita, on toimitettava konsernitason kriisinratkaisuviranomaiselle</w:t>
      </w:r>
    </w:p>
    <w:p w:rsidR="003B410C" w:rsidRPr="00BD6375" w:rsidRDefault="002F05C7" w:rsidP="002F05C7">
      <w:pPr>
        <w:pStyle w:val="Point0"/>
        <w:rPr>
          <w:noProof/>
        </w:rPr>
      </w:pPr>
      <w:r>
        <w:rPr>
          <w:noProof/>
        </w:rPr>
        <w:t>a)</w:t>
      </w:r>
      <w:r>
        <w:rPr>
          <w:noProof/>
        </w:rPr>
        <w:tab/>
      </w:r>
      <w:r w:rsidR="003B410C" w:rsidRPr="00BD6375">
        <w:rPr>
          <w:noProof/>
        </w:rPr>
        <w:t>liitteessä I olevissa lomakkeissa Z 01.01, Z 01.02, Z 07.01.1–Z 07.01.5 ja Z 09.01 täsmennetyt tiedot kaikkien konserniyhteisöjen osalta, lomakkeessa Z 02.00 täsmennetyt tiedot konsolidoidusti ja lomakkeessa Z 04.00 täsmennetyt tiedot kaikkien konserniyhteisöjen välisten taloudellisten sidosten osalta;</w:t>
      </w:r>
    </w:p>
    <w:p w:rsidR="003B410C" w:rsidRPr="00BD6375" w:rsidRDefault="002F05C7" w:rsidP="002F05C7">
      <w:pPr>
        <w:pStyle w:val="Point0"/>
        <w:rPr>
          <w:noProof/>
        </w:rPr>
      </w:pPr>
      <w:r>
        <w:rPr>
          <w:noProof/>
        </w:rPr>
        <w:t>b)</w:t>
      </w:r>
      <w:r>
        <w:rPr>
          <w:noProof/>
        </w:rPr>
        <w:tab/>
      </w:r>
      <w:r w:rsidR="009F0766" w:rsidRPr="00BD6375">
        <w:rPr>
          <w:noProof/>
        </w:rPr>
        <w:t>tämän asetuksen liitteessä I olevissa lomakkeissa Z 02.00, Z 05.01, Z 05.02, Z 06.00, Z 07.01.1–Z 07.01.5 ja Z 07.04 täsmennetyt tiedot yksittäisen yhteisön tasolla sen itsensä ja kunkin sellaisen merkityksellisen oikeushenkilön osalta, jonka osalta kriisinratkaisuviranomainen ei ole määrittänyt direktiivin 2014/59/EU 45 artiklan 1 kohdassa tarkoitettua vaatimusta kyseisen direktiivin 45 c artiklan 2 a kohdan toisen alakohdan mukaisesti;</w:t>
      </w:r>
    </w:p>
    <w:p w:rsidR="00E522C4" w:rsidRPr="00BD6375" w:rsidRDefault="002F05C7" w:rsidP="002F05C7">
      <w:pPr>
        <w:pStyle w:val="Point0"/>
        <w:rPr>
          <w:noProof/>
        </w:rPr>
      </w:pPr>
      <w:r>
        <w:rPr>
          <w:noProof/>
        </w:rPr>
        <w:t>c)</w:t>
      </w:r>
      <w:r>
        <w:rPr>
          <w:noProof/>
        </w:rPr>
        <w:tab/>
      </w:r>
      <w:r w:rsidR="009F0766" w:rsidRPr="00BD6375">
        <w:rPr>
          <w:noProof/>
        </w:rPr>
        <w:t>tämän asetuksen liitteessä I olevissa lomakkeissa Z 02.00, Z 03.01, Z 03.02, Z 05.01, Z 05.02, Z 06.00, Z 07.01.1–Z 07.01.5 ja 07.04 täsmennetyt tiedot yksittäisen yhteisön tasolla sen itsensä ja kunkin sellaisen merkityksellisen oikeushenkilön osalta, jonka osalta kriisinratkaisuviranomainen on määrittänyt direktiivin 2014/59/EU 45 artiklan 1 kohdassa tarkoitetun vaatimuksen kyseisen direktiivin 45 c artiklan 2 a kohdan toisen alakohdan mukaisesti.</w:t>
      </w:r>
    </w:p>
    <w:p w:rsidR="00E522C4" w:rsidRPr="00BD6375" w:rsidRDefault="00E522C4" w:rsidP="00184085">
      <w:pPr>
        <w:pStyle w:val="Titrearticle"/>
        <w:rPr>
          <w:noProof/>
        </w:rPr>
      </w:pPr>
      <w:r w:rsidRPr="00BD6375">
        <w:rPr>
          <w:noProof/>
        </w:rPr>
        <w:t>5 artikla</w:t>
      </w:r>
    </w:p>
    <w:p w:rsidR="00E522C4" w:rsidRPr="00BD6375" w:rsidRDefault="00E522C4" w:rsidP="00184085">
      <w:pPr>
        <w:pStyle w:val="Titrearticle"/>
        <w:spacing w:before="0"/>
        <w:rPr>
          <w:b/>
          <w:bCs/>
          <w:i w:val="0"/>
          <w:iCs/>
          <w:noProof/>
        </w:rPr>
      </w:pPr>
      <w:r w:rsidRPr="00BD6375">
        <w:rPr>
          <w:b/>
          <w:i w:val="0"/>
          <w:noProof/>
        </w:rPr>
        <w:t>Muutokset konsernin kriisinratkaisuun liittyvään raportointiin</w:t>
      </w:r>
    </w:p>
    <w:p w:rsidR="00E522C4" w:rsidRPr="00BD6375" w:rsidRDefault="00067BDE" w:rsidP="00067BDE">
      <w:pPr>
        <w:pStyle w:val="ManualNumPar1"/>
        <w:rPr>
          <w:noProof/>
        </w:rPr>
      </w:pPr>
      <w:r w:rsidRPr="00067BDE">
        <w:rPr>
          <w:noProof/>
        </w:rPr>
        <w:t>1.</w:t>
      </w:r>
      <w:r w:rsidRPr="00067BDE">
        <w:rPr>
          <w:noProof/>
        </w:rPr>
        <w:tab/>
      </w:r>
      <w:r w:rsidR="00E522C4" w:rsidRPr="00BD6375">
        <w:rPr>
          <w:noProof/>
        </w:rPr>
        <w:t>Kun kyseessä on konserni, jonka unionissa emoyrityksenä toimiva yritys on likvidoitava yhteisö ja johon kuuluu kriisinratkaisun kohteena olevia yhteisöjä, unionissa emoyrityksenä toimivan yrityksen on toimitettava seuraavat tiedot:</w:t>
      </w:r>
    </w:p>
    <w:p w:rsidR="00E522C4" w:rsidRPr="00BD6375" w:rsidRDefault="002F05C7" w:rsidP="002F05C7">
      <w:pPr>
        <w:pStyle w:val="Point1"/>
        <w:rPr>
          <w:noProof/>
        </w:rPr>
      </w:pPr>
      <w:r>
        <w:rPr>
          <w:noProof/>
        </w:rPr>
        <w:t>a)</w:t>
      </w:r>
      <w:r>
        <w:rPr>
          <w:noProof/>
        </w:rPr>
        <w:tab/>
      </w:r>
      <w:r w:rsidR="000C210A" w:rsidRPr="00BD6375">
        <w:rPr>
          <w:noProof/>
        </w:rPr>
        <w:t>3 artiklassa tarkoitetut tiedot kriisinratkaisun kohteena oleviin konserneihin kuuluvien konserniyhteisöjen osalta;</w:t>
      </w:r>
    </w:p>
    <w:p w:rsidR="00E522C4" w:rsidRPr="00BD6375" w:rsidRDefault="002F05C7" w:rsidP="002F05C7">
      <w:pPr>
        <w:pStyle w:val="Point1"/>
        <w:rPr>
          <w:noProof/>
        </w:rPr>
      </w:pPr>
      <w:r>
        <w:rPr>
          <w:noProof/>
        </w:rPr>
        <w:t>b)</w:t>
      </w:r>
      <w:r>
        <w:rPr>
          <w:noProof/>
        </w:rPr>
        <w:tab/>
      </w:r>
      <w:r w:rsidR="000C210A" w:rsidRPr="00BD6375">
        <w:rPr>
          <w:noProof/>
        </w:rPr>
        <w:t>4 artiklassa tarkoitetut tiedot sellaisten likvidoitavien yhteisöjen osalta, joihin ei sovelleta yksinkertaistettuja velvoitteita ja jotka eivät kuulu mihinkään kriisinratkaisun kohteena olevaan konserniin.</w:t>
      </w:r>
    </w:p>
    <w:p w:rsidR="00E522C4" w:rsidRPr="00BD6375" w:rsidRDefault="00067BDE" w:rsidP="00067BDE">
      <w:pPr>
        <w:pStyle w:val="ManualNumPar1"/>
        <w:rPr>
          <w:noProof/>
        </w:rPr>
      </w:pPr>
      <w:r w:rsidRPr="00067BDE">
        <w:rPr>
          <w:noProof/>
        </w:rPr>
        <w:t>2.</w:t>
      </w:r>
      <w:r w:rsidRPr="00067BDE">
        <w:rPr>
          <w:noProof/>
        </w:rPr>
        <w:tab/>
      </w:r>
      <w:r w:rsidR="00E522C4" w:rsidRPr="00BD6375">
        <w:rPr>
          <w:noProof/>
        </w:rPr>
        <w:t>Kun kyseessä on direktiivin 2014/59/EU 2 artiklan 1 kohdan 83 b alakohdan b alakohdassa tarkoitettu kriisinratkaisun kohteena oleva konserni, vähintään yhden kyseisen konsernin kriisinratkaisun kohteena olevista yhteisöistä on toimitettava tämän asetuksen 3 artiklassa tarkoitetut tiedot. Näiden tietojen on katettava tosiasiallisesti kaikki kyseisen kriisinratkaisun kohteena olevan konsernin keskusyhteisöön pysyvästi liittyneet luottolaitokset, itse keskusyhteisö ja niiden tytäryritykset tapauksen mukaan yksittäisen yhteisön tasolla, alakonsolidointiryhmän tasolla ja konsolidoidusti.</w:t>
      </w:r>
    </w:p>
    <w:p w:rsidR="00E522C4" w:rsidRPr="00BD6375" w:rsidRDefault="00E522C4" w:rsidP="00184085">
      <w:pPr>
        <w:pStyle w:val="Titrearticle"/>
        <w:rPr>
          <w:noProof/>
        </w:rPr>
      </w:pPr>
      <w:r w:rsidRPr="00BD6375">
        <w:rPr>
          <w:noProof/>
        </w:rPr>
        <w:t>6 artikla</w:t>
      </w:r>
    </w:p>
    <w:p w:rsidR="00E522C4" w:rsidRPr="00BD6375" w:rsidRDefault="00E522C4" w:rsidP="00184085">
      <w:pPr>
        <w:pStyle w:val="Titrearticle"/>
        <w:spacing w:before="0"/>
        <w:rPr>
          <w:b/>
          <w:bCs/>
          <w:i w:val="0"/>
          <w:iCs/>
          <w:noProof/>
        </w:rPr>
      </w:pPr>
      <w:r w:rsidRPr="00BD6375">
        <w:rPr>
          <w:b/>
          <w:i w:val="0"/>
          <w:noProof/>
        </w:rPr>
        <w:t>Toimittamistiheys, viitepäivämäärät ja ilmoituspäivämäärät</w:t>
      </w:r>
    </w:p>
    <w:p w:rsidR="00E522C4" w:rsidRPr="00BD6375" w:rsidRDefault="00067BDE" w:rsidP="00067BDE">
      <w:pPr>
        <w:pStyle w:val="ManualNumPar1"/>
        <w:rPr>
          <w:noProof/>
        </w:rPr>
      </w:pPr>
      <w:r w:rsidRPr="00067BDE">
        <w:rPr>
          <w:noProof/>
        </w:rPr>
        <w:t>1.</w:t>
      </w:r>
      <w:r w:rsidRPr="00067BDE">
        <w:rPr>
          <w:noProof/>
        </w:rPr>
        <w:tab/>
      </w:r>
      <w:r w:rsidR="00E522C4" w:rsidRPr="00BD6375">
        <w:rPr>
          <w:noProof/>
        </w:rPr>
        <w:t>Laitosten tai konsernien tapauksessa unionissa emoyrityksenä toimivien yritysten on toimitettava 2–5 artiklassa tarkoitetut tiedot seuraavasti:</w:t>
      </w:r>
    </w:p>
    <w:p w:rsidR="00E522C4" w:rsidRPr="00BD6375" w:rsidRDefault="002F05C7" w:rsidP="002F05C7">
      <w:pPr>
        <w:pStyle w:val="Point1"/>
        <w:rPr>
          <w:noProof/>
        </w:rPr>
      </w:pPr>
      <w:bookmarkStart w:id="2" w:name="_Hlk188952542"/>
      <w:r>
        <w:rPr>
          <w:noProof/>
        </w:rPr>
        <w:t>a)</w:t>
      </w:r>
      <w:r>
        <w:rPr>
          <w:noProof/>
        </w:rPr>
        <w:tab/>
      </w:r>
      <w:r w:rsidR="00A071C3" w:rsidRPr="00BD6375">
        <w:rPr>
          <w:noProof/>
        </w:rPr>
        <w:t>lomakkeiden Z 01.01, Z 01.02, Z 02.00, Z 3.01, Z 03.02, Z 04.00, Z 05.01, Z 05.02, Z 06.00 ja Z 11.00–Z 17.00</w:t>
      </w:r>
      <w:bookmarkEnd w:id="2"/>
      <w:r w:rsidR="00A071C3" w:rsidRPr="00BD6375">
        <w:rPr>
          <w:noProof/>
        </w:rPr>
        <w:t xml:space="preserve"> osalta viimeistään kunkin vuoden 31 päivänä maaliskuuta edellisen kalenterivuoden viimeisen päivän osalta;</w:t>
      </w:r>
    </w:p>
    <w:p w:rsidR="00E522C4" w:rsidRPr="00BD6375" w:rsidRDefault="002F05C7" w:rsidP="002F05C7">
      <w:pPr>
        <w:pStyle w:val="Point1"/>
        <w:rPr>
          <w:noProof/>
        </w:rPr>
      </w:pPr>
      <w:r>
        <w:rPr>
          <w:noProof/>
        </w:rPr>
        <w:t>b)</w:t>
      </w:r>
      <w:r>
        <w:rPr>
          <w:noProof/>
        </w:rPr>
        <w:tab/>
      </w:r>
      <w:r w:rsidR="003F636B" w:rsidRPr="00BD6375">
        <w:rPr>
          <w:noProof/>
        </w:rPr>
        <w:t xml:space="preserve">lomakkeiden Z 07.01.1–Z 07.04, Z 08.01–Z 08.05 ja Z 09.01–Z 09.04 osalta viimeistään kunkin vuoden 30 päivänä huhtikuuta edellisen kalenterivuoden viimeisen päivän osalta; </w:t>
      </w:r>
    </w:p>
    <w:p w:rsidR="003F636B" w:rsidRPr="00BD6375" w:rsidRDefault="003F636B" w:rsidP="00184085">
      <w:pPr>
        <w:pStyle w:val="Text1"/>
        <w:rPr>
          <w:noProof/>
        </w:rPr>
      </w:pPr>
      <w:r w:rsidRPr="00BD6375">
        <w:rPr>
          <w:noProof/>
        </w:rPr>
        <w:t>Jos a alakohtaa sovellettaessa 31 päivä maaliskuuta ei ole pankkipäivä, tiedot on toimitettava seuraavana pankkipäivänä.</w:t>
      </w:r>
    </w:p>
    <w:p w:rsidR="003F636B" w:rsidRPr="00BD6375" w:rsidRDefault="003F636B" w:rsidP="00184085">
      <w:pPr>
        <w:pStyle w:val="Text1"/>
        <w:rPr>
          <w:noProof/>
        </w:rPr>
      </w:pPr>
      <w:r w:rsidRPr="00BD6375">
        <w:rPr>
          <w:noProof/>
        </w:rPr>
        <w:t>Jos b alakohtaa sovellettaessa 30 päivä huhtikuuta ei ole pankkipäivä, tiedot on toimitettava seuraavana pankkipäivänä.</w:t>
      </w:r>
    </w:p>
    <w:p w:rsidR="00E522C4" w:rsidRPr="00BD6375" w:rsidRDefault="00067BDE" w:rsidP="00067BDE">
      <w:pPr>
        <w:pStyle w:val="ManualNumPar1"/>
        <w:rPr>
          <w:noProof/>
        </w:rPr>
      </w:pPr>
      <w:r w:rsidRPr="00067BDE">
        <w:rPr>
          <w:noProof/>
        </w:rPr>
        <w:t>2.</w:t>
      </w:r>
      <w:r w:rsidRPr="00067BDE">
        <w:rPr>
          <w:noProof/>
        </w:rPr>
        <w:tab/>
      </w:r>
      <w:r w:rsidR="00E522C4" w:rsidRPr="00BD6375">
        <w:rPr>
          <w:noProof/>
        </w:rPr>
        <w:t>Kriisinratkaisuviranomaisten on täsmennettävä, onko tiedot toimitettava suoraan kriisinratkaisuviranomaiselle vai onko ne tarvittaessa toimitettava toimivaltaiselle viranomaiselle.</w:t>
      </w:r>
    </w:p>
    <w:p w:rsidR="00E522C4" w:rsidRPr="00BD6375" w:rsidRDefault="00067BDE" w:rsidP="00067BDE">
      <w:pPr>
        <w:pStyle w:val="ManualNumPar1"/>
        <w:rPr>
          <w:noProof/>
        </w:rPr>
      </w:pPr>
      <w:r w:rsidRPr="00067BDE">
        <w:rPr>
          <w:noProof/>
        </w:rPr>
        <w:t>3.</w:t>
      </w:r>
      <w:r w:rsidRPr="00067BDE">
        <w:rPr>
          <w:noProof/>
        </w:rPr>
        <w:tab/>
      </w:r>
      <w:r w:rsidR="00E522C4" w:rsidRPr="00BD6375">
        <w:rPr>
          <w:noProof/>
        </w:rPr>
        <w:t xml:space="preserve">Laitokset tai konsernien tapauksessa unionissa emoyrityksenä toimivat yritykset voivat toimittaa tarkastamattomia lukuja. Jos tarkastetut luvut poikkeavat toimitetuista tarkastamattomista luvuista, korjatut tarkastetut luvut on toimitettava ilman aiheetonta viivytystä. </w:t>
      </w:r>
    </w:p>
    <w:p w:rsidR="00E522C4" w:rsidRPr="00BD6375" w:rsidRDefault="00067BDE" w:rsidP="00067BDE">
      <w:pPr>
        <w:pStyle w:val="ManualNumPar1"/>
        <w:rPr>
          <w:noProof/>
        </w:rPr>
      </w:pPr>
      <w:r w:rsidRPr="00067BDE">
        <w:rPr>
          <w:noProof/>
        </w:rPr>
        <w:t>4.</w:t>
      </w:r>
      <w:r w:rsidRPr="00067BDE">
        <w:rPr>
          <w:noProof/>
        </w:rPr>
        <w:tab/>
      </w:r>
      <w:r w:rsidR="00E522C4" w:rsidRPr="00BD6375">
        <w:rPr>
          <w:noProof/>
        </w:rPr>
        <w:t xml:space="preserve">Tarkastamattomilla luvuilla tarkoitetaan 3 kohdassa lukuja, joista ulkoinen tarkastaja ei ole antanut tarkastuslausumaa, kun taas tarkastetut luvut ovat lukuja, jotka ulkoinen tarkastaja on tarkastanut ja joista hän on antanut tarkastuslausuman. </w:t>
      </w:r>
    </w:p>
    <w:p w:rsidR="00E522C4" w:rsidRPr="00BD6375" w:rsidRDefault="00067BDE" w:rsidP="00067BDE">
      <w:pPr>
        <w:pStyle w:val="ManualNumPar1"/>
        <w:rPr>
          <w:noProof/>
        </w:rPr>
      </w:pPr>
      <w:r w:rsidRPr="00067BDE">
        <w:rPr>
          <w:noProof/>
        </w:rPr>
        <w:t>5.</w:t>
      </w:r>
      <w:r w:rsidRPr="00067BDE">
        <w:rPr>
          <w:noProof/>
        </w:rPr>
        <w:tab/>
      </w:r>
      <w:r w:rsidR="00E522C4" w:rsidRPr="00BD6375">
        <w:rPr>
          <w:noProof/>
        </w:rPr>
        <w:t>Toimitettuihin ilmoituksiin tehdyt korjaukset on toimitettava ilman aiheetonta viivytystä.</w:t>
      </w:r>
    </w:p>
    <w:p w:rsidR="00E522C4" w:rsidRPr="00BD6375" w:rsidRDefault="00E522C4" w:rsidP="00184085">
      <w:pPr>
        <w:pStyle w:val="Titrearticle"/>
        <w:rPr>
          <w:noProof/>
        </w:rPr>
      </w:pPr>
      <w:r w:rsidRPr="00BD6375">
        <w:rPr>
          <w:noProof/>
        </w:rPr>
        <w:t>7 artikla</w:t>
      </w:r>
    </w:p>
    <w:p w:rsidR="00E522C4" w:rsidRPr="00BD6375" w:rsidRDefault="00E522C4" w:rsidP="00184085">
      <w:pPr>
        <w:pStyle w:val="Titrearticle"/>
        <w:spacing w:before="0"/>
        <w:rPr>
          <w:b/>
          <w:bCs/>
          <w:i w:val="0"/>
          <w:iCs/>
          <w:noProof/>
        </w:rPr>
      </w:pPr>
      <w:r w:rsidRPr="00BD6375">
        <w:rPr>
          <w:b/>
          <w:i w:val="0"/>
          <w:noProof/>
        </w:rPr>
        <w:t>Tietojenvaihdon muodot ja toimitettavat tiedot</w:t>
      </w:r>
    </w:p>
    <w:p w:rsidR="00E522C4" w:rsidRPr="00BD6375" w:rsidRDefault="00067BDE" w:rsidP="00067BDE">
      <w:pPr>
        <w:pStyle w:val="ManualNumPar1"/>
        <w:rPr>
          <w:noProof/>
        </w:rPr>
      </w:pPr>
      <w:r w:rsidRPr="00067BDE">
        <w:rPr>
          <w:noProof/>
        </w:rPr>
        <w:t>1.</w:t>
      </w:r>
      <w:r w:rsidRPr="00067BDE">
        <w:rPr>
          <w:noProof/>
        </w:rPr>
        <w:tab/>
      </w:r>
      <w:r w:rsidR="00E522C4" w:rsidRPr="00BD6375">
        <w:rPr>
          <w:noProof/>
        </w:rPr>
        <w:t xml:space="preserve">Laitosten tai konsernien tapauksessa unionissa emoyrityksenä toimivien yritysten on annettava 2–5 artiklassa tarkoitetut tiedot liitteessä I määriteltyjen lomakkeiden mukaisesti käyttäen kriisinratkaisuviranomaisten määrittelemiä tietojenvaihdon muotoja ja esitystapoja ja noudatettava liitteessä II tarkoitetun yhteisen tietopistemallin tietopistemääritelmiä ja liitteessä III tarkoitettuja validointisääntöjä. </w:t>
      </w:r>
    </w:p>
    <w:p w:rsidR="00E522C4" w:rsidRPr="00BD6375" w:rsidRDefault="00067BDE" w:rsidP="00067BDE">
      <w:pPr>
        <w:pStyle w:val="ManualNumPar1"/>
        <w:rPr>
          <w:noProof/>
        </w:rPr>
      </w:pPr>
      <w:r w:rsidRPr="00067BDE">
        <w:rPr>
          <w:noProof/>
        </w:rPr>
        <w:t>2.</w:t>
      </w:r>
      <w:r w:rsidRPr="00067BDE">
        <w:rPr>
          <w:noProof/>
        </w:rPr>
        <w:tab/>
      </w:r>
      <w:r w:rsidR="00E522C4" w:rsidRPr="00BD6375">
        <w:rPr>
          <w:noProof/>
        </w:rPr>
        <w:t>Edellä 1 kohdassa tarkoitetun velvoitteen lisäksi laitosten tai konsernien tapauksessa unionissa emoyrityksenä toimivien yritysten on varmistettava seuraavat seikat:</w:t>
      </w:r>
    </w:p>
    <w:p w:rsidR="00E522C4" w:rsidRPr="00BD6375" w:rsidRDefault="002F05C7" w:rsidP="002F05C7">
      <w:pPr>
        <w:pStyle w:val="Point1"/>
        <w:rPr>
          <w:noProof/>
        </w:rPr>
      </w:pPr>
      <w:r>
        <w:rPr>
          <w:noProof/>
        </w:rPr>
        <w:t>a)</w:t>
      </w:r>
      <w:r>
        <w:rPr>
          <w:noProof/>
        </w:rPr>
        <w:tab/>
      </w:r>
      <w:r w:rsidR="00E522C4" w:rsidRPr="00BD6375">
        <w:rPr>
          <w:noProof/>
        </w:rPr>
        <w:t>numeeriset arvot on toimitettava seuraavasti:</w:t>
      </w:r>
    </w:p>
    <w:p w:rsidR="00E522C4" w:rsidRPr="00BD6375" w:rsidRDefault="00E522C4" w:rsidP="00184085">
      <w:pPr>
        <w:pStyle w:val="Point2"/>
        <w:rPr>
          <w:noProof/>
        </w:rPr>
      </w:pPr>
      <w:r w:rsidRPr="00BD6375">
        <w:rPr>
          <w:noProof/>
        </w:rPr>
        <w:t>i)</w:t>
      </w:r>
      <w:r w:rsidRPr="00BD6375">
        <w:rPr>
          <w:noProof/>
        </w:rPr>
        <w:tab/>
        <w:t xml:space="preserve">luokkaan ”rahamäärä” (monetary) kuuluvat tietopisteet on ilmoitettava kymmenien tuhansien vähimmäistarkkuudella; </w:t>
      </w:r>
    </w:p>
    <w:p w:rsidR="00E522C4" w:rsidRPr="00BD6375" w:rsidRDefault="00E522C4" w:rsidP="00184085">
      <w:pPr>
        <w:pStyle w:val="Point2"/>
        <w:rPr>
          <w:noProof/>
        </w:rPr>
      </w:pPr>
      <w:r w:rsidRPr="00BD6375">
        <w:rPr>
          <w:noProof/>
        </w:rPr>
        <w:t>ii)</w:t>
      </w:r>
      <w:r w:rsidRPr="00BD6375">
        <w:rPr>
          <w:noProof/>
        </w:rPr>
        <w:tab/>
        <w:t>luokkaan ”prosenttiosuus” (percentage) kuuluvat tietopisteet on ilmoitettava prosenttiyksiköinä, joiden vähimmäistarkkuus on neljä desimaalia;</w:t>
      </w:r>
    </w:p>
    <w:p w:rsidR="00E522C4" w:rsidRPr="00BD6375" w:rsidRDefault="00E522C4" w:rsidP="00184085">
      <w:pPr>
        <w:pStyle w:val="Point2"/>
        <w:rPr>
          <w:noProof/>
        </w:rPr>
      </w:pPr>
      <w:r w:rsidRPr="00BD6375">
        <w:rPr>
          <w:noProof/>
        </w:rPr>
        <w:t>iii)</w:t>
      </w:r>
      <w:r w:rsidRPr="00BD6375">
        <w:rPr>
          <w:noProof/>
        </w:rPr>
        <w:tab/>
        <w:t>luokkaan ”kokonaisluku” (integer) kuuluvat tietopisteet on ilmoitettava ilman desimaaleja ykkösten tarkkuudella.</w:t>
      </w:r>
    </w:p>
    <w:p w:rsidR="00E522C4" w:rsidRPr="00BD6375" w:rsidRDefault="002F05C7" w:rsidP="002F05C7">
      <w:pPr>
        <w:pStyle w:val="Point1"/>
        <w:rPr>
          <w:noProof/>
        </w:rPr>
      </w:pPr>
      <w:r>
        <w:rPr>
          <w:noProof/>
        </w:rPr>
        <w:t>b)</w:t>
      </w:r>
      <w:r>
        <w:rPr>
          <w:noProof/>
        </w:rPr>
        <w:tab/>
      </w:r>
      <w:r w:rsidR="00E522C4" w:rsidRPr="00BD6375">
        <w:rPr>
          <w:noProof/>
        </w:rPr>
        <w:t>laitokset ja vakuutusyritykset on yksilöitävä yksinomaan oikeushenkilötunnuksella (LEI);</w:t>
      </w:r>
    </w:p>
    <w:p w:rsidR="00E522C4" w:rsidRPr="00BD6375" w:rsidRDefault="002F05C7" w:rsidP="002F05C7">
      <w:pPr>
        <w:pStyle w:val="Point1"/>
        <w:rPr>
          <w:noProof/>
        </w:rPr>
      </w:pPr>
      <w:r>
        <w:rPr>
          <w:noProof/>
        </w:rPr>
        <w:t>c)</w:t>
      </w:r>
      <w:r>
        <w:rPr>
          <w:noProof/>
        </w:rPr>
        <w:tab/>
      </w:r>
      <w:r w:rsidR="00E522C4" w:rsidRPr="00BD6375">
        <w:rPr>
          <w:noProof/>
        </w:rPr>
        <w:t>muut oikeushenkilöt ja vastapuolet kuin laitokset on yksilöitävä niiden oikeushenkilötunnuksella, jos sellainen on käytettävissä.</w:t>
      </w:r>
    </w:p>
    <w:p w:rsidR="0046629F" w:rsidRPr="00BD6375" w:rsidRDefault="002F05C7" w:rsidP="002F05C7">
      <w:pPr>
        <w:pStyle w:val="Point1"/>
        <w:rPr>
          <w:noProof/>
        </w:rPr>
      </w:pPr>
      <w:r>
        <w:rPr>
          <w:noProof/>
        </w:rPr>
        <w:t>d)</w:t>
      </w:r>
      <w:r>
        <w:rPr>
          <w:noProof/>
        </w:rPr>
        <w:tab/>
      </w:r>
      <w:r w:rsidR="0046629F" w:rsidRPr="00BD6375">
        <w:rPr>
          <w:noProof/>
        </w:rPr>
        <w:t>tietotoimituksiin ei saa sisällyttää tietoja, joita ei ole pyydetty tai jotka ovat käyttötarkoitukseen soveltumattomia.</w:t>
      </w:r>
    </w:p>
    <w:p w:rsidR="00E522C4" w:rsidRPr="00BD6375" w:rsidRDefault="00067BDE" w:rsidP="00067BDE">
      <w:pPr>
        <w:pStyle w:val="ManualNumPar1"/>
        <w:rPr>
          <w:noProof/>
        </w:rPr>
      </w:pPr>
      <w:r w:rsidRPr="00067BDE">
        <w:rPr>
          <w:noProof/>
        </w:rPr>
        <w:t>3.</w:t>
      </w:r>
      <w:r w:rsidRPr="00067BDE">
        <w:rPr>
          <w:noProof/>
        </w:rPr>
        <w:tab/>
      </w:r>
      <w:r w:rsidR="004B472A" w:rsidRPr="00BD6375">
        <w:rPr>
          <w:noProof/>
        </w:rPr>
        <w:t>Laitosten tai konsernien tapauksessa unionissa emoyrityksenä toimivien yritysten toimittamiin tietoihin on liitettävä seuraavat tiedot:</w:t>
      </w:r>
    </w:p>
    <w:p w:rsidR="004B472A" w:rsidRPr="00BD6375" w:rsidRDefault="002F05C7" w:rsidP="002F05C7">
      <w:pPr>
        <w:pStyle w:val="Point1"/>
        <w:rPr>
          <w:noProof/>
        </w:rPr>
      </w:pPr>
      <w:r>
        <w:rPr>
          <w:noProof/>
        </w:rPr>
        <w:t>a)</w:t>
      </w:r>
      <w:r>
        <w:rPr>
          <w:noProof/>
        </w:rPr>
        <w:tab/>
      </w:r>
      <w:r w:rsidR="004B472A" w:rsidRPr="00BD6375">
        <w:rPr>
          <w:noProof/>
        </w:rPr>
        <w:t>viitepäivämäärä:</w:t>
      </w:r>
    </w:p>
    <w:p w:rsidR="004B472A" w:rsidRPr="00BD6375" w:rsidRDefault="002F05C7" w:rsidP="002F05C7">
      <w:pPr>
        <w:pStyle w:val="Point1"/>
        <w:rPr>
          <w:noProof/>
        </w:rPr>
      </w:pPr>
      <w:r>
        <w:rPr>
          <w:noProof/>
        </w:rPr>
        <w:t>b)</w:t>
      </w:r>
      <w:r>
        <w:rPr>
          <w:noProof/>
        </w:rPr>
        <w:tab/>
      </w:r>
      <w:r w:rsidR="004B472A" w:rsidRPr="00BD6375">
        <w:rPr>
          <w:noProof/>
        </w:rPr>
        <w:t>raportointivaluutta;</w:t>
      </w:r>
    </w:p>
    <w:p w:rsidR="004B472A" w:rsidRPr="00BD6375" w:rsidRDefault="002F05C7" w:rsidP="002F05C7">
      <w:pPr>
        <w:pStyle w:val="Point1"/>
        <w:rPr>
          <w:noProof/>
        </w:rPr>
      </w:pPr>
      <w:r>
        <w:rPr>
          <w:noProof/>
        </w:rPr>
        <w:t>c)</w:t>
      </w:r>
      <w:r>
        <w:rPr>
          <w:noProof/>
        </w:rPr>
        <w:tab/>
      </w:r>
      <w:r w:rsidR="004B472A" w:rsidRPr="00BD6375">
        <w:rPr>
          <w:noProof/>
        </w:rPr>
        <w:t>tilinpäätösstandardi;</w:t>
      </w:r>
    </w:p>
    <w:p w:rsidR="004B472A" w:rsidRPr="00BD6375" w:rsidRDefault="002F05C7" w:rsidP="002F05C7">
      <w:pPr>
        <w:pStyle w:val="Point1"/>
        <w:rPr>
          <w:noProof/>
        </w:rPr>
      </w:pPr>
      <w:r>
        <w:rPr>
          <w:noProof/>
        </w:rPr>
        <w:t>d)</w:t>
      </w:r>
      <w:r>
        <w:rPr>
          <w:noProof/>
        </w:rPr>
        <w:tab/>
      </w:r>
      <w:r w:rsidR="004B472A" w:rsidRPr="00BD6375">
        <w:rPr>
          <w:noProof/>
        </w:rPr>
        <w:t>raportoivan yhteisön oikeushenkilötunnus;</w:t>
      </w:r>
    </w:p>
    <w:p w:rsidR="004B472A" w:rsidRPr="00BD6375" w:rsidRDefault="002F05C7" w:rsidP="002F05C7">
      <w:pPr>
        <w:pStyle w:val="Point1"/>
        <w:rPr>
          <w:noProof/>
        </w:rPr>
      </w:pPr>
      <w:r>
        <w:rPr>
          <w:noProof/>
        </w:rPr>
        <w:t>e)</w:t>
      </w:r>
      <w:r>
        <w:rPr>
          <w:noProof/>
        </w:rPr>
        <w:tab/>
      </w:r>
      <w:r w:rsidR="004B472A" w:rsidRPr="00BD6375">
        <w:rPr>
          <w:noProof/>
        </w:rPr>
        <w:t>soveltamisala 2, 3 ja 4 artiklan mukaisesti.</w:t>
      </w:r>
    </w:p>
    <w:p w:rsidR="004B472A" w:rsidRPr="00BD6375" w:rsidRDefault="004B472A" w:rsidP="00184085">
      <w:pPr>
        <w:pStyle w:val="Titrearticle"/>
        <w:rPr>
          <w:noProof/>
        </w:rPr>
      </w:pPr>
      <w:bookmarkStart w:id="3" w:name="_Hlk169616472"/>
      <w:r w:rsidRPr="00BD6375">
        <w:rPr>
          <w:noProof/>
        </w:rPr>
        <w:t>8 artikla</w:t>
      </w:r>
    </w:p>
    <w:p w:rsidR="004B472A" w:rsidRPr="00BD6375" w:rsidRDefault="004B472A" w:rsidP="00184085">
      <w:pPr>
        <w:pStyle w:val="Titrearticle"/>
        <w:spacing w:before="0"/>
        <w:rPr>
          <w:b/>
          <w:bCs/>
          <w:i w:val="0"/>
          <w:iCs/>
          <w:noProof/>
        </w:rPr>
      </w:pPr>
      <w:r w:rsidRPr="00BD6375">
        <w:rPr>
          <w:b/>
          <w:i w:val="0"/>
          <w:noProof/>
        </w:rPr>
        <w:t xml:space="preserve">Lisätietojen toimittaminen yksittäisiä ja konsernin kriisinratkaisusuunnitelmia varten </w:t>
      </w:r>
    </w:p>
    <w:bookmarkEnd w:id="3"/>
    <w:p w:rsidR="00FA69C1" w:rsidRPr="00BD6375" w:rsidRDefault="00067BDE" w:rsidP="00067BDE">
      <w:pPr>
        <w:pStyle w:val="ManualNumPar1"/>
        <w:rPr>
          <w:noProof/>
        </w:rPr>
      </w:pPr>
      <w:r w:rsidRPr="00067BDE">
        <w:rPr>
          <w:noProof/>
        </w:rPr>
        <w:t>1.</w:t>
      </w:r>
      <w:r w:rsidRPr="00067BDE">
        <w:rPr>
          <w:noProof/>
        </w:rPr>
        <w:tab/>
      </w:r>
      <w:r w:rsidR="00C747E3" w:rsidRPr="00BD6375">
        <w:rPr>
          <w:noProof/>
        </w:rPr>
        <w:t>Kriisinratkaisuviranomaisen tai konsernitason kriisinratkaisuviranomaisen on pyydettävä lisätietoja tai tietoja uudessa muodossa asianomaiselta laitokselta tai unionissa emoyrityksenä toimivalta yritykseltä, jos jokin seuraavista edellytyksistä täyttyy:</w:t>
      </w:r>
    </w:p>
    <w:p w:rsidR="00FA69C1" w:rsidRPr="00BD6375" w:rsidRDefault="002F05C7" w:rsidP="002F05C7">
      <w:pPr>
        <w:pStyle w:val="Point1"/>
        <w:rPr>
          <w:noProof/>
        </w:rPr>
      </w:pPr>
      <w:r>
        <w:rPr>
          <w:noProof/>
        </w:rPr>
        <w:t>a)</w:t>
      </w:r>
      <w:r>
        <w:rPr>
          <w:noProof/>
        </w:rPr>
        <w:tab/>
      </w:r>
      <w:r w:rsidR="00FA69C1" w:rsidRPr="00BD6375">
        <w:rPr>
          <w:noProof/>
        </w:rPr>
        <w:t>kriisinratkaisuviranomainen tai konsernitason kriisinratkaisuviranomainen katsoo, että tällaiset tiedot eivät sisälly mihinkään liitteessä I esitettyyn lomakkeeseen ja että ne ovat tarpeen kriisinratkaisusuunnitelmien laatimiseksi ja täytäntöönpanemiseksi;</w:t>
      </w:r>
    </w:p>
    <w:p w:rsidR="00FA69C1" w:rsidRPr="00BD6375" w:rsidRDefault="002F05C7" w:rsidP="002F05C7">
      <w:pPr>
        <w:pStyle w:val="Point1"/>
        <w:rPr>
          <w:noProof/>
        </w:rPr>
      </w:pPr>
      <w:r>
        <w:rPr>
          <w:noProof/>
        </w:rPr>
        <w:t>b)</w:t>
      </w:r>
      <w:r>
        <w:rPr>
          <w:noProof/>
        </w:rPr>
        <w:tab/>
      </w:r>
      <w:r w:rsidR="00FA69C1" w:rsidRPr="00BD6375">
        <w:rPr>
          <w:noProof/>
        </w:rPr>
        <w:t>kriisinratkaisuviranomainen tai konsernitason kriisinratkaisuviranomainen katsoo, että tällaisten tietojen saaminen laitoksilta, joihin sovelletaan yksinkertaistettuja velvoitteita, on tarpeen kriisinratkaisusuunnitelmien laatimiseksi ja täytäntöönpanemiseksi;</w:t>
      </w:r>
    </w:p>
    <w:p w:rsidR="00FA69C1" w:rsidRPr="00BD6375" w:rsidRDefault="002F05C7" w:rsidP="002F05C7">
      <w:pPr>
        <w:pStyle w:val="Point1"/>
        <w:rPr>
          <w:noProof/>
        </w:rPr>
      </w:pPr>
      <w:r>
        <w:rPr>
          <w:noProof/>
        </w:rPr>
        <w:t>c)</w:t>
      </w:r>
      <w:r>
        <w:rPr>
          <w:noProof/>
        </w:rPr>
        <w:tab/>
      </w:r>
      <w:r w:rsidR="00FA69C1" w:rsidRPr="00BD6375">
        <w:rPr>
          <w:noProof/>
        </w:rPr>
        <w:t>muoto, jossa toimivaltainen viranomainen toimittaa tiedot 9 artiklan 2 kohdan mukaisesti, ei sovellu kriisinratkaisusuunnitelmien laatimiseen tai täytäntöönpanoon.</w:t>
      </w:r>
    </w:p>
    <w:p w:rsidR="004B472A" w:rsidRPr="00BD6375" w:rsidRDefault="00067BDE" w:rsidP="00067BDE">
      <w:pPr>
        <w:pStyle w:val="ManualNumPar1"/>
        <w:rPr>
          <w:noProof/>
        </w:rPr>
      </w:pPr>
      <w:r w:rsidRPr="00067BDE">
        <w:rPr>
          <w:noProof/>
        </w:rPr>
        <w:t>2.</w:t>
      </w:r>
      <w:r w:rsidRPr="00067BDE">
        <w:rPr>
          <w:noProof/>
        </w:rPr>
        <w:tab/>
      </w:r>
      <w:r w:rsidR="004B472A" w:rsidRPr="00BD6375">
        <w:rPr>
          <w:noProof/>
        </w:rPr>
        <w:t>Edellä 1 kohdassa tarkoitettua pyyntöä varten kriisinratkaisuviranomaisen on</w:t>
      </w:r>
    </w:p>
    <w:p w:rsidR="004B472A" w:rsidRPr="00BD6375" w:rsidRDefault="002F05C7" w:rsidP="002F05C7">
      <w:pPr>
        <w:pStyle w:val="Point1"/>
        <w:rPr>
          <w:noProof/>
        </w:rPr>
      </w:pPr>
      <w:r>
        <w:rPr>
          <w:noProof/>
        </w:rPr>
        <w:t>a)</w:t>
      </w:r>
      <w:r>
        <w:rPr>
          <w:noProof/>
        </w:rPr>
        <w:tab/>
      </w:r>
      <w:r w:rsidR="004B472A" w:rsidRPr="00BD6375">
        <w:rPr>
          <w:noProof/>
        </w:rPr>
        <w:t>yksilöitävä toimitettavat lisätiedot;</w:t>
      </w:r>
    </w:p>
    <w:p w:rsidR="004B472A" w:rsidRPr="00BD6375" w:rsidRDefault="002F05C7" w:rsidP="002F05C7">
      <w:pPr>
        <w:pStyle w:val="Point1"/>
        <w:rPr>
          <w:noProof/>
        </w:rPr>
      </w:pPr>
      <w:r>
        <w:rPr>
          <w:noProof/>
        </w:rPr>
        <w:t>b)</w:t>
      </w:r>
      <w:r>
        <w:rPr>
          <w:noProof/>
        </w:rPr>
        <w:tab/>
      </w:r>
      <w:r w:rsidR="004B472A" w:rsidRPr="00BD6375">
        <w:rPr>
          <w:noProof/>
        </w:rPr>
        <w:t>täsmennettävä pyydettyjen tietojen määrän ja monitahoisuuden perusteella asianmukainen määräaika, johon mennessä laitoksen tai konsernien tapauksessa unionissa emoyhtiönä toimivan yrityksen on toimitettava tiedot kriisinratkaisuviranomaiselle;</w:t>
      </w:r>
    </w:p>
    <w:p w:rsidR="004B472A" w:rsidRPr="00BD6375" w:rsidRDefault="002F05C7" w:rsidP="002F05C7">
      <w:pPr>
        <w:pStyle w:val="Point1"/>
        <w:rPr>
          <w:noProof/>
        </w:rPr>
      </w:pPr>
      <w:r>
        <w:rPr>
          <w:noProof/>
        </w:rPr>
        <w:t>c)</w:t>
      </w:r>
      <w:r>
        <w:rPr>
          <w:noProof/>
        </w:rPr>
        <w:tab/>
      </w:r>
      <w:r w:rsidR="004B472A" w:rsidRPr="00BD6375">
        <w:rPr>
          <w:noProof/>
        </w:rPr>
        <w:t>täsmennettävä muoto, jota laitosten tai konsernien tapauksessa unionissa emoyrityksenä toimivien yritysten on käytettävä toimittaessaan tiedot kriisinratkaisuviranomaiselle;</w:t>
      </w:r>
    </w:p>
    <w:p w:rsidR="004B472A" w:rsidRPr="00BD6375" w:rsidRDefault="002F05C7" w:rsidP="002F05C7">
      <w:pPr>
        <w:pStyle w:val="Point1"/>
        <w:rPr>
          <w:noProof/>
        </w:rPr>
      </w:pPr>
      <w:r>
        <w:rPr>
          <w:noProof/>
        </w:rPr>
        <w:t>d)</w:t>
      </w:r>
      <w:r>
        <w:rPr>
          <w:noProof/>
        </w:rPr>
        <w:tab/>
      </w:r>
      <w:r w:rsidR="004B472A" w:rsidRPr="00BD6375">
        <w:rPr>
          <w:noProof/>
        </w:rPr>
        <w:t>täsmennettävä, onko tiedot toimitettava yksittäisen yhteisön tasolla, alakonsolidointiryhmän tasolla vai konsolidoidusti ja onko ilmoitettavien tietojen koskettava paikallista, unionin laajuista vai maailmanlaajuista toimintaa;</w:t>
      </w:r>
    </w:p>
    <w:p w:rsidR="004B472A" w:rsidRPr="00BD6375" w:rsidRDefault="002F05C7" w:rsidP="002F05C7">
      <w:pPr>
        <w:pStyle w:val="Point1"/>
        <w:rPr>
          <w:noProof/>
        </w:rPr>
      </w:pPr>
      <w:r>
        <w:rPr>
          <w:noProof/>
        </w:rPr>
        <w:t>e)</w:t>
      </w:r>
      <w:r>
        <w:rPr>
          <w:noProof/>
        </w:rPr>
        <w:tab/>
      </w:r>
      <w:r w:rsidR="004B472A" w:rsidRPr="00BD6375">
        <w:rPr>
          <w:noProof/>
        </w:rPr>
        <w:t>täsmennettävä vastaanottaja, tietojenvaihdon muodot sekä tiedot, jotka on liitettävä mukaan, jos lisätietoja tarvitaan.</w:t>
      </w:r>
    </w:p>
    <w:p w:rsidR="004B472A" w:rsidRPr="00BD6375" w:rsidRDefault="004B472A" w:rsidP="00184085">
      <w:pPr>
        <w:pStyle w:val="Titrearticle"/>
        <w:rPr>
          <w:noProof/>
        </w:rPr>
      </w:pPr>
      <w:r w:rsidRPr="00BD6375">
        <w:rPr>
          <w:noProof/>
        </w:rPr>
        <w:t>9 artikla</w:t>
      </w:r>
    </w:p>
    <w:p w:rsidR="004B472A" w:rsidRPr="00BD6375" w:rsidRDefault="004B472A" w:rsidP="00184085">
      <w:pPr>
        <w:pStyle w:val="Titrearticle"/>
        <w:spacing w:before="0"/>
        <w:rPr>
          <w:b/>
          <w:bCs/>
          <w:i w:val="0"/>
          <w:iCs/>
          <w:noProof/>
        </w:rPr>
      </w:pPr>
      <w:r w:rsidRPr="00BD6375">
        <w:rPr>
          <w:b/>
          <w:i w:val="0"/>
          <w:noProof/>
        </w:rPr>
        <w:t>Toimivaltaisten viranomaisten ja kriisinratkaisuviranomaisten välinen yhteistyö</w:t>
      </w:r>
    </w:p>
    <w:p w:rsidR="004B472A" w:rsidRPr="00BD6375" w:rsidRDefault="00067BDE" w:rsidP="00067BDE">
      <w:pPr>
        <w:pStyle w:val="ManualNumPar1"/>
        <w:rPr>
          <w:noProof/>
        </w:rPr>
      </w:pPr>
      <w:r w:rsidRPr="00067BDE">
        <w:rPr>
          <w:noProof/>
        </w:rPr>
        <w:t>1.</w:t>
      </w:r>
      <w:r w:rsidRPr="00067BDE">
        <w:rPr>
          <w:noProof/>
        </w:rPr>
        <w:tab/>
      </w:r>
      <w:r w:rsidR="004B472A" w:rsidRPr="00BD6375">
        <w:rPr>
          <w:noProof/>
        </w:rPr>
        <w:t>Toimivaltaisten viranomaisten ja kriisinratkaisuviranomaisten on yhdessä todennettava, ovatko 2–5 artiklan sekä 7 ja 8 artiklan nojalla kriisinratkaisuviranomaiselle toimitettavat tiedot jo osittain tai kokonaisuudessaan toimivaltaisen viranomaisen saatavilla.</w:t>
      </w:r>
    </w:p>
    <w:p w:rsidR="004B472A" w:rsidRPr="00BD6375" w:rsidRDefault="00067BDE" w:rsidP="00067BDE">
      <w:pPr>
        <w:pStyle w:val="ManualNumPar1"/>
        <w:rPr>
          <w:noProof/>
        </w:rPr>
      </w:pPr>
      <w:r w:rsidRPr="00067BDE">
        <w:rPr>
          <w:noProof/>
        </w:rPr>
        <w:t>2.</w:t>
      </w:r>
      <w:r w:rsidRPr="00067BDE">
        <w:rPr>
          <w:noProof/>
        </w:rPr>
        <w:tab/>
      </w:r>
      <w:r w:rsidR="004B472A" w:rsidRPr="00BD6375">
        <w:rPr>
          <w:noProof/>
        </w:rPr>
        <w:t xml:space="preserve">Jos tiedot ovat jo osittain tai kokonaisuudessaan toimivaltaisen viranomaisen saatavilla, kyseisen viranomaisen on toimitettava nämä tiedot kriisinratkaisuviranomaiselle kohtuullisessa ajassa. </w:t>
      </w:r>
    </w:p>
    <w:p w:rsidR="004B472A" w:rsidRPr="00BD6375" w:rsidRDefault="00067BDE" w:rsidP="00067BDE">
      <w:pPr>
        <w:pStyle w:val="ManualNumPar1"/>
        <w:rPr>
          <w:noProof/>
        </w:rPr>
      </w:pPr>
      <w:r w:rsidRPr="00067BDE">
        <w:rPr>
          <w:noProof/>
        </w:rPr>
        <w:t>3.</w:t>
      </w:r>
      <w:r w:rsidRPr="00067BDE">
        <w:rPr>
          <w:noProof/>
        </w:rPr>
        <w:tab/>
      </w:r>
      <w:r w:rsidR="00914032" w:rsidRPr="00BD6375">
        <w:rPr>
          <w:noProof/>
        </w:rPr>
        <w:t>Edellä olevaa 2 kohtaa sovellettaessa kriisinratkaisuviranomaisten on ilmoitettava laitoksille tai konsernien tapauksessa unionissa emoyrityksenä toimiville yrityksille tiedoista, jotka on sisällytettävä tämän asetuksen nojalla toimitettaviin tietoihin. Kriisinratkaisuviranomaisten on yksilöitävä kyseiset tiedot viittaamalla liitteessä I vahvistettuihin lomakkeisiin.</w:t>
      </w:r>
    </w:p>
    <w:p w:rsidR="004B472A" w:rsidRPr="00BD6375" w:rsidRDefault="004B472A" w:rsidP="00184085">
      <w:pPr>
        <w:pStyle w:val="Titrearticle"/>
        <w:rPr>
          <w:noProof/>
        </w:rPr>
      </w:pPr>
      <w:r w:rsidRPr="00BD6375">
        <w:rPr>
          <w:noProof/>
        </w:rPr>
        <w:t>10 artikla</w:t>
      </w:r>
    </w:p>
    <w:p w:rsidR="004B472A" w:rsidRPr="00BD6375" w:rsidRDefault="004B472A" w:rsidP="00184085">
      <w:pPr>
        <w:pStyle w:val="Titrearticle"/>
        <w:spacing w:before="0"/>
        <w:rPr>
          <w:b/>
          <w:bCs/>
          <w:i w:val="0"/>
          <w:iCs/>
          <w:noProof/>
        </w:rPr>
      </w:pPr>
      <w:r w:rsidRPr="00BD6375">
        <w:rPr>
          <w:b/>
          <w:i w:val="0"/>
          <w:noProof/>
        </w:rPr>
        <w:t>Kumoaminen</w:t>
      </w:r>
    </w:p>
    <w:p w:rsidR="004B472A" w:rsidRPr="00BD6375" w:rsidRDefault="004B472A" w:rsidP="00184085">
      <w:pPr>
        <w:rPr>
          <w:noProof/>
        </w:rPr>
      </w:pPr>
      <w:r w:rsidRPr="00BD6375">
        <w:rPr>
          <w:noProof/>
        </w:rPr>
        <w:t>Kumotaan täytäntöönpanoasetus (EU) 2018/1624.</w:t>
      </w:r>
    </w:p>
    <w:p w:rsidR="004B472A" w:rsidRPr="00BD6375" w:rsidRDefault="004B472A" w:rsidP="00184085">
      <w:pPr>
        <w:rPr>
          <w:noProof/>
        </w:rPr>
      </w:pPr>
      <w:r w:rsidRPr="00BD6375">
        <w:rPr>
          <w:noProof/>
        </w:rPr>
        <w:t>Viittauksia kumottuun täytäntöönpanoasetukseen pidetään viittauksina tähän asetukseen.</w:t>
      </w:r>
    </w:p>
    <w:p w:rsidR="00860655" w:rsidRPr="00BD6375" w:rsidRDefault="00860655" w:rsidP="00184085">
      <w:pPr>
        <w:pStyle w:val="Titrearticle"/>
        <w:rPr>
          <w:noProof/>
        </w:rPr>
      </w:pPr>
      <w:r w:rsidRPr="00BD6375">
        <w:rPr>
          <w:noProof/>
        </w:rPr>
        <w:t>11 artikla</w:t>
      </w:r>
    </w:p>
    <w:p w:rsidR="004B472A" w:rsidRPr="00BD6375" w:rsidRDefault="004B472A" w:rsidP="00184085">
      <w:pPr>
        <w:pStyle w:val="Titrearticle"/>
        <w:spacing w:before="0"/>
        <w:rPr>
          <w:b/>
          <w:bCs/>
          <w:i w:val="0"/>
          <w:iCs/>
          <w:noProof/>
        </w:rPr>
      </w:pPr>
      <w:r w:rsidRPr="00BD6375">
        <w:rPr>
          <w:b/>
          <w:i w:val="0"/>
          <w:noProof/>
        </w:rPr>
        <w:t>Voimaantulo</w:t>
      </w:r>
    </w:p>
    <w:p w:rsidR="00860655" w:rsidRPr="00BD6375" w:rsidRDefault="00860655" w:rsidP="00184085">
      <w:pPr>
        <w:rPr>
          <w:noProof/>
        </w:rPr>
      </w:pPr>
      <w:r w:rsidRPr="00BD6375">
        <w:rPr>
          <w:noProof/>
        </w:rPr>
        <w:t xml:space="preserve">Tämä asetus tulee voimaan kahdentenakymmenentenä päivänä sen jälkeen, kun se on julkaistu </w:t>
      </w:r>
      <w:r w:rsidRPr="00BD6375">
        <w:rPr>
          <w:i/>
          <w:noProof/>
        </w:rPr>
        <w:t>Euroopan unionin virallisessa lehdessä</w:t>
      </w:r>
      <w:r w:rsidRPr="00BD6375">
        <w:rPr>
          <w:noProof/>
        </w:rPr>
        <w:t>.</w:t>
      </w:r>
    </w:p>
    <w:p w:rsidR="00860655" w:rsidRPr="00BD6375" w:rsidRDefault="00860655" w:rsidP="00BC02F6">
      <w:pPr>
        <w:pStyle w:val="Applicationdirecte"/>
        <w:keepNext/>
        <w:keepLines/>
        <w:rPr>
          <w:noProof/>
        </w:rPr>
      </w:pPr>
      <w:r w:rsidRPr="00BD6375">
        <w:rPr>
          <w:noProof/>
        </w:rPr>
        <w:t>Tämä asetus on kaikilta osiltaan velvoittava, ja sitä sovelletaan sellaisenaan kaikissa jäsenvaltioissa.</w:t>
      </w:r>
    </w:p>
    <w:p w:rsidR="00860655" w:rsidRPr="00BD6375" w:rsidRDefault="002D6782" w:rsidP="00BC02F6">
      <w:pPr>
        <w:pStyle w:val="Fait"/>
        <w:rPr>
          <w:noProof/>
        </w:rPr>
      </w:pPr>
      <w:r>
        <w:rPr>
          <w:noProof/>
        </w:rPr>
        <w:t>Tehty Brysselissä 14.11.2025</w:t>
      </w:r>
    </w:p>
    <w:p w:rsidR="00860655" w:rsidRPr="00BD6375" w:rsidRDefault="00860655" w:rsidP="00BC02F6">
      <w:pPr>
        <w:pStyle w:val="Institutionquisigne"/>
        <w:rPr>
          <w:noProof/>
        </w:rPr>
      </w:pPr>
      <w:r w:rsidRPr="00BD6375">
        <w:rPr>
          <w:noProof/>
        </w:rPr>
        <w:tab/>
        <w:t>Komission puolesta</w:t>
      </w:r>
    </w:p>
    <w:p w:rsidR="00860655" w:rsidRPr="00BD6375" w:rsidRDefault="00680676" w:rsidP="00184085">
      <w:pPr>
        <w:pStyle w:val="Personnequisigne"/>
        <w:rPr>
          <w:noProof/>
        </w:rPr>
      </w:pPr>
      <w:r>
        <w:rPr>
          <w:noProof/>
        </w:rPr>
        <w:tab/>
        <w:t>Puheenjohtaja</w:t>
      </w:r>
      <w:r>
        <w:rPr>
          <w:noProof/>
        </w:rPr>
        <w:br/>
      </w:r>
      <w:r>
        <w:rPr>
          <w:noProof/>
        </w:rPr>
        <w:tab/>
        <w:t>Ursula VON DER LEYEN</w:t>
      </w:r>
    </w:p>
    <w:sectPr w:rsidR="00860655" w:rsidRPr="00BD6375" w:rsidSect="00CE256B">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6B" w:rsidRPr="00CE256B" w:rsidRDefault="00CE256B" w:rsidP="00CE256B">
    <w:pPr>
      <w:pStyle w:val="Footer"/>
      <w:rPr>
        <w:rFonts w:ascii="Arial" w:hAnsi="Arial" w:cs="Arial"/>
        <w:b/>
        <w:sz w:val="48"/>
      </w:rPr>
    </w:pPr>
    <w:r w:rsidRPr="00CE256B">
      <w:rPr>
        <w:rFonts w:ascii="Arial" w:hAnsi="Arial" w:cs="Arial"/>
        <w:b/>
        <w:sz w:val="48"/>
      </w:rPr>
      <w:t>FI</w:t>
    </w:r>
    <w:r w:rsidRPr="00CE256B">
      <w:rPr>
        <w:rFonts w:ascii="Arial" w:hAnsi="Arial" w:cs="Arial"/>
        <w:b/>
        <w:sz w:val="48"/>
      </w:rPr>
      <w:tab/>
    </w:r>
    <w:r w:rsidRPr="00CE256B">
      <w:rPr>
        <w:rFonts w:ascii="Arial" w:hAnsi="Arial" w:cs="Arial"/>
        <w:b/>
        <w:sz w:val="48"/>
      </w:rPr>
      <w:tab/>
    </w:r>
    <w:r w:rsidRPr="00CE256B">
      <w:tab/>
    </w:r>
    <w:r w:rsidRPr="00CE256B">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6B" w:rsidRPr="00CE256B" w:rsidRDefault="00CE256B" w:rsidP="00CE256B">
    <w:pPr>
      <w:pStyle w:val="Footer"/>
      <w:rPr>
        <w:rFonts w:ascii="Arial" w:hAnsi="Arial" w:cs="Arial"/>
        <w:b/>
        <w:sz w:val="48"/>
      </w:rPr>
    </w:pPr>
    <w:r w:rsidRPr="00CE256B">
      <w:rPr>
        <w:rFonts w:ascii="Arial" w:hAnsi="Arial" w:cs="Arial"/>
        <w:b/>
        <w:sz w:val="48"/>
      </w:rPr>
      <w:t>FI</w:t>
    </w:r>
    <w:r w:rsidRPr="00CE256B">
      <w:rPr>
        <w:rFonts w:ascii="Arial" w:hAnsi="Arial" w:cs="Arial"/>
        <w:b/>
        <w:sz w:val="48"/>
      </w:rPr>
      <w:tab/>
    </w:r>
    <w:r w:rsidRPr="00CE256B">
      <w:rPr>
        <w:rFonts w:ascii="Arial" w:hAnsi="Arial" w:cs="Arial"/>
        <w:b/>
        <w:sz w:val="48"/>
      </w:rPr>
      <w:tab/>
    </w:r>
    <w:r w:rsidRPr="00CE256B">
      <w:tab/>
    </w:r>
    <w:r w:rsidRPr="00CE256B">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6B" w:rsidRDefault="00CE25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6B" w:rsidRPr="00CE256B" w:rsidRDefault="00CE256B" w:rsidP="00CE256B">
    <w:pPr>
      <w:pStyle w:val="Footer"/>
      <w:rPr>
        <w:rFonts w:ascii="Arial" w:hAnsi="Arial" w:cs="Arial"/>
        <w:b/>
        <w:sz w:val="48"/>
      </w:rPr>
    </w:pPr>
    <w:r w:rsidRPr="00CE256B">
      <w:rPr>
        <w:rFonts w:ascii="Arial" w:hAnsi="Arial" w:cs="Arial"/>
        <w:b/>
        <w:sz w:val="48"/>
      </w:rPr>
      <w:t>FI</w:t>
    </w:r>
    <w:r w:rsidRPr="00CE256B">
      <w:rPr>
        <w:rFonts w:ascii="Arial" w:hAnsi="Arial" w:cs="Arial"/>
        <w:b/>
        <w:sz w:val="48"/>
      </w:rPr>
      <w:tab/>
    </w:r>
    <w:r>
      <w:fldChar w:fldCharType="begin"/>
    </w:r>
    <w:r>
      <w:instrText xml:space="preserve"> PAGE  \* MERGEFORMAT </w:instrText>
    </w:r>
    <w:r>
      <w:fldChar w:fldCharType="separate"/>
    </w:r>
    <w:r w:rsidR="00AD24F2">
      <w:rPr>
        <w:noProof/>
      </w:rPr>
      <w:t>1</w:t>
    </w:r>
    <w:r>
      <w:fldChar w:fldCharType="end"/>
    </w:r>
    <w:r>
      <w:tab/>
    </w:r>
    <w:r w:rsidRPr="00CE256B">
      <w:tab/>
    </w:r>
    <w:r w:rsidRPr="00CE256B">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6B" w:rsidRDefault="00CE256B" w:rsidP="00CE2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32641B" w:rsidRDefault="00860655" w:rsidP="00730DBE">
      <w:pPr>
        <w:pStyle w:val="FootnoteText"/>
      </w:pPr>
      <w:r>
        <w:rPr>
          <w:rStyle w:val="FootnoteReference"/>
        </w:rPr>
        <w:footnoteRef/>
      </w:r>
      <w:r>
        <w:tab/>
        <w:t>EUVL L 173, 12.6.2014, s. 190, ELI: http://data.europa.eu/eli/dir/2014/59/oj.</w:t>
      </w:r>
    </w:p>
  </w:footnote>
  <w:footnote w:id="3">
    <w:p w:rsidR="00736C47" w:rsidRPr="004E6E7D" w:rsidRDefault="00736C47">
      <w:pPr>
        <w:pStyle w:val="FootnoteText"/>
      </w:pPr>
      <w:r>
        <w:rPr>
          <w:rStyle w:val="FootnoteReference"/>
        </w:rPr>
        <w:footnoteRef/>
      </w:r>
      <w:r>
        <w:tab/>
        <w:t>Komission täytäntöönpanoasetus (EU) 2018/1624, annettu 23 päivänä lokakuuta 2018, Euroopan parlamentin ja neuvoston direktiivin 2014/59/EU mukaisia luottolaitosten ja sijoituspalveluyritysten kriisinratkaisusuunnitelmia varten toimitettaviin tietoihin liittyviä menettelyjä ja vakiomuotoisia lomakkeita ja malleja koskevista teknisistä täytäntöönpanostandardeista ja komission täytäntöönpanoasetuksen (EU) 2016/1066 kumoamisesta (EUVL L 277, 7.11.2018, s. 1, ELI: http://data.europa.eu/eli/reg_impl/2018/1624/oj).</w:t>
      </w:r>
    </w:p>
  </w:footnote>
  <w:footnote w:id="4">
    <w:p w:rsidR="00736C47" w:rsidRPr="004E6E7D" w:rsidRDefault="00736C47">
      <w:pPr>
        <w:pStyle w:val="FootnoteText"/>
      </w:pPr>
      <w:r>
        <w:rPr>
          <w:rStyle w:val="FootnoteReference"/>
        </w:rPr>
        <w:footnoteRef/>
      </w:r>
      <w:r>
        <w:tab/>
        <w:t>Euroopan parlamentin ja neuvoston direktiivi (EU) 2024/1174, annettu 11 päivänä huhtikuuta 2024, direktiivin 2014/59/EU ja asetuksen (EU) N:o 806/2014 muuttamisesta omia varoja ja hyväksyttäviä velkoja koskevan vähimmäisvaatimuksen tiettyjen näkökohtien osalta (EUVL L, 2024/1174, 22.4.2024, s. 1, ELI: http://data.europa.eu/eli/dir/2024/1174/oj).</w:t>
      </w:r>
    </w:p>
  </w:footnote>
  <w:footnote w:id="5">
    <w:p w:rsidR="00736C47" w:rsidRPr="004E6E7D" w:rsidRDefault="00736C47">
      <w:pPr>
        <w:pStyle w:val="FootnoteText"/>
      </w:pPr>
      <w:r>
        <w:rPr>
          <w:rStyle w:val="FootnoteReference"/>
        </w:rPr>
        <w:footnoteRef/>
      </w:r>
      <w:r>
        <w:tab/>
        <w:t>Euroopan parlamentin ja neuvoston asetus (EU) N:o 1093/2010, annettu 24 päivänä marraskuuta 2010, Euroopan valvontaviranomaisen (Euroopan pankkiviranomainen) perustamisesta sekä päätöksen N:o 716/2009/EY muuttamisesta ja komission päätöksen 2009/78/EY kumoamisesta (EUVL L 331, 15.12.2010, s. 12, ELI: http://data.europa.eu/eli/reg/2010/1093/oj).</w:t>
      </w:r>
    </w:p>
  </w:footnote>
  <w:footnote w:id="6">
    <w:p w:rsidR="00736C47" w:rsidRPr="004E6E7D" w:rsidRDefault="00736C47">
      <w:pPr>
        <w:pStyle w:val="FootnoteText"/>
      </w:pPr>
      <w:r>
        <w:rPr>
          <w:rStyle w:val="FootnoteReference"/>
        </w:rPr>
        <w:footnoteRef/>
      </w:r>
      <w:r>
        <w:tab/>
        <w:t>Euroopan parlamentin ja neuvoston asetus (EU) N:o 575/2013, annettu 26 päivänä kesäkuuta 2013, luottolaitosten vakavaraisuusvaatimuksista ja asetuksen (EU) N:o 648/2012 muuttamisesta (EUVL L 176, 27.6.2013, s. 1, ELI: http://data.europa.eu/eli/reg/2013/575/oj).</w:t>
      </w:r>
    </w:p>
  </w:footnote>
  <w:footnote w:id="7">
    <w:p w:rsidR="00736C47" w:rsidRPr="004E6E7D" w:rsidRDefault="00736C47">
      <w:pPr>
        <w:pStyle w:val="FootnoteText"/>
      </w:pPr>
      <w:r>
        <w:rPr>
          <w:rStyle w:val="FootnoteReference"/>
        </w:rPr>
        <w:footnoteRef/>
      </w:r>
      <w:r>
        <w:tab/>
        <w:t>Euroopan parlamentin ja neuvoston direktiivi 2013/36/EU, annettu 26 päivänä kesäkuuta 2013, oikeudesta harjoittaa luottolaitostoimintaa ja luottolaitosten vakavaraisuusvalvonnasta, direktiivin 2002/87/EY muuttamisesta sekä direktiivien 2006/48/EY ja 2006/49/EY kumoamisesta (EUVL L 176, 27.6.2013, s. 338, ELI: http://data.europa.eu/eli/dir/2013/36/oj).</w:t>
      </w:r>
    </w:p>
  </w:footnote>
  <w:footnote w:id="8">
    <w:p w:rsidR="00736C47" w:rsidRPr="00736C47" w:rsidRDefault="00736C47">
      <w:pPr>
        <w:pStyle w:val="FootnoteText"/>
      </w:pPr>
      <w:r>
        <w:rPr>
          <w:rStyle w:val="FootnoteReference"/>
        </w:rPr>
        <w:footnoteRef/>
      </w:r>
      <w:r>
        <w:tab/>
        <w:t>Euroopan parlamentin ja neuvoston asetus (EU) 2019/2033, annettu 27. päivänä marraskuuta 2019, sijoituspalveluyritysten vakavaraisuusvaatimuksista sekä asetusten (EU) N:o 1093/2010, (EU) N:o 575/2013, (EU) N:o 600/2014 ja (EU) N:o 806/2014 muuttamisesta (EUVL L 314, 5.12.2019, s.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6B" w:rsidRDefault="00CE2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6B" w:rsidRDefault="00CE2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3"/>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6"/>
  </w:num>
  <w:num w:numId="15">
    <w:abstractNumId w:val="2"/>
  </w:num>
  <w:num w:numId="16">
    <w:abstractNumId w:val="1"/>
  </w:num>
  <w:num w:numId="17">
    <w:abstractNumId w:val="0"/>
  </w:num>
  <w:num w:numId="18">
    <w:abstractNumId w:val="19"/>
  </w:num>
  <w:num w:numId="19">
    <w:abstractNumId w:val="12"/>
  </w:num>
  <w:num w:numId="20">
    <w:abstractNumId w:val="21"/>
  </w:num>
  <w:num w:numId="21">
    <w:abstractNumId w:val="11"/>
  </w:num>
  <w:num w:numId="22">
    <w:abstractNumId w:val="13"/>
  </w:num>
  <w:num w:numId="23">
    <w:abstractNumId w:val="14"/>
  </w:num>
  <w:num w:numId="24">
    <w:abstractNumId w:val="9"/>
  </w:num>
  <w:num w:numId="25">
    <w:abstractNumId w:val="20"/>
  </w:num>
  <w:num w:numId="26">
    <w:abstractNumId w:val="8"/>
  </w:num>
  <w:num w:numId="27">
    <w:abstractNumId w:val="15"/>
  </w:num>
  <w:num w:numId="28">
    <w:abstractNumId w:val="17"/>
  </w:num>
  <w:num w:numId="29">
    <w:abstractNumId w:val="18"/>
  </w:num>
  <w:num w:numId="30">
    <w:abstractNumId w:val="10"/>
  </w:num>
  <w:num w:numId="31">
    <w:abstractNumId w:val="16"/>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7:0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D4394A3-0D41-4E34-926B-52183F67183D"/>
    <w:docVar w:name="LW_COVERPAGE_TYPE" w:val="1"/>
    <w:docVar w:name="LW_CreatedUtc" w:val="2025-04-09T13:24:10.7425134Z"/>
    <w:docVar w:name="LW_CROSSREFERENCE" w:val="&lt;UNUSED&gt;"/>
    <w:docVar w:name="LW_DATE.ADOPT.CP" w:val="annettu 14.11.2025,"/>
    <w:docVar w:name="LW_DATE.ADOPT.CP_DATEFORMAT" w:val="annettu %DATE%,"/>
    <w:docVar w:name="LW_DATE.ADOPT.CP_ISODATE" w:val="2025-11-14"/>
    <w:docVar w:name="LW_DocType" w:val="COM"/>
    <w:docVar w:name="LW_EMISSION" w:val="14.11.2025"/>
    <w:docVar w:name="LW_EMISSION_ISODATE" w:val="2025-11-14"/>
    <w:docVar w:name="LW_EMISSION_LOCATION" w:val="BRX"/>
    <w:docVar w:name="LW_EMISSION_PREFIX" w:val="Bryssel "/>
    <w:docVar w:name="LW_EMISSION_SUFFIX" w:val=" "/>
    <w:docVar w:name="LW_ID_DOCMODEL" w:val="SJ-004"/>
    <w:docVar w:name="LW_ID_DOCSIGNATURE" w:val="SJ-004"/>
    <w:docVar w:name="LW_ID_DOCSTRUCTURE" w:val="COM/AA"/>
    <w:docVar w:name="LW_ID_DOCTYPE" w:val="SJ-004"/>
    <w:docVar w:name="LW_INTERETEEE.CP" w:val="(ETA:n kannalta merkityksellinen teksti)"/>
    <w:docVar w:name="LW_LANGUE" w:val="FI"/>
    <w:docVar w:name="LW_LANGUESFAISANTFOI.CP" w:val="&lt;UNUSED&gt;"/>
    <w:docVar w:name="LW_LEVEL_OF_SENSITIVITY" w:val="Standard treatment"/>
    <w:docVar w:name="LW_NOM.INST" w:val="EUROOPAN KOMISSIO"/>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roopan parlamentin ja neuvoston direktiivin 2014/59/EU mukaisia luottolaitosten ja sijoituspalveluyritysten kriisinratkaisusuunnitelmia varten toimitettaviin tietoihin liittyviä menettelyjä ja vakiomuotoisia lomakkeita ja malleja koskevista teknisistä täytäntöönpanostandardeista ja komission täytäntöönpanoasetuksen (EU) 2018/1624 kumoamisesta"/>
    <w:docVar w:name="LW_TYPE.DOC.CP" w:val="KOMISSION TÄYTÄNTÖÖNPANOASETUS (EU) \u8230?/\u8230?,"/>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6F5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67BDE"/>
    <w:rsid w:val="0007008A"/>
    <w:rsid w:val="0007047E"/>
    <w:rsid w:val="000707FA"/>
    <w:rsid w:val="000727CE"/>
    <w:rsid w:val="0007402A"/>
    <w:rsid w:val="000754EB"/>
    <w:rsid w:val="000767F8"/>
    <w:rsid w:val="00081C46"/>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56FB"/>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CFE"/>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6782"/>
    <w:rsid w:val="002D7FAC"/>
    <w:rsid w:val="002E3C5D"/>
    <w:rsid w:val="002E5C8D"/>
    <w:rsid w:val="002E68E1"/>
    <w:rsid w:val="002E74B0"/>
    <w:rsid w:val="002F05C7"/>
    <w:rsid w:val="002F1560"/>
    <w:rsid w:val="002F1851"/>
    <w:rsid w:val="002F1900"/>
    <w:rsid w:val="002F25EA"/>
    <w:rsid w:val="002F371C"/>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86A65"/>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908DD"/>
    <w:rsid w:val="00492396"/>
    <w:rsid w:val="004936D2"/>
    <w:rsid w:val="00494F92"/>
    <w:rsid w:val="00496A67"/>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655BA"/>
    <w:rsid w:val="00573EF6"/>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10E8E"/>
    <w:rsid w:val="00611E70"/>
    <w:rsid w:val="00611F25"/>
    <w:rsid w:val="00612BC5"/>
    <w:rsid w:val="006158D1"/>
    <w:rsid w:val="00624324"/>
    <w:rsid w:val="006265C3"/>
    <w:rsid w:val="00626A19"/>
    <w:rsid w:val="00626D86"/>
    <w:rsid w:val="0063050B"/>
    <w:rsid w:val="006337F7"/>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1510"/>
    <w:rsid w:val="006718D1"/>
    <w:rsid w:val="00673012"/>
    <w:rsid w:val="006770DE"/>
    <w:rsid w:val="00680676"/>
    <w:rsid w:val="006812BE"/>
    <w:rsid w:val="00683718"/>
    <w:rsid w:val="00684176"/>
    <w:rsid w:val="00685E97"/>
    <w:rsid w:val="00686CE0"/>
    <w:rsid w:val="00687191"/>
    <w:rsid w:val="00690DBD"/>
    <w:rsid w:val="00691861"/>
    <w:rsid w:val="006920CD"/>
    <w:rsid w:val="00694AFE"/>
    <w:rsid w:val="00694F0B"/>
    <w:rsid w:val="00696893"/>
    <w:rsid w:val="00697E0E"/>
    <w:rsid w:val="006A0137"/>
    <w:rsid w:val="006A0F10"/>
    <w:rsid w:val="006A269B"/>
    <w:rsid w:val="006A5DD5"/>
    <w:rsid w:val="006B6FB1"/>
    <w:rsid w:val="006C0B4F"/>
    <w:rsid w:val="006C12BE"/>
    <w:rsid w:val="006C55AC"/>
    <w:rsid w:val="006C67E3"/>
    <w:rsid w:val="006D097A"/>
    <w:rsid w:val="006D0ED5"/>
    <w:rsid w:val="006D3E83"/>
    <w:rsid w:val="006D4070"/>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D47"/>
    <w:rsid w:val="00793E16"/>
    <w:rsid w:val="007945A5"/>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B3320"/>
    <w:rsid w:val="009B4623"/>
    <w:rsid w:val="009B5048"/>
    <w:rsid w:val="009B5878"/>
    <w:rsid w:val="009B6887"/>
    <w:rsid w:val="009B7970"/>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6DE3"/>
    <w:rsid w:val="00A52D5E"/>
    <w:rsid w:val="00A546BE"/>
    <w:rsid w:val="00A5534F"/>
    <w:rsid w:val="00A565C7"/>
    <w:rsid w:val="00A61F97"/>
    <w:rsid w:val="00A62D23"/>
    <w:rsid w:val="00A634A0"/>
    <w:rsid w:val="00A642FA"/>
    <w:rsid w:val="00A748FA"/>
    <w:rsid w:val="00A803C4"/>
    <w:rsid w:val="00A82F1C"/>
    <w:rsid w:val="00A847C6"/>
    <w:rsid w:val="00A85B65"/>
    <w:rsid w:val="00A93F8D"/>
    <w:rsid w:val="00A95E76"/>
    <w:rsid w:val="00AA112B"/>
    <w:rsid w:val="00AA1EA4"/>
    <w:rsid w:val="00AC295E"/>
    <w:rsid w:val="00AC3770"/>
    <w:rsid w:val="00AC74CC"/>
    <w:rsid w:val="00AC7E59"/>
    <w:rsid w:val="00AD24F2"/>
    <w:rsid w:val="00AD7F1F"/>
    <w:rsid w:val="00AE0728"/>
    <w:rsid w:val="00AE192E"/>
    <w:rsid w:val="00AE3F9E"/>
    <w:rsid w:val="00AE4E1E"/>
    <w:rsid w:val="00AE4FE2"/>
    <w:rsid w:val="00AE58D0"/>
    <w:rsid w:val="00AE6F4F"/>
    <w:rsid w:val="00AE7978"/>
    <w:rsid w:val="00AE7C0B"/>
    <w:rsid w:val="00AF08F2"/>
    <w:rsid w:val="00AF3F96"/>
    <w:rsid w:val="00AF4187"/>
    <w:rsid w:val="00AF4794"/>
    <w:rsid w:val="00AF6912"/>
    <w:rsid w:val="00B01D7E"/>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34C7"/>
    <w:rsid w:val="00B625B1"/>
    <w:rsid w:val="00B705D2"/>
    <w:rsid w:val="00B7088E"/>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02F6"/>
    <w:rsid w:val="00BC13FD"/>
    <w:rsid w:val="00BC176E"/>
    <w:rsid w:val="00BC3610"/>
    <w:rsid w:val="00BC4FE7"/>
    <w:rsid w:val="00BC52C4"/>
    <w:rsid w:val="00BD3695"/>
    <w:rsid w:val="00BD5399"/>
    <w:rsid w:val="00BD585C"/>
    <w:rsid w:val="00BD6375"/>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C694B"/>
    <w:rsid w:val="00CD0397"/>
    <w:rsid w:val="00CD1AF7"/>
    <w:rsid w:val="00CD68E8"/>
    <w:rsid w:val="00CD768C"/>
    <w:rsid w:val="00CE1299"/>
    <w:rsid w:val="00CE256B"/>
    <w:rsid w:val="00CE6508"/>
    <w:rsid w:val="00CE76FF"/>
    <w:rsid w:val="00CE7755"/>
    <w:rsid w:val="00CF011D"/>
    <w:rsid w:val="00CF1374"/>
    <w:rsid w:val="00CF35BA"/>
    <w:rsid w:val="00CF57F8"/>
    <w:rsid w:val="00CF5F99"/>
    <w:rsid w:val="00CF7376"/>
    <w:rsid w:val="00CF7834"/>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8EA"/>
    <w:rsid w:val="00D763CC"/>
    <w:rsid w:val="00D77F5A"/>
    <w:rsid w:val="00D80DDB"/>
    <w:rsid w:val="00D816C1"/>
    <w:rsid w:val="00D837D8"/>
    <w:rsid w:val="00D8563D"/>
    <w:rsid w:val="00D86024"/>
    <w:rsid w:val="00D87E74"/>
    <w:rsid w:val="00D9060D"/>
    <w:rsid w:val="00D96D85"/>
    <w:rsid w:val="00D975AA"/>
    <w:rsid w:val="00DA2214"/>
    <w:rsid w:val="00DA3B8F"/>
    <w:rsid w:val="00DA744D"/>
    <w:rsid w:val="00DB2642"/>
    <w:rsid w:val="00DB4867"/>
    <w:rsid w:val="00DB4B20"/>
    <w:rsid w:val="00DB5830"/>
    <w:rsid w:val="00DC1A68"/>
    <w:rsid w:val="00DC2B49"/>
    <w:rsid w:val="00DC2FF2"/>
    <w:rsid w:val="00DC7883"/>
    <w:rsid w:val="00DC7E05"/>
    <w:rsid w:val="00DD0B0B"/>
    <w:rsid w:val="00DD40EE"/>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449E9"/>
    <w:rsid w:val="00E45B2A"/>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4A5B"/>
    <w:rsid w:val="00EB5A7D"/>
    <w:rsid w:val="00EB6734"/>
    <w:rsid w:val="00EB6BDF"/>
    <w:rsid w:val="00EC2288"/>
    <w:rsid w:val="00EC39BC"/>
    <w:rsid w:val="00ED1286"/>
    <w:rsid w:val="00ED4AE9"/>
    <w:rsid w:val="00ED4B07"/>
    <w:rsid w:val="00ED634A"/>
    <w:rsid w:val="00ED6776"/>
    <w:rsid w:val="00EE140B"/>
    <w:rsid w:val="00EE20C7"/>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60A6"/>
    <w:rsid w:val="00F336AC"/>
    <w:rsid w:val="00F411AA"/>
    <w:rsid w:val="00F420B9"/>
    <w:rsid w:val="00F4455F"/>
    <w:rsid w:val="00F50966"/>
    <w:rsid w:val="00F603E8"/>
    <w:rsid w:val="00F6057B"/>
    <w:rsid w:val="00F62F9E"/>
    <w:rsid w:val="00F62FF5"/>
    <w:rsid w:val="00F658FB"/>
    <w:rsid w:val="00F66A8D"/>
    <w:rsid w:val="00F674E6"/>
    <w:rsid w:val="00F715B9"/>
    <w:rsid w:val="00F71D65"/>
    <w:rsid w:val="00F7500C"/>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6440"/>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fi-FI"/>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fi-FI"/>
    </w:rPr>
  </w:style>
  <w:style w:type="paragraph" w:customStyle="1" w:styleId="Numberedtilelevel1">
    <w:name w:val="Numbered tile level 1"/>
    <w:basedOn w:val="Normal"/>
    <w:qFormat/>
    <w:rsid w:val="00F66A8D"/>
    <w:pPr>
      <w:numPr>
        <w:numId w:val="13"/>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3"/>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3"/>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14"/>
      </w:numPr>
      <w:contextualSpacing/>
    </w:pPr>
  </w:style>
  <w:style w:type="paragraph" w:styleId="ListNumber2">
    <w:name w:val="List Number 2"/>
    <w:basedOn w:val="Normal"/>
    <w:uiPriority w:val="99"/>
    <w:semiHidden/>
    <w:unhideWhenUsed/>
    <w:rsid w:val="00F66A8D"/>
    <w:pPr>
      <w:numPr>
        <w:numId w:val="15"/>
      </w:numPr>
      <w:contextualSpacing/>
    </w:pPr>
  </w:style>
  <w:style w:type="paragraph" w:styleId="ListNumber3">
    <w:name w:val="List Number 3"/>
    <w:basedOn w:val="Normal"/>
    <w:uiPriority w:val="99"/>
    <w:semiHidden/>
    <w:unhideWhenUsed/>
    <w:rsid w:val="00F66A8D"/>
    <w:pPr>
      <w:numPr>
        <w:numId w:val="16"/>
      </w:numPr>
      <w:contextualSpacing/>
    </w:pPr>
  </w:style>
  <w:style w:type="paragraph" w:styleId="ListNumber4">
    <w:name w:val="List Number 4"/>
    <w:basedOn w:val="Normal"/>
    <w:uiPriority w:val="99"/>
    <w:semiHidden/>
    <w:unhideWhenUsed/>
    <w:rsid w:val="00F66A8D"/>
    <w:pPr>
      <w:numPr>
        <w:numId w:val="17"/>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CE256B"/>
    <w:rPr>
      <w:rFonts w:ascii="Times New Roman" w:hAnsi="Times New Roman" w:cs="Times New Roman"/>
      <w:sz w:val="24"/>
      <w:lang w:val="fi-FI"/>
    </w:rPr>
  </w:style>
  <w:style w:type="character" w:customStyle="1" w:styleId="FooterChar">
    <w:name w:val="Footer Char"/>
    <w:basedOn w:val="DefaultParagraphFont"/>
    <w:link w:val="Footer"/>
    <w:uiPriority w:val="99"/>
    <w:rsid w:val="00CE256B"/>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E256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E256B"/>
    <w:pPr>
      <w:spacing w:before="0"/>
      <w:jc w:val="right"/>
    </w:pPr>
    <w:rPr>
      <w:sz w:val="28"/>
    </w:rPr>
  </w:style>
  <w:style w:type="paragraph" w:customStyle="1" w:styleId="FooterSensitivity">
    <w:name w:val="Footer Sensitivity"/>
    <w:basedOn w:val="Normal"/>
    <w:rsid w:val="00CE256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E256B"/>
    <w:pPr>
      <w:tabs>
        <w:tab w:val="center" w:pos="4535"/>
        <w:tab w:val="right" w:pos="9071"/>
      </w:tabs>
      <w:spacing w:before="0"/>
    </w:pPr>
  </w:style>
  <w:style w:type="paragraph" w:customStyle="1" w:styleId="HeaderLandscape">
    <w:name w:val="HeaderLandscape"/>
    <w:basedOn w:val="Normal"/>
    <w:rsid w:val="00CE256B"/>
    <w:pPr>
      <w:tabs>
        <w:tab w:val="center" w:pos="7285"/>
        <w:tab w:val="right" w:pos="14003"/>
      </w:tabs>
      <w:spacing w:before="0"/>
    </w:pPr>
  </w:style>
  <w:style w:type="paragraph" w:styleId="Footer">
    <w:name w:val="footer"/>
    <w:basedOn w:val="Normal"/>
    <w:link w:val="FooterChar"/>
    <w:uiPriority w:val="99"/>
    <w:unhideWhenUsed/>
    <w:rsid w:val="00CE256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E256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60BCE-8EB3-4832-AFC2-329D9AD324F7}">
  <ds:schemaRefs>
    <ds:schemaRef ds:uri="http://schemas.microsoft.com/sharepoint/v3/contenttype/forms"/>
  </ds:schemaRefs>
</ds:datastoreItem>
</file>

<file path=customXml/itemProps3.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Props/app.xml><?xml version="1.0" encoding="utf-8"?>
<Properties xmlns="http://schemas.openxmlformats.org/officeDocument/2006/extended-properties" xmlns:vt="http://schemas.openxmlformats.org/officeDocument/2006/docPropsVTypes">
  <Template>COM.dotm</Template>
  <TotalTime>22</TotalTime>
  <Pages>11</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62</cp:revision>
  <dcterms:created xsi:type="dcterms:W3CDTF">2025-08-04T13:17:00Z</dcterms:created>
  <dcterms:modified xsi:type="dcterms:W3CDTF">2025-11-07T09:07:00Z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