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C87C" w14:textId="77777777" w:rsidR="00E50DD0" w:rsidRDefault="00E50DD0" w:rsidP="00E50DD0">
      <w:pPr>
        <w:jc w:val="center"/>
        <w:rPr>
          <w:sz w:val="24"/>
          <w:szCs w:val="22"/>
          <w:rFonts w:ascii="Times New Roman" w:hAnsi="Times New Roman"/>
        </w:rPr>
      </w:pPr>
      <w:r>
        <w:rPr>
          <w:sz w:val="24"/>
          <w:rFonts w:ascii="Times New Roman" w:hAnsi="Times New Roman"/>
        </w:rPr>
        <w:t xml:space="preserve">FR</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ANNEXE II</w:t>
      </w:r>
    </w:p>
    <w:p w14:paraId="33BF0F02" w14:textId="77777777" w:rsidR="00DD798A" w:rsidRPr="00037E7B" w:rsidRDefault="00DD798A" w:rsidP="00DD798A">
      <w:pPr>
        <w:jc w:val="center"/>
        <w:rPr>
          <w:sz w:val="24"/>
          <w:rFonts w:ascii="Times New Roman" w:hAnsi="Times New Roman"/>
        </w:rPr>
      </w:pPr>
      <w:r>
        <w:rPr>
          <w:sz w:val="24"/>
          <w:rFonts w:ascii="Times New Roman" w:hAnsi="Times New Roman"/>
        </w:rPr>
        <w:t xml:space="preserve">«ANNEXE II</w:t>
      </w:r>
    </w:p>
    <w:p w14:paraId="43AF84F6" w14:textId="77777777" w:rsidR="00DD798A" w:rsidRPr="00037E7B" w:rsidRDefault="00DD798A" w:rsidP="00DD798A">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6B9B322A" w14:textId="77777777" w:rsidR="00E26A90" w:rsidRDefault="00E26A90"/>
    <w:p w14:paraId="2A45E9E8" w14:textId="77777777" w:rsidR="00A931D0" w:rsidRDefault="00A931D0" w:rsidP="00A931D0">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PARTIE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INSTRUCTIONS RELATIVES AUX MODÈLES</w:t>
      </w:r>
    </w:p>
    <w:p w14:paraId="572B21DA" w14:textId="77777777" w:rsidR="00A931D0"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2CBE875B" w14:textId="77777777" w:rsidR="00A931D0" w:rsidRPr="00736637" w:rsidRDefault="00A931D0" w:rsidP="00A931D0">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09.01 - Répartition géographique des expositions par pays de résidence du débiteur:</w:t>
      </w:r>
      <w:r>
        <w:rPr>
          <w:sz w:val="24"/>
          <w:rFonts w:ascii="Times New Roman" w:hAnsi="Times New Roman"/>
        </w:rPr>
        <w:t xml:space="preserve"> </w:t>
      </w:r>
      <w:r>
        <w:rPr>
          <w:sz w:val="24"/>
          <w:rFonts w:ascii="Times New Roman" w:hAnsi="Times New Roman"/>
        </w:rPr>
        <w:t xml:space="preserve">expositions en approche standard (CR GB 1)</w:t>
      </w:r>
    </w:p>
    <w:p w14:paraId="0D9A10C4"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0" w:name="_Toc360188363"/>
      <w:bookmarkStart w:id="1" w:name="_Toc473560914"/>
      <w:bookmarkStart w:id="2" w:name="_Toc151714418"/>
      <w:r>
        <w:rPr>
          <w:sz w:val="24"/>
          <w:u w:val="none"/>
          <w:rFonts w:ascii="Times New Roman" w:hAnsi="Times New Roman"/>
        </w:rPr>
        <w:t xml:space="preserve">3.4.1.1.</w:t>
      </w:r>
      <w:r>
        <w:rPr>
          <w:sz w:val="24"/>
          <w:u w:val="none"/>
          <w:rFonts w:ascii="Times New Roman" w:hAnsi="Times New Roman"/>
        </w:rPr>
        <w:tab/>
      </w:r>
      <w:r>
        <w:rPr>
          <w:sz w:val="24"/>
          <w:rFonts w:ascii="Times New Roman" w:hAnsi="Times New Roman"/>
        </w:rPr>
        <w:t xml:space="preserve">Instructions concernant certaines positions</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Colonnes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4841BFD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EXPOSITION INITIALE AVANT APPLICATION DES FACTEURS DE CONVERSION</w:t>
            </w:r>
          </w:p>
          <w:p w14:paraId="1D6A0F00" w14:textId="77777777" w:rsidR="009D6580" w:rsidRPr="002A677E" w:rsidRDefault="009D6580" w:rsidP="00822842">
            <w:pPr>
              <w:rPr>
                <w:sz w:val="24"/>
                <w:rFonts w:ascii="Times New Roman" w:hAnsi="Times New Roman"/>
              </w:rPr>
            </w:pPr>
            <w:r>
              <w:rPr>
                <w:sz w:val="24"/>
                <w:rFonts w:ascii="Times New Roman" w:hAnsi="Times New Roman"/>
              </w:rPr>
              <w:t xml:space="preserve">Même définition que pour la colonne 0010 du modèle CR SA.</w:t>
            </w:r>
          </w:p>
        </w:tc>
      </w:tr>
      <w:tr w:rsidR="009D6580" w:rsidRPr="002A677E" w14:paraId="5F923D3B" w14:textId="77777777" w:rsidTr="00822842">
        <w:tc>
          <w:tcPr>
            <w:tcW w:w="1188" w:type="dxa"/>
          </w:tcPr>
          <w:p w14:paraId="69087815"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04F3B53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Expositions en défaut</w:t>
            </w:r>
          </w:p>
          <w:p w14:paraId="147BD4ED" w14:textId="29FBEBE8"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Exposition initiale avant application des facteurs de conversion pour les expositions classées dans la catégorie “expositions en défaut” ainsi que pour les expositions en défaut affectées à la catégorie d’exposition “expositions sous forme d’actions” et les expositions en défaut affectées à la catégorie d’exposition “Expositions sous forme de parts ou d’actions d’OPC”.</w:t>
            </w:r>
          </w:p>
          <w:p w14:paraId="6DA448AF"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Ce “poste pour mémoire” fournira des données supplémentaires sur la structure par débiteur des expositions en défaut.</w:t>
            </w:r>
            <w:r>
              <w:rPr>
                <w:sz w:val="24"/>
                <w:rStyle w:val="InstructionsTabelleText"/>
                <w:rFonts w:ascii="Times New Roman" w:hAnsi="Times New Roman"/>
              </w:rPr>
              <w:t xml:space="preserve"> </w:t>
            </w:r>
            <w:r>
              <w:rPr>
                <w:sz w:val="24"/>
                <w:rStyle w:val="InstructionsTabelleText"/>
                <w:rFonts w:ascii="Times New Roman" w:hAnsi="Times New Roman"/>
              </w:rPr>
              <w:t xml:space="preserve">Les expositions classées dans la catégorie “expositions en défaut”, visée à l’article 112, point j), du règlement (UE) nº 575/2013, sont déclarées là où les débiteurs auraient été déclarés si ces expositions n’avaient pas été affectées à la catégorie d’exposition “expositions en défaut”.</w:t>
            </w:r>
            <w:r>
              <w:rPr>
                <w:sz w:val="24"/>
                <w:rStyle w:val="InstructionsTabelleText"/>
                <w:rFonts w:ascii="Times New Roman" w:hAnsi="Times New Roman"/>
              </w:rPr>
              <w:t xml:space="preserve"> </w:t>
            </w:r>
          </w:p>
          <w:p w14:paraId="52855171" w14:textId="65C7A920" w:rsidR="009D6580" w:rsidRPr="002A677E" w:rsidRDefault="00123FDD" w:rsidP="00822842">
            <w:pPr>
              <w:rPr>
                <w:sz w:val="24"/>
                <w:rFonts w:ascii="Times New Roman" w:hAnsi="Times New Roman"/>
              </w:rPr>
            </w:pPr>
            <w:r>
              <w:rPr>
                <w:sz w:val="24"/>
                <w:rFonts w:ascii="Times New Roman" w:hAnsi="Times New Roman"/>
              </w:rPr>
              <w:t xml:space="preserve">Ce poste est un “poste pour mémoire”, c’est-à-dire qu’il n’influence pas le calcul des montants d’exposition pondérés des catégories d’exposition “expositions en défaut”, “expositions sous forme d’actions” ou “expositions sous forme d’actions ou de parts d’OPC” visées, respectivement, à l’article 112, points j), p) et o), du règlement (UE) nº 575/2013.</w:t>
            </w:r>
          </w:p>
        </w:tc>
      </w:tr>
      <w:tr w:rsidR="009D6580" w:rsidRPr="002A677E" w14:paraId="12737C01" w14:textId="77777777" w:rsidTr="00822842">
        <w:tc>
          <w:tcPr>
            <w:tcW w:w="1188" w:type="dxa"/>
          </w:tcPr>
          <w:p w14:paraId="0843F0D4"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17ABA2D"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Nouveaux défauts observés sur la période</w:t>
            </w:r>
          </w:p>
          <w:p w14:paraId="4C451CE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Les montants d'expositions initiales qui sont passés dans la catégorie d'expositions “expositions en défaut” dans les trois mois suivant la dernière date de déclaration de référence sont déclarés dans la catégorie d'exposition à laquelle appartenait le débiteur à l'origine.</w:t>
            </w:r>
          </w:p>
        </w:tc>
      </w:tr>
      <w:tr w:rsidR="009D6580" w:rsidRPr="002A677E" w14:paraId="59173FA8" w14:textId="77777777" w:rsidTr="00822842">
        <w:tc>
          <w:tcPr>
            <w:tcW w:w="1188" w:type="dxa"/>
          </w:tcPr>
          <w:p w14:paraId="7368E5E9"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1A491AA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Ajustements pour risque de crédit général</w:t>
            </w:r>
          </w:p>
          <w:p w14:paraId="019027A7" w14:textId="77777777" w:rsidR="009D6580" w:rsidRPr="002A677E" w:rsidRDefault="009D6580" w:rsidP="00822842">
            <w:pPr>
              <w:rPr>
                <w:sz w:val="24"/>
                <w:rFonts w:ascii="Times New Roman" w:hAnsi="Times New Roman"/>
              </w:rPr>
            </w:pPr>
            <w:r>
              <w:rPr>
                <w:sz w:val="24"/>
                <w:rFonts w:ascii="Times New Roman" w:hAnsi="Times New Roman"/>
              </w:rPr>
              <w:t xml:space="preserve">Ajustements pour risque de crédit visés à l’article 110 du règlement (UE) nº 575/2013, ainsi qu’au règlement (UE) nº 183/2014.</w:t>
            </w:r>
            <w:r>
              <w:rPr>
                <w:sz w:val="24"/>
                <w:rFonts w:ascii="Times New Roman" w:hAnsi="Times New Roman"/>
              </w:rPr>
              <w:t xml:space="preserve"> </w:t>
            </w:r>
          </w:p>
          <w:p w14:paraId="124DE0E0" w14:textId="77777777" w:rsidR="009D6580" w:rsidRPr="002A677E" w:rsidRDefault="009D6580" w:rsidP="00822842">
            <w:pPr>
              <w:rPr>
                <w:sz w:val="24"/>
                <w:rFonts w:ascii="Times New Roman" w:hAnsi="Times New Roman"/>
              </w:rPr>
            </w:pPr>
            <w:r>
              <w:rPr>
                <w:sz w:val="24"/>
                <w:rFonts w:ascii="Times New Roman" w:hAnsi="Times New Roman"/>
              </w:rPr>
              <w:t xml:space="preserve">Ce poste comprend les ajustements pour risque de crédit général pouvant être inclus dans les fonds propres de catégorie 2, avant l’application du plafond fixé à l'article 62, point c), du règlement (UE) nº 575/2013.</w:t>
            </w:r>
          </w:p>
          <w:p w14:paraId="50B8B57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Les montants à déclarer sont les montants bruts d’effets fiscaux.</w:t>
            </w:r>
          </w:p>
        </w:tc>
      </w:tr>
      <w:tr w:rsidR="009D6580" w:rsidRPr="002A677E" w14:paraId="18048AF8" w14:textId="77777777" w:rsidTr="00822842">
        <w:tc>
          <w:tcPr>
            <w:tcW w:w="1188" w:type="dxa"/>
          </w:tcPr>
          <w:p w14:paraId="6BF1FDE0"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3DA55F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Ajustements pour risque de crédit spécifique</w:t>
            </w:r>
          </w:p>
          <w:p w14:paraId="0C4040D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Ajustements pour risque de crédit visés à l’article 110 du règlement (UE) nº 575/2013, ainsi qu’au règlement (UE) nº 183/2014.</w:t>
            </w:r>
          </w:p>
        </w:tc>
      </w:tr>
      <w:tr w:rsidR="009D6580" w:rsidRPr="002A677E" w14:paraId="1433D694" w14:textId="77777777" w:rsidTr="00822842">
        <w:tc>
          <w:tcPr>
            <w:tcW w:w="1188" w:type="dxa"/>
          </w:tcPr>
          <w:p w14:paraId="0154002C"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E9754A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Sorties du bilan</w:t>
            </w:r>
          </w:p>
          <w:p w14:paraId="5E984FA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Sorties du bilan visées dans IFRS 9.5.4.4 et B5.4.9.</w:t>
            </w:r>
          </w:p>
        </w:tc>
      </w:tr>
      <w:tr w:rsidR="009D6580" w:rsidRPr="002A677E" w14:paraId="1CFA94CF" w14:textId="77777777" w:rsidTr="00822842">
        <w:tc>
          <w:tcPr>
            <w:tcW w:w="1188" w:type="dxa"/>
          </w:tcPr>
          <w:p w14:paraId="23BBA9F5" w14:textId="77777777" w:rsidR="009D6580" w:rsidRPr="002A677E" w:rsidRDefault="009D6580" w:rsidP="00822842">
            <w:pPr>
              <w:rPr>
                <w:sz w:val="24"/>
                <w:rFonts w:ascii="Times New Roman" w:hAnsi="Times New Roman"/>
              </w:rPr>
            </w:pPr>
            <w:r>
              <w:rPr>
                <w:sz w:val="24"/>
                <w:rFonts w:ascii="Times New Roman" w:hAnsi="Times New Roman"/>
              </w:rPr>
              <w:t xml:space="preserve">0061</w:t>
            </w:r>
          </w:p>
        </w:tc>
        <w:tc>
          <w:tcPr>
            <w:tcW w:w="8640" w:type="dxa"/>
          </w:tcPr>
          <w:p w14:paraId="7173ECB3"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Corrections de valeur supplémentaires et autres réductions de fonds propres</w:t>
            </w:r>
          </w:p>
          <w:p w14:paraId="074C80EC"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Conformément à l’article 111 du règlement (UE) nº 575/2013.</w:t>
            </w:r>
          </w:p>
        </w:tc>
      </w:tr>
      <w:tr w:rsidR="009D6580" w:rsidRPr="002A677E" w14:paraId="2939F77F" w14:textId="77777777" w:rsidTr="00822842">
        <w:tc>
          <w:tcPr>
            <w:tcW w:w="1188" w:type="dxa"/>
          </w:tcPr>
          <w:p w14:paraId="542B9015"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2643490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Ajustements pour risque de crédit/radiation de crédits pour nouveaux défauts observés</w:t>
            </w:r>
          </w:p>
          <w:p w14:paraId="7E554B6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Somme des ajustements pour risque de crédit et radiations pour les expositions qui ont été classées dans la catégorie “expositions en défaut” au cours des trois mois qui ont suivi la dernière déclaration des données.</w:t>
            </w:r>
          </w:p>
        </w:tc>
      </w:tr>
      <w:tr w:rsidR="009D6580" w:rsidRPr="002A677E" w14:paraId="2CA30DE3" w14:textId="77777777" w:rsidTr="00822842">
        <w:tc>
          <w:tcPr>
            <w:tcW w:w="1188" w:type="dxa"/>
          </w:tcPr>
          <w:p w14:paraId="2FD89795"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640" w:type="dxa"/>
          </w:tcPr>
          <w:p w14:paraId="233BFDC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Valeur exposée au risque</w:t>
            </w:r>
          </w:p>
          <w:p w14:paraId="4F849709"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0200 du modèle CR SA.</w:t>
            </w:r>
          </w:p>
        </w:tc>
      </w:tr>
      <w:tr w:rsidR="009D6580" w:rsidRPr="002A677E" w14:paraId="09BD9174" w14:textId="77777777" w:rsidTr="00822842">
        <w:tc>
          <w:tcPr>
            <w:tcW w:w="1188" w:type="dxa"/>
          </w:tcPr>
          <w:p w14:paraId="06587A3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0B560F31" w14:textId="46CDE534"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MONTANT D’EXPOSITION PONDÉRÉ AVANT APPLICATION DES FACTEURS SUPPLÉTIFS ET PRISE EN COMPTE DES ASYMÉTRIES DE DEVISES</w:t>
            </w:r>
          </w:p>
          <w:p w14:paraId="7F91718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Même définition que pour la colonne 0215 du modèle CR SA.</w:t>
            </w:r>
          </w:p>
        </w:tc>
      </w:tr>
      <w:tr w:rsidR="009D6580" w:rsidRPr="002A677E" w14:paraId="172392A5" w14:textId="77777777" w:rsidTr="00822842">
        <w:tc>
          <w:tcPr>
            <w:tcW w:w="1188" w:type="dxa"/>
          </w:tcPr>
          <w:p w14:paraId="4881CC35" w14:textId="77777777" w:rsidR="009D6580" w:rsidRPr="002A677E" w:rsidRDefault="009D6580" w:rsidP="00822842">
            <w:pPr>
              <w:rPr>
                <w:sz w:val="24"/>
                <w:rFonts w:ascii="Times New Roman" w:hAnsi="Times New Roman"/>
              </w:rPr>
            </w:pPr>
            <w:r>
              <w:rPr>
                <w:sz w:val="24"/>
                <w:rFonts w:ascii="Times New Roman" w:hAnsi="Times New Roman"/>
              </w:rPr>
              <w:t xml:space="preserve">0081</w:t>
            </w:r>
          </w:p>
        </w:tc>
        <w:tc>
          <w:tcPr>
            <w:tcW w:w="8640" w:type="dxa"/>
          </w:tcPr>
          <w:p w14:paraId="3683E884"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AJUSTEMENT DU MONTANT D'EXPOSITION PONDÉRÉ DU FAIT DU FACTEUR SUPPLÉTIF POUR LES PME</w:t>
            </w:r>
          </w:p>
          <w:p w14:paraId="7D7BF2EE"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Même définition que pour la colonne 0216 du modèle CR SA.</w:t>
            </w:r>
          </w:p>
        </w:tc>
      </w:tr>
      <w:tr w:rsidR="009D6580" w:rsidRPr="002A677E" w14:paraId="7C7A5C85" w14:textId="77777777" w:rsidTr="00822842">
        <w:tc>
          <w:tcPr>
            <w:tcW w:w="1188" w:type="dxa"/>
          </w:tcPr>
          <w:p w14:paraId="4ABD72EC" w14:textId="77777777" w:rsidR="009D6580" w:rsidRPr="002A677E" w:rsidRDefault="009D6580" w:rsidP="00822842">
            <w:pPr>
              <w:rPr>
                <w:sz w:val="24"/>
                <w:rFonts w:ascii="Times New Roman" w:hAnsi="Times New Roman"/>
              </w:rPr>
            </w:pPr>
            <w:r>
              <w:rPr>
                <w:sz w:val="24"/>
                <w:rFonts w:ascii="Times New Roman" w:hAnsi="Times New Roman"/>
              </w:rPr>
              <w:t xml:space="preserve">0082</w:t>
            </w:r>
          </w:p>
        </w:tc>
        <w:tc>
          <w:tcPr>
            <w:tcW w:w="8640" w:type="dxa"/>
          </w:tcPr>
          <w:p w14:paraId="60EE9D4D" w14:textId="77777777" w:rsidR="009D6580" w:rsidRPr="002A677E" w:rsidRDefault="009D6580" w:rsidP="00822842">
            <w:pPr>
              <w:rPr>
                <w:rStyle w:val="InstructionsTabelleberschrift"/>
                <w:sz w:val="32"/>
                <w:rFonts w:ascii="Times New Roman" w:hAnsi="Times New Roman"/>
              </w:rPr>
            </w:pPr>
            <w:r>
              <w:rPr>
                <w:rStyle w:val="InstructionsTabelleberschrift"/>
                <w:sz w:val="24"/>
                <w:rFonts w:ascii="Times New Roman" w:hAnsi="Times New Roman"/>
              </w:rPr>
              <w:t xml:space="preserve">(-) AJUSTEMENT DU MONTANT D'EXPOSITION PONDÉRÉ DU FAIT DU FACTEUR SUPPLÉTIF POUR LES INFRASTRUCTURES</w:t>
            </w:r>
          </w:p>
          <w:p w14:paraId="3D157D72"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Même définition que pour la colonne 0217 du modèle CR SA.</w:t>
            </w:r>
          </w:p>
        </w:tc>
      </w:tr>
      <w:tr w:rsidR="009D6580" w:rsidRPr="002A677E" w14:paraId="2271C08F" w14:textId="77777777" w:rsidTr="00822842">
        <w:tc>
          <w:tcPr>
            <w:tcW w:w="1188" w:type="dxa"/>
          </w:tcPr>
          <w:p w14:paraId="7D3C5FE9"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4080AC" w14:textId="77777777" w:rsidR="00AF2BE6" w:rsidRDefault="009D6580" w:rsidP="00AF2BE6">
            <w:pPr>
              <w:rPr>
                <w:b/>
                <w:sz w:val="24"/>
                <w:u w:val="single"/>
                <w:rFonts w:ascii="Times New Roman" w:hAnsi="Times New Roman"/>
              </w:rPr>
            </w:pPr>
            <w:r>
              <w:rPr>
                <w:b/>
                <w:sz w:val="24"/>
                <w:u w:val="single"/>
                <w:rFonts w:ascii="Times New Roman" w:hAnsi="Times New Roman"/>
              </w:rPr>
              <w:t xml:space="preserve">MONTANT D’EXPOSITION PONDÉRÉ APRÈS APPLICATION DES FACTEURS SUPPLÉTIFS ET PRISE EN COMPTE DES ASYMÉTRIES DE DEVISES</w:t>
            </w:r>
          </w:p>
          <w:p w14:paraId="5F17785F" w14:textId="6397E6C0" w:rsidR="009D6580" w:rsidRPr="002A677E" w:rsidRDefault="009D6580" w:rsidP="00AF2BE6">
            <w:pPr>
              <w:rPr>
                <w:b/>
                <w:sz w:val="24"/>
                <w:u w:val="single"/>
                <w:rFonts w:ascii="Times New Roman" w:hAnsi="Times New Roman"/>
              </w:rPr>
            </w:pPr>
            <w:r>
              <w:rPr>
                <w:sz w:val="24"/>
                <w:rFonts w:ascii="Times New Roman" w:hAnsi="Times New Roman"/>
              </w:rPr>
              <w:t xml:space="preserve">Même définition que pour la colonne 0220 du modèle CR SA.</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b/>
                <w:sz w:val="24"/>
                <w:rFonts w:ascii="Times New Roman" w:hAnsi="Times New Roman"/>
              </w:rPr>
            </w:pPr>
            <w:r>
              <w:rPr>
                <w:rStyle w:val="InstructionsTabelleText"/>
                <w:b/>
                <w:sz w:val="24"/>
                <w:rFonts w:ascii="Times New Roman" w:hAnsi="Times New Roman"/>
              </w:rPr>
              <w:t xml:space="preserve">Lignes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Administrations centrales ou banques centrales</w:t>
            </w:r>
          </w:p>
          <w:p w14:paraId="701FDDD6"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Article 112, point a), du règlement (UE) nº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Administrations régionales ou locales</w:t>
            </w:r>
          </w:p>
          <w:p w14:paraId="06578FE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b), du règlement (UE) nº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Entités du secteur public</w:t>
            </w:r>
          </w:p>
          <w:p w14:paraId="451BD941"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c), du règlement (UE) nº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Banques multilatérales de développement</w:t>
            </w:r>
          </w:p>
          <w:p w14:paraId="59A0267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d), du règlement (UE) nº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Organisations internationales</w:t>
            </w:r>
          </w:p>
          <w:p w14:paraId="17C7FCF4"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e), du règlement (UE) nº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Institutions</w:t>
            </w:r>
          </w:p>
          <w:p w14:paraId="153928C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f), du règlement (UE) nº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Entreprises</w:t>
            </w:r>
          </w:p>
          <w:p w14:paraId="2131631A"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g), du règlement (UE) nº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sz w:val="24"/>
                <w:rFonts w:ascii="Times New Roman" w:hAnsi="Times New Roman"/>
              </w:rPr>
            </w:pPr>
            <w:r>
              <w:rPr>
                <w:sz w:val="24"/>
                <w:rFonts w:ascii="Times New Roman" w:hAnsi="Times New Roman"/>
              </w:rPr>
              <w:t xml:space="preserve">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PME</w:t>
            </w:r>
          </w:p>
          <w:p w14:paraId="54A9735B"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Même définition que pour la ligne 0020 du modèle CR SA.</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sz w:val="24"/>
                <w:rFonts w:ascii="Times New Roman" w:hAnsi="Times New Roman"/>
              </w:rPr>
            </w:pPr>
            <w:r>
              <w:rPr>
                <w:sz w:val="24"/>
                <w:rFonts w:ascii="Times New Roman" w:hAnsi="Times New Roman"/>
              </w:rPr>
              <w:t xml:space="preserve">0076</w:t>
            </w:r>
          </w:p>
        </w:tc>
        <w:tc>
          <w:tcPr>
            <w:tcW w:w="8701" w:type="dxa"/>
            <w:gridSpan w:val="2"/>
            <w:shd w:val="clear" w:color="auto" w:fill="FFFFFF"/>
          </w:tcPr>
          <w:p w14:paraId="77F474DF"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Financement spécialisé</w:t>
            </w:r>
          </w:p>
          <w:p w14:paraId="78348E89" w14:textId="77777777" w:rsidR="009D6580" w:rsidRPr="000059B8"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Article 122 </w:t>
            </w:r>
            <w:r>
              <w:rPr>
                <w:sz w:val="24"/>
                <w:i/>
                <w:iCs/>
                <w:rFonts w:ascii="Times New Roman" w:hAnsi="Times New Roman"/>
              </w:rPr>
              <w:t xml:space="preserve">bis</w:t>
            </w:r>
            <w:r>
              <w:rPr>
                <w:sz w:val="24"/>
                <w:rFonts w:ascii="Times New Roman" w:hAnsi="Times New Roman"/>
              </w:rPr>
              <w:t xml:space="preserve"> du règlement (UE) nº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Clientèle de détail</w:t>
            </w:r>
          </w:p>
          <w:p w14:paraId="4C73D393"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h), du règlement (UE) nº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sz w:val="24"/>
                <w:rFonts w:ascii="Times New Roman" w:hAnsi="Times New Roman"/>
              </w:rPr>
            </w:pPr>
            <w:r>
              <w:rPr>
                <w:sz w:val="24"/>
                <w:rFonts w:ascii="Times New Roman" w:hAnsi="Times New Roman"/>
              </w:rPr>
              <w:t xml:space="preserve">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PME</w:t>
            </w:r>
          </w:p>
          <w:p w14:paraId="08FE43D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Même définition que pour la ligne 0020 du modèle CR SA.</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une hypothèque sur un bien immobilier et expositions ADC</w:t>
            </w:r>
          </w:p>
          <w:p w14:paraId="6DD925ED" w14:textId="77777777" w:rsidR="009D6580" w:rsidRPr="002A677E" w:rsidRDefault="009D6580" w:rsidP="00822842">
            <w:pPr>
              <w:ind w:left="72"/>
              <w:rPr>
                <w:rStyle w:val="InstructionsTabelleText"/>
                <w:sz w:val="24"/>
                <w:rFonts w:ascii="Times New Roman" w:hAnsi="Times New Roman"/>
              </w:rPr>
            </w:pPr>
            <w:r>
              <w:rPr>
                <w:sz w:val="24"/>
                <w:rFonts w:ascii="Times New Roman" w:hAnsi="Times New Roman"/>
              </w:rPr>
              <w:t xml:space="preserve">Article 112, point i), du règlement (UE) nº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résidentiels - non IPRE (garanties)</w:t>
            </w:r>
          </w:p>
          <w:p w14:paraId="5BC0E4C6" w14:textId="5F815813"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résidentiels - non IPRE (non garanties)</w:t>
            </w:r>
          </w:p>
          <w:p w14:paraId="607C903E" w14:textId="583159E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résidentiels – Autres – non IPRE</w:t>
            </w:r>
          </w:p>
          <w:p w14:paraId="311E3CF5" w14:textId="5245D766"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résidentiels – IPRE</w:t>
            </w:r>
          </w:p>
          <w:p w14:paraId="2090782C" w14:textId="64D92CBC"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résidentiels – Autres – IPRE</w:t>
            </w:r>
          </w:p>
          <w:p w14:paraId="18E3F7B1" w14:textId="00D9A105"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commerciaux - non IPRE (garanties)</w:t>
            </w:r>
          </w:p>
          <w:p w14:paraId="1DD8A6CF" w14:textId="2D56F96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commerciaux - non IPRE (non garanties)</w:t>
            </w:r>
          </w:p>
          <w:p w14:paraId="37DA45D4" w14:textId="1AC5F0E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commerciaux - Autres - non IPRE</w:t>
            </w:r>
          </w:p>
          <w:p w14:paraId="653F8A23" w14:textId="727D9E51"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commerciaux – IPRE</w:t>
            </w:r>
          </w:p>
          <w:p w14:paraId="5C23C6C1" w14:textId="64A934FD"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des hypothèques sur des biens immobiliers commerciaux - Autres - IPRE</w:t>
            </w:r>
          </w:p>
          <w:p w14:paraId="4CFFBC8C" w14:textId="16697C60"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sz w:val="24"/>
                <w:rFonts w:ascii="Times New Roman" w:hAnsi="Times New Roman"/>
              </w:rPr>
            </w:pPr>
            <w:r>
              <w:rPr>
                <w:rStyle w:val="InstructionsTabelleberschrift"/>
                <w:sz w:val="24"/>
                <w:rFonts w:ascii="Times New Roman" w:hAnsi="Times New Roman"/>
              </w:rPr>
              <w:t xml:space="preserve">Acquisition de terrains, promotion immobilière et construction (ADC)</w:t>
            </w:r>
          </w:p>
          <w:p w14:paraId="0CFE246E" w14:textId="00399E0A" w:rsidR="0020657D" w:rsidRPr="0020657D" w:rsidRDefault="0064771D" w:rsidP="0020657D">
            <w:pPr>
              <w:ind w:left="72"/>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Voir modèle CR SA.</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sz w:val="24"/>
                <w:rFonts w:ascii="Times New Roman" w:hAnsi="Times New Roman"/>
              </w:rPr>
            </w:pPr>
            <w:r>
              <w:rPr>
                <w:sz w:val="24"/>
                <w:rFonts w:ascii="Times New Roman" w:hAnsi="Times New Roman"/>
              </w:rPr>
              <w:t xml:space="preserve">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PME</w:t>
            </w:r>
          </w:p>
          <w:p w14:paraId="6A4AA475"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Même définition que pour la ligne 0020 du modèle CR SA.</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en défaut</w:t>
            </w:r>
          </w:p>
          <w:p w14:paraId="24E89ACE"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j), du règlement (UE) nº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sz w:val="24"/>
                <w:rFonts w:ascii="Times New Roman" w:hAnsi="Times New Roman"/>
              </w:rPr>
            </w:pPr>
            <w:r>
              <w:rPr>
                <w:sz w:val="24"/>
                <w:rFonts w:ascii="Times New Roman" w:hAnsi="Times New Roman"/>
              </w:rPr>
              <w:t xml:space="preserve">0115</w:t>
            </w:r>
          </w:p>
        </w:tc>
        <w:tc>
          <w:tcPr>
            <w:tcW w:w="8701" w:type="dxa"/>
            <w:gridSpan w:val="2"/>
            <w:shd w:val="clear" w:color="auto" w:fill="FFFFFF"/>
          </w:tcPr>
          <w:p w14:paraId="71EBD362" w14:textId="77777777" w:rsidR="009D6580"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sur créances subordonnées</w:t>
            </w:r>
          </w:p>
          <w:p w14:paraId="7F19547A" w14:textId="77777777" w:rsidR="009D6580" w:rsidRPr="000059B8"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Article 112, point k), du règlement (UE) nº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sz w:val="24"/>
                <w:rFonts w:ascii="Times New Roman" w:hAnsi="Times New Roman"/>
              </w:rPr>
            </w:pPr>
            <w:r>
              <w:rPr>
                <w:rStyle w:val="InstructionsTabelleberschrift"/>
                <w:sz w:val="24"/>
                <w:rFonts w:ascii="Times New Roman" w:hAnsi="Times New Roman"/>
              </w:rPr>
              <w:t xml:space="preserve">Obligations garanties</w:t>
            </w:r>
          </w:p>
          <w:p w14:paraId="68F7689A" w14:textId="77777777" w:rsidR="009D6580" w:rsidRPr="002A677E" w:rsidRDefault="009D6580" w:rsidP="00822842">
            <w:pPr>
              <w:autoSpaceDE w:val="0"/>
              <w:autoSpaceDN w:val="0"/>
              <w:adjustRightInd w:val="0"/>
              <w:spacing w:before="0"/>
              <w:ind w:left="72"/>
              <w:jc w:val="left"/>
              <w:rPr>
                <w:rStyle w:val="InstructionsTabelleText"/>
                <w:bCs/>
                <w:sz w:val="24"/>
                <w:u w:val="single"/>
                <w:rFonts w:ascii="Times New Roman" w:hAnsi="Times New Roman"/>
              </w:rPr>
            </w:pPr>
            <w:r>
              <w:rPr>
                <w:sz w:val="24"/>
                <w:rFonts w:ascii="Times New Roman" w:hAnsi="Times New Roman"/>
              </w:rPr>
              <w:t xml:space="preserve">Article 112, point l), du règlement (UE) nº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bCs w:val="0"/>
                <w:sz w:val="24"/>
                <w:rFonts w:ascii="Times New Roman" w:hAnsi="Times New Roman"/>
              </w:rPr>
            </w:pPr>
            <w:r>
              <w:rPr>
                <w:rStyle w:val="InstructionsTabelleberschrift"/>
                <w:sz w:val="24"/>
                <w:rFonts w:ascii="Times New Roman" w:hAnsi="Times New Roman"/>
              </w:rPr>
              <w:t xml:space="preserve">Créances sur des établissements et des entreprises faisant l'objet d'une évaluation du crédit à court terme</w:t>
            </w:r>
          </w:p>
          <w:p w14:paraId="53F92677" w14:textId="77777777" w:rsidR="009D6580" w:rsidRPr="002A677E" w:rsidRDefault="009D6580" w:rsidP="00822842">
            <w:pPr>
              <w:ind w:left="72"/>
              <w:rPr>
                <w:sz w:val="24"/>
                <w:rFonts w:ascii="Times New Roman" w:hAnsi="Times New Roman"/>
              </w:rPr>
            </w:pPr>
            <w:r>
              <w:rPr>
                <w:sz w:val="24"/>
                <w:rFonts w:ascii="Times New Roman" w:hAnsi="Times New Roman"/>
              </w:rPr>
              <w:t xml:space="preserve">Article 112, point n), du règlement (UE) nº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Organismes de placement collectif (OPC)</w:t>
            </w:r>
          </w:p>
          <w:p w14:paraId="6BE6CAC2" w14:textId="77777777" w:rsidR="009D6580" w:rsidRPr="002A677E" w:rsidRDefault="009D6580" w:rsidP="00822842">
            <w:pPr>
              <w:ind w:left="72"/>
              <w:rPr>
                <w:bCs/>
                <w:sz w:val="24"/>
                <w:rFonts w:ascii="Times New Roman" w:hAnsi="Times New Roman"/>
              </w:rPr>
            </w:pPr>
            <w:r>
              <w:rPr>
                <w:sz w:val="24"/>
                <w:rFonts w:ascii="Times New Roman" w:hAnsi="Times New Roman"/>
              </w:rPr>
              <w:t xml:space="preserve">Article 112, point o), du règlement (UE) nº 575/2013</w:t>
            </w:r>
          </w:p>
          <w:p w14:paraId="0FFD53A4" w14:textId="77777777" w:rsidR="009D6580" w:rsidRPr="002A677E" w:rsidRDefault="009D6580" w:rsidP="00822842">
            <w:pPr>
              <w:ind w:left="72"/>
              <w:rPr>
                <w:rStyle w:val="InstructionsTabelleberschrift"/>
                <w:b w:val="0"/>
                <w:bCs w:val="0"/>
                <w:sz w:val="24"/>
                <w:u w:val="none"/>
                <w:rFonts w:ascii="Times New Roman" w:hAnsi="Times New Roman"/>
              </w:rPr>
            </w:pPr>
            <w:r>
              <w:rPr>
                <w:sz w:val="24"/>
                <w:rFonts w:ascii="Times New Roman" w:hAnsi="Times New Roman"/>
              </w:rPr>
              <w:t xml:space="preserve">Somme des lignes 0141 à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sz w:val="24"/>
                <w:rFonts w:ascii="Times New Roman" w:hAnsi="Times New Roman"/>
              </w:rPr>
            </w:pPr>
            <w:r>
              <w:rPr>
                <w:sz w:val="24"/>
                <w:rFonts w:ascii="Times New Roman" w:hAnsi="Times New Roman"/>
              </w:rPr>
              <w:t xml:space="preserve">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Approche par transparence</w:t>
            </w:r>
          </w:p>
          <w:p w14:paraId="00783183"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Même définition que pour la ligne 0281 du modèle CR SA.</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sz w:val="24"/>
                <w:rFonts w:ascii="Times New Roman" w:hAnsi="Times New Roman"/>
              </w:rPr>
            </w:pPr>
            <w:r>
              <w:rPr>
                <w:sz w:val="24"/>
                <w:rFonts w:ascii="Times New Roman" w:hAnsi="Times New Roman"/>
              </w:rPr>
              <w:t xml:space="preserve">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Approche fondée sur le mandat</w:t>
            </w:r>
          </w:p>
          <w:p w14:paraId="1FD38657"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Même définition que pour la ligne 0282 du modèle CR SA.</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sz w:val="24"/>
                <w:rFonts w:ascii="Times New Roman" w:hAnsi="Times New Roman"/>
              </w:rPr>
            </w:pPr>
            <w:r>
              <w:rPr>
                <w:sz w:val="24"/>
                <w:rFonts w:ascii="Times New Roman" w:hAnsi="Times New Roman"/>
              </w:rPr>
              <w:t xml:space="preserve">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Approche alternative</w:t>
            </w:r>
          </w:p>
          <w:p w14:paraId="2EA9AADD" w14:textId="77777777" w:rsidR="009D6580" w:rsidRPr="002A677E" w:rsidRDefault="009D6580" w:rsidP="00822842">
            <w:pPr>
              <w:ind w:left="72"/>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Même définition que pour la ligne 0283 du modèle CR SA.</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Expositions sous forme d'actions</w:t>
            </w:r>
          </w:p>
          <w:p w14:paraId="3170DAFB"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p), du règlement (UE) nº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Autres expositions</w:t>
            </w:r>
          </w:p>
          <w:p w14:paraId="5D708342" w14:textId="77777777" w:rsidR="009D6580" w:rsidRPr="002A677E" w:rsidRDefault="009D6580" w:rsidP="00822842">
            <w:pPr>
              <w:ind w:left="72"/>
              <w:rPr>
                <w:rStyle w:val="InstructionsTabelleberschrift"/>
                <w:sz w:val="24"/>
                <w:rFonts w:ascii="Times New Roman" w:hAnsi="Times New Roman"/>
              </w:rPr>
            </w:pPr>
            <w:r>
              <w:rPr>
                <w:sz w:val="24"/>
                <w:rFonts w:ascii="Times New Roman" w:hAnsi="Times New Roman"/>
              </w:rPr>
              <w:t xml:space="preserve">Article 112, point q), du règlement (UE) nº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sz w:val="24"/>
                <w:rFonts w:ascii="Times New Roman" w:hAnsi="Times New Roman"/>
              </w:rPr>
            </w:pPr>
            <w:r>
              <w:rPr>
                <w:sz w:val="24"/>
                <w:rFonts w:ascii="Times New Roman" w:hAnsi="Times New Roman"/>
              </w:rPr>
              <w:t xml:space="preserve">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sz w:val="24"/>
                <w:rFonts w:ascii="Times New Roman" w:hAnsi="Times New Roman"/>
              </w:rPr>
            </w:pPr>
            <w:r>
              <w:rPr>
                <w:rStyle w:val="InstructionsTabelleberschrift"/>
                <w:sz w:val="24"/>
                <w:rFonts w:ascii="Times New Roman" w:hAnsi="Times New Roman"/>
              </w:rPr>
              <w:t xml:space="preserve">Total des expositions</w:t>
            </w:r>
          </w:p>
        </w:tc>
      </w:tr>
    </w:tbl>
    <w:p w14:paraId="2EB3E5B0" w14:textId="77777777" w:rsidR="009D6580" w:rsidRPr="002A677E" w:rsidRDefault="009D6580" w:rsidP="009D6580">
      <w:pPr>
        <w:spacing w:before="0" w:after="200" w:line="312" w:lineRule="auto"/>
        <w:jc w:val="left"/>
        <w:rPr>
          <w:sz w:val="24"/>
          <w:rFonts w:ascii="Times New Roman" w:hAnsi="Times New Roman"/>
        </w:rPr>
      </w:pPr>
      <w:bookmarkStart w:id="3" w:name="_Toc292456210"/>
    </w:p>
    <w:p w14:paraId="467F6DC6"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4" w:name="_Toc360188364"/>
      <w:bookmarkStart w:id="5" w:name="_Toc473560915"/>
      <w:bookmarkStart w:id="6" w:name="_Toc151714419"/>
      <w:r>
        <w:rPr>
          <w:sz w:val="24"/>
          <w:u w:val="none"/>
          <w:rFonts w:ascii="Times New Roman" w:hAnsi="Times New Roman"/>
        </w:rPr>
        <w:t xml:space="preserve">3.4.2.</w:t>
      </w:r>
      <w:r>
        <w:rPr>
          <w:sz w:val="24"/>
          <w:u w:val="none"/>
          <w:rFonts w:ascii="Times New Roman" w:hAnsi="Times New Roman"/>
        </w:rPr>
        <w:tab/>
      </w:r>
      <w:r>
        <w:rPr>
          <w:sz w:val="24"/>
          <w:rFonts w:ascii="Times New Roman" w:hAnsi="Times New Roman"/>
        </w:rPr>
        <w:t xml:space="preserve">C 09.02 - Répartition géographique des expositions par pays de résidence du débiteur:</w:t>
      </w:r>
      <w:r>
        <w:rPr>
          <w:sz w:val="24"/>
          <w:rFonts w:ascii="Times New Roman" w:hAnsi="Times New Roman"/>
        </w:rPr>
        <w:t xml:space="preserve"> </w:t>
      </w:r>
      <w:r>
        <w:rPr>
          <w:sz w:val="24"/>
          <w:rFonts w:ascii="Times New Roman" w:hAnsi="Times New Roman"/>
        </w:rPr>
        <w:t xml:space="preserve">expositions en approche NI</w:t>
      </w:r>
      <w:bookmarkEnd w:id="4"/>
      <w:r>
        <w:rPr>
          <w:sz w:val="24"/>
          <w:rFonts w:ascii="Times New Roman" w:hAnsi="Times New Roman"/>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7" w:name="_Toc360188365"/>
      <w:bookmarkStart w:id="8" w:name="_Toc473560916"/>
      <w:bookmarkStart w:id="9" w:name="_Toc151714420"/>
      <w:r>
        <w:rPr>
          <w:sz w:val="24"/>
          <w:u w:val="none"/>
          <w:rFonts w:ascii="Times New Roman" w:hAnsi="Times New Roman"/>
        </w:rPr>
        <w:t xml:space="preserve">3.4.2.1.</w:t>
      </w:r>
      <w:r>
        <w:rPr>
          <w:sz w:val="24"/>
          <w:u w:val="none"/>
          <w:rFonts w:ascii="Times New Roman" w:hAnsi="Times New Roman"/>
        </w:rPr>
        <w:tab/>
      </w:r>
      <w:r>
        <w:rPr>
          <w:sz w:val="24"/>
          <w:rFonts w:ascii="Times New Roman" w:hAnsi="Times New Roman"/>
        </w:rPr>
        <w:t xml:space="preserve">Instructions concernant certaines positions</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b/>
                <w:sz w:val="24"/>
                <w:rFonts w:ascii="Times New Roman" w:hAnsi="Times New Roman"/>
              </w:rPr>
            </w:pPr>
            <w:r>
              <w:rPr>
                <w:b/>
                <w:sz w:val="24"/>
                <w:rFonts w:ascii="Times New Roman" w:hAnsi="Times New Roman"/>
              </w:rPr>
              <w:t xml:space="preserve">Colonnes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640" w:type="dxa"/>
          </w:tcPr>
          <w:p w14:paraId="5DA72BDB"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EXPOSITION INITIALE AVANT APPLICATION DES FACTEURS DE CONVERSION</w:t>
            </w:r>
          </w:p>
          <w:p w14:paraId="714A5DA7" w14:textId="77777777" w:rsidR="009D6580" w:rsidRPr="002A677E" w:rsidRDefault="009D6580" w:rsidP="00822842">
            <w:pPr>
              <w:autoSpaceDE w:val="0"/>
              <w:autoSpaceDN w:val="0"/>
              <w:adjustRightInd w:val="0"/>
              <w:spacing w:before="0" w:after="0"/>
              <w:jc w:val="left"/>
              <w:rPr>
                <w:rStyle w:val="InstructionsTabelleText"/>
                <w:sz w:val="24"/>
                <w:rFonts w:ascii="Times New Roman" w:hAnsi="Times New Roman"/>
              </w:rPr>
            </w:pPr>
            <w:r>
              <w:rPr>
                <w:sz w:val="24"/>
                <w:rFonts w:ascii="Times New Roman" w:hAnsi="Times New Roman"/>
              </w:rPr>
              <w:t xml:space="preserve">Même définition que pour la colonne 0020 du modèle CR IRB.</w:t>
            </w:r>
          </w:p>
        </w:tc>
      </w:tr>
      <w:tr w:rsidR="009D6580" w:rsidRPr="002A677E" w14:paraId="770F3897" w14:textId="77777777" w:rsidTr="00822842">
        <w:tc>
          <w:tcPr>
            <w:tcW w:w="1188" w:type="dxa"/>
          </w:tcPr>
          <w:p w14:paraId="56E092EF"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0071C39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Dont en défaut</w:t>
            </w:r>
          </w:p>
          <w:p w14:paraId="2768B5B2"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Valeur de l’exposition initiale pour les expositions qui ont été classées comme “expositions en défaut” conformément à l’article 178</w:t>
            </w:r>
            <w:r>
              <w:rPr>
                <w:sz w:val="24"/>
                <w:rFonts w:ascii="Times New Roman" w:hAnsi="Times New Roman"/>
              </w:rPr>
              <w:t xml:space="preserve"> du règlement (UE) nº 575/2013.</w:t>
            </w:r>
          </w:p>
        </w:tc>
      </w:tr>
      <w:tr w:rsidR="009D6580" w:rsidRPr="002A677E" w14:paraId="7AD6E18B" w14:textId="77777777" w:rsidTr="00822842">
        <w:tc>
          <w:tcPr>
            <w:tcW w:w="1188" w:type="dxa"/>
          </w:tcPr>
          <w:p w14:paraId="1DFAF6C6"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640" w:type="dxa"/>
          </w:tcPr>
          <w:p w14:paraId="3FD9DA2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Nouveaux défauts observés sur la période</w:t>
            </w:r>
          </w:p>
          <w:p w14:paraId="2393DECB"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Les montants d’expositions initiales qui ont été classés dans la catégorie “expositions en défaut” au cours des trois mois suivant la dernière date de déclaration de référence sont déclarés dans la catégorie d'exposition à laquelle appartenait le débiteur à l’origine.</w:t>
            </w:r>
            <w:r>
              <w:rPr>
                <w:rStyle w:val="InstructionsTabelleText"/>
                <w:sz w:val="24"/>
                <w:rFonts w:ascii="Times New Roman" w:hAnsi="Times New Roman"/>
              </w:rPr>
              <w:t xml:space="preserve"> </w:t>
            </w:r>
          </w:p>
        </w:tc>
      </w:tr>
      <w:tr w:rsidR="009D6580" w:rsidRPr="002A677E" w14:paraId="382342DD" w14:textId="77777777" w:rsidTr="00822842">
        <w:tc>
          <w:tcPr>
            <w:tcW w:w="1188" w:type="dxa"/>
          </w:tcPr>
          <w:p w14:paraId="20977C7F"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E8FD64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Ajustements pour risque de crédit général</w:t>
            </w:r>
          </w:p>
          <w:p w14:paraId="1F1D0A5D"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Ajustements pour risque de crédit visés à l’article 110 du règlement (UE) nº 575/2013, ainsi qu’au règlement (UE) nº 183/2014.</w:t>
            </w:r>
          </w:p>
        </w:tc>
      </w:tr>
      <w:tr w:rsidR="009D6580" w:rsidRPr="002A677E" w14:paraId="63C2E396" w14:textId="77777777" w:rsidTr="00822842">
        <w:tc>
          <w:tcPr>
            <w:tcW w:w="1188" w:type="dxa"/>
          </w:tcPr>
          <w:p w14:paraId="3BC8F127"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640" w:type="dxa"/>
          </w:tcPr>
          <w:p w14:paraId="26D828F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Ajustements pour risque de crédit spécifique</w:t>
            </w:r>
          </w:p>
          <w:p w14:paraId="4DA8E76B"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Ajustements pour risque de crédit visés à l’article 110 du règlement (UE) nº 575/2013, ainsi qu’au règlement (UE) nº 183/2014.</w:t>
            </w:r>
          </w:p>
        </w:tc>
      </w:tr>
      <w:tr w:rsidR="009D6580" w:rsidRPr="002A677E" w14:paraId="24582208" w14:textId="77777777" w:rsidTr="00822842">
        <w:tc>
          <w:tcPr>
            <w:tcW w:w="1188" w:type="dxa"/>
          </w:tcPr>
          <w:p w14:paraId="46A1EB07"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4CC236D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Sorties du bilan</w:t>
            </w:r>
          </w:p>
          <w:p w14:paraId="51BEEB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Sorties du bilan visées dans IFRS 9.5.4.4 et B5.4.9.</w:t>
            </w:r>
          </w:p>
        </w:tc>
      </w:tr>
      <w:tr w:rsidR="009D6580" w:rsidRPr="002A677E" w14:paraId="615BD0D9" w14:textId="77777777" w:rsidTr="00822842">
        <w:tc>
          <w:tcPr>
            <w:tcW w:w="1188" w:type="dxa"/>
          </w:tcPr>
          <w:p w14:paraId="641E5F2D"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7C362C1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Ajustements pour risque de crédit/radiation de crédits pour nouveaux défauts observés</w:t>
            </w:r>
          </w:p>
          <w:p w14:paraId="454774E2"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Somme des ajustements pour risque de crédit et radiations pour les expositions qui ont été classées dans la catégorie “expositions en défaut” au cours des trois mois qui ont suivi la dernière déclaration des données.</w:t>
            </w:r>
          </w:p>
        </w:tc>
      </w:tr>
      <w:tr w:rsidR="009D6580" w:rsidRPr="002A677E" w14:paraId="4B7452D7" w14:textId="77777777" w:rsidTr="00822842">
        <w:tc>
          <w:tcPr>
            <w:tcW w:w="1188" w:type="dxa"/>
          </w:tcPr>
          <w:p w14:paraId="1A68115E"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256EF248" w14:textId="77777777" w:rsidR="009D6580" w:rsidRPr="002A677E" w:rsidRDefault="009D6580"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ÉCHELLE DE NOTATION INTERNE/PROBABILITÉ DE DÉFAUT (PD) AFFECTÉE PAR ÉCHELON OU CATÉGORIE DE DÉBITEURS (%)</w:t>
            </w:r>
          </w:p>
          <w:p w14:paraId="2C51714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0010 du modèle CR IRB.</w:t>
            </w:r>
          </w:p>
        </w:tc>
      </w:tr>
      <w:tr w:rsidR="009D6580" w:rsidRPr="002A677E" w14:paraId="18989AFE" w14:textId="77777777" w:rsidTr="00822842">
        <w:tc>
          <w:tcPr>
            <w:tcW w:w="1188" w:type="dxa"/>
          </w:tcPr>
          <w:p w14:paraId="489AE0F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tcPr>
          <w:p w14:paraId="78B53B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LGD MOYENNE, PONDÉRÉE (%)</w:t>
            </w:r>
          </w:p>
          <w:p w14:paraId="5BC89E8E" w14:textId="77777777" w:rsidR="009D6580" w:rsidRPr="002A677E" w:rsidRDefault="009D6580" w:rsidP="00822842">
            <w:pPr>
              <w:rPr>
                <w:rStyle w:val="InstructionsTabelleText"/>
                <w:sz w:val="24"/>
                <w:rFonts w:ascii="Times New Roman" w:hAnsi="Times New Roman"/>
              </w:rPr>
            </w:pPr>
            <w:r>
              <w:rPr>
                <w:sz w:val="24"/>
                <w:rStyle w:val="InstructionsTabelleText"/>
                <w:rFonts w:ascii="Times New Roman" w:hAnsi="Times New Roman"/>
              </w:rPr>
              <w:t xml:space="preserve">Même définition que pour les colonnes 0230 et 0240 du modèle CR IRB:</w:t>
            </w:r>
            <w:r>
              <w:rPr>
                <w:sz w:val="24"/>
                <w:rStyle w:val="InstructionsTabelleText"/>
                <w:rFonts w:ascii="Times New Roman" w:hAnsi="Times New Roman"/>
              </w:rPr>
              <w:t xml:space="preserve"> </w:t>
            </w:r>
            <w:r>
              <w:rPr>
                <w:sz w:val="24"/>
                <w:rStyle w:val="InstructionsTabelleText"/>
                <w:rFonts w:ascii="Times New Roman" w:hAnsi="Times New Roman"/>
              </w:rPr>
              <w:t xml:space="preserve">la valeur moyenne, pondérée en fonction de l'exposition, des pertes en cas de défaut (%) se rapporte à toutes les expositions, y compris les expositions sur les entités du secteur financier de grande taille et les entités du secteur financier non réglementées.</w:t>
            </w:r>
            <w:r>
              <w:rPr>
                <w:sz w:val="24"/>
                <w:rStyle w:val="InstructionsTabelleText"/>
                <w:rFonts w:ascii="Times New Roman" w:hAnsi="Times New Roman"/>
              </w:rPr>
              <w:t xml:space="preserve"> </w:t>
            </w:r>
            <w:r>
              <w:rPr>
                <w:sz w:val="24"/>
                <w:rFonts w:ascii="Times New Roman" w:hAnsi="Times New Roman"/>
              </w:rPr>
              <w:t xml:space="preserve">L’article 181, paragraphe 1, point h), du règlement (UE) nº 575/2013 s’applique.</w:t>
            </w:r>
          </w:p>
          <w:p w14:paraId="3A7794E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Pour les expositions de financement spécialisé pour lesquelles la PD est estimée, la valeur déclarée devrait être soit la LGD estimée soit la LGD réglementaire.</w:t>
            </w:r>
            <w:r>
              <w:rPr>
                <w:sz w:val="24"/>
                <w:rFonts w:ascii="Times New Roman" w:hAnsi="Times New Roman"/>
              </w:rPr>
              <w:t xml:space="preserve"> </w:t>
            </w:r>
            <w:r>
              <w:rPr>
                <w:sz w:val="24"/>
                <w:rFonts w:ascii="Times New Roman" w:hAnsi="Times New Roman"/>
              </w:rPr>
              <w:t xml:space="preserve">Pour les expositions de financement spécialisé visées à l’article 153, paragraphe 5, du règlement (UE) nº 575/2013, les données ne peuvent pas être déclarées car elles ne sont pas disponibles.</w:t>
            </w:r>
          </w:p>
        </w:tc>
      </w:tr>
      <w:tr w:rsidR="009D6580" w:rsidRPr="002A677E" w14:paraId="66756C12" w14:textId="77777777" w:rsidTr="00822842">
        <w:tc>
          <w:tcPr>
            <w:tcW w:w="1188" w:type="dxa"/>
          </w:tcPr>
          <w:p w14:paraId="317ECEC7"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68CF6D3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en défaut</w:t>
            </w:r>
          </w:p>
          <w:p w14:paraId="789E281A" w14:textId="77777777" w:rsidR="009D6580" w:rsidRPr="002A677E" w:rsidRDefault="009D6580" w:rsidP="00822842">
            <w:pPr>
              <w:rPr>
                <w:b/>
                <w:sz w:val="24"/>
                <w:u w:val="single"/>
                <w:rFonts w:ascii="Times New Roman" w:hAnsi="Times New Roman"/>
              </w:rPr>
            </w:pPr>
            <w:r>
              <w:rPr>
                <w:sz w:val="24"/>
                <w:rStyle w:val="InstructionsTabelleText"/>
                <w:rFonts w:ascii="Times New Roman" w:hAnsi="Times New Roman"/>
              </w:rPr>
              <w:t xml:space="preserve">Valeur moyenne, pondérée en fonction de l’exposition, des pertes en cas de défaut pour les expositions qui ont été classées comme “expositions en défaut” conformément à l’article 178</w:t>
            </w:r>
            <w:r>
              <w:rPr>
                <w:sz w:val="24"/>
                <w:rFonts w:ascii="Times New Roman" w:hAnsi="Times New Roman"/>
              </w:rPr>
              <w:t xml:space="preserve"> du règlement (UE) nº 575/2013.</w:t>
            </w:r>
          </w:p>
        </w:tc>
      </w:tr>
      <w:tr w:rsidR="009D6580" w:rsidRPr="002A677E" w14:paraId="187792F5" w14:textId="77777777" w:rsidTr="00822842">
        <w:tc>
          <w:tcPr>
            <w:tcW w:w="1188" w:type="dxa"/>
          </w:tcPr>
          <w:p w14:paraId="41BFEDD8"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7B14423E"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Valeur exposée au risque</w:t>
            </w:r>
          </w:p>
          <w:p w14:paraId="533E4F5D"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0110 du modèle CR IRB.</w:t>
            </w:r>
          </w:p>
        </w:tc>
      </w:tr>
      <w:tr w:rsidR="009D6580" w:rsidRPr="002A677E" w14:paraId="48402149" w14:textId="77777777" w:rsidTr="00822842">
        <w:tc>
          <w:tcPr>
            <w:tcW w:w="1188" w:type="dxa"/>
          </w:tcPr>
          <w:p w14:paraId="3E4D7142"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FEC9E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MONTANT D’EXPOSITION PONDÉRÉ AVANT APPLICATION DES FACTEURS SUPPLÉTIFS</w:t>
            </w:r>
          </w:p>
          <w:p w14:paraId="38950726"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0255 du modèle CR IRB.</w:t>
            </w:r>
          </w:p>
        </w:tc>
      </w:tr>
      <w:tr w:rsidR="009D6580" w:rsidRPr="002A677E" w14:paraId="321AA4CE" w14:textId="77777777" w:rsidTr="00822842">
        <w:tc>
          <w:tcPr>
            <w:tcW w:w="1188" w:type="dxa"/>
          </w:tcPr>
          <w:p w14:paraId="5F49B73F"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2A07E1E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Dont en défaut</w:t>
            </w:r>
          </w:p>
          <w:p w14:paraId="0B72119F"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Montant d’exposition pondéré pour les expositions qui ont été classées comme “expositions en défaut” conformément à l’article 178, paragraphe 1, du règlement (UE) nº 575/2013.</w:t>
            </w:r>
          </w:p>
        </w:tc>
      </w:tr>
      <w:tr w:rsidR="009D6580" w:rsidRPr="002A677E" w14:paraId="4F58B17C" w14:textId="77777777" w:rsidTr="00822842">
        <w:tc>
          <w:tcPr>
            <w:tcW w:w="1188" w:type="dxa"/>
          </w:tcPr>
          <w:p w14:paraId="43313479" w14:textId="77777777" w:rsidR="009D6580" w:rsidRPr="002A677E" w:rsidRDefault="009D6580" w:rsidP="00822842">
            <w:pPr>
              <w:rPr>
                <w:sz w:val="24"/>
                <w:rFonts w:ascii="Times New Roman" w:hAnsi="Times New Roman"/>
              </w:rPr>
            </w:pPr>
            <w:r>
              <w:rPr>
                <w:sz w:val="24"/>
                <w:rFonts w:ascii="Times New Roman" w:hAnsi="Times New Roman"/>
              </w:rPr>
              <w:t xml:space="preserve">0121</w:t>
            </w:r>
          </w:p>
        </w:tc>
        <w:tc>
          <w:tcPr>
            <w:tcW w:w="8640" w:type="dxa"/>
          </w:tcPr>
          <w:p w14:paraId="51B6E44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AJUSTEMENT DU MONTANT D'EXPOSITION PONDÉRÉ DU FAIT DU FACTEUR SUPPLÉTIF POUR LES PME</w:t>
            </w:r>
          </w:p>
          <w:p w14:paraId="7060DF0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0256 du modèle CR IRB.</w:t>
            </w:r>
          </w:p>
        </w:tc>
      </w:tr>
      <w:tr w:rsidR="009D6580" w:rsidRPr="002A677E" w14:paraId="6DA9FCB6" w14:textId="77777777" w:rsidTr="00822842">
        <w:tc>
          <w:tcPr>
            <w:tcW w:w="1188" w:type="dxa"/>
          </w:tcPr>
          <w:p w14:paraId="189DC6D4" w14:textId="77777777" w:rsidR="009D6580" w:rsidRPr="002A677E" w:rsidRDefault="009D6580" w:rsidP="00822842">
            <w:pPr>
              <w:rPr>
                <w:sz w:val="24"/>
                <w:rFonts w:ascii="Times New Roman" w:hAnsi="Times New Roman"/>
              </w:rPr>
            </w:pPr>
            <w:r>
              <w:rPr>
                <w:sz w:val="24"/>
                <w:rFonts w:ascii="Times New Roman" w:hAnsi="Times New Roman"/>
              </w:rPr>
              <w:t xml:space="preserve">0122</w:t>
            </w:r>
          </w:p>
        </w:tc>
        <w:tc>
          <w:tcPr>
            <w:tcW w:w="8640" w:type="dxa"/>
          </w:tcPr>
          <w:p w14:paraId="77E17241"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 AJUSTEMENT DU MONTANT D'EXPOSITION PONDÉRÉ DU FAIT DU FACTEUR SUPPLÉTIF POUR LES INFRASTRUCTURES</w:t>
            </w:r>
          </w:p>
          <w:p w14:paraId="1EE90D25"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0257 du modèle CR IRB.</w:t>
            </w:r>
          </w:p>
        </w:tc>
      </w:tr>
      <w:tr w:rsidR="009D6580" w:rsidRPr="002A677E" w14:paraId="0A79EDF4" w14:textId="77777777" w:rsidTr="00822842">
        <w:tc>
          <w:tcPr>
            <w:tcW w:w="1188" w:type="dxa"/>
          </w:tcPr>
          <w:p w14:paraId="2D50BBC4" w14:textId="77777777" w:rsidR="009D6580" w:rsidRPr="002A677E" w:rsidRDefault="009D6580" w:rsidP="00822842">
            <w:pPr>
              <w:rPr>
                <w:sz w:val="24"/>
                <w:rFonts w:ascii="Times New Roman" w:hAnsi="Times New Roman"/>
              </w:rPr>
            </w:pPr>
            <w:r>
              <w:rPr>
                <w:sz w:val="24"/>
                <w:rFonts w:ascii="Times New Roman" w:hAnsi="Times New Roman"/>
              </w:rPr>
              <w:t xml:space="preserve">0125</w:t>
            </w:r>
          </w:p>
        </w:tc>
        <w:tc>
          <w:tcPr>
            <w:tcW w:w="8640" w:type="dxa"/>
          </w:tcPr>
          <w:p w14:paraId="0D402C8B"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MONTANT D’EXPOSITION PONDÉRÉ APRÈS APPLICATION DES FACTEURS SUPPLÉTIFS</w:t>
            </w:r>
          </w:p>
          <w:p w14:paraId="71F977E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0260 du modèle CR IRB.</w:t>
            </w:r>
          </w:p>
        </w:tc>
      </w:tr>
      <w:tr w:rsidR="009D6580" w:rsidRPr="002A677E" w14:paraId="058051CC" w14:textId="77777777" w:rsidTr="00822842">
        <w:tc>
          <w:tcPr>
            <w:tcW w:w="1188" w:type="dxa"/>
          </w:tcPr>
          <w:p w14:paraId="02AA680F"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5E66C6B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MONTANT DES PERTES ANTICIPÉES</w:t>
            </w:r>
          </w:p>
          <w:p w14:paraId="27E13378" w14:textId="77777777" w:rsidR="009D6580" w:rsidRPr="002A677E" w:rsidRDefault="009D6580" w:rsidP="00822842">
            <w:pPr>
              <w:rPr>
                <w:b/>
                <w:sz w:val="24"/>
                <w:u w:val="single"/>
                <w:rFonts w:ascii="Times New Roman" w:hAnsi="Times New Roman"/>
              </w:rPr>
            </w:pPr>
            <w:r>
              <w:rPr>
                <w:rStyle w:val="InstructionsTabelleText"/>
                <w:sz w:val="24"/>
                <w:rFonts w:ascii="Times New Roman" w:hAnsi="Times New Roman"/>
              </w:rPr>
              <w:t xml:space="preserve">Même définition que pour la colonne 0280 du modèle CR IRB.</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b/>
                <w:sz w:val="24"/>
                <w:rFonts w:ascii="Times New Roman" w:hAnsi="Times New Roman"/>
              </w:rPr>
            </w:pPr>
            <w:r>
              <w:rPr>
                <w:b/>
                <w:sz w:val="24"/>
                <w:rFonts w:ascii="Times New Roman" w:hAnsi="Times New Roman"/>
              </w:rPr>
              <w:t xml:space="preserve">Lignes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sz w:val="24"/>
                <w:rFonts w:ascii="Times New Roman" w:hAnsi="Times New Roman"/>
              </w:rPr>
            </w:pPr>
            <w:r>
              <w:rPr>
                <w:sz w:val="24"/>
                <w:rFonts w:ascii="Times New Roman" w:hAnsi="Times New Roman"/>
              </w:rPr>
              <w:t xml:space="preserve">0010</w:t>
            </w:r>
          </w:p>
        </w:tc>
        <w:tc>
          <w:tcPr>
            <w:tcW w:w="8640" w:type="dxa"/>
          </w:tcPr>
          <w:p w14:paraId="349EA927"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Banques centrales et administrations centrales</w:t>
            </w:r>
            <w:r>
              <w:rPr>
                <w:b/>
                <w:sz w:val="24"/>
                <w:u w:val="single"/>
                <w:rFonts w:ascii="Times New Roman" w:hAnsi="Times New Roman"/>
              </w:rPr>
              <w:t xml:space="preserve"> </w:t>
            </w:r>
          </w:p>
          <w:p w14:paraId="45CC186E" w14:textId="77777777" w:rsidR="009D6580" w:rsidRPr="002A677E" w:rsidRDefault="009D6580" w:rsidP="00822842">
            <w:pPr>
              <w:rPr>
                <w:sz w:val="24"/>
                <w:rFonts w:ascii="Times New Roman" w:hAnsi="Times New Roman"/>
              </w:rPr>
            </w:pPr>
            <w:r>
              <w:rPr>
                <w:sz w:val="24"/>
                <w:rFonts w:ascii="Times New Roman" w:hAnsi="Times New Roman"/>
              </w:rPr>
              <w:t xml:space="preserve">Article 147, paragraphe 2, point a), du règlement (UE) nº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sz w:val="24"/>
                <w:rFonts w:ascii="Times New Roman" w:hAnsi="Times New Roman"/>
              </w:rPr>
            </w:pPr>
            <w:r>
              <w:rPr>
                <w:sz w:val="24"/>
                <w:rFonts w:ascii="Times New Roman" w:hAnsi="Times New Roman"/>
              </w:rPr>
              <w:t xml:space="preserve">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Administrations régionales ou locales</w:t>
            </w:r>
          </w:p>
          <w:p w14:paraId="4864E15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Article 147, paragraphe 3 </w:t>
            </w:r>
            <w:r>
              <w:rPr>
                <w:sz w:val="24"/>
                <w:i/>
                <w:iCs/>
                <w:rFonts w:ascii="Times New Roman" w:hAnsi="Times New Roman"/>
              </w:rPr>
              <w:t xml:space="preserve">bis</w:t>
            </w:r>
            <w:r>
              <w:rPr>
                <w:sz w:val="24"/>
                <w:rFonts w:ascii="Times New Roman" w:hAnsi="Times New Roman"/>
              </w:rPr>
              <w:t xml:space="preserve">, du règlement (UE) nº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sz w:val="24"/>
                <w:rFonts w:ascii="Times New Roman" w:hAnsi="Times New Roman"/>
              </w:rPr>
            </w:pPr>
            <w:r>
              <w:rPr>
                <w:sz w:val="24"/>
                <w:rFonts w:ascii="Times New Roman" w:hAnsi="Times New Roman"/>
              </w:rPr>
              <w:t xml:space="preserve">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Administrations régionales ou locales</w:t>
            </w:r>
          </w:p>
          <w:p w14:paraId="19FE9B53"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Article 147, paragraphe 2, point a1), i) du règlement (UE) nº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sz w:val="24"/>
                <w:rFonts w:ascii="Times New Roman" w:hAnsi="Times New Roman"/>
              </w:rPr>
            </w:pPr>
            <w:r>
              <w:rPr>
                <w:sz w:val="24"/>
                <w:rFonts w:ascii="Times New Roman" w:hAnsi="Times New Roman"/>
              </w:rPr>
              <w:t xml:space="preserve">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b/>
                <w:sz w:val="24"/>
                <w:u w:val="single"/>
                <w:rFonts w:ascii="Times New Roman" w:hAnsi="Times New Roman"/>
              </w:rPr>
            </w:pPr>
            <w:r>
              <w:rPr>
                <w:b/>
                <w:sz w:val="24"/>
                <w:u w:val="single"/>
                <w:rFonts w:ascii="Times New Roman" w:hAnsi="Times New Roman"/>
              </w:rPr>
              <w:t xml:space="preserve">Entités du secteur public</w:t>
            </w:r>
            <w:r>
              <w:rPr>
                <w:b/>
                <w:sz w:val="24"/>
                <w:u w:val="single"/>
                <w:rFonts w:ascii="Times New Roman" w:hAnsi="Times New Roman"/>
              </w:rPr>
              <w:t xml:space="preserve"> </w:t>
            </w:r>
          </w:p>
          <w:p w14:paraId="1DE1AAE7"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Article 147, paragraphe 2, point a1), ii) du règlement (UE) nº 575/2013</w:t>
            </w:r>
          </w:p>
        </w:tc>
      </w:tr>
      <w:tr w:rsidR="009D6580" w:rsidRPr="002A677E" w14:paraId="0C55C95D" w14:textId="77777777" w:rsidTr="00822842">
        <w:tc>
          <w:tcPr>
            <w:tcW w:w="1188" w:type="dxa"/>
          </w:tcPr>
          <w:p w14:paraId="6C8F06FC"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640" w:type="dxa"/>
          </w:tcPr>
          <w:p w14:paraId="460BDDF8"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Établissements</w:t>
            </w:r>
          </w:p>
          <w:p w14:paraId="504F46A3" w14:textId="77777777" w:rsidR="009D6580" w:rsidRPr="002A677E" w:rsidRDefault="009D6580" w:rsidP="00822842">
            <w:pPr>
              <w:rPr>
                <w:sz w:val="24"/>
                <w:rFonts w:ascii="Times New Roman" w:hAnsi="Times New Roman"/>
              </w:rPr>
            </w:pPr>
            <w:r>
              <w:rPr>
                <w:sz w:val="24"/>
                <w:rFonts w:ascii="Times New Roman" w:hAnsi="Times New Roman"/>
              </w:rPr>
              <w:t xml:space="preserve">Article 147, paragraphe 2, point b), du règlement (UE) nº 575/2013</w:t>
            </w:r>
          </w:p>
        </w:tc>
      </w:tr>
      <w:tr w:rsidR="009D6580" w:rsidRPr="002A677E" w14:paraId="2B29BE20" w14:textId="77777777" w:rsidTr="00822842">
        <w:tc>
          <w:tcPr>
            <w:tcW w:w="1188" w:type="dxa"/>
          </w:tcPr>
          <w:p w14:paraId="521AA8B6"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640" w:type="dxa"/>
          </w:tcPr>
          <w:p w14:paraId="63C7233C"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Entreprises</w:t>
            </w:r>
            <w:r>
              <w:rPr>
                <w:b/>
                <w:sz w:val="24"/>
                <w:u w:val="single"/>
                <w:rFonts w:ascii="Times New Roman" w:hAnsi="Times New Roman"/>
              </w:rPr>
              <w:t xml:space="preserve"> </w:t>
            </w:r>
          </w:p>
          <w:p w14:paraId="699F9BD2"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Toutes les expositions sur des entreprises visées à l’article 147, paragraphe 2, point c), du règlement (UE) nº 575/2013</w:t>
            </w:r>
          </w:p>
        </w:tc>
      </w:tr>
      <w:tr w:rsidR="009D6580" w:rsidRPr="002A677E" w14:paraId="55C3FE5A" w14:textId="77777777" w:rsidTr="00822842">
        <w:tc>
          <w:tcPr>
            <w:tcW w:w="1188" w:type="dxa"/>
          </w:tcPr>
          <w:p w14:paraId="198D8F58" w14:textId="77777777" w:rsidR="009D6580" w:rsidRPr="002A677E" w:rsidRDefault="009D6580" w:rsidP="00822842">
            <w:pPr>
              <w:rPr>
                <w:sz w:val="24"/>
                <w:rFonts w:ascii="Times New Roman" w:hAnsi="Times New Roman"/>
              </w:rPr>
            </w:pPr>
            <w:r>
              <w:rPr>
                <w:sz w:val="24"/>
                <w:rFonts w:ascii="Times New Roman" w:hAnsi="Times New Roman"/>
              </w:rPr>
              <w:t xml:space="preserve">0050</w:t>
            </w:r>
          </w:p>
        </w:tc>
        <w:tc>
          <w:tcPr>
            <w:tcW w:w="8640" w:type="dxa"/>
          </w:tcPr>
          <w:p w14:paraId="66C0F4F0"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PME</w:t>
            </w:r>
          </w:p>
          <w:p w14:paraId="13819074"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Article 147, paragraphe 2, point c), du règlement (UE) nº 575/2013</w:t>
            </w:r>
          </w:p>
          <w:p w14:paraId="6C8F6FE1" w14:textId="408BCC75" w:rsidR="009D6580" w:rsidRPr="002A677E" w:rsidRDefault="009D6580"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Aux fins du classement dans cette sous-catégorie d’exposition, les entités déclarantes utilisent la définition des PME figurant à l’article 5, paragraphe 8, du règlement (UE) nº 575/2013.</w:t>
            </w:r>
            <w:r>
              <w:rPr>
                <w:sz w:val="24"/>
                <w:rFonts w:ascii="Times New Roman" w:hAnsi="Times New Roman"/>
              </w:rPr>
              <w:t xml:space="preserve">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sz w:val="24"/>
                <w:rFonts w:ascii="Times New Roman" w:hAnsi="Times New Roman"/>
              </w:rPr>
            </w:pPr>
            <w:r>
              <w:rPr>
                <w:sz w:val="24"/>
                <w:rFonts w:ascii="Times New Roman" w:hAnsi="Times New Roman"/>
              </w:rPr>
              <w:t xml:space="preserve">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Grandes entreprises</w:t>
            </w:r>
          </w:p>
          <w:p w14:paraId="503F359E" w14:textId="77777777" w:rsidR="00B56773" w:rsidRPr="00B56773" w:rsidRDefault="00B56773" w:rsidP="00B56773">
            <w:pPr>
              <w:rPr>
                <w:bCs/>
                <w:sz w:val="24"/>
                <w:rFonts w:ascii="Times New Roman" w:hAnsi="Times New Roman"/>
              </w:rPr>
            </w:pPr>
            <w:r>
              <w:rPr>
                <w:sz w:val="24"/>
                <w:rFonts w:ascii="Times New Roman" w:hAnsi="Times New Roman"/>
              </w:rPr>
              <w:t xml:space="preserve">Article 147, paragraphe 2, point c), du règlement (UE) nº 575/2013.</w:t>
            </w:r>
          </w:p>
          <w:p w14:paraId="23F8CBD6" w14:textId="77777777" w:rsidR="00B56773" w:rsidRPr="00E47484" w:rsidRDefault="00B56773" w:rsidP="007400C4">
            <w:pPr>
              <w:rPr>
                <w:b/>
                <w:sz w:val="24"/>
                <w:u w:val="single"/>
                <w:rFonts w:ascii="Times New Roman" w:hAnsi="Times New Roman"/>
              </w:rPr>
            </w:pPr>
            <w:r>
              <w:rPr>
                <w:sz w:val="24"/>
                <w:rFonts w:ascii="Times New Roman" w:hAnsi="Times New Roman"/>
              </w:rPr>
              <w:t xml:space="preserve">Aux fins du classement dans cette sous-catégorie d’exposition, les entités déclarantes utilisent la définition des grandes entreprises figurant à l’article 142, paragraphe 1, point 5 </w:t>
            </w:r>
            <w:r>
              <w:rPr>
                <w:sz w:val="24"/>
                <w:i/>
                <w:iCs/>
                <w:rFonts w:ascii="Times New Roman" w:hAnsi="Times New Roman"/>
              </w:rPr>
              <w:t xml:space="preserve">bis</w:t>
            </w:r>
            <w:r>
              <w:rPr>
                <w:sz w:val="24"/>
                <w:rFonts w:ascii="Times New Roman" w:hAnsi="Times New Roman"/>
              </w:rPr>
              <w:t xml:space="preserve">), du règlement (UE) nº 575/2013.</w:t>
            </w:r>
            <w:r>
              <w:rPr>
                <w:sz w:val="24"/>
                <w:b/>
                <w:u w:val="single"/>
                <w:rFonts w:ascii="Times New Roman" w:hAnsi="Times New Roman"/>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sz w:val="24"/>
                <w:rFonts w:ascii="Times New Roman" w:hAnsi="Times New Roman"/>
              </w:rPr>
            </w:pPr>
            <w:r>
              <w:rPr>
                <w:sz w:val="24"/>
                <w:rFonts w:ascii="Times New Roman" w:hAnsi="Times New Roman"/>
              </w:rPr>
              <w:t xml:space="preserve">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b/>
                <w:sz w:val="24"/>
                <w:u w:val="single"/>
                <w:rFonts w:ascii="Times New Roman" w:hAnsi="Times New Roman"/>
              </w:rPr>
            </w:pPr>
            <w:r>
              <w:rPr>
                <w:b/>
                <w:sz w:val="24"/>
                <w:u w:val="single"/>
                <w:rFonts w:ascii="Times New Roman" w:hAnsi="Times New Roman"/>
              </w:rPr>
              <w:t xml:space="preserve">Financement spécialisé</w:t>
            </w:r>
          </w:p>
          <w:p w14:paraId="510C1D3E" w14:textId="683EFC86" w:rsidR="00B56773" w:rsidRPr="00B56773" w:rsidDel="000306F2" w:rsidRDefault="00B56773" w:rsidP="007400C4">
            <w:pPr>
              <w:rPr>
                <w:bCs/>
                <w:sz w:val="24"/>
                <w:rFonts w:ascii="Times New Roman" w:hAnsi="Times New Roman"/>
              </w:rPr>
            </w:pPr>
            <w:r>
              <w:rPr>
                <w:sz w:val="24"/>
                <w:rFonts w:ascii="Times New Roman" w:hAnsi="Times New Roman"/>
              </w:rPr>
              <w:t xml:space="preserve">Article 147, paragraphe 2, point c), ii), du règlement (UE) nº 575/2013.</w:t>
            </w:r>
            <w:r>
              <w:rPr>
                <w:sz w:val="24"/>
                <w:rFonts w:ascii="Times New Roman" w:hAnsi="Times New Roman"/>
              </w:rPr>
              <w:t xml:space="preserve"> </w:t>
            </w:r>
            <w:r>
              <w:rPr>
                <w:sz w:val="24"/>
                <w:rFonts w:ascii="Times New Roman" w:hAnsi="Times New Roman"/>
              </w:rPr>
              <w:t xml:space="preserve">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sz w:val="24"/>
                <w:rFonts w:ascii="Times New Roman" w:hAnsi="Times New Roman"/>
              </w:rPr>
            </w:pPr>
            <w:r>
              <w:rPr>
                <w:sz w:val="24"/>
                <w:rFonts w:ascii="Times New Roman" w:hAnsi="Times New Roman"/>
              </w:rPr>
              <w:t xml:space="preserve">0053 – 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b/>
                <w:sz w:val="24"/>
                <w:rFonts w:ascii="Times New Roman" w:hAnsi="Times New Roman"/>
              </w:rPr>
            </w:pPr>
            <w:r>
              <w:rPr>
                <w:b/>
                <w:sz w:val="24"/>
                <w:u w:val="single"/>
                <w:rFonts w:ascii="Times New Roman" w:hAnsi="Times New Roman"/>
              </w:rPr>
              <w:t xml:space="preserve">Financement spécialisé —</w:t>
            </w:r>
            <w:r>
              <w:rPr>
                <w:b/>
                <w:sz w:val="24"/>
                <w:rFonts w:ascii="Times New Roman" w:hAnsi="Times New Roman"/>
              </w:rPr>
              <w:t xml:space="preserve"> types d’expositions de financement spécialisé</w:t>
            </w:r>
          </w:p>
          <w:p w14:paraId="1E4AC942" w14:textId="49F536D6" w:rsidR="00B56773" w:rsidRPr="00F16E4D" w:rsidRDefault="00B56773" w:rsidP="00822842">
            <w:pPr>
              <w:rPr>
                <w:bCs/>
                <w:sz w:val="24"/>
                <w:rFonts w:ascii="Times New Roman" w:hAnsi="Times New Roman"/>
              </w:rPr>
            </w:pPr>
            <w:r>
              <w:rPr>
                <w:sz w:val="24"/>
                <w:rFonts w:ascii="Times New Roman" w:hAnsi="Times New Roman"/>
              </w:rPr>
              <w:t xml:space="preserve">Les établissements déclareront les types d’expositions de financement spécialisé visés à l’article 147, paragraphe 8, deuxième alinéa, dans la ligne correspondante: Financement spécialisé “financement sur projet”, “financement d’objets”, “financement de matières premières” et “immobilier de rapport”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sz w:val="24"/>
                <w:rFonts w:ascii="Times New Roman" w:hAnsi="Times New Roman"/>
              </w:rPr>
            </w:pPr>
            <w:r>
              <w:rPr>
                <w:sz w:val="24"/>
                <w:rFonts w:ascii="Times New Roman" w:hAnsi="Times New Roman"/>
              </w:rPr>
              <w:t xml:space="preserve">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b/>
                <w:sz w:val="24"/>
                <w:u w:val="single"/>
                <w:rFonts w:ascii="Times New Roman" w:hAnsi="Times New Roman"/>
              </w:rPr>
            </w:pPr>
            <w:r>
              <w:rPr>
                <w:b/>
                <w:sz w:val="24"/>
                <w:u w:val="single"/>
                <w:rFonts w:ascii="Times New Roman" w:hAnsi="Times New Roman"/>
              </w:rPr>
              <w:t xml:space="preserve">Créances achetées</w:t>
            </w:r>
          </w:p>
          <w:p w14:paraId="40628222" w14:textId="77777777" w:rsidR="009D6580" w:rsidRPr="00E47484" w:rsidRDefault="009D6580" w:rsidP="00822842">
            <w:pPr>
              <w:rPr>
                <w:b/>
                <w:sz w:val="24"/>
                <w:u w:val="single"/>
                <w:rFonts w:ascii="Times New Roman" w:hAnsi="Times New Roman"/>
              </w:rPr>
            </w:pPr>
            <w:r>
              <w:rPr>
                <w:sz w:val="24"/>
                <w:rFonts w:ascii="Times New Roman" w:hAnsi="Times New Roman"/>
              </w:rPr>
              <w:t xml:space="preserve">Article 147, paragraphe 2, point c), iii), du règlement (UE) nº 575/2013.</w:t>
            </w:r>
          </w:p>
        </w:tc>
      </w:tr>
      <w:tr w:rsidR="00F16E4D" w:rsidRPr="002A677E" w14:paraId="27B47EEA" w14:textId="77777777" w:rsidTr="00822842">
        <w:tc>
          <w:tcPr>
            <w:tcW w:w="1188" w:type="dxa"/>
          </w:tcPr>
          <w:p w14:paraId="329ABF25" w14:textId="3906F1E5" w:rsidR="00F16E4D" w:rsidRPr="002A677E" w:rsidRDefault="00F16E4D" w:rsidP="00822842">
            <w:pPr>
              <w:rPr>
                <w:sz w:val="24"/>
                <w:rFonts w:ascii="Times New Roman" w:hAnsi="Times New Roman"/>
              </w:rPr>
            </w:pPr>
            <w:r>
              <w:rPr>
                <w:sz w:val="24"/>
                <w:rFonts w:ascii="Times New Roman" w:hAnsi="Times New Roman"/>
              </w:rPr>
              <w:t xml:space="preserve">0058</w:t>
            </w:r>
          </w:p>
        </w:tc>
        <w:tc>
          <w:tcPr>
            <w:tcW w:w="8640" w:type="dxa"/>
          </w:tcPr>
          <w:p w14:paraId="27CFAA09" w14:textId="513D8D7F" w:rsidR="00F16E4D" w:rsidRDefault="00F16E4D" w:rsidP="00822842">
            <w:pPr>
              <w:rPr>
                <w:b/>
                <w:sz w:val="24"/>
                <w:u w:val="single"/>
                <w:rFonts w:ascii="Times New Roman" w:hAnsi="Times New Roman"/>
              </w:rPr>
            </w:pPr>
            <w:r>
              <w:rPr>
                <w:b/>
                <w:sz w:val="24"/>
                <w:u w:val="single"/>
                <w:rFonts w:ascii="Times New Roman" w:hAnsi="Times New Roman"/>
              </w:rPr>
              <w:t xml:space="preserve">Autres</w:t>
            </w:r>
          </w:p>
          <w:p w14:paraId="75A3CB20" w14:textId="69737D7D" w:rsidR="00F16E4D" w:rsidRPr="002A677E" w:rsidRDefault="00F16E4D" w:rsidP="00822842">
            <w:pPr>
              <w:rPr>
                <w:b/>
                <w:sz w:val="24"/>
                <w:u w:val="single"/>
                <w:rFonts w:ascii="Times New Roman" w:hAnsi="Times New Roman"/>
              </w:rPr>
            </w:pPr>
            <w:r>
              <w:rPr>
                <w:sz w:val="24"/>
                <w:rFonts w:ascii="Times New Roman" w:hAnsi="Times New Roman"/>
              </w:rPr>
              <w:t xml:space="preserve">Article 147, paragraphe 2, point I, i), du règlement (UE) nº 575/2013</w:t>
            </w:r>
          </w:p>
        </w:tc>
      </w:tr>
      <w:tr w:rsidR="009D6580" w:rsidRPr="002A677E" w14:paraId="3CAC5C4A" w14:textId="77777777" w:rsidTr="00822842">
        <w:tc>
          <w:tcPr>
            <w:tcW w:w="1188" w:type="dxa"/>
          </w:tcPr>
          <w:p w14:paraId="50AFEE21" w14:textId="77777777" w:rsidR="009D6580" w:rsidRPr="002A677E" w:rsidRDefault="009D6580" w:rsidP="00822842">
            <w:pPr>
              <w:rPr>
                <w:sz w:val="24"/>
                <w:rFonts w:ascii="Times New Roman" w:hAnsi="Times New Roman"/>
              </w:rPr>
            </w:pPr>
            <w:r>
              <w:rPr>
                <w:sz w:val="24"/>
                <w:rFonts w:ascii="Times New Roman" w:hAnsi="Times New Roman"/>
              </w:rPr>
              <w:t xml:space="preserve">0060</w:t>
            </w:r>
          </w:p>
        </w:tc>
        <w:tc>
          <w:tcPr>
            <w:tcW w:w="8640" w:type="dxa"/>
          </w:tcPr>
          <w:p w14:paraId="084F36E4"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Clientèle de détail</w:t>
            </w:r>
          </w:p>
          <w:p w14:paraId="61F98691" w14:textId="77777777" w:rsidR="009D6580" w:rsidRPr="002A677E" w:rsidRDefault="009D6580" w:rsidP="00822842">
            <w:pPr>
              <w:rPr>
                <w:sz w:val="24"/>
                <w:rFonts w:ascii="Times New Roman" w:hAnsi="Times New Roman"/>
              </w:rPr>
            </w:pPr>
            <w:r>
              <w:rPr>
                <w:sz w:val="24"/>
                <w:rFonts w:ascii="Times New Roman" w:hAnsi="Times New Roman"/>
              </w:rPr>
              <w:t xml:space="preserve">Toutes les expositions sur la clientèle de détail visées à l’article 147, paragraphe 2, point d), du règlement (UE) nº 575/2013.</w:t>
            </w:r>
          </w:p>
        </w:tc>
      </w:tr>
      <w:tr w:rsidR="009D6580" w:rsidRPr="002A677E" w14:paraId="3126FC45" w14:textId="77777777" w:rsidTr="00822842">
        <w:tc>
          <w:tcPr>
            <w:tcW w:w="1188" w:type="dxa"/>
          </w:tcPr>
          <w:p w14:paraId="3B5D6723"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640" w:type="dxa"/>
          </w:tcPr>
          <w:p w14:paraId="094A84E8" w14:textId="1D426AD8" w:rsidR="009D6580" w:rsidRPr="002A677E" w:rsidRDefault="005B37F0"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Clientèle de détail – Expositions garanties par des biens immobiliers</w:t>
            </w:r>
          </w:p>
          <w:p w14:paraId="35B1F6E7" w14:textId="4962CAD8" w:rsidR="00FD0F61" w:rsidRDefault="00FD0F61" w:rsidP="00822842">
            <w:pPr>
              <w:pStyle w:val="ListParagraph"/>
              <w:ind w:left="0"/>
              <w:rPr>
                <w:sz w:val="24"/>
                <w:rFonts w:ascii="Times New Roman" w:hAnsi="Times New Roman"/>
              </w:rPr>
            </w:pPr>
            <w:r>
              <w:rPr>
                <w:sz w:val="24"/>
                <w:rFonts w:ascii="Times New Roman" w:hAnsi="Times New Roman"/>
              </w:rPr>
              <w:t xml:space="preserve">Expositions sur la clientèle de détail au sens de l’article 147, paragraphe 2, point d), du règlement (UE) nº 575/2013, qui sont garanties par un bien immobilier au sens de l’article 4, paragraphe 1, point 75 </w:t>
            </w:r>
            <w:r>
              <w:rPr>
                <w:sz w:val="24"/>
                <w:i/>
                <w:iCs/>
                <w:rFonts w:ascii="Times New Roman" w:hAnsi="Times New Roman"/>
              </w:rPr>
              <w:t xml:space="preserve">septies</w:t>
            </w:r>
            <w:r>
              <w:rPr>
                <w:sz w:val="24"/>
                <w:rFonts w:ascii="Times New Roman" w:hAnsi="Times New Roman"/>
              </w:rPr>
              <w:t xml:space="preserve">), du règlement (UE) nº 575/2013.</w:t>
            </w:r>
          </w:p>
          <w:p w14:paraId="0CD06107" w14:textId="22291817"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w:t>
            </w:r>
          </w:p>
        </w:tc>
      </w:tr>
      <w:tr w:rsidR="009D6580" w:rsidRPr="002A677E" w14:paraId="49CD7917" w14:textId="77777777" w:rsidTr="00822842">
        <w:tc>
          <w:tcPr>
            <w:tcW w:w="1188" w:type="dxa"/>
          </w:tcPr>
          <w:p w14:paraId="3FA8BBC8"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640" w:type="dxa"/>
          </w:tcPr>
          <w:p w14:paraId="4738C3E5" w14:textId="186F9DD4" w:rsidR="009D6580" w:rsidRPr="002A677E" w:rsidRDefault="00FD0F61"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PME</w:t>
            </w:r>
          </w:p>
          <w:p w14:paraId="67BFF2AB" w14:textId="02FB7D89" w:rsidR="009D6580" w:rsidRPr="002A677E" w:rsidRDefault="00FD0F61" w:rsidP="00822842">
            <w:pPr>
              <w:pStyle w:val="ListParagraph"/>
              <w:ind w:left="0"/>
              <w:rPr>
                <w:sz w:val="24"/>
                <w:rFonts w:ascii="Times New Roman" w:hAnsi="Times New Roman"/>
              </w:rPr>
            </w:pPr>
            <w:r>
              <w:rPr>
                <w:sz w:val="24"/>
                <w:rFonts w:ascii="Times New Roman" w:hAnsi="Times New Roman"/>
              </w:rPr>
              <w:t xml:space="preserve">Expositions sur la clientèle de détail au sens de l’article 147, paragraphe 2, point d), du règlement (UE) nº 575/2013, déclarées aux points B.6.1 à B.6.4, qui sont garanties par un bien immobilier au sens de l’article 4, paragraphe 1, point 75 </w:t>
            </w:r>
            <w:r>
              <w:rPr>
                <w:sz w:val="24"/>
                <w:i/>
                <w:iCs/>
                <w:rFonts w:ascii="Times New Roman" w:hAnsi="Times New Roman"/>
              </w:rPr>
              <w:t xml:space="preserve">septies</w:t>
            </w:r>
            <w:r>
              <w:rPr>
                <w:sz w:val="24"/>
                <w:rFonts w:ascii="Times New Roman" w:hAnsi="Times New Roman"/>
              </w:rPr>
              <w:t xml:space="preserve">), du règlement (UE) nº 575/2013, en liaison avec l’article 5, paragraphe 8, dudit règlement.</w:t>
            </w:r>
            <w:r>
              <w:rPr>
                <w:sz w:val="24"/>
                <w:rFonts w:ascii="Times New Roman" w:hAnsi="Times New Roman"/>
              </w:rPr>
              <w:t xml:space="preserve">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640" w:type="dxa"/>
            <w:shd w:val="clear" w:color="auto" w:fill="auto"/>
          </w:tcPr>
          <w:p w14:paraId="05695520" w14:textId="39C15E5F" w:rsidR="009D6580" w:rsidRPr="00E47484" w:rsidRDefault="00837F98"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Non PME</w:t>
            </w:r>
          </w:p>
          <w:p w14:paraId="68647661" w14:textId="272EAD03" w:rsidR="00837F98" w:rsidRDefault="00837F98" w:rsidP="00234FB5">
            <w:pPr>
              <w:pStyle w:val="ListParagraph"/>
              <w:autoSpaceDE w:val="0"/>
              <w:autoSpaceDN w:val="0"/>
              <w:adjustRightInd w:val="0"/>
              <w:spacing w:before="0" w:after="0"/>
              <w:ind w:left="0"/>
              <w:jc w:val="left"/>
              <w:rPr>
                <w:sz w:val="24"/>
                <w:rFonts w:ascii="Times New Roman" w:hAnsi="Times New Roman"/>
              </w:rPr>
            </w:pPr>
            <w:r>
              <w:rPr>
                <w:sz w:val="24"/>
                <w:rFonts w:ascii="Times New Roman" w:hAnsi="Times New Roman"/>
              </w:rPr>
              <w:t xml:space="preserve">Expositions sur la clientèle de détail au sens de l’article 147, paragraphe 2, point d), du règlement (UE) nº 575/2013, déclarées aux points B.6.1 à B.6.4, qui sont garanties par un bien immobilier au sens de l’article 4, paragraphe 1, point 75 </w:t>
            </w:r>
            <w:r>
              <w:rPr>
                <w:sz w:val="24"/>
                <w:i/>
                <w:iCs/>
                <w:rFonts w:ascii="Times New Roman" w:hAnsi="Times New Roman"/>
              </w:rPr>
              <w:t xml:space="preserve">septies</w:t>
            </w:r>
            <w:r>
              <w:rPr>
                <w:sz w:val="24"/>
                <w:rFonts w:ascii="Times New Roman" w:hAnsi="Times New Roman"/>
              </w:rPr>
              <w:t xml:space="preserve">), du règlement (UE) nº 575/2013, sans liaison avec l’article 5, paragraphe 8, dudit règlement.</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sz w:val="24"/>
                <w:rFonts w:ascii="Times New Roman" w:hAnsi="Times New Roman"/>
              </w:rPr>
            </w:pPr>
            <w:r>
              <w:rPr>
                <w:sz w:val="24"/>
                <w:rFonts w:ascii="Times New Roman" w:hAnsi="Times New Roman"/>
              </w:rPr>
              <w:t xml:space="preserve">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b/>
                <w:sz w:val="24"/>
                <w:u w:val="single"/>
                <w:rFonts w:ascii="Times New Roman" w:hAnsi="Times New Roman"/>
              </w:rPr>
            </w:pPr>
            <w:r>
              <w:rPr>
                <w:b/>
                <w:sz w:val="24"/>
                <w:u w:val="single"/>
                <w:rFonts w:ascii="Times New Roman" w:hAnsi="Times New Roman"/>
              </w:rPr>
              <w:t xml:space="preserve">Expositions garanties par des biens immobiliers résidentiels</w:t>
            </w:r>
          </w:p>
          <w:p w14:paraId="3B8B837D" w14:textId="77777777" w:rsidR="00910F63" w:rsidRPr="00910F63" w:rsidRDefault="00910F63" w:rsidP="00910F63">
            <w:pPr>
              <w:rPr>
                <w:bCs/>
                <w:sz w:val="24"/>
                <w:rFonts w:ascii="Times New Roman" w:hAnsi="Times New Roman"/>
              </w:rPr>
            </w:pPr>
            <w:r>
              <w:rPr>
                <w:sz w:val="24"/>
                <w:rFonts w:ascii="Times New Roman" w:hAnsi="Times New Roman"/>
              </w:rPr>
              <w:t xml:space="preserve">Expositions sur la clientèle de détail visées à l’article 147, paragraphe 2, point d), ii), du règlement (UE) nº 575/2013</w:t>
            </w:r>
          </w:p>
          <w:p w14:paraId="7240267A" w14:textId="77777777" w:rsidR="00910F63" w:rsidRPr="002A677E" w:rsidRDefault="00910F63" w:rsidP="007400C4">
            <w:pPr>
              <w:rPr>
                <w:b/>
                <w:sz w:val="24"/>
                <w:u w:val="single"/>
                <w:rFonts w:ascii="Times New Roman" w:hAnsi="Times New Roman"/>
              </w:rPr>
            </w:pPr>
            <w:r>
              <w:rPr>
                <w:sz w:val="24"/>
                <w:rFonts w:ascii="Times New Roman" w:hAnsi="Times New Roman"/>
              </w:rPr>
              <w:t xml:space="preserve">Les expositions sur la clientèle de détail garanties par des biens immobiliers résidentiels seront considérées comme étant toutes les expositions sur la clientèle de détail garanties par des biens immobiliers résidentiels reconnus comme sûreté, quel que soit le rapport entre la valeur de la sûreté et l’exposition ou l’objet du prêt.</w:t>
            </w:r>
          </w:p>
        </w:tc>
      </w:tr>
      <w:tr w:rsidR="009D6580" w:rsidRPr="002A677E" w14:paraId="38AD5BBA" w14:textId="77777777" w:rsidTr="00822842">
        <w:tc>
          <w:tcPr>
            <w:tcW w:w="1188" w:type="dxa"/>
          </w:tcPr>
          <w:p w14:paraId="48A5C8D2"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640" w:type="dxa"/>
          </w:tcPr>
          <w:p w14:paraId="1B160106" w14:textId="7C65E11F"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Expositions renouvelables éligibles</w:t>
            </w:r>
          </w:p>
          <w:p w14:paraId="363209C3" w14:textId="77777777"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Expositions sur la clientèle de détail visées à l’article 147, paragraphe 2, point d), i), en lien avec l'article 154, paragraphe 4, du règlement (UE) nº 575/2013</w:t>
            </w:r>
          </w:p>
        </w:tc>
      </w:tr>
      <w:tr w:rsidR="009D6580" w:rsidRPr="002A677E" w14:paraId="26D0338D" w14:textId="77777777" w:rsidTr="00822842">
        <w:tc>
          <w:tcPr>
            <w:tcW w:w="1188" w:type="dxa"/>
          </w:tcPr>
          <w:p w14:paraId="6DA4B8E6" w14:textId="77777777" w:rsidR="009D6580" w:rsidRPr="002A677E" w:rsidRDefault="009D6580" w:rsidP="00822842">
            <w:pPr>
              <w:rPr>
                <w:sz w:val="24"/>
                <w:rFonts w:ascii="Times New Roman" w:hAnsi="Times New Roman"/>
              </w:rPr>
            </w:pPr>
            <w:r>
              <w:rPr>
                <w:sz w:val="24"/>
                <w:rFonts w:ascii="Times New Roman" w:hAnsi="Times New Roman"/>
              </w:rPr>
              <w:t xml:space="preserve">0105</w:t>
            </w:r>
          </w:p>
        </w:tc>
        <w:tc>
          <w:tcPr>
            <w:tcW w:w="8640" w:type="dxa"/>
          </w:tcPr>
          <w:p w14:paraId="63563096" w14:textId="485ECEE6" w:rsidR="009D6580" w:rsidRDefault="009D6580" w:rsidP="00822842">
            <w:pPr>
              <w:rPr>
                <w:b/>
                <w:sz w:val="24"/>
                <w:u w:val="single"/>
                <w:rFonts w:ascii="Times New Roman" w:hAnsi="Times New Roman"/>
              </w:rPr>
            </w:pPr>
            <w:r>
              <w:rPr>
                <w:b/>
                <w:sz w:val="24"/>
                <w:u w:val="single"/>
                <w:rFonts w:ascii="Times New Roman" w:hAnsi="Times New Roman"/>
              </w:rPr>
              <w:t xml:space="preserve">Créances achetées</w:t>
            </w:r>
          </w:p>
          <w:p w14:paraId="7C92CD05" w14:textId="77777777" w:rsidR="009D6580" w:rsidRPr="00B7761D" w:rsidRDefault="009D6580" w:rsidP="00822842">
            <w:pPr>
              <w:rPr>
                <w:sz w:val="18"/>
                <w:szCs w:val="18"/>
                <w:rFonts w:cs="Calibri"/>
              </w:rPr>
            </w:pPr>
            <w:r>
              <w:rPr>
                <w:sz w:val="24"/>
                <w:rFonts w:ascii="Times New Roman" w:hAnsi="Times New Roman"/>
              </w:rPr>
              <w:t xml:space="preserve">Expositions sur la clientèle de détail visées à l’article 147, paragraphe 2, point d), iii), du règlement (UE) nº 575/2013</w:t>
            </w:r>
          </w:p>
        </w:tc>
      </w:tr>
      <w:tr w:rsidR="009D6580" w:rsidRPr="002A677E" w14:paraId="551F153F" w14:textId="77777777" w:rsidTr="00822842">
        <w:tc>
          <w:tcPr>
            <w:tcW w:w="1188" w:type="dxa"/>
          </w:tcPr>
          <w:p w14:paraId="1C567015"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640" w:type="dxa"/>
          </w:tcPr>
          <w:p w14:paraId="3B169086" w14:textId="5BA51B78"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Autre clientèle de détail</w:t>
            </w:r>
          </w:p>
          <w:p w14:paraId="6BB335AD" w14:textId="5184DC86"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Autres expositions sur la clientèle de détail visées à l’article 147, paragraphe 2, point d), iv), du règlement (UE) nº 575/2013</w:t>
            </w:r>
          </w:p>
        </w:tc>
      </w:tr>
      <w:tr w:rsidR="009D6580" w:rsidRPr="002A677E" w14:paraId="1879AB2D" w14:textId="77777777" w:rsidTr="00822842">
        <w:tc>
          <w:tcPr>
            <w:tcW w:w="1188" w:type="dxa"/>
          </w:tcPr>
          <w:p w14:paraId="247F0534"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640" w:type="dxa"/>
          </w:tcPr>
          <w:p w14:paraId="37F76446" w14:textId="0C2F5C96"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PME</w:t>
            </w:r>
          </w:p>
          <w:p w14:paraId="28CE96BD" w14:textId="7A3420F8" w:rsidR="009D6580" w:rsidRPr="002A677E" w:rsidRDefault="009D6580" w:rsidP="00822842">
            <w:pPr>
              <w:pStyle w:val="ListParagraph"/>
              <w:ind w:left="0"/>
              <w:rPr>
                <w:sz w:val="24"/>
                <w:rFonts w:ascii="Times New Roman" w:hAnsi="Times New Roman"/>
              </w:rPr>
            </w:pPr>
            <w:r>
              <w:rPr>
                <w:sz w:val="24"/>
                <w:rFonts w:ascii="Times New Roman" w:hAnsi="Times New Roman"/>
              </w:rPr>
              <w:t xml:space="preserve">Autres expositions sur la clientèle de détail visées à l’article 147, paragraphe 2, point d), iv), du règlement (UE) nº 575/2013, en liaison avec l’article 5, paragraphe 8, dudit règlement</w:t>
            </w:r>
            <w:r>
              <w:rPr>
                <w:sz w:val="24"/>
                <w:rFonts w:ascii="Times New Roman" w:hAnsi="Times New Roman"/>
              </w:rPr>
              <w:t xml:space="preserve"> </w:t>
            </w:r>
          </w:p>
        </w:tc>
      </w:tr>
      <w:tr w:rsidR="009D6580" w:rsidRPr="002A677E" w14:paraId="6140E6E8" w14:textId="77777777" w:rsidTr="00822842">
        <w:tc>
          <w:tcPr>
            <w:tcW w:w="1188" w:type="dxa"/>
          </w:tcPr>
          <w:p w14:paraId="4DD00789"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640" w:type="dxa"/>
          </w:tcPr>
          <w:p w14:paraId="40BDF108" w14:textId="2B96A314" w:rsidR="009D6580" w:rsidRPr="002A677E" w:rsidRDefault="00837F98" w:rsidP="00822842">
            <w:pPr>
              <w:rPr>
                <w:b/>
                <w:sz w:val="24"/>
                <w:u w:val="single"/>
                <w:rFonts w:ascii="Times New Roman" w:hAnsi="Times New Roman"/>
              </w:rPr>
            </w:pPr>
            <w:r>
              <w:rPr>
                <w:b/>
                <w:sz w:val="24"/>
                <w:u w:val="single"/>
                <w:rFonts w:ascii="Times New Roman" w:hAnsi="Times New Roman"/>
              </w:rPr>
              <w:t xml:space="preserve">Dont:</w:t>
            </w:r>
            <w:r>
              <w:rPr>
                <w:b/>
                <w:sz w:val="24"/>
                <w:u w:val="single"/>
                <w:rFonts w:ascii="Times New Roman" w:hAnsi="Times New Roman"/>
              </w:rPr>
              <w:t xml:space="preserve"> </w:t>
            </w:r>
            <w:r>
              <w:rPr>
                <w:b/>
                <w:sz w:val="24"/>
                <w:u w:val="single"/>
                <w:rFonts w:ascii="Times New Roman" w:hAnsi="Times New Roman"/>
              </w:rPr>
              <w:t xml:space="preserve">Non PME</w:t>
            </w:r>
          </w:p>
          <w:p w14:paraId="51D486B6" w14:textId="251D2008" w:rsidR="009D6580" w:rsidRPr="002A677E" w:rsidRDefault="00837F98" w:rsidP="00822842">
            <w:pPr>
              <w:rPr>
                <w:sz w:val="24"/>
                <w:rFonts w:ascii="Times New Roman" w:hAnsi="Times New Roman"/>
              </w:rPr>
            </w:pPr>
            <w:r>
              <w:rPr>
                <w:sz w:val="24"/>
                <w:rFonts w:ascii="Times New Roman" w:hAnsi="Times New Roman"/>
              </w:rPr>
              <w:t xml:space="preserve">Autres expositions sur la clientèle de détail visées à l’article 147, paragraphe 2, point d), iv), du règlement (UE) nº 575/2013, sans liaison avec l’article 5, paragraphe 8, dudit règlement</w:t>
            </w:r>
          </w:p>
        </w:tc>
      </w:tr>
      <w:tr w:rsidR="009D6580" w:rsidRPr="002A677E" w14:paraId="70A29A85" w14:textId="77777777" w:rsidTr="00822842">
        <w:tc>
          <w:tcPr>
            <w:tcW w:w="1188" w:type="dxa"/>
          </w:tcPr>
          <w:p w14:paraId="5C287489" w14:textId="77777777" w:rsidR="009D6580" w:rsidRPr="002A677E" w:rsidRDefault="009D6580" w:rsidP="00822842">
            <w:pPr>
              <w:rPr>
                <w:sz w:val="24"/>
                <w:rFonts w:ascii="Times New Roman" w:hAnsi="Times New Roman"/>
              </w:rPr>
            </w:pPr>
            <w:r>
              <w:rPr>
                <w:sz w:val="24"/>
                <w:rFonts w:ascii="Times New Roman" w:hAnsi="Times New Roman"/>
              </w:rPr>
              <w:t xml:space="preserve">0132</w:t>
            </w:r>
          </w:p>
        </w:tc>
        <w:tc>
          <w:tcPr>
            <w:tcW w:w="8640" w:type="dxa"/>
          </w:tcPr>
          <w:p w14:paraId="170B9280"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Organismes de placement collectif (OPC)</w:t>
            </w:r>
          </w:p>
          <w:p w14:paraId="4237C58D" w14:textId="4E266C1C" w:rsidR="009D6580" w:rsidRDefault="009D6580" w:rsidP="00822842">
            <w:pPr>
              <w:rPr>
                <w:b/>
                <w:sz w:val="24"/>
                <w:u w:val="single"/>
                <w:rFonts w:ascii="Times New Roman" w:hAnsi="Times New Roman"/>
              </w:rPr>
            </w:pPr>
            <w:r>
              <w:rPr>
                <w:sz w:val="24"/>
                <w:rFonts w:ascii="Times New Roman" w:hAnsi="Times New Roman"/>
              </w:rPr>
              <w:t xml:space="preserve">Article 147, paragraphe 2, point e1), du règlement (UE) nº 575/2013</w:t>
            </w:r>
          </w:p>
        </w:tc>
      </w:tr>
      <w:tr w:rsidR="009D6580" w:rsidRPr="002A677E" w14:paraId="72EBDFDD" w14:textId="77777777" w:rsidTr="00822842">
        <w:tc>
          <w:tcPr>
            <w:tcW w:w="1188" w:type="dxa"/>
          </w:tcPr>
          <w:p w14:paraId="290EDA87" w14:textId="77777777" w:rsidR="009D6580" w:rsidRPr="002A677E" w:rsidRDefault="009D6580" w:rsidP="00822842">
            <w:pPr>
              <w:rPr>
                <w:sz w:val="24"/>
                <w:rFonts w:ascii="Times New Roman" w:hAnsi="Times New Roman"/>
              </w:rPr>
            </w:pPr>
            <w:r>
              <w:rPr>
                <w:sz w:val="24"/>
                <w:rFonts w:ascii="Times New Roman" w:hAnsi="Times New Roman"/>
              </w:rPr>
              <w:t xml:space="preserve">0133</w:t>
            </w:r>
          </w:p>
        </w:tc>
        <w:tc>
          <w:tcPr>
            <w:tcW w:w="8640" w:type="dxa"/>
          </w:tcPr>
          <w:p w14:paraId="39E22A69"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Approche par transparence</w:t>
            </w:r>
          </w:p>
          <w:p w14:paraId="3481CEEB"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Même définition que pour la ligne 0190 du modèle CR SA.</w:t>
            </w:r>
          </w:p>
        </w:tc>
      </w:tr>
      <w:tr w:rsidR="009D6580" w:rsidRPr="002A677E" w14:paraId="6520599F" w14:textId="77777777" w:rsidTr="00822842">
        <w:tc>
          <w:tcPr>
            <w:tcW w:w="1188" w:type="dxa"/>
          </w:tcPr>
          <w:p w14:paraId="5DF820F6" w14:textId="77777777" w:rsidR="009D6580" w:rsidRPr="002A677E" w:rsidRDefault="009D6580" w:rsidP="00822842">
            <w:pPr>
              <w:rPr>
                <w:sz w:val="24"/>
                <w:rFonts w:ascii="Times New Roman" w:hAnsi="Times New Roman"/>
              </w:rPr>
            </w:pPr>
            <w:r>
              <w:rPr>
                <w:sz w:val="24"/>
                <w:rFonts w:ascii="Times New Roman" w:hAnsi="Times New Roman"/>
              </w:rPr>
              <w:t xml:space="preserve">0134</w:t>
            </w:r>
          </w:p>
        </w:tc>
        <w:tc>
          <w:tcPr>
            <w:tcW w:w="8640" w:type="dxa"/>
          </w:tcPr>
          <w:p w14:paraId="13156AFE"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Approche fondée sur le mandat</w:t>
            </w:r>
          </w:p>
          <w:p w14:paraId="37B63BC9"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Même définition que pour la ligne 0200 du modèle CR SA.</w:t>
            </w:r>
          </w:p>
        </w:tc>
      </w:tr>
      <w:tr w:rsidR="009D6580" w:rsidRPr="002A677E" w14:paraId="57B2C532" w14:textId="77777777" w:rsidTr="00822842">
        <w:tc>
          <w:tcPr>
            <w:tcW w:w="1188" w:type="dxa"/>
          </w:tcPr>
          <w:p w14:paraId="251B0D2B" w14:textId="77777777" w:rsidR="009D6580" w:rsidRPr="002A677E" w:rsidRDefault="009D6580" w:rsidP="00822842">
            <w:pPr>
              <w:rPr>
                <w:sz w:val="24"/>
                <w:rFonts w:ascii="Times New Roman" w:hAnsi="Times New Roman"/>
              </w:rPr>
            </w:pPr>
            <w:r>
              <w:rPr>
                <w:sz w:val="24"/>
                <w:rFonts w:ascii="Times New Roman" w:hAnsi="Times New Roman"/>
              </w:rPr>
              <w:t xml:space="preserve">0135</w:t>
            </w:r>
          </w:p>
        </w:tc>
        <w:tc>
          <w:tcPr>
            <w:tcW w:w="8640" w:type="dxa"/>
          </w:tcPr>
          <w:p w14:paraId="19D4ED63" w14:textId="77777777" w:rsidR="009D6580" w:rsidRPr="002A677E" w:rsidRDefault="009D6580" w:rsidP="00822842">
            <w:pPr>
              <w:rPr>
                <w:rStyle w:val="InstructionsTabelleberschrift"/>
                <w:sz w:val="24"/>
                <w:rFonts w:ascii="Times New Roman" w:hAnsi="Times New Roman"/>
              </w:rPr>
            </w:pPr>
            <w:r>
              <w:rPr>
                <w:rStyle w:val="InstructionsTabelleberschrift"/>
                <w:sz w:val="24"/>
                <w:rFonts w:ascii="Times New Roman" w:hAnsi="Times New Roman"/>
              </w:rPr>
              <w:t xml:space="preserve">Approche alternative</w:t>
            </w:r>
          </w:p>
          <w:p w14:paraId="18A39C60" w14:textId="77777777" w:rsidR="009D6580" w:rsidRDefault="009D6580" w:rsidP="00822842">
            <w:pPr>
              <w:rPr>
                <w:b/>
                <w:sz w:val="24"/>
                <w:u w:val="single"/>
                <w:rFonts w:ascii="Times New Roman" w:hAnsi="Times New Roman"/>
              </w:rPr>
            </w:pPr>
            <w:r>
              <w:rPr>
                <w:rStyle w:val="InstructionsTabelleberschrift"/>
                <w:b w:val="0"/>
                <w:sz w:val="24"/>
                <w:u w:val="none"/>
                <w:rFonts w:ascii="Times New Roman" w:hAnsi="Times New Roman"/>
              </w:rPr>
              <w:t xml:space="preserve">Même définition que pour la ligne 0210 du modèle CR SA.</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Actions</w:t>
            </w:r>
          </w:p>
          <w:p w14:paraId="1A033F11"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Expositions sous forme d'actions visées à l’article 147, paragraphe 2, point e), du règlement (UE) nº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b/>
                <w:sz w:val="24"/>
                <w:u w:val="single"/>
                <w:rFonts w:ascii="Times New Roman" w:hAnsi="Times New Roman"/>
              </w:rPr>
            </w:pPr>
            <w:r>
              <w:rPr>
                <w:b/>
                <w:sz w:val="24"/>
                <w:u w:val="single"/>
                <w:rFonts w:ascii="Times New Roman" w:hAnsi="Times New Roman"/>
              </w:rPr>
              <w:t xml:space="preserve">Total des expositions</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0" w:name="_Toc360188366"/>
      <w:bookmarkStart w:id="11" w:name="_Toc473560917"/>
      <w:bookmarkStart w:id="12" w:name="_Toc151714421"/>
      <w:r>
        <w:rPr>
          <w:sz w:val="24"/>
          <w:u w:val="none"/>
          <w:rFonts w:ascii="Times New Roman" w:hAnsi="Times New Roman"/>
        </w:rPr>
        <w:t xml:space="preserve">3.4.3.</w:t>
      </w:r>
      <w:r>
        <w:rPr>
          <w:sz w:val="24"/>
          <w:u w:val="none"/>
          <w:rFonts w:ascii="Times New Roman" w:hAnsi="Times New Roman"/>
        </w:rPr>
        <w:tab/>
      </w:r>
      <w:r>
        <w:rPr>
          <w:sz w:val="24"/>
          <w:rFonts w:ascii="Times New Roman" w:hAnsi="Times New Roman"/>
        </w:rPr>
        <w:t xml:space="preserve">C 09.04 – Répartition des expositions de crédit pertinentes pour le calcul du coussin contracyclique par pays et du taux de coussin contracyclique spécifique à l'établissement (CCB)</w:t>
      </w:r>
      <w:bookmarkEnd w:id="10"/>
      <w:bookmarkEnd w:id="11"/>
      <w:bookmarkEnd w:id="12"/>
    </w:p>
    <w:p w14:paraId="600FC3A3"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3" w:name="_Toc360188367"/>
      <w:bookmarkStart w:id="14" w:name="_Toc473560918"/>
      <w:bookmarkStart w:id="15" w:name="_Toc151714422"/>
      <w:r>
        <w:rPr>
          <w:sz w:val="24"/>
          <w:u w:val="none"/>
          <w:rFonts w:ascii="Times New Roman" w:hAnsi="Times New Roman"/>
        </w:rPr>
        <w:t xml:space="preserve">3.4.3.1.</w:t>
      </w:r>
      <w:r>
        <w:rPr>
          <w:sz w:val="24"/>
          <w:u w:val="none"/>
          <w:rFonts w:ascii="Times New Roman" w:hAnsi="Times New Roman"/>
        </w:rPr>
        <w:tab/>
      </w:r>
      <w:r>
        <w:rPr>
          <w:sz w:val="24"/>
          <w:rFonts w:ascii="Times New Roman" w:hAnsi="Times New Roman"/>
        </w:rPr>
        <w:t xml:space="preserve">Remarques générales</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88</w:t>
      </w:r>
      <w:r>
        <w:fldChar w:fldCharType="end"/>
      </w:r>
      <w:r>
        <w:t xml:space="preserve">.</w:t>
      </w:r>
      <w:r>
        <w:tab/>
      </w:r>
      <w:r>
        <w:t xml:space="preserve">Ce modèle a pour objectif de fournir davantage d’informations sur les éléments du coussin de fonds propres contracyclique spécifique à l’établissement.</w:t>
      </w:r>
      <w:r>
        <w:t xml:space="preserve"> </w:t>
      </w:r>
      <w:r>
        <w:t xml:space="preserve">Les informations requises concernent les exigences de fonds propres déterminées conformément à la troisième partie, titre II et titre IV, du règlement (UE) nº 575/2013 et la localisation géographique des expositions de crédit, des expositions de titrisation et des expositions du portefeuille de négociation pertinentes pour le calcul du coussin de fonds propres contracyclique spécifique à l'établissement (CCB) conformément à l'article 140 de la directive 2013/36/UE (expositions de crédit pertinentes).</w:t>
      </w:r>
      <w:r>
        <w:t xml:space="preserve"> </w:t>
      </w:r>
    </w:p>
    <w:p w14:paraId="10EA3DAD"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89</w:t>
      </w:r>
      <w:r>
        <w:fldChar w:fldCharType="end"/>
      </w:r>
      <w:r>
        <w:t xml:space="preserve">.</w:t>
      </w:r>
      <w:r>
        <w:tab/>
      </w:r>
      <w:r>
        <w:t xml:space="preserve">Les informations du modèle C 09.04 doivent être fournies pour le “total” des expositions de crédit pertinentes dans toutes les juridictions où sont situées ces expositions, ainsi qu’individuellement pour chacune des juridictions où sont situées les expositions de crédit pertinentes.</w:t>
      </w:r>
      <w:r>
        <w:t xml:space="preserve"> </w:t>
      </w:r>
      <w:r>
        <w:t xml:space="preserve">Les chiffres totaux ainsi que les informations pour chaque juridiction doivent être fournis dans une dimension distincte.</w:t>
      </w:r>
      <w:r>
        <w:t xml:space="preserve"> </w:t>
      </w:r>
    </w:p>
    <w:p w14:paraId="054CDEAF" w14:textId="77777777" w:rsidR="009D6580" w:rsidRPr="002A677E" w:rsidRDefault="009D6580" w:rsidP="009D6580">
      <w:pPr>
        <w:pStyle w:val="InstructionsText2"/>
        <w:numPr>
          <w:ilvl w:val="0"/>
          <w:numId w:val="0"/>
        </w:numPr>
        <w:ind w:left="993"/>
      </w:pPr>
      <w:r>
        <w:fldChar w:fldCharType="begin" w:dirty="true"/>
      </w:r>
      <w:r>
        <w:instrText>seq paragraphs</w:instrText>
      </w:r>
      <w:r>
        <w:fldChar w:fldCharType="separate"/>
      </w:r>
      <w:r>
        <w:t>90</w:t>
      </w:r>
      <w:r>
        <w:fldChar w:fldCharType="end"/>
      </w:r>
      <w:r>
        <w:t xml:space="preserve">.</w:t>
      </w:r>
      <w:r>
        <w:tab/>
      </w:r>
      <w:r>
        <w:t xml:space="preserve">Le seuil fixé à l’article 5, paragraphe 5, du présent règlement d’exécution ne s’applique pas pour la déclaration de cette répartition.</w:t>
      </w:r>
    </w:p>
    <w:bookmarkStart w:id="16" w:name="_Hlk151650982"/>
    <w:p w14:paraId="710781F7" w14:textId="77777777" w:rsidR="009D6580" w:rsidRPr="002A677E" w:rsidRDefault="009D6580" w:rsidP="009D6580">
      <w:pPr>
        <w:pStyle w:val="InstructionsText2"/>
        <w:numPr>
          <w:ilvl w:val="0"/>
          <w:numId w:val="0"/>
        </w:numPr>
        <w:ind w:left="993"/>
      </w:pPr>
      <w:r>
        <w:lastRenderedPageBreak/>
        <w:fldChar w:fldCharType="begin" w:dirty="true"/>
      </w:r>
      <w:r>
        <w:instrText>seq paragraphs</w:instrText>
      </w:r>
      <w:r>
        <w:fldChar w:fldCharType="separate"/>
      </w:r>
      <w:r>
        <w:t>91</w:t>
      </w:r>
      <w:r>
        <w:fldChar w:fldCharType="end"/>
      </w:r>
      <w:r>
        <w:t xml:space="preserve">.</w:t>
      </w:r>
      <w:r>
        <w:tab/>
      </w:r>
      <w:r>
        <w:t xml:space="preserve">Afin de déterminer la localisation géographique, les expositions sont affectées sur la base du débiteur immédiat tel que prévu par le règlement délégué (UE) no 1152/2014 de la Commission</w:t>
      </w:r>
      <w:r w:rsidRPr="002A677E">
        <w:footnoteReference w:id="1"/>
      </w:r>
      <w:r>
        <w:t xml:space="preserve">.</w:t>
      </w:r>
      <w:r>
        <w:t xml:space="preserve"> </w:t>
      </w:r>
      <w:r>
        <w:t xml:space="preserve">Dès lors, les techniques d’ARC ne changent pas l’affectation d’une exposition à une localisation géographique aux fins de la déclaration des informations que prévoit ce modèle.</w:t>
      </w:r>
    </w:p>
    <w:p w14:paraId="4811C8E1" w14:textId="77777777" w:rsidR="009D6580" w:rsidRPr="002A677E" w:rsidRDefault="009D6580" w:rsidP="009D6580">
      <w:pPr>
        <w:pStyle w:val="Instructionsberschrift2"/>
        <w:numPr>
          <w:ilvl w:val="0"/>
          <w:numId w:val="0"/>
        </w:numPr>
        <w:ind w:left="357" w:hanging="357"/>
        <w:rPr>
          <w:sz w:val="24"/>
          <w:rFonts w:ascii="Times New Roman" w:hAnsi="Times New Roman" w:cs="Times New Roman"/>
        </w:rPr>
      </w:pPr>
      <w:bookmarkStart w:id="17" w:name="_Toc360188368"/>
      <w:bookmarkStart w:id="18" w:name="_Toc473560919"/>
      <w:bookmarkStart w:id="19" w:name="_Toc151714423"/>
      <w:bookmarkEnd w:id="16"/>
      <w:r>
        <w:rPr>
          <w:sz w:val="24"/>
          <w:u w:val="none"/>
          <w:rFonts w:ascii="Times New Roman" w:hAnsi="Times New Roman"/>
        </w:rPr>
        <w:t xml:space="preserve">3.4.3.2.</w:t>
      </w:r>
      <w:r>
        <w:rPr>
          <w:sz w:val="24"/>
          <w:u w:val="none"/>
          <w:rFonts w:ascii="Times New Roman" w:hAnsi="Times New Roman"/>
        </w:rPr>
        <w:tab/>
      </w:r>
      <w:r>
        <w:rPr>
          <w:sz w:val="24"/>
          <w:rFonts w:ascii="Times New Roman" w:hAnsi="Times New Roman"/>
        </w:rPr>
        <w:t xml:space="preserve">Instructions concernant certaines positions</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b/>
                <w:sz w:val="24"/>
                <w:rFonts w:ascii="Times New Roman" w:hAnsi="Times New Roman"/>
              </w:rPr>
            </w:pPr>
            <w:r>
              <w:rPr>
                <w:b/>
                <w:sz w:val="24"/>
                <w:rFonts w:ascii="Times New Roman" w:hAnsi="Times New Roman"/>
              </w:rPr>
              <w:t xml:space="preserve">Colonnes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w:t>
            </w:r>
          </w:p>
        </w:tc>
        <w:tc>
          <w:tcPr>
            <w:tcW w:w="8131" w:type="dxa"/>
          </w:tcPr>
          <w:p w14:paraId="6A1F53D1"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Montant</w:t>
            </w:r>
          </w:p>
          <w:p w14:paraId="4EDF6439"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La valeur des expositions de crédit pertinentes et des exigences de fonds propres qui y sont associées, conformément aux instructions pour la ligne concernée.</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sz w:val="24"/>
                <w:rFonts w:ascii="Times New Roman" w:hAnsi="Times New Roman"/>
              </w:rPr>
              <w:t xml:space="preserve">0020</w:t>
            </w:r>
          </w:p>
        </w:tc>
        <w:tc>
          <w:tcPr>
            <w:tcW w:w="8131" w:type="dxa"/>
          </w:tcPr>
          <w:p w14:paraId="4133F8D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Pourcentage</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61529C4E" w14:textId="77777777" w:rsidR="009D6580" w:rsidRPr="002A677E" w:rsidRDefault="009D6580" w:rsidP="00822842">
            <w:pPr>
              <w:autoSpaceDE w:val="0"/>
              <w:autoSpaceDN w:val="0"/>
              <w:adjustRightInd w:val="0"/>
              <w:rPr>
                <w:b/>
                <w:bCs/>
                <w:sz w:val="24"/>
                <w:u w:val="single"/>
                <w:rFonts w:ascii="Times New Roman" w:hAnsi="Times New Roman"/>
              </w:rPr>
            </w:pPr>
            <w:r>
              <w:rPr>
                <w:b/>
                <w:sz w:val="24"/>
                <w:u w:val="single"/>
                <w:rFonts w:ascii="Times New Roman" w:hAnsi="Times New Roman"/>
              </w:rPr>
              <w:t xml:space="preserve">Informations qualitatives</w:t>
            </w:r>
          </w:p>
          <w:p w14:paraId="394356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Ces informations ne sont à fournir que pour le pays de résidence de l’établissement (la juridiction correspondant à son État membre d’origine) et le “total” de tous les pays.</w:t>
            </w:r>
            <w:r>
              <w:rPr>
                <w:sz w:val="24"/>
                <w:rFonts w:ascii="Times New Roman" w:hAnsi="Times New Roman"/>
              </w:rPr>
              <w:t xml:space="preserve"> </w:t>
            </w:r>
          </w:p>
          <w:p w14:paraId="6761B5E4"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Les établissements déclareront soit {y}, soit {n}, conformément aux instructions pour la ligne correspondante.</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b/>
                <w:sz w:val="24"/>
                <w:rFonts w:ascii="Times New Roman" w:hAnsi="Times New Roman"/>
              </w:rPr>
            </w:pPr>
            <w:r>
              <w:rPr>
                <w:b/>
                <w:sz w:val="24"/>
                <w:rFonts w:ascii="Times New Roman" w:hAnsi="Times New Roman"/>
              </w:rPr>
              <w:t xml:space="preserve">Lignes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sz w:val="24"/>
                <w:rFonts w:ascii="Times New Roman" w:hAnsi="Times New Roman"/>
              </w:rPr>
            </w:pPr>
            <w:r>
              <w:rPr>
                <w:sz w:val="24"/>
                <w:rFonts w:ascii="Times New Roman" w:hAnsi="Times New Roman"/>
              </w:rPr>
              <w:t xml:space="preserve">0010 – 0020</w:t>
            </w:r>
          </w:p>
        </w:tc>
        <w:tc>
          <w:tcPr>
            <w:tcW w:w="8131" w:type="dxa"/>
          </w:tcPr>
          <w:p w14:paraId="3D2862F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Expositions de crédit pertinentes – risque de crédit</w:t>
            </w:r>
          </w:p>
          <w:p w14:paraId="516A26FA" w14:textId="77777777" w:rsidR="009D6580" w:rsidRPr="002A677E" w:rsidRDefault="009D6580" w:rsidP="00822842">
            <w:pPr>
              <w:rPr>
                <w:b/>
                <w:sz w:val="24"/>
                <w:u w:val="single"/>
                <w:rFonts w:ascii="Times New Roman" w:hAnsi="Times New Roman"/>
              </w:rPr>
            </w:pPr>
            <w:r>
              <w:rPr>
                <w:sz w:val="24"/>
                <w:rFonts w:ascii="Times New Roman" w:hAnsi="Times New Roman"/>
              </w:rPr>
              <w:t xml:space="preserve">Expositions de crédit pertinentes visées à l’article 140, paragraphe 4, point a), de la directive 2013/36/UE.</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sz w:val="24"/>
                <w:rFonts w:ascii="Times New Roman" w:hAnsi="Times New Roman"/>
              </w:rPr>
              <w:t xml:space="preserve">0010</w:t>
            </w:r>
          </w:p>
        </w:tc>
        <w:tc>
          <w:tcPr>
            <w:tcW w:w="8131" w:type="dxa"/>
          </w:tcPr>
          <w:p w14:paraId="60D60C4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Valeur exposée au risque selon l’approche standard</w:t>
            </w:r>
          </w:p>
          <w:p w14:paraId="0EA1DD75"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Valeur exposée au risque calculée conformément à l'article 111 du règlement (UE) nº 575/2013 pour les expositions de crédit pertinentes visées à l’article 140, paragraphe 4, point a), de la directive 2013/36/UE.</w:t>
            </w:r>
            <w:r>
              <w:rPr>
                <w:sz w:val="24"/>
                <w:rFonts w:ascii="Times New Roman" w:hAnsi="Times New Roman"/>
              </w:rPr>
              <w:t xml:space="preserve"> </w:t>
            </w:r>
          </w:p>
          <w:p w14:paraId="72B986ED"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La valeur exposée au risque des positions de titrisation dans le portefeuille d’intermédiation bancaire est exclue de cette ligne et déclarée à la ligne 0055.</w:t>
            </w:r>
          </w:p>
        </w:tc>
      </w:tr>
      <w:tr w:rsidR="009D6580" w:rsidRPr="002A677E" w14:paraId="367F78C6" w14:textId="77777777" w:rsidTr="00822842">
        <w:tc>
          <w:tcPr>
            <w:tcW w:w="1697" w:type="dxa"/>
          </w:tcPr>
          <w:p w14:paraId="3217061B" w14:textId="77777777" w:rsidR="009D6580" w:rsidRPr="002A677E" w:rsidRDefault="009D6580" w:rsidP="00822842">
            <w:pPr>
              <w:rPr>
                <w:sz w:val="24"/>
                <w:rFonts w:ascii="Times New Roman" w:hAnsi="Times New Roman"/>
              </w:rPr>
            </w:pPr>
            <w:r>
              <w:rPr>
                <w:sz w:val="24"/>
                <w:rFonts w:ascii="Times New Roman" w:hAnsi="Times New Roman"/>
              </w:rPr>
              <w:t xml:space="preserve">0020</w:t>
            </w:r>
          </w:p>
        </w:tc>
        <w:tc>
          <w:tcPr>
            <w:tcW w:w="8131" w:type="dxa"/>
          </w:tcPr>
          <w:p w14:paraId="385211C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Valeur exposée au risque selon l’approche NI</w:t>
            </w:r>
          </w:p>
          <w:p w14:paraId="3F80BC36"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Valeur exposée au risque calculée conformément à l’article 166 du règlement (UE) nº 575/2013 pour les expositions de crédit pertinentes visées à l’article 140, paragraphe 4, point a), de la directive 2013/36/UE.</w:t>
            </w:r>
            <w:r>
              <w:rPr>
                <w:sz w:val="24"/>
                <w:rFonts w:ascii="Times New Roman" w:hAnsi="Times New Roman"/>
              </w:rPr>
              <w:t xml:space="preserve"> </w:t>
            </w:r>
          </w:p>
          <w:p w14:paraId="48C130F1"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La valeur exposée au risque des positions de titrisation dans le portefeuille d’intermédiation bancaire est exclue de cette ligne et déclarée à la ligne 0055.</w:t>
            </w:r>
          </w:p>
        </w:tc>
      </w:tr>
      <w:tr w:rsidR="009D6580" w:rsidRPr="002A677E" w14:paraId="613420F2" w14:textId="77777777" w:rsidTr="00822842">
        <w:tc>
          <w:tcPr>
            <w:tcW w:w="1697" w:type="dxa"/>
          </w:tcPr>
          <w:p w14:paraId="53491AFF" w14:textId="77777777" w:rsidR="009D6580" w:rsidRPr="002A677E" w:rsidRDefault="009D6580" w:rsidP="00822842">
            <w:pPr>
              <w:rPr>
                <w:sz w:val="24"/>
                <w:rFonts w:ascii="Times New Roman" w:hAnsi="Times New Roman"/>
              </w:rPr>
            </w:pPr>
            <w:r>
              <w:rPr>
                <w:sz w:val="24"/>
                <w:rFonts w:ascii="Times New Roman" w:hAnsi="Times New Roman"/>
              </w:rPr>
              <w:t xml:space="preserve">0030 – 0040</w:t>
            </w:r>
          </w:p>
        </w:tc>
        <w:tc>
          <w:tcPr>
            <w:tcW w:w="8131" w:type="dxa"/>
          </w:tcPr>
          <w:p w14:paraId="369D85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Expositions de crédit pertinentes - risque de marché</w:t>
            </w:r>
          </w:p>
          <w:p w14:paraId="54050F98"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Expositions de crédit pertinentes visées à l’article 140, paragraphe 4, point b), de la directive 2013/36/UE.</w:t>
            </w:r>
          </w:p>
        </w:tc>
      </w:tr>
      <w:tr w:rsidR="009D6580" w:rsidRPr="002A677E" w14:paraId="670769C5" w14:textId="77777777" w:rsidTr="00822842">
        <w:tc>
          <w:tcPr>
            <w:tcW w:w="1697" w:type="dxa"/>
          </w:tcPr>
          <w:p w14:paraId="27E0BEE1" w14:textId="77777777" w:rsidR="009D6580" w:rsidRPr="002A677E" w:rsidRDefault="009D6580" w:rsidP="00822842">
            <w:pPr>
              <w:rPr>
                <w:sz w:val="24"/>
                <w:rFonts w:ascii="Times New Roman" w:hAnsi="Times New Roman"/>
              </w:rPr>
            </w:pPr>
            <w:r>
              <w:rPr>
                <w:sz w:val="24"/>
                <w:rFonts w:ascii="Times New Roman" w:hAnsi="Times New Roman"/>
              </w:rPr>
              <w:t xml:space="preserve">0030</w:t>
            </w:r>
          </w:p>
        </w:tc>
        <w:tc>
          <w:tcPr>
            <w:tcW w:w="8131" w:type="dxa"/>
          </w:tcPr>
          <w:p w14:paraId="740784D8"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Somme des positions longues et courtes des expositions du portefeuille de négociation pour l’approche standard</w:t>
            </w:r>
          </w:p>
          <w:p w14:paraId="5F803AC4"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Somme des positions nettes longues et nettes courtes conformément à l’article 327 du règlement (UE) nº 575/2013 des expositions de crédit pertinentes visées à l’article 140, paragraphe 4, point b), de la directive 2013/36/UE, soumises à des exigences de fonds propres en vertu de la troisième partie, titre IV, chapitre 2 du règlement (UE) nº 575/2013:</w:t>
            </w:r>
            <w:r>
              <w:rPr>
                <w:sz w:val="24"/>
                <w:rFonts w:ascii="Times New Roman" w:hAnsi="Times New Roman"/>
              </w:rPr>
              <w:t xml:space="preserve"> </w:t>
            </w:r>
          </w:p>
          <w:p w14:paraId="555B6B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expositions sur des titres de créance autres que des titrisations;</w:t>
            </w:r>
          </w:p>
          <w:p w14:paraId="2F347ECD"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expositions sur des positions de titrisation dans le portefeuille de négociation;</w:t>
            </w:r>
          </w:p>
          <w:p w14:paraId="0BF14848"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expositions sur les portefeuilles de négociation en corrélation;</w:t>
            </w:r>
          </w:p>
          <w:p w14:paraId="426EA269"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expositions sur les actions;</w:t>
            </w:r>
          </w:p>
          <w:p w14:paraId="29596F16"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les expositions sur les OPC, lorsque les exigences de fonds propres sont calculées conformément à l'article 348 du règlement (UE) nº 575/2013.</w:t>
            </w:r>
          </w:p>
        </w:tc>
      </w:tr>
      <w:tr w:rsidR="009D6580" w:rsidRPr="002A677E" w14:paraId="1B5F6FE5" w14:textId="77777777" w:rsidTr="00822842">
        <w:tc>
          <w:tcPr>
            <w:tcW w:w="1697" w:type="dxa"/>
          </w:tcPr>
          <w:p w14:paraId="22718F0C" w14:textId="77777777" w:rsidR="009D6580" w:rsidRPr="002A677E" w:rsidRDefault="009D6580" w:rsidP="00822842">
            <w:pPr>
              <w:rPr>
                <w:sz w:val="24"/>
                <w:rFonts w:ascii="Times New Roman" w:hAnsi="Times New Roman"/>
              </w:rPr>
            </w:pPr>
            <w:r>
              <w:rPr>
                <w:sz w:val="24"/>
                <w:rFonts w:ascii="Times New Roman" w:hAnsi="Times New Roman"/>
              </w:rPr>
              <w:t xml:space="preserve">0040</w:t>
            </w:r>
          </w:p>
        </w:tc>
        <w:tc>
          <w:tcPr>
            <w:tcW w:w="8131" w:type="dxa"/>
          </w:tcPr>
          <w:p w14:paraId="7989891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Valeur des expositions du portefeuille de négociation fondée sur les modèles internes</w:t>
            </w:r>
          </w:p>
          <w:p w14:paraId="2C5D070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La somme des éléments suivants doit être déclarée pour les expositions de crédit pertinentes visées à l'article 140, paragraphe 4, point b), de la directive 2013/36/UE, soumises à des exigences de fonds propres en vertu de la troisième partie, titre IV, chapitres 2 et 5 du règlement (UE) nº 575/2013:</w:t>
            </w:r>
          </w:p>
          <w:p w14:paraId="07E28E81" w14:textId="77777777" w:rsidR="009D6580" w:rsidRPr="002A677E" w:rsidRDefault="009D6580" w:rsidP="00822842">
            <w:pPr>
              <w:autoSpaceDE w:val="0"/>
              <w:autoSpaceDN w:val="0"/>
              <w:adjustRightInd w:val="0"/>
              <w:ind w:left="357" w:hanging="357"/>
              <w:contextualSpacing/>
              <w:rPr>
                <w:sz w:val="24"/>
                <w:rFonts w:ascii="Times New Roman" w:hAnsi="Times New Roman"/>
              </w:rPr>
            </w:pPr>
            <w:r>
              <w:rPr>
                <w:sz w:val="24"/>
                <w:rFonts w:ascii="Calibri" w:hAnsi="Calibri"/>
              </w:rPr>
              <w:t xml:space="preserve">-</w:t>
            </w:r>
            <w:r>
              <w:rPr>
                <w:sz w:val="24"/>
                <w:rFonts w:ascii="Calibri" w:hAnsi="Calibri"/>
              </w:rPr>
              <w:tab/>
            </w:r>
            <w:r>
              <w:rPr>
                <w:sz w:val="24"/>
                <w:rFonts w:ascii="Times New Roman" w:hAnsi="Times New Roman"/>
              </w:rPr>
              <w:t xml:space="preserve">la juste valeur des positions sur non-dérivés qui représentent des expositions de crédit pertinentes telles que visées à l'article 140, paragraphe 4, point b), de la directive 2013/36/UE déterminées conformément à l'article 104 du règlement (UE) nº 575/2013.</w:t>
            </w:r>
          </w:p>
          <w:p w14:paraId="198195E0" w14:textId="77777777" w:rsidR="009D6580" w:rsidRPr="002A677E" w:rsidRDefault="009D6580" w:rsidP="00822842">
            <w:pPr>
              <w:autoSpaceDE w:val="0"/>
              <w:autoSpaceDN w:val="0"/>
              <w:adjustRightInd w:val="0"/>
              <w:ind w:left="357" w:hanging="357"/>
              <w:contextualSpacing/>
              <w:rPr>
                <w:b/>
                <w:bCs/>
                <w:sz w:val="24"/>
                <w:u w:val="single"/>
                <w:rFonts w:ascii="Times New Roman" w:hAnsi="Times New Roman"/>
              </w:rPr>
            </w:pPr>
            <w:r>
              <w:rPr>
                <w:sz w:val="24"/>
                <w:rFonts w:ascii="Calibri" w:hAnsi="Calibri"/>
              </w:rPr>
              <w:t xml:space="preserve">-</w:t>
            </w:r>
            <w:r>
              <w:rPr>
                <w:sz w:val="24"/>
                <w:rFonts w:ascii="Calibri" w:hAnsi="Calibri"/>
              </w:rPr>
              <w:tab/>
            </w:r>
            <w:r>
              <w:rPr>
                <w:sz w:val="24"/>
                <w:rFonts w:ascii="Times New Roman" w:hAnsi="Times New Roman"/>
              </w:rPr>
              <w:t xml:space="preserve">la valeur notionnelle des dérivés qui représentent des expositions de crédit pertinentes telles que visées à l’article 140, paragraphe 4, point b), de la directive 2013/36/UE.</w:t>
            </w:r>
          </w:p>
        </w:tc>
      </w:tr>
      <w:tr w:rsidR="009D6580" w:rsidRPr="002A677E" w14:paraId="6BA1E71E" w14:textId="77777777" w:rsidTr="00822842">
        <w:tc>
          <w:tcPr>
            <w:tcW w:w="1697" w:type="dxa"/>
          </w:tcPr>
          <w:p w14:paraId="37545C8A" w14:textId="77777777" w:rsidR="009D6580" w:rsidRPr="002A677E" w:rsidRDefault="009D6580" w:rsidP="00822842">
            <w:pPr>
              <w:rPr>
                <w:sz w:val="24"/>
                <w:rFonts w:ascii="Times New Roman" w:hAnsi="Times New Roman"/>
              </w:rPr>
            </w:pPr>
            <w:r>
              <w:rPr>
                <w:sz w:val="24"/>
                <w:rFonts w:ascii="Times New Roman" w:hAnsi="Times New Roman"/>
              </w:rPr>
              <w:t xml:space="preserve">0055</w:t>
            </w:r>
          </w:p>
        </w:tc>
        <w:tc>
          <w:tcPr>
            <w:tcW w:w="8131" w:type="dxa"/>
          </w:tcPr>
          <w:p w14:paraId="3A6EE46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Expositions de crédit pertinentes – positions de titrisation dans le portefeuille d'intermédiation bancaire</w:t>
            </w:r>
          </w:p>
          <w:p w14:paraId="4B3C8407" w14:textId="77777777" w:rsidR="009D6580" w:rsidRPr="002A677E" w:rsidRDefault="009D6580" w:rsidP="00822842">
            <w:pPr>
              <w:rPr>
                <w:sz w:val="24"/>
                <w:rFonts w:ascii="Times New Roman" w:hAnsi="Times New Roman"/>
              </w:rPr>
            </w:pPr>
            <w:r>
              <w:rPr>
                <w:sz w:val="24"/>
                <w:rFonts w:ascii="Times New Roman" w:hAnsi="Times New Roman"/>
              </w:rPr>
              <w:t xml:space="preserve">Valeur exposée au risque calculée conformément à l'article 248 du règlement (UE) nº 575/2013 pour les expositions de crédit pertinentes visées à l'article 140, paragraphe 4, point c), de la directive 2013/36/UE.</w:t>
            </w:r>
          </w:p>
        </w:tc>
      </w:tr>
      <w:tr w:rsidR="009D6580" w:rsidRPr="002A677E" w14:paraId="2A6651FC" w14:textId="77777777" w:rsidTr="00822842">
        <w:tc>
          <w:tcPr>
            <w:tcW w:w="1697" w:type="dxa"/>
          </w:tcPr>
          <w:p w14:paraId="3D2C5D4A" w14:textId="77777777" w:rsidR="009D6580" w:rsidRPr="002A677E" w:rsidRDefault="009D6580" w:rsidP="00822842">
            <w:pPr>
              <w:rPr>
                <w:sz w:val="24"/>
                <w:rFonts w:ascii="Times New Roman" w:hAnsi="Times New Roman"/>
              </w:rPr>
            </w:pPr>
            <w:r>
              <w:rPr>
                <w:sz w:val="24"/>
                <w:rFonts w:ascii="Times New Roman" w:hAnsi="Times New Roman"/>
              </w:rPr>
              <w:t xml:space="preserve">0070 – 0110</w:t>
            </w:r>
          </w:p>
        </w:tc>
        <w:tc>
          <w:tcPr>
            <w:tcW w:w="8131" w:type="dxa"/>
          </w:tcPr>
          <w:p w14:paraId="6A03AF3B"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Exigences et pondérations de fonds propres</w:t>
            </w:r>
          </w:p>
        </w:tc>
      </w:tr>
      <w:tr w:rsidR="009D6580" w:rsidRPr="002A677E" w14:paraId="5C042A5F" w14:textId="77777777" w:rsidTr="00822842">
        <w:tc>
          <w:tcPr>
            <w:tcW w:w="1697" w:type="dxa"/>
          </w:tcPr>
          <w:p w14:paraId="32640B70" w14:textId="77777777" w:rsidR="009D6580" w:rsidRPr="002A677E" w:rsidRDefault="009D6580" w:rsidP="00822842">
            <w:pPr>
              <w:rPr>
                <w:sz w:val="24"/>
                <w:rFonts w:ascii="Times New Roman" w:hAnsi="Times New Roman"/>
              </w:rPr>
            </w:pPr>
            <w:r>
              <w:rPr>
                <w:sz w:val="24"/>
                <w:rFonts w:ascii="Times New Roman" w:hAnsi="Times New Roman"/>
              </w:rPr>
              <w:t xml:space="preserve">0070</w:t>
            </w:r>
          </w:p>
        </w:tc>
        <w:tc>
          <w:tcPr>
            <w:tcW w:w="8131" w:type="dxa"/>
          </w:tcPr>
          <w:p w14:paraId="431787D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Total des exigences de fonds propres pour le CCB</w:t>
            </w:r>
          </w:p>
          <w:p w14:paraId="78C29612"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Somme des lignes 0080, 0090 et 0100.</w:t>
            </w:r>
          </w:p>
        </w:tc>
      </w:tr>
      <w:tr w:rsidR="009D6580" w:rsidRPr="002A677E" w14:paraId="7D74E37B" w14:textId="77777777" w:rsidTr="00822842">
        <w:tc>
          <w:tcPr>
            <w:tcW w:w="1697" w:type="dxa"/>
          </w:tcPr>
          <w:p w14:paraId="26DA65D7" w14:textId="77777777" w:rsidR="009D6580" w:rsidRPr="002A677E" w:rsidRDefault="009D6580" w:rsidP="00822842">
            <w:pPr>
              <w:rPr>
                <w:sz w:val="24"/>
                <w:rFonts w:ascii="Times New Roman" w:hAnsi="Times New Roman"/>
              </w:rPr>
            </w:pPr>
            <w:r>
              <w:rPr>
                <w:sz w:val="24"/>
                <w:rFonts w:ascii="Times New Roman" w:hAnsi="Times New Roman"/>
              </w:rPr>
              <w:t xml:space="preserve">0080</w:t>
            </w:r>
          </w:p>
        </w:tc>
        <w:tc>
          <w:tcPr>
            <w:tcW w:w="8131" w:type="dxa"/>
          </w:tcPr>
          <w:p w14:paraId="2381AF17"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Exigences de fonds propres pour les expositions de crédit pertinentes – risque de crédit</w:t>
            </w:r>
            <w:r>
              <w:rPr>
                <w:b/>
                <w:sz w:val="24"/>
                <w:u w:val="single"/>
                <w:rFonts w:ascii="Times New Roman" w:hAnsi="Times New Roman"/>
              </w:rPr>
              <w:t xml:space="preserve"> </w:t>
            </w:r>
          </w:p>
          <w:p w14:paraId="4126D1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Les exigences de fonds propres calculées conformément à la troisième partie, titre II, chapitres 1 à 4 et chapitre 6 du règlement (UE) nº 575/2013 pour les expositions de crédit pertinentes telles que visées à l’article 140, paragraphe 4, point a), de la directive 2013/36/UE dans le pays en question.</w:t>
            </w:r>
          </w:p>
          <w:p w14:paraId="094DA9D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Les exigences de fonds propres pour les positions de titrisation dans le portefeuille d’intermédiation bancaire sont exclues de cette ligne et déclarées à la ligne 0100.</w:t>
            </w:r>
          </w:p>
          <w:p w14:paraId="037A149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Les exigences de fonds propres sont de 8 % du montant d'exposition pondéré déterminé conformément à la troisième partie, titre II, chapitres 1 à 4 et chapitre 6 du règlement (UE) nº 575/2013.</w:t>
            </w:r>
          </w:p>
        </w:tc>
      </w:tr>
      <w:tr w:rsidR="009D6580" w:rsidRPr="002A677E" w14:paraId="6CE5DB0E" w14:textId="77777777" w:rsidTr="00822842">
        <w:tc>
          <w:tcPr>
            <w:tcW w:w="1697" w:type="dxa"/>
          </w:tcPr>
          <w:p w14:paraId="0847E4D7" w14:textId="77777777" w:rsidR="009D6580" w:rsidRPr="002A677E" w:rsidRDefault="009D6580" w:rsidP="00822842">
            <w:pPr>
              <w:rPr>
                <w:sz w:val="24"/>
                <w:rFonts w:ascii="Times New Roman" w:hAnsi="Times New Roman"/>
              </w:rPr>
            </w:pPr>
            <w:r>
              <w:rPr>
                <w:sz w:val="24"/>
                <w:rFonts w:ascii="Times New Roman" w:hAnsi="Times New Roman"/>
              </w:rPr>
              <w:t xml:space="preserve">0090</w:t>
            </w:r>
          </w:p>
        </w:tc>
        <w:tc>
          <w:tcPr>
            <w:tcW w:w="8131" w:type="dxa"/>
          </w:tcPr>
          <w:p w14:paraId="4922C906"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Exigences de fonds propres pour les expositions de crédit pertinentes – risque de marché</w:t>
            </w:r>
            <w:r>
              <w:rPr>
                <w:b/>
                <w:sz w:val="24"/>
                <w:u w:val="single"/>
                <w:rFonts w:ascii="Times New Roman" w:hAnsi="Times New Roman"/>
              </w:rPr>
              <w:t xml:space="preserve"> </w:t>
            </w:r>
          </w:p>
          <w:p w14:paraId="5686B88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Les exigences de fonds propres calculées conformément à la troisième partie, titre IV, chapitre 2 du règlement (UE) nº 575/2013 pour les risques spécifiques ou conformément à la troisième partie, titre IV, chapitre 5 du règlement (UE) nº 575/2013 pour les risques supplémentaires de défaut et de migration pour les expositions de crédit pertinentes visées à l'article 140, paragraphe 4, point b), de la directive 2013/36/UE, dans le pays en question.</w:t>
            </w:r>
            <w:r>
              <w:rPr>
                <w:sz w:val="24"/>
                <w:rFonts w:ascii="Times New Roman" w:hAnsi="Times New Roman"/>
              </w:rPr>
              <w:t xml:space="preserve"> </w:t>
            </w:r>
          </w:p>
          <w:p w14:paraId="09611817" w14:textId="77777777" w:rsidR="009D6580" w:rsidRPr="002A677E" w:rsidRDefault="009D6580" w:rsidP="00822842">
            <w:pPr>
              <w:autoSpaceDE w:val="0"/>
              <w:autoSpaceDN w:val="0"/>
              <w:adjustRightInd w:val="0"/>
              <w:rPr>
                <w:b/>
                <w:bCs/>
                <w:sz w:val="24"/>
                <w:u w:val="single"/>
                <w:rFonts w:ascii="Times New Roman" w:hAnsi="Times New Roman"/>
              </w:rPr>
            </w:pPr>
            <w:r>
              <w:rPr>
                <w:sz w:val="24"/>
                <w:rFonts w:ascii="Times New Roman" w:hAnsi="Times New Roman"/>
              </w:rPr>
              <w:t xml:space="preserve">Les exigences de fonds propres pour les expositions de crédit pertinentes eu égard au risque de marché incluront notamment les exigences de fonds propres pour les positions de titrisation calculées conformément à la troisième partie, titre IV, chapitre 2 du règlement (UE) nº 575/2013 et les exigences de fonds propres pour les expositions sur des organismes de placement collectif déterminées conformément à l'article 348 dudit règlement.</w:t>
            </w:r>
          </w:p>
        </w:tc>
      </w:tr>
      <w:tr w:rsidR="009D6580" w:rsidRPr="002A677E" w14:paraId="655D63DC" w14:textId="77777777" w:rsidTr="00822842">
        <w:tc>
          <w:tcPr>
            <w:tcW w:w="1697" w:type="dxa"/>
          </w:tcPr>
          <w:p w14:paraId="4911AAD6" w14:textId="77777777" w:rsidR="009D6580" w:rsidRPr="002A677E" w:rsidRDefault="009D6580" w:rsidP="00822842">
            <w:pPr>
              <w:rPr>
                <w:sz w:val="24"/>
                <w:rFonts w:ascii="Times New Roman" w:hAnsi="Times New Roman"/>
              </w:rPr>
            </w:pPr>
            <w:r>
              <w:rPr>
                <w:sz w:val="24"/>
                <w:rFonts w:ascii="Times New Roman" w:hAnsi="Times New Roman"/>
              </w:rPr>
              <w:t xml:space="preserve">0100</w:t>
            </w:r>
          </w:p>
        </w:tc>
        <w:tc>
          <w:tcPr>
            <w:tcW w:w="8131" w:type="dxa"/>
          </w:tcPr>
          <w:p w14:paraId="45D3AC3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Exigences de fonds propres pour les expositions de crédit pertinentes – positions de titrisation dans le portefeuille d’intermédiation bancaire</w:t>
            </w:r>
          </w:p>
          <w:p w14:paraId="6483412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Les exigences de fonds propres calculées conformément à la troisième partie, titre II, chapitre 5 du règlement (UE) nº 575/2013 pour les expositions de crédit pertinentes telles que visées à l’article 140, paragraphe 4, point c), de la directive 2013/36/UE dans le pays en question.</w:t>
            </w:r>
          </w:p>
          <w:p w14:paraId="1A6665D5"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Les exigences de fonds propres sont de 8 % du montant d'exposition pondéré calculé conformément à la troisième partie, titre II, chapitre 5 du règlement (UE) nº 575/2013.</w:t>
            </w:r>
          </w:p>
        </w:tc>
      </w:tr>
      <w:tr w:rsidR="009D6580" w:rsidRPr="002A677E" w14:paraId="4015A9D7" w14:textId="77777777" w:rsidTr="00822842">
        <w:tc>
          <w:tcPr>
            <w:tcW w:w="1697" w:type="dxa"/>
          </w:tcPr>
          <w:p w14:paraId="4ACCD3B3" w14:textId="77777777" w:rsidR="009D6580" w:rsidRPr="002A677E" w:rsidRDefault="009D6580" w:rsidP="00822842">
            <w:pPr>
              <w:rPr>
                <w:sz w:val="24"/>
                <w:rFonts w:ascii="Times New Roman" w:hAnsi="Times New Roman"/>
              </w:rPr>
            </w:pPr>
            <w:r>
              <w:rPr>
                <w:sz w:val="24"/>
                <w:rFonts w:ascii="Times New Roman" w:hAnsi="Times New Roman"/>
              </w:rPr>
              <w:t xml:space="preserve">0110</w:t>
            </w:r>
          </w:p>
        </w:tc>
        <w:tc>
          <w:tcPr>
            <w:tcW w:w="8131" w:type="dxa"/>
          </w:tcPr>
          <w:p w14:paraId="2EE25FA2"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Pondérations des exigences de fonds propres</w:t>
            </w:r>
          </w:p>
          <w:p w14:paraId="3D7B8904" w14:textId="77777777" w:rsidR="009D6580" w:rsidRPr="002A677E" w:rsidRDefault="009D6580" w:rsidP="00822842">
            <w:pPr>
              <w:rPr>
                <w:sz w:val="24"/>
                <w:rFonts w:ascii="Times New Roman" w:hAnsi="Times New Roman"/>
              </w:rPr>
            </w:pPr>
            <w:r>
              <w:rPr>
                <w:sz w:val="24"/>
                <w:rFonts w:ascii="Times New Roman" w:hAnsi="Times New Roman"/>
              </w:rPr>
              <w:t xml:space="preserve">La pondération appliquée au taux de coussin contracyclique dans chaque pays correspond à un ratio des exigences de fonds propres déterminé comme suit:</w:t>
            </w:r>
          </w:p>
          <w:p w14:paraId="47443D03" w14:textId="77777777" w:rsidR="009D6580" w:rsidRPr="002A677E" w:rsidRDefault="009D6580" w:rsidP="00822842">
            <w:pPr>
              <w:rPr>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Numérateur:</w:t>
            </w:r>
            <w:r>
              <w:rPr>
                <w:sz w:val="24"/>
                <w:rFonts w:ascii="Times New Roman" w:hAnsi="Times New Roman"/>
              </w:rPr>
              <w:t xml:space="preserve"> </w:t>
            </w:r>
            <w:r>
              <w:rPr>
                <w:sz w:val="24"/>
                <w:rFonts w:ascii="Times New Roman" w:hAnsi="Times New Roman"/>
              </w:rPr>
              <w:t xml:space="preserve">le montant total des exigences de fonds propres correspondant aux expositions de crédit pertinentes dans le pays en question [r0070;</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w:t>
            </w:r>
            <w:r>
              <w:rPr>
                <w:sz w:val="24"/>
                <w:rFonts w:ascii="Times New Roman" w:hAnsi="Times New Roman"/>
              </w:rPr>
              <w:t xml:space="preserve">feuille pays],</w:t>
            </w:r>
            <w:r>
              <w:rPr>
                <w:sz w:val="24"/>
                <w:rFonts w:ascii="Times New Roman" w:hAnsi="Times New Roman"/>
              </w:rPr>
              <w:t xml:space="preserve"> </w:t>
            </w:r>
          </w:p>
          <w:p w14:paraId="1FE57EC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Dénominateur:</w:t>
            </w:r>
            <w:r>
              <w:rPr>
                <w:sz w:val="24"/>
                <w:rFonts w:ascii="Times New Roman" w:hAnsi="Times New Roman"/>
              </w:rPr>
              <w:t xml:space="preserve"> </w:t>
            </w:r>
            <w:r>
              <w:rPr>
                <w:sz w:val="24"/>
                <w:rFonts w:ascii="Times New Roman" w:hAnsi="Times New Roman"/>
              </w:rPr>
              <w:t xml:space="preserve">le montant total des exigences de fonds propres qui se rapportent à l’ensemble des expositions de crédit pertinentes pour le calcul du coussin contracyclique visées à l’article 140, paragraphe 4, de la directive 2013/36/UE [r0070;</w:t>
            </w:r>
            <w:r>
              <w:rPr>
                <w:sz w:val="24"/>
                <w:rFonts w:ascii="Times New Roman" w:hAnsi="Times New Roman"/>
              </w:rPr>
              <w:t xml:space="preserve"> </w:t>
            </w:r>
            <w:r>
              <w:rPr>
                <w:sz w:val="24"/>
                <w:rFonts w:ascii="Times New Roman" w:hAnsi="Times New Roman"/>
              </w:rPr>
              <w:t xml:space="preserve">c0010;</w:t>
            </w:r>
            <w:r>
              <w:rPr>
                <w:sz w:val="24"/>
                <w:rFonts w:ascii="Times New Roman" w:hAnsi="Times New Roman"/>
              </w:rPr>
              <w:t xml:space="preserve"> </w:t>
            </w:r>
            <w:r>
              <w:rPr>
                <w:sz w:val="24"/>
                <w:rFonts w:ascii="Times New Roman" w:hAnsi="Times New Roman"/>
              </w:rPr>
              <w:t xml:space="preserve">“Total”].</w:t>
            </w:r>
          </w:p>
          <w:p w14:paraId="423D2DDF"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Aucune information n’est à déclarer concernant les pondérations des exigences de fonds propres pour le “Total” de tous les pays.</w:t>
            </w:r>
          </w:p>
        </w:tc>
      </w:tr>
      <w:tr w:rsidR="009D6580" w:rsidRPr="002A677E" w14:paraId="5C4BC14D" w14:textId="77777777" w:rsidTr="00822842">
        <w:tc>
          <w:tcPr>
            <w:tcW w:w="1697" w:type="dxa"/>
          </w:tcPr>
          <w:p w14:paraId="1A21712D" w14:textId="77777777" w:rsidR="009D6580" w:rsidRPr="002A677E" w:rsidRDefault="009D6580" w:rsidP="00822842">
            <w:pPr>
              <w:rPr>
                <w:sz w:val="24"/>
                <w:rFonts w:ascii="Times New Roman" w:hAnsi="Times New Roman"/>
              </w:rPr>
            </w:pPr>
            <w:r>
              <w:rPr>
                <w:sz w:val="24"/>
                <w:rFonts w:ascii="Times New Roman" w:hAnsi="Times New Roman"/>
              </w:rPr>
              <w:t xml:space="preserve">0120 – 0140</w:t>
            </w:r>
          </w:p>
        </w:tc>
        <w:tc>
          <w:tcPr>
            <w:tcW w:w="8131" w:type="dxa"/>
          </w:tcPr>
          <w:p w14:paraId="0FFF9D8C"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Taux de coussin de fonds propres contracyclique</w:t>
            </w:r>
          </w:p>
        </w:tc>
      </w:tr>
      <w:tr w:rsidR="009D6580" w:rsidRPr="002A677E" w14:paraId="3D2AE883" w14:textId="77777777" w:rsidTr="00822842">
        <w:tc>
          <w:tcPr>
            <w:tcW w:w="1697" w:type="dxa"/>
          </w:tcPr>
          <w:p w14:paraId="61437EB6" w14:textId="77777777" w:rsidR="009D6580" w:rsidRPr="002A677E" w:rsidRDefault="009D6580" w:rsidP="00822842">
            <w:pPr>
              <w:rPr>
                <w:sz w:val="24"/>
                <w:rFonts w:ascii="Times New Roman" w:hAnsi="Times New Roman"/>
              </w:rPr>
            </w:pPr>
            <w:r>
              <w:rPr>
                <w:sz w:val="24"/>
                <w:rFonts w:ascii="Times New Roman" w:hAnsi="Times New Roman"/>
              </w:rPr>
              <w:t xml:space="preserve">0120</w:t>
            </w:r>
          </w:p>
        </w:tc>
        <w:tc>
          <w:tcPr>
            <w:tcW w:w="8131" w:type="dxa"/>
          </w:tcPr>
          <w:p w14:paraId="756100DA"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Taux de coussin de fonds propres contracyclique fixé par l’autorité désignée</w:t>
            </w:r>
          </w:p>
          <w:p w14:paraId="256AAB4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 taux de coussin de fonds propres contracyclique fixé pour le pays en question par l'autorité désignée de ce pays conformément aux articles 136, 137, 139, à l'article 140, paragraphe 2, points a) et c), et à l’article 140, paragraphe 3, point b), de la directive 2013/36/UE.</w:t>
            </w:r>
          </w:p>
          <w:p w14:paraId="08387A1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Cette ligne doit rester vide lorsque aucun taux de coussin contracyclique n’a été fixé pour le pays en question par l’autorité désignée de ce pays.</w:t>
            </w:r>
          </w:p>
          <w:p w14:paraId="79AF7A0C"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Ne pas déclarer non plus les taux de coussin de fonds propres contracyclique qui ont été fixés par l’autorité désignée, mais qui ne sont pas encore applicable dans le pays en question à la date de référence pour la déclaration.</w:t>
            </w:r>
          </w:p>
          <w:p w14:paraId="5BEA0E13"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Aucune information concernant le taux de coussin contracyclique fixé par l’autorité désignée n’est à déclarer pour le “Total” de tous les pays.</w:t>
            </w:r>
            <w:r>
              <w:rPr>
                <w:sz w:val="24"/>
                <w:rFonts w:ascii="Times New Roman" w:hAnsi="Times New Roman"/>
              </w:rPr>
              <w:t xml:space="preserve"> </w:t>
            </w:r>
          </w:p>
        </w:tc>
      </w:tr>
      <w:tr w:rsidR="009D6580" w:rsidRPr="002A677E" w14:paraId="01E6253D" w14:textId="77777777" w:rsidTr="00822842">
        <w:tc>
          <w:tcPr>
            <w:tcW w:w="1697" w:type="dxa"/>
          </w:tcPr>
          <w:p w14:paraId="3226BBDD" w14:textId="77777777" w:rsidR="009D6580" w:rsidRPr="002A677E" w:rsidRDefault="009D6580" w:rsidP="00822842">
            <w:pPr>
              <w:rPr>
                <w:sz w:val="24"/>
                <w:rFonts w:ascii="Times New Roman" w:hAnsi="Times New Roman"/>
              </w:rPr>
            </w:pPr>
            <w:r>
              <w:rPr>
                <w:sz w:val="24"/>
                <w:rFonts w:ascii="Times New Roman" w:hAnsi="Times New Roman"/>
              </w:rPr>
              <w:t xml:space="preserve">0130</w:t>
            </w:r>
          </w:p>
        </w:tc>
        <w:tc>
          <w:tcPr>
            <w:tcW w:w="8131" w:type="dxa"/>
          </w:tcPr>
          <w:p w14:paraId="1301D1B3"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Taux de coussin de fonds propres contracyclique applicable dans le pays de l’établissement</w:t>
            </w:r>
          </w:p>
          <w:p w14:paraId="47D66D49"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 taux de coussin de fonds propres contracyclique applicable pour le pays en question, fixé par l'autorité désignée du pays de résidence de l'établissement, conformément aux articles 137, 138, 139, à l'article 140, paragraphe 2, point b), et à l’article 140, paragraphe 3, point a), de la directive 2013/36/UE.</w:t>
            </w:r>
            <w:r>
              <w:rPr>
                <w:sz w:val="24"/>
                <w:rFonts w:ascii="Times New Roman" w:hAnsi="Times New Roman"/>
              </w:rPr>
              <w:t xml:space="preserve"> </w:t>
            </w:r>
            <w:r>
              <w:rPr>
                <w:sz w:val="24"/>
                <w:rFonts w:ascii="Times New Roman" w:hAnsi="Times New Roman"/>
              </w:rPr>
              <w:t xml:space="preserve">Ne pas déclarer les taux de coussin de fonds propres contracyclique qui ne sont pas encore applicables à la date de déclaration de référence.</w:t>
            </w:r>
          </w:p>
          <w:p w14:paraId="082B5846"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Aucune information concernant le taux de coussin contracyclique applicable dans le pays de l’établissement n’est à déclarer pour le “Total” de tous les pays.</w:t>
            </w:r>
          </w:p>
        </w:tc>
      </w:tr>
      <w:tr w:rsidR="009D6580" w:rsidRPr="002A677E" w14:paraId="3FF424DB" w14:textId="77777777" w:rsidTr="00822842">
        <w:tc>
          <w:tcPr>
            <w:tcW w:w="1697" w:type="dxa"/>
          </w:tcPr>
          <w:p w14:paraId="752F444A" w14:textId="77777777" w:rsidR="009D6580" w:rsidRPr="002A677E" w:rsidRDefault="009D6580" w:rsidP="00822842">
            <w:pPr>
              <w:rPr>
                <w:sz w:val="24"/>
                <w:rFonts w:ascii="Times New Roman" w:hAnsi="Times New Roman"/>
              </w:rPr>
            </w:pPr>
            <w:r>
              <w:rPr>
                <w:sz w:val="24"/>
                <w:rFonts w:ascii="Times New Roman" w:hAnsi="Times New Roman"/>
              </w:rPr>
              <w:t xml:space="preserve">0140</w:t>
            </w:r>
          </w:p>
        </w:tc>
        <w:tc>
          <w:tcPr>
            <w:tcW w:w="8131" w:type="dxa"/>
          </w:tcPr>
          <w:p w14:paraId="315BAE64"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Taux de coussin de fonds propres contracyclique spécifique à l’établissement</w:t>
            </w:r>
            <w:r>
              <w:rPr>
                <w:b/>
                <w:sz w:val="24"/>
                <w:u w:val="single"/>
                <w:rFonts w:ascii="Times New Roman" w:hAnsi="Times New Roman"/>
              </w:rPr>
              <w:t xml:space="preserve"> </w:t>
            </w:r>
          </w:p>
          <w:p w14:paraId="253E0547"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 taux de coussin de fonds propres contracyclique spécifique à l'établissement, calculé conformément à l'article 140, paragraphe 1, de la directive 2013/36/UE.</w:t>
            </w:r>
            <w:r>
              <w:rPr>
                <w:sz w:val="24"/>
                <w:rFonts w:ascii="Times New Roman" w:hAnsi="Times New Roman"/>
              </w:rPr>
              <w:t xml:space="preserve"> </w:t>
            </w:r>
          </w:p>
          <w:p w14:paraId="575D2B31"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Le taux de coussin de fonds propres contracyclique spécifique à l'établissement est calculé comme étant égal à la moyenne pondérée des taux de coussin contracyclique qui s'appliquent dans les juridictions où sont situées les expositions de crédit pertinentes de l'établissement ou qui sont appliqués aux fins de l'article 140, conformément à l'article 139, paragraphe 2 ou 3, de la directive 2013/36/UE.</w:t>
            </w:r>
            <w:r>
              <w:rPr>
                <w:sz w:val="24"/>
                <w:rFonts w:ascii="Times New Roman" w:hAnsi="Times New Roman"/>
              </w:rPr>
              <w:t xml:space="preserve"> </w:t>
            </w:r>
            <w:r>
              <w:rPr>
                <w:sz w:val="24"/>
                <w:rFonts w:ascii="Times New Roman" w:hAnsi="Times New Roman"/>
              </w:rPr>
              <w:t xml:space="preserve">Le taux de coussin contracyclique applicable est déclaré en [r0120;</w:t>
            </w:r>
            <w:r>
              <w:rPr>
                <w:sz w:val="24"/>
                <w:rFonts w:ascii="Times New Roman" w:hAnsi="Times New Roman"/>
              </w:rPr>
              <w:t xml:space="preserve"> </w:t>
            </w:r>
            <w:r>
              <w:rPr>
                <w:sz w:val="24"/>
                <w:rFonts w:ascii="Times New Roman" w:hAnsi="Times New Roman"/>
              </w:rPr>
              <w:t xml:space="preserve">c0020;</w:t>
            </w:r>
            <w:r>
              <w:rPr>
                <w:sz w:val="24"/>
                <w:rFonts w:ascii="Times New Roman" w:hAnsi="Times New Roman"/>
              </w:rPr>
              <w:t xml:space="preserve"> </w:t>
            </w:r>
            <w:r>
              <w:rPr>
                <w:sz w:val="24"/>
                <w:rFonts w:ascii="Times New Roman" w:hAnsi="Times New Roman"/>
              </w:rPr>
              <w:t xml:space="preserve">feuille pays], ou [r0130;</w:t>
            </w:r>
            <w:r>
              <w:rPr>
                <w:sz w:val="24"/>
                <w:rFonts w:ascii="Times New Roman" w:hAnsi="Times New Roman"/>
              </w:rPr>
              <w:t xml:space="preserve"> </w:t>
            </w:r>
            <w:r>
              <w:rPr>
                <w:sz w:val="24"/>
                <w:rFonts w:ascii="Times New Roman" w:hAnsi="Times New Roman"/>
              </w:rPr>
              <w:t xml:space="preserve">c0020;</w:t>
            </w:r>
            <w:r>
              <w:rPr>
                <w:sz w:val="24"/>
                <w:rFonts w:ascii="Times New Roman" w:hAnsi="Times New Roman"/>
              </w:rPr>
              <w:t xml:space="preserve"> </w:t>
            </w:r>
            <w:r>
              <w:rPr>
                <w:sz w:val="24"/>
                <w:rFonts w:ascii="Times New Roman" w:hAnsi="Times New Roman"/>
              </w:rPr>
              <w:t xml:space="preserve">feuille pays] selon le cas.</w:t>
            </w:r>
          </w:p>
          <w:p w14:paraId="2C4ECBB2" w14:textId="77777777" w:rsidR="009D6580" w:rsidRPr="002A677E" w:rsidRDefault="009D6580" w:rsidP="00822842">
            <w:pPr>
              <w:autoSpaceDE w:val="0"/>
              <w:autoSpaceDN w:val="0"/>
              <w:adjustRightInd w:val="0"/>
              <w:rPr>
                <w:b/>
                <w:strike/>
                <w:sz w:val="24"/>
                <w:rFonts w:ascii="Times New Roman" w:hAnsi="Times New Roman"/>
              </w:rPr>
            </w:pPr>
            <w:r>
              <w:rPr>
                <w:sz w:val="24"/>
                <w:rFonts w:ascii="Times New Roman" w:hAnsi="Times New Roman"/>
              </w:rPr>
              <w:t xml:space="preserve">La pondération appliquée au taux de coussin contracyclique dans chaque pays correspond à la fraction des exigences de fonds propres dans le total des exigences de fonds propres; elle est déclarée en [r0110;</w:t>
            </w:r>
            <w:r>
              <w:rPr>
                <w:sz w:val="24"/>
                <w:rFonts w:ascii="Times New Roman" w:hAnsi="Times New Roman"/>
              </w:rPr>
              <w:t xml:space="preserve"> </w:t>
            </w:r>
            <w:r>
              <w:rPr>
                <w:sz w:val="24"/>
                <w:rFonts w:ascii="Times New Roman" w:hAnsi="Times New Roman"/>
              </w:rPr>
              <w:t xml:space="preserve">c0020;</w:t>
            </w:r>
            <w:r>
              <w:rPr>
                <w:sz w:val="24"/>
                <w:rFonts w:ascii="Times New Roman" w:hAnsi="Times New Roman"/>
              </w:rPr>
              <w:t xml:space="preserve"> </w:t>
            </w:r>
            <w:r>
              <w:rPr>
                <w:sz w:val="24"/>
                <w:rFonts w:ascii="Times New Roman" w:hAnsi="Times New Roman"/>
              </w:rPr>
              <w:t xml:space="preserve">feuille pays].</w:t>
            </w:r>
            <w:r>
              <w:rPr>
                <w:sz w:val="24"/>
                <w:rFonts w:ascii="Times New Roman" w:hAnsi="Times New Roman"/>
              </w:rPr>
              <w:t xml:space="preserve"> </w:t>
            </w:r>
          </w:p>
          <w:p w14:paraId="65E93DC9"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Les informations sur le taux de coussin de fonds propres contracyclique spécifique à l’établissement ne sont à déclarer que pour le “Total” de tous les pays et non pour chaque pays séparément.</w:t>
            </w:r>
          </w:p>
        </w:tc>
      </w:tr>
      <w:tr w:rsidR="009D6580" w:rsidRPr="002A677E" w14:paraId="0CA64D03" w14:textId="77777777" w:rsidTr="00822842">
        <w:tc>
          <w:tcPr>
            <w:tcW w:w="1697" w:type="dxa"/>
          </w:tcPr>
          <w:p w14:paraId="1436C16C" w14:textId="77777777" w:rsidR="009D6580" w:rsidRPr="002A677E" w:rsidRDefault="009D6580" w:rsidP="00822842">
            <w:pPr>
              <w:rPr>
                <w:sz w:val="24"/>
                <w:rFonts w:ascii="Times New Roman" w:hAnsi="Times New Roman"/>
              </w:rPr>
            </w:pPr>
            <w:r>
              <w:rPr>
                <w:sz w:val="24"/>
                <w:rFonts w:ascii="Times New Roman" w:hAnsi="Times New Roman"/>
              </w:rPr>
              <w:t xml:space="preserve">0150 - 0160</w:t>
            </w:r>
          </w:p>
        </w:tc>
        <w:tc>
          <w:tcPr>
            <w:tcW w:w="8131" w:type="dxa"/>
          </w:tcPr>
          <w:p w14:paraId="13A71A3D" w14:textId="77777777" w:rsidR="009D6580" w:rsidRPr="002A677E" w:rsidRDefault="009D6580" w:rsidP="00822842">
            <w:pPr>
              <w:rPr>
                <w:b/>
                <w:bCs/>
                <w:sz w:val="24"/>
                <w:u w:val="single"/>
                <w:rFonts w:ascii="Times New Roman" w:hAnsi="Times New Roman"/>
              </w:rPr>
            </w:pPr>
            <w:r>
              <w:rPr>
                <w:b/>
                <w:sz w:val="24"/>
                <w:u w:val="single"/>
                <w:rFonts w:ascii="Times New Roman" w:hAnsi="Times New Roman"/>
              </w:rPr>
              <w:t xml:space="preserve">Utilisation du seuil de 2 %</w:t>
            </w:r>
          </w:p>
        </w:tc>
      </w:tr>
      <w:tr w:rsidR="009D6580" w:rsidRPr="002A677E" w14:paraId="4C39701D" w14:textId="77777777" w:rsidTr="00822842">
        <w:tc>
          <w:tcPr>
            <w:tcW w:w="1697" w:type="dxa"/>
          </w:tcPr>
          <w:p w14:paraId="62E51E11" w14:textId="77777777" w:rsidR="009D6580" w:rsidRPr="002A677E" w:rsidRDefault="009D6580" w:rsidP="00822842">
            <w:pPr>
              <w:rPr>
                <w:sz w:val="24"/>
                <w:rFonts w:ascii="Times New Roman" w:hAnsi="Times New Roman"/>
              </w:rPr>
            </w:pPr>
            <w:r>
              <w:rPr>
                <w:sz w:val="24"/>
                <w:rFonts w:ascii="Times New Roman" w:hAnsi="Times New Roman"/>
              </w:rPr>
              <w:t xml:space="preserve">0150</w:t>
            </w:r>
          </w:p>
        </w:tc>
        <w:tc>
          <w:tcPr>
            <w:tcW w:w="8131" w:type="dxa"/>
          </w:tcPr>
          <w:p w14:paraId="0ABF51F0" w14:textId="77777777" w:rsidR="009D6580" w:rsidRPr="002A677E" w:rsidRDefault="009D6580" w:rsidP="00822842">
            <w:pPr>
              <w:autoSpaceDE w:val="0"/>
              <w:autoSpaceDN w:val="0"/>
              <w:adjustRightInd w:val="0"/>
              <w:rPr>
                <w:sz w:val="24"/>
                <w:rFonts w:ascii="Times New Roman" w:hAnsi="Times New Roman"/>
              </w:rPr>
            </w:pPr>
            <w:r>
              <w:rPr>
                <w:sz w:val="24"/>
                <w:b/>
                <w:u w:val="single"/>
                <w:rFonts w:ascii="Times New Roman" w:hAnsi="Times New Roman"/>
              </w:rPr>
              <w:t xml:space="preserve">Utilisation du seuil de 2 % pour exposition générale de crédit</w:t>
            </w:r>
            <w:r>
              <w:rPr>
                <w:sz w:val="24"/>
                <w:rFonts w:ascii="Times New Roman" w:hAnsi="Times New Roman"/>
              </w:rPr>
              <w:t xml:space="preserve"> </w:t>
            </w:r>
          </w:p>
          <w:p w14:paraId="68B71CE8"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Conformément à l'article 2, paragraphe 5, point b), du règlement délégué (UE) nº 1152/2014 de la Commission, les expositions à un risque général de crédit étranger dont le montant agrégé ne dépasse pas 2 % du montant agrégé des expositions générales de crédit, des expositions relevant du portefeuille de négociation et des expositions de titrisation de l’établissement peuvent être rattachées à l'État membre d'origine de l'établissement.</w:t>
            </w:r>
            <w:r>
              <w:rPr>
                <w:sz w:val="24"/>
                <w:rFonts w:ascii="Times New Roman" w:hAnsi="Times New Roman"/>
              </w:rPr>
              <w:t xml:space="preserve"> </w:t>
            </w:r>
            <w:r>
              <w:rPr>
                <w:sz w:val="24"/>
                <w:rFonts w:ascii="Times New Roman" w:hAnsi="Times New Roman"/>
              </w:rPr>
              <w:t xml:space="preserve">Le montant agrégé des expositions générales de crédit, des expositions relevant du portefeuille de négociation et des expositions de titrisation est calculé en excluant les expositions générales de crédit localisées conformément à l’article 2, paragraphe 5, point a), et à l'article 2, paragraphe 4, du règlement délégué (UE) nº 1152/2014 de la Commission.</w:t>
            </w:r>
          </w:p>
          <w:p w14:paraId="53DCDD60"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Si l’établissement fait usage de cette dérogation, il indique “y” dans le modèle de la juridiction qui correspond à son État membre d’origine et dans celui du “Total” de tous les pays.</w:t>
            </w:r>
          </w:p>
          <w:p w14:paraId="5B2597B2"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S’il n’en fait pas usage, il indique “n” dans la cellule correspondante.</w:t>
            </w:r>
          </w:p>
        </w:tc>
      </w:tr>
      <w:tr w:rsidR="009D6580" w:rsidRPr="002A677E" w14:paraId="7179BBF6" w14:textId="77777777" w:rsidTr="00822842">
        <w:tc>
          <w:tcPr>
            <w:tcW w:w="1697" w:type="dxa"/>
          </w:tcPr>
          <w:p w14:paraId="528EEA51" w14:textId="77777777" w:rsidR="009D6580" w:rsidRPr="002A677E" w:rsidRDefault="009D6580" w:rsidP="00822842">
            <w:pPr>
              <w:rPr>
                <w:sz w:val="24"/>
                <w:rFonts w:ascii="Times New Roman" w:hAnsi="Times New Roman"/>
              </w:rPr>
            </w:pPr>
            <w:r>
              <w:rPr>
                <w:sz w:val="24"/>
                <w:rFonts w:ascii="Times New Roman" w:hAnsi="Times New Roman"/>
              </w:rPr>
              <w:t xml:space="preserve">0160</w:t>
            </w:r>
          </w:p>
        </w:tc>
        <w:tc>
          <w:tcPr>
            <w:tcW w:w="8131" w:type="dxa"/>
          </w:tcPr>
          <w:p w14:paraId="4FC000D6" w14:textId="77777777" w:rsidR="009D6580" w:rsidRPr="002A677E" w:rsidRDefault="009D6580" w:rsidP="00822842">
            <w:pPr>
              <w:autoSpaceDE w:val="0"/>
              <w:autoSpaceDN w:val="0"/>
              <w:adjustRightInd w:val="0"/>
              <w:rPr>
                <w:sz w:val="24"/>
                <w:rFonts w:ascii="Times New Roman" w:hAnsi="Times New Roman"/>
              </w:rPr>
            </w:pPr>
            <w:r>
              <w:rPr>
                <w:b/>
                <w:sz w:val="24"/>
                <w:u w:val="single"/>
                <w:rFonts w:ascii="Times New Roman" w:hAnsi="Times New Roman"/>
              </w:rPr>
              <w:t xml:space="preserve">Utilisation du seuil de 2 % pour expositions relevant du portefeuille de négociation</w:t>
            </w:r>
          </w:p>
          <w:p w14:paraId="13ED02AA" w14:textId="77777777" w:rsidR="009D6580" w:rsidRPr="002A677E" w:rsidRDefault="009D6580" w:rsidP="00822842">
            <w:pPr>
              <w:autoSpaceDE w:val="0"/>
              <w:autoSpaceDN w:val="0"/>
              <w:adjustRightInd w:val="0"/>
              <w:rPr>
                <w:sz w:val="24"/>
                <w:rFonts w:ascii="Times New Roman" w:hAnsi="Times New Roman"/>
              </w:rPr>
            </w:pPr>
            <w:r>
              <w:rPr>
                <w:sz w:val="24"/>
                <w:rFonts w:ascii="Times New Roman" w:hAnsi="Times New Roman"/>
              </w:rPr>
              <w:t xml:space="preserve">Conformément à l'article 3, paragraphe 3, du règlement délégué (UE) nº 1152/2014 de la Commission, les établissements peuvent rattacher les expositions du portefeuille de négociation à leur État membre d'origine lorsque le total des expositions relevant du portefeuille de négociation n'excède pas 2 % du total de leurs expositions générales de crédit, de leurs expositions relevant du portefeuille de négociation et de leurs expositions de titrisation.</w:t>
            </w:r>
          </w:p>
          <w:p w14:paraId="068BDCF9" w14:textId="77777777" w:rsidR="009D6580" w:rsidRPr="002A677E" w:rsidRDefault="009D6580" w:rsidP="00822842">
            <w:pPr>
              <w:rPr>
                <w:sz w:val="24"/>
                <w:rFonts w:ascii="Times New Roman" w:hAnsi="Times New Roman"/>
              </w:rPr>
            </w:pPr>
            <w:r>
              <w:rPr>
                <w:sz w:val="24"/>
                <w:rFonts w:ascii="Times New Roman" w:hAnsi="Times New Roman"/>
              </w:rPr>
              <w:t xml:space="preserve">Si l’établissement fait usage de cette dérogation, il indique “y” dans le modèle de la juridiction qui correspond à son État membre d’origine et dans celui du “Total” de tous les pays.</w:t>
            </w:r>
          </w:p>
          <w:p w14:paraId="3EA8EC30" w14:textId="77777777" w:rsidR="009D6580" w:rsidRPr="002A677E" w:rsidRDefault="009D6580" w:rsidP="00822842">
            <w:pPr>
              <w:rPr>
                <w:b/>
                <w:bCs/>
                <w:sz w:val="24"/>
                <w:u w:val="single"/>
                <w:rFonts w:ascii="Times New Roman" w:hAnsi="Times New Roman"/>
              </w:rPr>
            </w:pPr>
            <w:r>
              <w:rPr>
                <w:sz w:val="24"/>
                <w:rFonts w:ascii="Times New Roman" w:hAnsi="Times New Roman"/>
              </w:rPr>
              <w:t xml:space="preserve">S’il n’en fait pas usage, il indique “n” dans la cellule correspondante.»</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tab/>
      </w:r>
      <w:r>
        <w:rPr>
          <w:sz w:val="20"/>
          <w:color w:val="444444"/>
          <w:rFonts w:ascii="Times New Roman" w:hAnsi="Times New Roman"/>
        </w:rPr>
        <w:t xml:space="preserve">Règlement délégué (UE) nº 1152/2014 de la Commission du 4 juin 2014 complétant la directive 2013/36/UE du Parlement européen et du Conseil par des normes techniques de réglementation précisant la méthode à utiliser pour déterminer la localisation géographique des expositions de crédit pertinentes aux fins du calcul du taux de coussin de fonds propres contracyclique spécifique à l’établissement (JO L 309 du 30.10.2014, p.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val="fr-FR"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val="fr-FR"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val="fr-FR"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val="fr-FR"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val="fr-FR"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val="fr-FR"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fr-FR"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fr-FR"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fr-FR"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fr-FR"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fr-FR"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fr-FR"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val="fr-FR"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val="fr-FR"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fr-FR"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val="fr-FR"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fr-FR"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val="fr-FR"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fr-FR"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val="fr-FR"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val="fr-FR"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val="fr-F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val="fr-FR"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val="fr-FR"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lang w:val="fr-FR"/>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fr-FR"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lang w:val="fr-FR"/>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val="fr-FR"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lang w:val="fr-FR"/>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lang w:val="fr-FR"/>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lang w:val="fr-FR"/>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lang w:val="fr-FR"/>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9D6580"/>
    <w:pPr>
      <w:numPr>
        <w:numId w:val="23"/>
      </w:numPr>
      <w:spacing w:after="0" w:line="240" w:lineRule="auto"/>
    </w:pPr>
    <w:rPr>
      <w:rFonts w:eastAsiaTheme="minorEastAsia"/>
      <w:kern w:val="0"/>
      <w:lang w:val="fr-FR"/>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lang w:val="fr-F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lang w:val="fr-FR"/>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fr-FR"/>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lang w:val="fr-FR"/>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lang w:val="fr-FR"/>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val="fr-FR"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lang w:val="fr-F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lang w:val="fr-FR"/>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lang w:val="fr-F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lang w:val="fr-F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fr-FR"/>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fr-FR"/>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val="fr-FR"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lang w:val="fr-FR"/>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lang w:val="fr-FR"/>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val="fr-FR"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val="fr-FR"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42E8F3-B641-4682-B0D0-415365E0B79E}"/>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3827</Words>
  <Characters>22237</Characters>
  <Application>Microsoft Office Word</Application>
  <DocSecurity>0</DocSecurity>
  <Lines>427</Lines>
  <Paragraphs>138</Paragraphs>
  <ScaleCrop>false</ScaleCrop>
  <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2024-07-04T16:47:00Z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