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SL</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PRILOGA IV</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RAZKRITJA O MINIMALNI ZAHTEVI GLEDE KAPITALA IN KVALIFICIRANIH OBVEZNOSTI – NAVODILA</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tab/>
      </w:r>
      <w:r>
        <w:rPr>
          <w:rFonts w:ascii="Times New Roman" w:hAnsi="Times New Roman"/>
          <w:color w:val="auto"/>
          <w:sz w:val="24"/>
        </w:rPr>
        <w:t>Splošna navodila: Struktura in dogovori</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tab/>
      </w:r>
      <w:r>
        <w:rPr>
          <w:rFonts w:ascii="Times New Roman" w:hAnsi="Times New Roman"/>
          <w:color w:val="auto"/>
          <w:sz w:val="24"/>
        </w:rPr>
        <w:t>Struktura</w:t>
      </w:r>
      <w:bookmarkEnd w:id="10"/>
      <w:bookmarkEnd w:id="11"/>
      <w:bookmarkEnd w:id="12"/>
    </w:p>
    <w:p w14:paraId="038BA668" w14:textId="1D5FE25B" w:rsidR="0065594A" w:rsidRPr="0008623B" w:rsidRDefault="0065594A" w:rsidP="00B62DC9">
      <w:pPr>
        <w:pStyle w:val="InstructionsText2"/>
        <w:numPr>
          <w:ilvl w:val="0"/>
          <w:numId w:val="12"/>
        </w:numPr>
      </w:pPr>
      <w:r>
        <w:t>Ta okvir za razkritja o MREL in TLAC je sestavljen iz treh skupin predlog:</w:t>
      </w:r>
    </w:p>
    <w:p w14:paraId="160EDC16" w14:textId="77777777" w:rsidR="00AB77FD" w:rsidRPr="0008623B" w:rsidRDefault="00AB77FD" w:rsidP="00B62DC9">
      <w:pPr>
        <w:pStyle w:val="InstructionsText2"/>
        <w:numPr>
          <w:ilvl w:val="1"/>
          <w:numId w:val="15"/>
        </w:numPr>
      </w:pPr>
      <w:r>
        <w:t>MREL in TLAC skupin in subjektov v postopku reševanja;</w:t>
      </w:r>
    </w:p>
    <w:p w14:paraId="531DF249" w14:textId="0719D053" w:rsidR="00AB77FD" w:rsidRPr="0008623B" w:rsidRDefault="00AB77FD" w:rsidP="00B62DC9">
      <w:pPr>
        <w:pStyle w:val="InstructionsText2"/>
        <w:numPr>
          <w:ilvl w:val="1"/>
          <w:numId w:val="15"/>
        </w:numPr>
      </w:pPr>
      <w:r>
        <w:t>MREL in TLAC subjektov, ki niso v postopku reševanja, in pomembnih podrejenih družb globalnih sistemsko pomembnih institucij (GSPI) zunaj EU;</w:t>
      </w:r>
    </w:p>
    <w:p w14:paraId="3EE4CEDD" w14:textId="5B2484DA" w:rsidR="00AB77FD" w:rsidRPr="0008623B" w:rsidRDefault="00AB77FD" w:rsidP="00B62DC9">
      <w:pPr>
        <w:pStyle w:val="InstructionsText2"/>
        <w:numPr>
          <w:ilvl w:val="1"/>
          <w:numId w:val="15"/>
        </w:numPr>
      </w:pPr>
      <w:r>
        <w:t>razvrstitev izdajateljev glede na vrstni red poplačila v hierarhiji upnikov;</w:t>
      </w:r>
    </w:p>
    <w:p w14:paraId="1ED5F5C4" w14:textId="551A7AA0" w:rsidR="0065594A" w:rsidRPr="0008623B" w:rsidRDefault="0065594A" w:rsidP="00B62DC9">
      <w:pPr>
        <w:pStyle w:val="InstructionsText2"/>
        <w:numPr>
          <w:ilvl w:val="0"/>
          <w:numId w:val="12"/>
        </w:numPr>
      </w:pPr>
      <w:r>
        <w:t>Za vsako predlogo so navedeni sklici na pravno podlago. Ta priloga vsebuje dodatne podrobne informacije glede splošnejših vidikov poročanja v zvezi s posameznim sklopom predlog in navodila glede specifičnih pozicij.</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tab/>
      </w:r>
      <w:r>
        <w:rPr>
          <w:rFonts w:ascii="Times New Roman" w:hAnsi="Times New Roman"/>
          <w:color w:val="auto"/>
          <w:sz w:val="24"/>
        </w:rPr>
        <w:t>Okrajšave</w:t>
      </w:r>
      <w:bookmarkEnd w:id="18"/>
    </w:p>
    <w:p w14:paraId="7F56C9B4" w14:textId="1EA8178A" w:rsidR="0065594A" w:rsidRPr="0008623B" w:rsidRDefault="0065594A" w:rsidP="00B62DC9">
      <w:pPr>
        <w:pStyle w:val="InstructionsText2"/>
        <w:numPr>
          <w:ilvl w:val="0"/>
          <w:numId w:val="12"/>
        </w:numPr>
      </w:pPr>
      <w:r>
        <w:t>Za namene prilog k tej uredbi se uporabljajo naslednje okrajšave:</w:t>
      </w:r>
    </w:p>
    <w:p w14:paraId="7AA24AF3" w14:textId="4E2F4B2C" w:rsidR="0065594A" w:rsidRPr="0008623B" w:rsidRDefault="00B96861" w:rsidP="00B62DC9">
      <w:pPr>
        <w:pStyle w:val="InstructionsText2"/>
        <w:numPr>
          <w:ilvl w:val="0"/>
          <w:numId w:val="31"/>
        </w:numPr>
      </w:pPr>
      <w:r>
        <w:t xml:space="preserve"> „MREL“ pomeni minimalno zahtevo glede kapitala in kvalificiranih obveznosti v skladu s členom 45 Direktive 2014/59/EU;</w:t>
      </w:r>
    </w:p>
    <w:p w14:paraId="3F223F84" w14:textId="14E43992" w:rsidR="0065594A" w:rsidRPr="0008623B" w:rsidRDefault="0065594A" w:rsidP="00B62DC9">
      <w:pPr>
        <w:pStyle w:val="InstructionsText2"/>
        <w:numPr>
          <w:ilvl w:val="0"/>
          <w:numId w:val="31"/>
        </w:numPr>
      </w:pPr>
      <w:r>
        <w:t>„TLAC“ pomeni zahtevo glede kapitala in kvalificiranih obveznosti za GSPI v skladu s členom 92a Uredbe (EU) št. 575/2013;</w:t>
      </w:r>
    </w:p>
    <w:p w14:paraId="1FEB92E2" w14:textId="1715F9BB" w:rsidR="0065594A" w:rsidRPr="0008623B" w:rsidRDefault="0065594A" w:rsidP="00B62DC9">
      <w:pPr>
        <w:pStyle w:val="InstructionsText2"/>
        <w:numPr>
          <w:ilvl w:val="0"/>
          <w:numId w:val="31"/>
        </w:numPr>
      </w:pPr>
      <w:r>
        <w:t>„notranja TLAC“ pomeni zahtevo glede kapitala in kvalificiranih obveznosti za GSPI zunaj EU v skladu s členom 92b Uredbe (EU) št. 575/2013;</w:t>
      </w:r>
    </w:p>
    <w:p w14:paraId="41F598D3" w14:textId="411A41F7" w:rsidR="0097126E" w:rsidRPr="0008623B" w:rsidRDefault="0097126E" w:rsidP="0073688E">
      <w:pPr>
        <w:pStyle w:val="ListParagraph"/>
        <w:numPr>
          <w:ilvl w:val="0"/>
          <w:numId w:val="31"/>
        </w:numPr>
      </w:pPr>
      <w:r>
        <w:rPr>
          <w:rFonts w:ascii="Times New Roman" w:hAnsi="Times New Roman"/>
          <w:sz w:val="24"/>
        </w:rPr>
        <w:t xml:space="preserve">„notranja MREL“ pomeni MREL, ki se uporablja za subjekte, ki sami niso subjekti v postopku reševanja, v skladu s členom 45f Direktive 2014/59/EU.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t>2.</w:t>
      </w:r>
      <w: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Ključne metrike – MREL in, kjer je relevantno, zahteva glede kapitala in kvalificiranih obveznosti za GSPI</w:t>
      </w:r>
      <w:bookmarkEnd w:id="23"/>
      <w:bookmarkEnd w:id="24"/>
    </w:p>
    <w:p w14:paraId="7C25FB3D" w14:textId="5B7ACB83" w:rsidR="001D5361" w:rsidRPr="0008623B" w:rsidRDefault="00CB1021" w:rsidP="00B62DC9">
      <w:pPr>
        <w:pStyle w:val="InstructionsText2"/>
        <w:numPr>
          <w:ilvl w:val="0"/>
          <w:numId w:val="12"/>
        </w:numPr>
      </w:pPr>
      <w:r>
        <w:t xml:space="preserve">Subjekti v besedilu, priloženem predlogi, pojasnijo vse pomembne razlike med razkritimi zneski kapitala in zneskom na ravni skupine v postopku reševanja ob </w:t>
      </w:r>
      <w:r>
        <w:lastRenderedPageBreak/>
        <w:t>polnem upoštevanju MSRP 9. Pojasnijo tudi vse pomembne razlike med zneskom na ravni skupine v postopku reševanja ob polnem upoštevanju MSRP 9 in zneskom na ravni bonitetne skupine ob polnem upoštevanju MSRP 9.</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Stolpci</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Pravna podlaga in navodila</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Subjekti v tem stolpcu razkrijejo relevantne informacije o MREL v skladu s členoma 45 in 45e Direktive 2014/59/EU.</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Subjekti razkrijejo vrednost na koncu obdobja razkritja.</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do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Subjekti, ki so GSPI, za katere se uporablja zahteva TLAC v skladu s členom 92a Uredbe (EU) št. 575/2013, v teh stolpcih razkrijejo relevantne informacije v zvezi s to zahtevo.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Obdobja razkritja T, T-1, T-2, T-3 in T-4 so četrtletna obdobja. Subjekti razkrijejo datume, ki ustrezajo obdobjem razkritja. Subjekti, ki razkrivajo te informacije na četrtletni osnovi, zagotovijo podatke za obdobja T, T-1, T-2, T-3 in T-4; subjekti, ki razkrivajo te informacije na polletni osnovi, zagotovijo podatke za obdobja T, T-2 in T-4; subjekti, ki razkrivajo te informacije na letni osnovi, zagotovijo podatke za obdobji T in T-4.</w:t>
            </w:r>
          </w:p>
        </w:tc>
      </w:tr>
    </w:tbl>
    <w:p w14:paraId="33309394" w14:textId="77777777" w:rsidR="009C13C2" w:rsidRPr="0008623B" w:rsidRDefault="009C13C2" w:rsidP="006D4640">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Vrstice</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Pravna podlaga in navodila</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Kapital in kvalificirane obveznosti</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Enako vrednostim, razkritim v vrstici 22 predloge za razkritja EU TLAC1.</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 in kvalificirane obveznosti – od tega kapital in podrejene obveznosti</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Enako vrednosti, razkriti v vrstici EU-22a predloge za razkritja EU TLAC1.</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color w:val="000000" w:themeColor="text1"/>
                <w:sz w:val="24"/>
              </w:rPr>
              <w:t>Kapital in kvalificirane obveznosti</w:t>
            </w:r>
            <w:r>
              <w:rPr>
                <w:rStyle w:val="InstructionsTabelleberschrift"/>
                <w:rFonts w:ascii="Times New Roman" w:hAnsi="Times New Roman"/>
                <w:b w:val="0"/>
                <w:sz w:val="24"/>
                <w:u w:val="none"/>
              </w:rPr>
              <w:t>, vključene v</w:t>
            </w:r>
            <w:r>
              <w:rPr>
                <w:rStyle w:val="FormatvorlageInstructionsTabelleText"/>
                <w:rFonts w:ascii="Times New Roman" w:hAnsi="Times New Roman"/>
                <w:sz w:val="24"/>
              </w:rPr>
              <w:t xml:space="preserve"> znesek kapitala in kvalificiranih obveznosti v skladu s členom 45b Direktive 2014/59/EU, ki so podrejeni kvalificirani instrumenti, kot so opredeljeni v členu 2(1), točka 71b, navedene direktive, in</w:t>
            </w:r>
            <w:r>
              <w:rPr>
                <w:rStyle w:val="InstructionsTabelleberschrift"/>
                <w:rFonts w:ascii="Times New Roman" w:hAnsi="Times New Roman"/>
                <w:b w:val="0"/>
                <w:sz w:val="24"/>
                <w:u w:val="none"/>
              </w:rPr>
              <w:t xml:space="preserve"> obveznosti</w:t>
            </w:r>
            <w:r>
              <w:rPr>
                <w:rStyle w:val="FormatvorlageInstructionsTabelleText"/>
                <w:rFonts w:ascii="Times New Roman" w:hAnsi="Times New Roman"/>
                <w:sz w:val="24"/>
              </w:rPr>
              <w:t>, vključene v znesek kapitala in kvalificiranih obveznosti v skladu s členom 45b(3) Direktive 2014/59/EU. V primeru instrumentov, ki jih ureja pravo tretje države, se instrument vključi v to vrstico samo, če izpolnjuje zahteve iz člena 55 Direktive 2014/59/EU.</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Znesek skupne izpostavljenosti tveganju (TREA) skupine v postopku reševanja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Enako vrednosti, razkriti v vrstici 23 predloge za razkritja EU TLAC1.</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Člen 45(2), točka (a), Direktive 2014/59/EU in člen 92(3) Uredbe (EU) št.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lastRenderedPageBreak/>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 in kvalificirane obveznosti kot odstotek 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Enako vrednostim, razkritim v vrstici 25 predloge za razkritja EU TLAC1.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Za namene te vrstice se znesek kapitala in kvalificiranih obveznosti, ki se razkrije v vrstici 1, izrazi kot odstotek zneska skupne izpostavljenosti tveganju, izračunanega v skladu s členom 92(3) Uredbe (EU) št.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 in kvalificirane obveznosti kot odstotek TREA – od tega kapital in podrejene obveznosti</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Enako vrednosti, razkriti v vrstici EU-25 a predloge za razkritja EU TLAC1.</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Za namene te vrstice se znesek kapitala in podrejenih kvalificiranih obveznosti, ki se navede v vrstici EU-1a, izrazi kot odstotek zneska skupne izpostavljenosti tveganju, izračunanega v skladu s členom 92(3) Uredbe (EU) št.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Mera skupne izpostavljenosti (TEM) skupine v postopku reševanja</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Enako vrednosti, razkriti v vrstici 24 predloge za razkritja EU TLAC1.</w:t>
            </w:r>
          </w:p>
          <w:p w14:paraId="5BC2C1BD" w14:textId="4F7E9896" w:rsidR="00705FB0" w:rsidRPr="0008623B" w:rsidRDefault="003D0BF6" w:rsidP="00FB021F">
            <w:pPr>
              <w:pStyle w:val="Fait"/>
            </w:pPr>
            <w:r>
              <w:t xml:space="preserve">Člen 45(2), točka (b), Direktive 2014/59/EU in člen 429(4) ter </w:t>
            </w:r>
            <w:r>
              <w:rPr>
                <w:color w:val="000000" w:themeColor="text1"/>
              </w:rPr>
              <w:t>člen</w:t>
            </w:r>
            <w:r>
              <w:t xml:space="preserve"> 429a Uredbe (EU) št.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 in kvalificirane obveznosti kot odstotek 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Enako vrednosti, razkriti v vrstici 26 predloge za razkritja EU TLAC1.</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Za namene te vrstice se znesek kapitala in kvalificiranih obveznosti, ki se navede v vrstici 1, izrazi kot odstotek mere skupne izpostavljenosti, izračunane v skladu s členom 429(4) in členom 429a Uredbe (EU) št.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Kapital in kvalificirane obveznosti kot odstotek TEM – od tega kapital in podrejene obveznosti</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Enako vrednosti, razkriti v vrstici EU-26 a predloge za razkritja EU TLAC1.</w:t>
            </w:r>
          </w:p>
          <w:p w14:paraId="4E14C375" w14:textId="17204913" w:rsidR="0037295D" w:rsidRPr="0008623B" w:rsidRDefault="00705FB0" w:rsidP="00FB021F">
            <w:pPr>
              <w:pStyle w:val="Fait"/>
              <w:spacing w:before="0"/>
              <w:rPr>
                <w:b/>
                <w:color w:val="000000" w:themeColor="text1"/>
                <w:szCs w:val="24"/>
              </w:rPr>
            </w:pPr>
            <w:r>
              <w:rPr>
                <w:color w:val="000000" w:themeColor="text1"/>
              </w:rPr>
              <w:t>Za namene te vrstice se znesek kapitala in podrejenih kvalificiranih obveznosti, ki se navede v vrstici EU-1a, izrazi kot odstotek mere skupne izpostavljenosti, izračunane v skladu s členom 429(4) in členom 429a Uredbe (EU) št.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Ali se uporablja izvzetje iz podrejenosti iz člena 72b(4) Uredbe (EU) št. 575/2013? (izvzetje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To vrstico razkrijejo samo subjekti, za katere velja zahteva glede kapitala in kvalificiranih obveznosti za GSPI.</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Če organ za reševanje dovoli, da se obveznosti štejejo za instrumente kvalificiranih obveznosti v skladu s členom 72b(4) Uredbe (EU) št. 575/2013, subjekt, ki poroča, navede „da“.</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Če organ za reševanje ne dovoli, da se obveznosti štejejo za instrumente kvalificiranih obveznosti v skladu s členom 72b(4) Uredbe (EU) št. 575/2013, subjekt ali skupina v postopku reševanja navede „ne“.</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Ker se izvzetji iz člena 72b(3) in (4) Uredbe (EU) št. 575/2013 medsebojno izključujeta, se ta vrstica pusti prazna, če je subjekt, ki poroča, izpolnil vrstico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Skupni znesek dovoljenih instrumentov nepodrejenih kvalificiranih obveznosti, če se uporabi presoja glede podrejenosti v skladu s členom 72b(3) Uredbe (EU) št. 575/2013 (izvzetje do največ 3,5 %)</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To vrstico razkrijejo samo subjekti, za katere velja zahteva glede kapitala in kvalificiranih obveznosti za GSPI.</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Skupni znesek instrumentov nepodrejenih kvalificiranih obveznosti, za katere je organ za reševanje dovolil, da se štejejo za instrumente kvalificiranih obveznosti za namene TLAC v skladu s členom 72b(3) Uredbe (EU) št.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Ker se izvzetji iz člena 72b(3) in (4) Uredbe (EU) št. 575/2013 medsebojno izključujeta, se ta vrstica pusti prazna, če je subjekt, ki poroča, v vrstici 6a navede „da“.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če se uporablja omejeno izvzetje iz podrejenosti v skladu s členom 72b(3) Uredbe (EU) št. 575/2013, znesek izdanega financiranja, ki je uvrščeno </w:t>
            </w:r>
            <w:r>
              <w:rPr>
                <w:rFonts w:ascii="Times New Roman" w:hAnsi="Times New Roman"/>
                <w:b/>
                <w:i/>
                <w:color w:val="000000" w:themeColor="text1"/>
                <w:sz w:val="24"/>
              </w:rPr>
              <w:t>pari passu</w:t>
            </w:r>
            <w:r>
              <w:rPr>
                <w:rFonts w:ascii="Times New Roman" w:hAnsi="Times New Roman"/>
                <w:b/>
                <w:color w:val="000000" w:themeColor="text1"/>
                <w:sz w:val="24"/>
              </w:rPr>
              <w:t xml:space="preserve"> izključenim obveznostim in se pripozna v vrstici 1, deljen z zneskom izdanega financiranja, ki je uvrščeno </w:t>
            </w:r>
            <w:r>
              <w:rPr>
                <w:rFonts w:ascii="Times New Roman" w:hAnsi="Times New Roman"/>
                <w:b/>
                <w:i/>
                <w:color w:val="000000" w:themeColor="text1"/>
                <w:sz w:val="24"/>
              </w:rPr>
              <w:t>pari passu</w:t>
            </w:r>
            <w:r>
              <w:rPr>
                <w:rFonts w:ascii="Times New Roman" w:hAnsi="Times New Roman"/>
                <w:b/>
                <w:color w:val="000000" w:themeColor="text1"/>
                <w:sz w:val="24"/>
              </w:rPr>
              <w:t xml:space="preserve"> izključenim obveznostim in bi se pripoznalo v vrstici 1, če se zgornja meja ne bi uporabila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To vrstico razkrijejo samo subjekti, za katere velja zahteva glede kapitala in kvalificiranih obveznosti za GSPI.</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Ta vrstica vsebuje informacijo za imetnike nadrejenega dolga, ki ga je izdal subjekt v postopku reševanja, o odstotku neizključenega nadrejenega dolga, ki se je obravnaval kot kvalificiran, tako da bodo lahko uporabili ureditev odbitkov iz člena 72e Uredbe (EU) št. 575/2013.</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Če se uporablja omejeno izvzetje iz podrejenosti iz člena 72b(3) Uredbe (EU) št. 575/2013, subjekti poročajo:</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 xml:space="preserve">(a) znesek izdanega financiranja, ki je uvrščeno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xml:space="preserve"> izključenim obveznostim iz člena 72a(2) Uredbe (EU) št. 575/2013 in je vključeno v znesek, ki se navede v vrstici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lastRenderedPageBreak/>
              <w:t xml:space="preserve">(b) deljen z zneskom izdanega financiranja, ki je uvrščeno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xml:space="preserve"> izključenim obveznostim iz člena 72a(2) Uredbe (EU) št. 575/2013 in bi se pripoznalo v vrstici 1, če se zgornja meja ne bi uporabila.</w:t>
            </w:r>
          </w:p>
        </w:tc>
      </w:tr>
      <w:tr w:rsidR="008B1AF1" w:rsidRPr="0008623B" w14:paraId="3397A407" w14:textId="77777777" w:rsidTr="00915305">
        <w:trPr>
          <w:trHeight w:val="316"/>
        </w:trPr>
        <w:tc>
          <w:tcPr>
            <w:tcW w:w="1384" w:type="dxa"/>
          </w:tcPr>
          <w:p w14:paraId="064B005C" w14:textId="65B49825" w:rsidR="008B1AF1" w:rsidRPr="0008623B" w:rsidDel="00CD7CA4" w:rsidRDefault="008B1AF1" w:rsidP="008B1AF1">
            <w:pPr>
              <w:autoSpaceDE w:val="0"/>
              <w:autoSpaceDN w:val="0"/>
              <w:adjustRightInd w:val="0"/>
              <w:rPr>
                <w:rFonts w:ascii="Times New Roman" w:hAnsi="Times New Roman" w:cs="Times New Roman"/>
                <w:color w:val="000000" w:themeColor="text1"/>
                <w:sz w:val="24"/>
                <w:szCs w:val="24"/>
                <w:lang w:val="en-GB"/>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Minimalna zahteva glede kapitala in kvalificiranih obveznosti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izražena kot odstotek TREA</w:t>
            </w:r>
          </w:p>
          <w:p w14:paraId="5D62407D" w14:textId="1D56CFCB" w:rsidR="006453C4" w:rsidRPr="0008623B" w:rsidRDefault="006453C4" w:rsidP="00D33D65">
            <w:pPr>
              <w:pStyle w:val="Fait"/>
            </w:pPr>
            <w:r>
              <w:rPr>
                <w:color w:val="000000" w:themeColor="text1"/>
              </w:rPr>
              <w:t>Minimalna zahteva glede kapitala in kvalificiranih obveznosti za subjekt, kot jo določi organ za reševanje v skladu s členom 45e Direktive 2014/59/EU, izražena kot odstotek zneska skupne izpostavljenosti tveganju, izračunan v skladu s členom 92(3) Uredbe (EU) št.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izražena kot odstotek TREA – od tega, ki mora biti izpolnjena s kapitalom ali podrejenimi obveznostmi</w:t>
            </w:r>
          </w:p>
          <w:p w14:paraId="33EFDD9D" w14:textId="00E44973" w:rsidR="008B1AF1" w:rsidRPr="0008623B" w:rsidRDefault="00D819D9" w:rsidP="00D33D65">
            <w:pPr>
              <w:rPr>
                <w:color w:val="000000" w:themeColor="text1"/>
                <w:szCs w:val="24"/>
              </w:rPr>
            </w:pPr>
            <w:r>
              <w:rPr>
                <w:rStyle w:val="FormatvorlageInstructionsTabelleText"/>
                <w:rFonts w:ascii="Times New Roman" w:hAnsi="Times New Roman"/>
                <w:sz w:val="24"/>
              </w:rPr>
              <w:t>Kjer je relevantno, del MREL, za katerega je v skladu s členom 45b, odstavki 4 do 8, Direktive 2014/59/EU organ za reševanje zahteval, da se izpolni s kapitalom, podrejenimi kvalificiranimi instrumenti ali obveznostmi iz odstavka 3 navedenega člena, izražen kot odstotek zneska skupne izpostavljenosti tveganju, izračunan v skladu s členom 92(3) Uredbe (EU) št.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izražena kot odstotek TEM</w:t>
            </w:r>
          </w:p>
          <w:p w14:paraId="7ABED549" w14:textId="5EF36813" w:rsidR="006453C4" w:rsidRPr="0008623B" w:rsidRDefault="006453C4" w:rsidP="00717DB0">
            <w:pPr>
              <w:pStyle w:val="Fait"/>
            </w:pPr>
            <w:r>
              <w:t>Minimalna zahteva glede kapitala in kvalificiranih obveznosti za subjekt, ki poroča, kot jo določi organ za reševanje v skladu s členom 45e Direktive 2014/59/EU, izražena kot odstotek mere skupne izpostavljenosti, izračunane v skladu s členom 429(4) in členom 429a Uredbe (EU) št.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izražena kot odstotek TEM – od tega, ki mora biti izpolnjena s kapitalom ali podrejenimi obveznostmi</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Kjer je relevantno, del MREL, za katerega je v skladu s členom 45b, odstavki 4 do 8, Direktive 2014/59/EU organ za reševanje zahteval, da se izpolni s kapitalom, podrejenimi kvalificiranimi instrumenti ali obveznostmi iz odstavka 3 navedenega člena, izražen kot odstotek mere skupne izpostavljenosti, izračunan v skladu s členom 429(4) in členom 429a Uredbe (EU) št. 575/2013.</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tab/>
      </w:r>
      <w:bookmarkStart w:id="186" w:name="_Toc14770783"/>
      <w:bookmarkStart w:id="187" w:name="_Toc45266927"/>
      <w:r>
        <w:rPr>
          <w:rFonts w:ascii="Times New Roman" w:hAnsi="Times New Roman"/>
          <w:color w:val="auto"/>
          <w:sz w:val="24"/>
        </w:rPr>
        <w:t>EU TLAC 1: Sestava – MREL in, kjer je relevantno, zahteva glede kapitala in kvalificiranih obveznosti za GSPI</w:t>
      </w:r>
      <w:bookmarkEnd w:id="186"/>
      <w:bookmarkEnd w:id="187"/>
    </w:p>
    <w:p w14:paraId="5FDEB8AD" w14:textId="17A1952C" w:rsidR="00021E4F" w:rsidRPr="0008623B" w:rsidRDefault="00021E4F" w:rsidP="00B62DC9">
      <w:pPr>
        <w:pStyle w:val="InstructionsText2"/>
        <w:numPr>
          <w:ilvl w:val="0"/>
          <w:numId w:val="12"/>
        </w:numPr>
      </w:pPr>
      <w:r>
        <w:t xml:space="preserve">Pozicija v kapitalu in kvalificiranih obveznostih v zvezi s skupino v postopku reševanja vključuje samo kapitalske instrumente in kvalificirane obveznosti, ki jih izdajo subjekt v postopku reševanja in, če je v skladu s členom 45b(3) Direktive 2014/59/EU ali členom 88a Uredbe (EU) št. 575/2013, kot je ustrezno, podrejene družbe subjekta v postopku reševanja, pri čemer se izključijo subjekti zunaj skupine v postopku reševanja. Podobno pozicija v kapitalu in kvalificiranih </w:t>
      </w:r>
      <w:r>
        <w:lastRenderedPageBreak/>
        <w:t>obveznostih temelji na znesku skupne izpostavljenosti tveganju (prilagojenem, kot je dovoljeno v skladu s členom 45h(2) Direktive 2014/59/EU) in meri skupne izpostavljenosti, izračunani na ravni skupine v postopku reševanja.</w:t>
      </w:r>
    </w:p>
    <w:p w14:paraId="31AA4E2B" w14:textId="5FF6ED9D" w:rsidR="00B00CC4" w:rsidRPr="0008623B" w:rsidRDefault="00021E4F" w:rsidP="00B62DC9">
      <w:pPr>
        <w:pStyle w:val="InstructionsText2"/>
        <w:numPr>
          <w:ilvl w:val="0"/>
          <w:numId w:val="12"/>
        </w:numPr>
      </w:pPr>
      <w:r>
        <w:t>Kar zadeva regulativne prilagoditve, subjekti razkrijejo odbitke od kapitala in kvalificiranih obveznosti kot negativne številke, pribitke h kapitalu in kvalificiranim obveznostim pa kot pozitivne številke.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Stolpci</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Pravna podlaga in navodila</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Subjekti v tem stolpcu razkrijejo relevantne informacije o MREL v skladu s členoma 45 in 45e Direktive 2014/59/EU.</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Subjekti, ki so GSPI, za katere se uporablja zahteva TLAC v skladu s členom 92a Uredbe (EU) št. 575/2013, v tem stolpcu razkrijejo relevantne informacije v zvezi s to zahtevo.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Ta stolpec izpolnijo samo subjekti, za katere se uporablja zahteva TLAC.</w:t>
            </w:r>
            <w:r>
              <w:t xml:space="preserve"> </w:t>
            </w:r>
          </w:p>
          <w:p w14:paraId="1B6D4BC4" w14:textId="410E4195" w:rsidR="00807127" w:rsidRPr="0008623B" w:rsidRDefault="00807127" w:rsidP="00B62DC9">
            <w:pPr>
              <w:pStyle w:val="InstructionsText"/>
            </w:pPr>
            <w:r>
              <w:t>Ta stolpec odraža razliko med zneski, ki se uporabljajo v okviru zahteve iz člena 45 Direktive 2014/59/EU, in zneski, ki se uporabljajo v okviru zahteve iz člena 92a Uredbe (EU) št. 575/2013.</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Vrstica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Pravna podlaga in navodila</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Navadni lastniški temeljni kapital</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Navadni lastniški temeljni kapital skupine v postopku reševanja, izračunan v skladu s členom 50 Uredbe (EU) št.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Dodatni temeljni kapital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Dodatni temeljni kapital skupine v postopku reševanja, izračunan v skladu s členom 61 Uredbe (EU) št. 575/2013.</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V primeru MREL se instrumenti, ki jih ureja pravo tretje države, vključijo v to vrstico samo, če izpolnjujejo zahteve iz člena 55 Direktive 2014/59/EU.</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Dodatni kapital</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Dodatni kapital skupine v postopku reševanja, izračunan v skladu s členom 71 Uredbe (EU) št. 575/2013.</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V primeru MREL se instrumenti, ki jih ureja pravo tretje države, vključijo v to vrstico samo, če izpolnjujejo zahteve iz člena 55 Direktive 2014/59/EU.</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Kapital za namene člena 92a Uredbe (EU) št. 575/2013 in člena 45 Direktive 2014/59/EU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Kapital za namene člena 92a Uredbe (EU) št. 575/2013 in člena 45 Direktive 2014/59/EU se izračuna kot seštevek vrstic 1, 2 in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Instrumenti kvalificiranih obveznosti, ki jih izda neposredno subjekt v postopku reševanja, ki so podrejeni izključenim obveznostim (za katere se ne uporabljajo predhodno veljavna pravila)</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Kvalificirane obveznosti</w:t>
            </w:r>
            <w:r>
              <w:rPr>
                <w:rStyle w:val="FormatvorlageInstructionsTabelleText"/>
                <w:rFonts w:ascii="Times New Roman" w:hAnsi="Times New Roman"/>
                <w:sz w:val="24"/>
              </w:rPr>
              <w:t>, vključene v znesek kapitala in kvalificiranih obveznosti v skladu s členom 45b Direktive 2014/59/EU, ki so podrejeni kvalificirani instrumenti, kot so opredeljeni v členu 2(1), točka 71b, Direktive 2014/59/EU, in ki jih izda neposredno subjekt v postopku reševanja.</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Kvalificirane obveznosti, ki izpolnjujejo vse zahteve iz členov 72a do 72d Uredbe (EU) št. 575/2013, pri čemer se izključijo obveznosti, ki jih je dovoljeno šteti za instrumente kvalificiranih obveznosti v skladu s členom 72b(3) ali (4) navedene uredbe, in ki jih izda neposredno subjekt v postopku reševanja.</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Ta vrstica ne vključuje amortiziranega dela instrumentov dodatnega kapitala s preostalo zapadlostjo več kot enega leta (člen 72a(1), točka (b), Uredbe (EU) št. 575/2013) in kvalificiranih obveznosti, za katere se uporabljajo predhodno veljavna pravila v skladu s členom 494b Uredbe (EU) št. 575/2013.</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Instrumenti kvalificiranih obveznosti, ki jih izdajo drugi subjekti skupine v postopku reševanja, ki so podrejeni izključenim obveznostim (za katere se ne uporabljajo predhodno veljavna pravila)</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vključene v znesek kapitala in kvalificiranih obveznosti v skladu s členom 45b Direktive 2014/59/EU, ki jih izdajo podrejene družbe in so vključene v MREL v skladu s členom 45b(3) navedene direktive.</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Kvalificirane obveznosti, ki izpolnjujejo vse zahteve iz členov 72a do 72d Uredbe (EU) št. 575/2013, pri čemer se izključijo obveznosti, ki jih je dovoljeno šteti za instrumente kvalificiranih obveznosti v skladu s členom 72b(3) ali (4) navedene uredbe, ki jih izdajo podrejene družbe in ki izpolnjujejo pogoje za vključitev v instrumente konsolidiranih kvalificiranih obveznosti subjekta v skladu s členom 88a Uredbe (EU) št. 575/2013.</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Ta vrstica ne vključuje amortiziranega dela instrumentov dodatnega kapitala s preostalo zapadlostjo več kot enega leta (člen 72a(1), točka (b), Uredbe (EU) št. 575/2013) in kvalificiranih obveznosti, za katere se uporabljajo predhodno veljavna pravila v skladu s členom 494b Uredbe (EU) št. 575/2013.</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Instrumenti kvalificiranih obveznosti, ki so podrejeni izključenim obveznostim, izdani pred 27. junijem 2019 (podrejeni in za katere se uporabljajo predhodno veljavna pravila)</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Kvalificirane obveznosti, ki izpolnjujejo naslednje pogoje:</w:t>
            </w:r>
          </w:p>
          <w:p w14:paraId="13FE6179" w14:textId="7E1CDD80" w:rsidR="00BD6570" w:rsidRPr="0008623B" w:rsidRDefault="00BD6570" w:rsidP="004B5E57">
            <w:pPr>
              <w:pStyle w:val="InstructionsText"/>
              <w:numPr>
                <w:ilvl w:val="0"/>
                <w:numId w:val="32"/>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izdane so bile pred 27. junijem 2019;</w:t>
            </w:r>
          </w:p>
          <w:p w14:paraId="20EE0D1D" w14:textId="2261ECA3" w:rsidR="00BD6570" w:rsidRPr="0008623B" w:rsidRDefault="00BD6570" w:rsidP="004B5E57">
            <w:pPr>
              <w:pStyle w:val="InstructionsText"/>
              <w:numPr>
                <w:ilvl w:val="0"/>
                <w:numId w:val="32"/>
              </w:numPr>
              <w:rPr>
                <w:rStyle w:val="FormatvorlageInstructionsTabelleText"/>
                <w:rFonts w:ascii="Times New Roman" w:hAnsi="Times New Roman"/>
                <w:sz w:val="24"/>
              </w:rPr>
            </w:pPr>
            <w:r>
              <w:rPr>
                <w:rStyle w:val="InstructionsTabelleberschrift"/>
                <w:rFonts w:ascii="Times New Roman" w:hAnsi="Times New Roman"/>
                <w:b w:val="0"/>
                <w:sz w:val="24"/>
                <w:u w:val="none"/>
              </w:rPr>
              <w:t>so podrejeni</w:t>
            </w:r>
            <w:r>
              <w:rPr>
                <w:rStyle w:val="FormatvorlageInstructionsTabelleText"/>
                <w:rFonts w:ascii="Times New Roman" w:hAnsi="Times New Roman"/>
                <w:sz w:val="24"/>
              </w:rPr>
              <w:t xml:space="preserve"> kvalificirani instrumenti, kot so opredeljeni členu 2(1), točka 71b, Direktive 2014/59/EU; </w:t>
            </w:r>
          </w:p>
          <w:p w14:paraId="6779E72D" w14:textId="44987C71" w:rsidR="00BD6570" w:rsidRPr="0008623B" w:rsidRDefault="00BD6570" w:rsidP="004B5E57">
            <w:pPr>
              <w:pStyle w:val="InstructionsText"/>
              <w:numPr>
                <w:ilvl w:val="0"/>
                <w:numId w:val="32"/>
              </w:numPr>
              <w:rPr>
                <w:rStyle w:val="FormatvorlageInstructionsTabelleText"/>
                <w:rFonts w:ascii="Times New Roman" w:hAnsi="Times New Roman"/>
                <w:sz w:val="24"/>
              </w:rPr>
            </w:pPr>
            <w:r>
              <w:rPr>
                <w:rStyle w:val="FormatvorlageInstructionsTabelleText"/>
                <w:rFonts w:ascii="Times New Roman" w:hAnsi="Times New Roman"/>
                <w:sz w:val="24"/>
              </w:rPr>
              <w:t>vključene</w:t>
            </w:r>
            <w:r>
              <w:rPr>
                <w:rStyle w:val="InstructionsTabelleberschrift"/>
                <w:rFonts w:ascii="Times New Roman" w:hAnsi="Times New Roman"/>
                <w:b w:val="0"/>
                <w:sz w:val="24"/>
                <w:u w:val="none"/>
              </w:rPr>
              <w:t xml:space="preserve"> so</w:t>
            </w:r>
            <w:r>
              <w:rPr>
                <w:rStyle w:val="FormatvorlageInstructionsTabelleText"/>
                <w:rFonts w:ascii="Times New Roman" w:hAnsi="Times New Roman"/>
                <w:sz w:val="24"/>
              </w:rPr>
              <w:t xml:space="preserve"> v kapital in kvalificirane obveznosti zaradi uporabe člena 494b(3) Uredbe (EU) št. 575/2013.</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Obveznosti, ki izpolnjujejo naslednje pogoje:</w:t>
            </w:r>
          </w:p>
          <w:p w14:paraId="62E0491E" w14:textId="7B8C3AD6" w:rsidR="00BD6570" w:rsidRPr="0008623B" w:rsidRDefault="00BD6570" w:rsidP="004B5E57">
            <w:pPr>
              <w:pStyle w:val="InstructionsText"/>
              <w:numPr>
                <w:ilvl w:val="0"/>
                <w:numId w:val="33"/>
              </w:numPr>
              <w:rPr>
                <w:rStyle w:val="FormatvorlageInstructionsTabelleText"/>
                <w:rFonts w:ascii="Times New Roman" w:hAnsi="Times New Roman"/>
                <w:b/>
                <w:sz w:val="24"/>
              </w:rPr>
            </w:pPr>
            <w:r>
              <w:rPr>
                <w:rStyle w:val="FormatvorlageInstructionsTabelleText"/>
                <w:rFonts w:ascii="Times New Roman" w:hAnsi="Times New Roman"/>
                <w:sz w:val="24"/>
              </w:rPr>
              <w:t>izdane so bile pred 27. junijem 2019;</w:t>
            </w:r>
          </w:p>
          <w:p w14:paraId="5161FB69" w14:textId="33B28B47" w:rsidR="00BD6570" w:rsidRPr="0008623B" w:rsidRDefault="00BD6570" w:rsidP="004B5E57">
            <w:pPr>
              <w:pStyle w:val="InstructionsText"/>
              <w:numPr>
                <w:ilvl w:val="0"/>
                <w:numId w:val="33"/>
              </w:numPr>
              <w:rPr>
                <w:rStyle w:val="FormatvorlageInstructionsTabelleText"/>
                <w:rFonts w:ascii="Times New Roman" w:hAnsi="Times New Roman"/>
                <w:b/>
                <w:sz w:val="24"/>
              </w:rPr>
            </w:pPr>
            <w:r>
              <w:rPr>
                <w:rStyle w:val="FormatvorlageInstructionsTabelleText"/>
                <w:rFonts w:ascii="Times New Roman" w:hAnsi="Times New Roman"/>
                <w:sz w:val="24"/>
              </w:rPr>
              <w:t>skladne so s členom 72b(2), točka (d), Uredbe (EU) št. 575/2013;</w:t>
            </w:r>
          </w:p>
          <w:p w14:paraId="796E2BAA" w14:textId="102908EC" w:rsidR="00922937" w:rsidRPr="0008623B" w:rsidRDefault="00BD6570" w:rsidP="004B5E57">
            <w:pPr>
              <w:pStyle w:val="ListParagraph"/>
              <w:numPr>
                <w:ilvl w:val="0"/>
                <w:numId w:val="33"/>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štejejo se lahko za kvalificirane obveznosti zaradi uporabe predhodno veljavnih pravil iz člena 494b(3) Uredbe (EU) št.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Instrumenti dodatnega kapitala s preostalo zapadlostjo najmanj enega leta, v obsegu, v katerem se ne štejejo za postavke dodatnega kapitala</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Amortizirani del instrumentov dodatnega kapitala s preostalo zapadlostjo več kot enega leta (člen 72a(1), točka (b), Uredbe (EU) št. 575/2013).</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V tej vrstici se navede samo znesek, ki ni pripoznan v kapitalu, vendar izpolnjuje vsa merila primernosti iz člena 72b Uredbe (EU) št. 575/2013.</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V primeru MREL se instrumenti, ki jih ureja pravo tretje države, vključijo v to vrstico samo, če izpolnjujejo zahteve iz člena 55 Direktive 2014/59/EU.</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Kvalificirane obveznosti, ki niso podrejene izključenim obveznostim (za katere se ne uporabljajo predhodno veljavna pravila, pred uporabo zgornje meje)</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Obveznosti, ki izpolnjujejo pogoje iz člena 45b Direktive 2014/59/EU in ki niso v celoti podrejene terjatvam, ki izhajajo iz izključenih obveznosti iz člena 72a(2) Uredbe (EU) št. 575/2013.</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zahteve iz členov 72a do 72d</w:t>
            </w:r>
            <w:r>
              <w:rPr>
                <w:color w:val="000000" w:themeColor="text1"/>
              </w:rPr>
              <w:t xml:space="preserve"> Uredbe (EU) št. 575/2013, razen člena 72b(2), točka (d), navedene uredbe, in ki bi jih bilo dovoljeno šteti za instrumente kvalificiranih obveznosti v skladu s členom 72b(3) navedene uredbe ali jih je dovoljeno šteti za instrumente</w:t>
            </w:r>
            <w:r>
              <w:rPr>
                <w:rStyle w:val="FormatvorlageInstructionsTabelleText"/>
                <w:rFonts w:ascii="Times New Roman" w:hAnsi="Times New Roman"/>
                <w:sz w:val="24"/>
              </w:rPr>
              <w:t xml:space="preserve"> kvalificiranih obveznosti v skladu s členom 72b(4) navedene uredbe.</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Če se uporablja člen 72b(3) Uredbe (EU) št. 575/2013 ali člen 494(2) Uredbe (EU) št. 575/2013, se v tej vrstici razkrije polni znesek brez uporabe zgornje meje 3,5 % oziroma 2,5 %.</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Ta vrstica ne vključuje nobenih zneskov, ki se lahko pripoznajo na prehodni podlagi v skladu s členom 494b(3) Uredbe (EU) št. 575/2013.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Kvalificirane obveznosti, ki niso podrejene izključenim obveznostim, izdane pred 27. junijem 2019 (pred uporabo zgornje meje)</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Kvalificirane obveznosti, ki izpolnjujejo naslednje pogoje:</w:t>
            </w:r>
          </w:p>
          <w:p w14:paraId="72C8F1AF" w14:textId="72479061" w:rsidR="009B2422" w:rsidRPr="0008623B" w:rsidRDefault="009B2422" w:rsidP="004B5E57">
            <w:pPr>
              <w:pStyle w:val="ListParagraph"/>
              <w:numPr>
                <w:ilvl w:val="0"/>
                <w:numId w:val="34"/>
              </w:numPr>
              <w:rPr>
                <w:rFonts w:ascii="Times New Roman" w:hAnsi="Times New Roman" w:cs="Times New Roman"/>
                <w:noProof/>
                <w:color w:val="000000" w:themeColor="text1"/>
                <w:sz w:val="24"/>
                <w:szCs w:val="24"/>
              </w:rPr>
            </w:pPr>
            <w:r>
              <w:rPr>
                <w:rFonts w:ascii="Times New Roman" w:hAnsi="Times New Roman"/>
                <w:color w:val="000000" w:themeColor="text1"/>
                <w:sz w:val="24"/>
              </w:rPr>
              <w:t>izdane so bile pred 27. junijem 2019;</w:t>
            </w:r>
          </w:p>
          <w:p w14:paraId="21ECB5FF" w14:textId="573F7AE6" w:rsidR="009B2422" w:rsidRPr="0008623B" w:rsidRDefault="009B2422" w:rsidP="004B5E57">
            <w:pPr>
              <w:pStyle w:val="ListParagraph"/>
              <w:numPr>
                <w:ilvl w:val="0"/>
                <w:numId w:val="34"/>
              </w:numPr>
              <w:rPr>
                <w:rFonts w:ascii="Times New Roman" w:hAnsi="Times New Roman" w:cs="Times New Roman"/>
                <w:noProof/>
                <w:color w:val="000000" w:themeColor="text1"/>
                <w:sz w:val="24"/>
                <w:szCs w:val="24"/>
              </w:rPr>
            </w:pPr>
            <w:r>
              <w:rPr>
                <w:rFonts w:ascii="Times New Roman" w:hAnsi="Times New Roman"/>
                <w:color w:val="000000" w:themeColor="text1"/>
                <w:sz w:val="24"/>
              </w:rPr>
              <w:t>izpolnjujejo pogoje iz člena 45b Direktive 2014/59/EU in niso v celoti podrejene terjatvam, ki izhajajo iz izključenih obveznosti iz člena 72a(2) Uredbe (EU) št. 575/2013;</w:t>
            </w:r>
          </w:p>
          <w:p w14:paraId="110EAF03" w14:textId="67157606" w:rsidR="009B2422" w:rsidRPr="0008623B" w:rsidRDefault="009B2422" w:rsidP="004B5E57">
            <w:pPr>
              <w:pStyle w:val="ListParagraph"/>
              <w:numPr>
                <w:ilvl w:val="0"/>
                <w:numId w:val="34"/>
              </w:numPr>
              <w:rPr>
                <w:rFonts w:ascii="Times New Roman" w:hAnsi="Times New Roman" w:cs="Times New Roman"/>
                <w:noProof/>
                <w:color w:val="000000" w:themeColor="text1"/>
                <w:sz w:val="24"/>
                <w:szCs w:val="24"/>
              </w:rPr>
            </w:pPr>
            <w:r>
              <w:rPr>
                <w:rFonts w:ascii="Times New Roman" w:hAnsi="Times New Roman"/>
                <w:color w:val="000000" w:themeColor="text1"/>
                <w:sz w:val="24"/>
              </w:rPr>
              <w:t>štejejo se lahko za kvalificirane obveznosti zaradi uporabe predhodno veljavnih pravil iz člena 494b(3) Uredbe (EU) št. 575/2013.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Kvalificirane obveznosti, ki izpolnjujejo naslednje pogoje:</w:t>
            </w:r>
          </w:p>
          <w:p w14:paraId="318C85C9" w14:textId="7DED1DBB" w:rsidR="009B2422" w:rsidRPr="0008623B" w:rsidRDefault="009B2422" w:rsidP="004B5E57">
            <w:pPr>
              <w:pStyle w:val="ListParagraph"/>
              <w:numPr>
                <w:ilvl w:val="0"/>
                <w:numId w:val="35"/>
              </w:numPr>
              <w:rPr>
                <w:rFonts w:ascii="Times New Roman" w:hAnsi="Times New Roman" w:cs="Times New Roman"/>
                <w:noProof/>
                <w:color w:val="000000" w:themeColor="text1"/>
                <w:sz w:val="24"/>
                <w:szCs w:val="24"/>
              </w:rPr>
            </w:pPr>
            <w:r>
              <w:rPr>
                <w:rFonts w:ascii="Times New Roman" w:hAnsi="Times New Roman"/>
                <w:color w:val="000000" w:themeColor="text1"/>
                <w:sz w:val="24"/>
              </w:rPr>
              <w:t>izdane so bile pred 27. junijem 2019;</w:t>
            </w:r>
          </w:p>
          <w:p w14:paraId="76F54B6E" w14:textId="0FE12834" w:rsidR="009B2422" w:rsidRPr="0008623B" w:rsidRDefault="009B2422" w:rsidP="004B5E57">
            <w:pPr>
              <w:pStyle w:val="ListParagraph"/>
              <w:numPr>
                <w:ilvl w:val="0"/>
                <w:numId w:val="35"/>
              </w:numPr>
              <w:rPr>
                <w:rFonts w:ascii="Times New Roman" w:hAnsi="Times New Roman" w:cs="Times New Roman"/>
                <w:noProof/>
                <w:color w:val="000000" w:themeColor="text1"/>
                <w:sz w:val="24"/>
                <w:szCs w:val="24"/>
              </w:rPr>
            </w:pPr>
            <w:r>
              <w:rPr>
                <w:rFonts w:ascii="Times New Roman" w:hAnsi="Times New Roman"/>
                <w:color w:val="000000" w:themeColor="text1"/>
                <w:sz w:val="24"/>
              </w:rPr>
              <w:t>izpolnjujejo zahteve iz členov 72a do 72d Uredbe (EU) št. 575/2013, razen člena 72b(2), točka (d), navedene uredbe</w:t>
            </w:r>
            <w:r>
              <w:rPr>
                <w:rStyle w:val="FormatvorlageInstructionsTabelleText"/>
                <w:rFonts w:ascii="Times New Roman" w:hAnsi="Times New Roman"/>
                <w:sz w:val="24"/>
              </w:rPr>
              <w:t>, in bi jih bilo dovoljeno šteti za instrumente kvalificiranih obveznosti v skladu s členom 72b(3) navedene uredbe ali jih je dovoljeno šteti za instrumente kvalificiranih obveznosti v skladu s členom 72b(4) Uredbe (EU) št. 575/2013;</w:t>
            </w:r>
          </w:p>
          <w:p w14:paraId="2DB1E71A" w14:textId="66F98C46" w:rsidR="003312F4" w:rsidRPr="0008623B" w:rsidRDefault="009B2422" w:rsidP="004B5E57">
            <w:pPr>
              <w:pStyle w:val="ListParagraph"/>
              <w:numPr>
                <w:ilvl w:val="0"/>
                <w:numId w:val="35"/>
              </w:numPr>
              <w:rPr>
                <w:rFonts w:ascii="Times New Roman" w:hAnsi="Times New Roman" w:cs="Times New Roman"/>
                <w:noProof/>
                <w:color w:val="000000" w:themeColor="text1"/>
                <w:sz w:val="24"/>
                <w:szCs w:val="24"/>
              </w:rPr>
            </w:pPr>
            <w:r>
              <w:rPr>
                <w:rFonts w:ascii="Times New Roman" w:hAnsi="Times New Roman"/>
                <w:color w:val="000000" w:themeColor="text1"/>
                <w:sz w:val="24"/>
              </w:rPr>
              <w:t>štejejo se lahko za kvalificirane obveznosti zaradi uporabe predhodno veljavnih pravil iz člena 494b(3) Uredbe (EU) št. 575/2013.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Če se uporablja člen 72b(3) Uredbe (EU) št. 575/2013 ali člen 494(2) Uredbe (EU) št. 575/2013, se v tej vrstici poroča polni znesek brez uporabe zgornje meje 3,5 % oziroma 2,5 %.</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Znesek instrumentov nepodrejenih kvalificiranih obveznosti, kjer je relevantno po uporabi člena 72b(3) Uredbe (EU) št.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Ta vrstica je enaka vsoti vrstic 13 in EU-13a.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Če se uporabi člen 72b(3) Uredbe (EU) št. 575/2013, ta vrstica prikazuje vsoto zneskov, razkritih v vrsticah 13 in 13a zgoraj, po uporabi člena 72b(3) oziroma člena 494(2) navedene uredbe.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Če se člen 72b(3) Uredbe (EU) št. 575/2013 ne uporabi, vendar ima subjekt koristi od uporabe člena 72b(49 Uredbe (EU) št. 575/2013, je ta vrstica enaka vsoti vrstic 13 in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Postavke kvalificiranih obveznosti pred prilagoditvami</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Postavke kvalificiranih obveznosti pred prilagoditvami. Izračunajo se kot vsota vrstic 12, EU-12a, EU-12b, EU-12c in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Postavke kvalificiranih obveznosti pred prilagoditvami – od tega postavke podrejenih obveznosti</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Style w:val="InstructionsTabelleberschrift"/>
                <w:rFonts w:ascii="Times New Roman" w:hAnsi="Times New Roman"/>
                <w:b w:val="0"/>
                <w:sz w:val="24"/>
                <w:u w:val="none"/>
              </w:rPr>
              <w:t>Kvalificirane obveznosti, vključene v znesek kapitala in kvalificiranih obveznosti</w:t>
            </w:r>
            <w:r>
              <w:rPr>
                <w:rStyle w:val="FormatvorlageInstructionsTabelleText"/>
                <w:rFonts w:ascii="Times New Roman" w:hAnsi="Times New Roman"/>
                <w:sz w:val="24"/>
              </w:rPr>
              <w:t xml:space="preserve"> v skladu s členom 45b Direktive 2014/59/EU, ki so podrejeni kvalificirani instrumenti, kot so opredeljeni v členu 2(1), točka 71b, navedene direktive, in obveznosti, ki jih izdajo podrejene družbe, vključene v MREL v skladu s členom 45b(3) navedene direktive.</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Kvalificirane obveznosti, ki izpolnjujejo vse zahteve iz členov 72a do 72d Uredbe (EU) št. 575/2013, pri čemer se izključijo obveznosti, ki jih je dovoljeno šteti za instrumente kvalificiranih obveznosti v skladu s členom 72b(3) ali (4) navedene uredbe.</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Ta vrstica vključuje podrejene obveznosti, ki se kvalificirajo zaradi uporabe predhodno veljavnih pravil v skladu s členom 494b Uredbe (EU) št. 575/2013, in amortizirani del instrumentov dodatnega kapitala s preostalo zapadlostjo več kot enega leta (člen 72a(1), točka (b), Uredbe (EU) št. 575/2013).</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lastRenderedPageBreak/>
              <w:t>Izračunajo se kot vsota vrstic 12, EU-12a, EU-12b in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Postavke kapitala in kvalificiranih obveznosti pred prilagoditvami</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Postavke kapitala in kvalificiranih obveznosti pred prilagoditvami. Izračunajo se kot vsota vrstic 11 in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(Odbitek izpostavljenosti med skupinami v postopku reševanja z več vstopnimi točkami)</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Negativni znesek.</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Odbitki izpostavljenosti med skupinami GSPI v postopku reševanja z več vstopnimi točkami, ki ustrezajo neposrednim, posrednim in sintetičnim deležem v kapitalskih instrumentih ali instrumentih kvalificiranih obveznosti ene ali več podrejenih družb, ki ne spadajo v isto skupino v postopku reševanja kot subjekt v postopku reševanja, v skladu s členom 72e(4) Uredbe (EU) št.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(Odbitek naložb v druge instrumente kvalificiranih obveznosti)</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Negativni znesek.</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Odbitki naložb v druge instrumente kvalificiranih obveznosti v skladu s členom 72e(1), (2) in (3) in členi 72f do 72j Uredbe (EU) št. 575/2013. Znesek, ki se odbije od postavk kvalificiranih obveznosti v skladu z delom 2, naslov I, poglavje 5a, oddelek 2, Uredbe (EU) št. 575/2013.</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in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Ta vrstica vključuje tudi zneske, ki jih zajema dovoljenje za odpoklic, odkup, odplačilo ali izplačilo instrumentov kvalificiranih obveznosti v skladu s členom 78a Uredbe (EU) št. 575/2013 v obsegu, v katerem subjekt, ki razkriva, še ni porabil tega zneska za odpoklic, odkup, odplačilo ali izplačilo instrumentov.</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 in kvalificirane obveznosti po prilagoditvah</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Kapital in kvalificirane obveznosti, kot so opredeljeni v členu 72l Uredbe (EU) št. 575/2013. Izračunajo se kot vsota vrstic 18, 19 in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 pri MREL, se razkrije kot vsota:</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kapitala iz člena 4(1), točka 118, in člena 72 Uredbe (EU) št. 575/2013;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lastRenderedPageBreak/>
              <w:t>kvalificiranih obveznosti, kot so opredeljene členu 2(1), točka 71a, Direktive 2014/59/EU.</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V primeru instrumentov, ki jih ureja pravo tretje države, se instrument vključi v to vrstico samo, če izpolnjuje zahteve iz člena 55 Direktive 2014/59/EU.</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Znesek kapitala in kvalificiranih obveznosti, ki se upošteva pri TLAC, je znesek iz člena 72l Uredbe (EU) št. 575/2013, sestavljen iz:</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kapitala iz člena 4(1), točka 118, in člena 72 Uredbe (EU) št.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kvalificiranih obveznosti iz člena 72k Uredbe (EU) št.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Od tega kapital in podrejene obveznosti</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color w:val="000000" w:themeColor="text1"/>
                <w:sz w:val="24"/>
              </w:rPr>
              <w:t>Kapital in kvalificirane obveznosti</w:t>
            </w:r>
            <w:r>
              <w:rPr>
                <w:rStyle w:val="InstructionsTabelleberschrift"/>
                <w:rFonts w:ascii="Times New Roman" w:hAnsi="Times New Roman"/>
                <w:b w:val="0"/>
                <w:sz w:val="24"/>
                <w:u w:val="none"/>
              </w:rPr>
              <w:t>, vključene v</w:t>
            </w:r>
            <w:r>
              <w:rPr>
                <w:rStyle w:val="FormatvorlageInstructionsTabelleText"/>
                <w:rFonts w:ascii="Times New Roman" w:hAnsi="Times New Roman"/>
                <w:sz w:val="24"/>
              </w:rPr>
              <w:t xml:space="preserve"> znesek kapitala in kvalificiranih obveznosti v skladu s členom 45b Direktive 2014/59/EU, ki so podrejeni kvalificirani instrumenti, kot so opredeljeni v členu 2(1), točka 71b, navedene direktive, in obveznosti, vključene v znesek kapitala in kvalificiranih obveznosti v skladu s členom 45b(3) Direktive 2014/59/EU.</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Znesek skupne izpostavljenosti tveganju (TREA)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Znesek skupne izpostavljenosti tveganju skupine v postopku reševanja v skladu s členom 18(1), drugi pododstavek, Uredbe (EU) št.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Znesek skupne izpostavljenosti tveganju, ki se razkrije v tej vrstici, je znesek skupne izpostavljenosti tveganju, ki je podlaga za izpolnjevanje zahtev iz člena 45 Direktive 2014/59/EU ali člena 92a Uredbe (EU) št. 575/2013, kot je ustrezno.</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Mera skupne izpostavljenosti (TEM)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Mera skupne izpostavljenosti v skladu s členom 45(2)(b) Direktive 2014/59/EU, izračunana v skladu s členom 429(4) in členom 429a Uredbe (EU) št. 575/2013.</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Mera skupne izpostavljenosti, ki se poroča v tej vrstici, je mera skupne izpostavljenosti, ki je podlaga za izpolnjevanje zahtev iz člena 45 Direktive 2014/59/EU ali člena 92a Uredbe (EU) št. 575/2013, kot je ustrezno.</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 in kvalificirane obveznosti kot odstotek TREA</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Za namene te vrstice se v skladu s členom 45(2), točka (a), Direktive 2014/59/EU in členom 92 Uredbe (EU) št. 575/2013 znesek kapitala in kvalificiranih obveznosti, ki se upošteva pri MREL ali TLAC, kakor je ustrezno, izrazi kot odstotek zneska skupne izpostavljenosti tveganju, izračunanega v skladu s členom 92(3) Uredbe (EU) št. 575/2013.</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Izračuna se tako, da se vrstica 22 deli z vrstico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Od tega kapital in podrejene obveznosti</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Za namene te vrstice se znesek kapitala in podrejenih kvalificiranih obveznosti, ki se upošteva pri MREL, izrazi kot odstotek zneska skupne izpostavljenosti tveganju, izračunanega v skladu s členom 92(3) Uredbe (EU) št. 575/2013.</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Izračuna se tako, da se vrstica 22a deli z vrstico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 in kvalificirane obveznosti kot odstotek TEM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Za namene te vrstice se v skladu s členom 45(2), točka (b), Direktive 2014/59/EU in členom 92a Uredbe (EU) št. 575/2013 znesek kapitala in kvalificiranih obveznosti, ki se upošteva pri MREL ali TLAC, kakor je ustrezno, izrazi kot odstotek mere skupne izpostavljenosti, izračunane v skladu s členom 429(4) in členom 429a Uredbe (EU) št. 575/2013.</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Izračuna se tako, da se vrstica 22 deli z vrstico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Od tega kapital in podrejene obveznosti</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Za namene te vrstice se znesek kapitala in podrejenih kvalificiranih obveznosti, ki se upošteva pri MREL, izrazi kot odstotek mere skupne izpostavljenosti, izračunane v skladu s členom 429(4) in členom 429a Uredbe (EU) št. 575/2013.</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Izračuna se tako, da se vrstica 22a deli z vrstico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Navadni lastniški temeljni kapital (kot odstotek TREA), ki je na voljo po izpolnitvi zahtev skupine v postopku reševanja</w:t>
            </w:r>
          </w:p>
          <w:p w14:paraId="0227909F" w14:textId="1CB6809D" w:rsidR="00A47BCD" w:rsidRPr="0008623B" w:rsidRDefault="00A47BCD" w:rsidP="00B62DC9">
            <w:pPr>
              <w:pStyle w:val="InstructionsText"/>
              <w:rPr>
                <w:rFonts w:eastAsiaTheme="minorEastAsia"/>
              </w:rPr>
            </w:pPr>
            <w:r>
              <w:t>Znesek navadnega lastniškega temeljnega kapitala kot odstotek zneska skupne izpostavljenosti tveganju, enak nič ali pozitiven, ki je na voljo po izpolnitvi vsake od zahtev iz člena 141a(1), točke (a), (b) in (c), Direktive 2013/36/EU in je višji izmed naslednjega:</w:t>
            </w:r>
          </w:p>
          <w:p w14:paraId="42E3D4EA" w14:textId="2070C8C0" w:rsidR="00A47BCD" w:rsidRPr="0008623B" w:rsidRDefault="00A47BCD" w:rsidP="00B62DC9">
            <w:pPr>
              <w:pStyle w:val="InstructionsText"/>
              <w:rPr>
                <w:rFonts w:eastAsiaTheme="minorEastAsia"/>
              </w:rPr>
            </w:pPr>
            <w:r>
              <w:t xml:space="preserve">(a) kjer je relevantno, zahteve glede kapitala in kvalificiranih obveznosti za GSPI iz člena 92a Uredbe (EU) št. 575/2013, kadar se izračuna v skladu z odstavkom 1, točka (a), navedenega člena, in </w:t>
            </w:r>
          </w:p>
          <w:p w14:paraId="396BF4D8" w14:textId="21D22CB1" w:rsidR="00A47BCD" w:rsidRPr="0008623B" w:rsidRDefault="00A47BCD" w:rsidP="00B62DC9">
            <w:pPr>
              <w:pStyle w:val="InstructionsText"/>
              <w:rPr>
                <w:rFonts w:eastAsiaTheme="minorEastAsia"/>
              </w:rPr>
            </w:pPr>
            <w:r>
              <w:t>(b) minimalne zahteve glede kapitala in kvalificiranih obveznosti iz člena 45 Direktive 2014/59/EU, kadar se izračuna v skladu z odstavkom 2, točka (a), navedenega člena.</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Vrednost, ki se razkrije, je enaka tako v stolpcu MREL kot TLAC.</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Pri njej se upošteva učinek prehodnih določb na kapital in kvalificirane obveznosti, na znesek skupne izpostavljenosti tveganju in na same zahteve. Smernica glede dodatnega kapitala iz člena 104b Direktive 2013/36/EU in </w:t>
            </w:r>
            <w:r>
              <w:rPr>
                <w:rFonts w:ascii="Times New Roman" w:hAnsi="Times New Roman"/>
                <w:color w:val="000000" w:themeColor="text1"/>
                <w:sz w:val="24"/>
              </w:rPr>
              <w:lastRenderedPageBreak/>
              <w:t>zahteva po skupnem blažilniku iz člena 128, prvi odstavek, točka 6, navedene direktive se ne upoštevata.</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Zahteva po skupnem blažilniku za institucijo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Za institucijo specifična zahteva po skupnem blažilniku, kot je opredeljena v členu 128, prvi odstavek, točka 6, Direktive 2013/36/EU, izražena kot odstotek zneska skupne izpostavljenosti tveganju, ki se uporablja za skupino v postopku reševanja v skladu s prvim odstavkom, točka 6, navedenega člena.</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Zahteva po skupnem blažilniku za institucijo – od tega zahteva glede varovalnega kapitalskega blažilnika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Znesek skupnega blažilnika za institucijo (izražen kot odstotek zneska skupne izpostavljenosti tveganju), ki se nanaša na zahtevo glede varovalnega kapitalskega blažilnika.</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Zahteva po skupnem blažilniku za institucijo – od tega zahteva glede proticikličnega blažilnika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Znesek skupnega blažilnika za institucijo (izražen kot odstotek zneska skupne izpostavljenosti tveganju), ki se nanaša na zahtevo glede proticikličnega blažilnika.</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Zahteva po skupnem blažilniku za institucijo – od tega zahteva glede blažilnika sistemskih tveganj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Znesek skupnega blažilnika za institucijo (izražen kot odstotek zneska skupne izpostavljenosti tveganju), ki se nanaša na zahtevo glede blažilnika sistemskih tveganj.</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Zahteva po skupnem blažilniku za institucijo – od tega blažilnik za globalne sistemsko pomembne institucije (GSPI) ali druge sistemsko pomembne institucije (DSPI)</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Znesek skupnega blažilnika za institucijo (izražen kot odstotek zneska skupne izpostavljenosti tveganju), ki se nanaša na zahtevo glede blažilnika za GSPI ali DSPI.</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Skupni znesek izključenih obveznosti iz člena 72a(2) Uredbe (EU) št.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tab/>
      </w:r>
      <w:r>
        <w:rPr>
          <w:rFonts w:ascii="Times New Roman" w:hAnsi="Times New Roman"/>
          <w:color w:val="auto"/>
          <w:sz w:val="24"/>
        </w:rPr>
        <w:t>EU ILAC: notranja sposobnost pokrivanja izgub: notranja MREL in, kjer je relevantno, zahteva glede kapitala in kvalificiranih obveznosti za GSPI zunaj EU</w:t>
      </w:r>
      <w:bookmarkStart w:id="208" w:name="_Toc14770785"/>
      <w:bookmarkEnd w:id="206"/>
      <w:bookmarkEnd w:id="208"/>
      <w:r>
        <w:rPr>
          <w:rFonts w:ascii="Times New Roman" w:hAnsi="Times New Roman"/>
          <w:color w:val="auto"/>
          <w:sz w:val="24"/>
        </w:rPr>
        <w:t xml:space="preserve"> (notranja TLAC)</w:t>
      </w:r>
      <w:bookmarkEnd w:id="207"/>
    </w:p>
    <w:p w14:paraId="4B755467" w14:textId="5E1539C5" w:rsidR="00413CCD" w:rsidRPr="0008623B" w:rsidRDefault="00413CCD" w:rsidP="00B62DC9">
      <w:pPr>
        <w:pStyle w:val="InstructionsText2"/>
        <w:numPr>
          <w:ilvl w:val="0"/>
          <w:numId w:val="12"/>
        </w:numPr>
      </w:pPr>
      <w:r>
        <w:t xml:space="preserve">Ta predloga razkriva kapital in kvalificirane obveznosti subjektov, ki sami niso subjekti v postopku reševanja, za namene zahteve glede kapitala in kvalificiranih obveznosti iz člena 45f Direktive 2014/59/EU (notranja MREL) in zahteve glede kapitala in kvalificiranih obveznosti za GSPI zunaj EU, ki se uporabljajo za </w:t>
      </w:r>
      <w:r>
        <w:lastRenderedPageBreak/>
        <w:t>pomembne podrejene družbe GSPI iz tretjih držav, iz člena 92b Uredbe (EU) št. 575/2013 (notranja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Stolpci</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Pravna podlaga in navodila</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Subjekti v tem stolpcu razkrijejo relevantne informacije o notranji MREL v skladu s členoma 45 in 45f Direktive 2014/59/EU.</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Subjekti, ki so pomembne podrejene družbe GSPI zunaj EU v skladu s členom 92b Uredbe (EU) št. 575/2013, v tem stolpcu razkrijejo relevantne informacije o notranji TLAC v skladu s členom 92b Uredbe (EU) št.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Kvalitativne informacije</w:t>
            </w:r>
            <w:r>
              <w:rPr>
                <w:sz w:val="24"/>
              </w:rPr>
              <w:t xml:space="preserve"> </w:t>
            </w:r>
            <w:r>
              <w:rPr>
                <w:rFonts w:ascii="Times New Roman" w:hAnsi="Times New Roman"/>
                <w:color w:val="000000" w:themeColor="text1"/>
                <w:sz w:val="24"/>
              </w:rPr>
              <w:t xml:space="preserve"> v zvezi z veljavno zahtevo in ravnjo uporabe.</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Vrstica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Pravna podlaga in navodila</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Ali se za subjekt uporablja zahteva glede kapitala in kvalificiranih obveznosti za GSPI zunaj EU? (D/N)</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Navedba, ali se za subjekt uporablja zahteva glede notranje TLAC v skladu s členom 92b Uredbe (EU) št.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Če je v vrstici EU-1 navedeno „da“, ali se zahteva uporablja na konsolidirani ali posamični podlagi? (K/P)</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Navedba, ali se za subjekt uporablja zahteva glede notranje TLAC na konsolidirani ali posamični podlagi v skladu s členom 18 Uredbe (EU) št. 575/2013.</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Če se zahteva uporablja na konsolidirani podlagi, se ta celotna predloga izpolni na konsolidirani podlagi. V vseh drugih primerih se ta predloga izpolni na posamični podlagi.</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Ali se za subjekt uporablja notranja MREL? (D/N)</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Navedba, ali se za subjekt uporablja notranja MREL v skladu s členoma 45 in 45f Direktive 2014/59/EU.</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Če je v vrstici EU-2a navedeno „da“, ali se zahteva uporablja na konsolidirani ali posamični podlagi? (K/P)</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Navedba, ali se notranja MREL uporablja za subjekt na konsolidirani ali posamični podlagi.</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Če se zahteva uporablja na konsolidirani podlagi, se ta celotna predloga izpolni na konsolidirani podlagi. V vseh drugih primerih se ta predloga izpolni na posamični podlagi.</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lastRenderedPageBreak/>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Navadni lastniški temeljni kapital</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Člen 50 Uredbe (EU) št.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Navadni lastniški temeljni kapital, na posamični ali konsolidirani podlagi, kjer je relevantno, v skladu s členom 50 Uredbe (EU) št.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Kvalificirani dodatni temeljni kapital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Člen 61 Uredbe (EU) št.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Instrumenti dodatnega temeljnega kapitala </w:t>
            </w:r>
            <w:r>
              <w:rPr>
                <w:rStyle w:val="FormatvorlageInstructionsTabelleText"/>
                <w:rFonts w:ascii="Times New Roman" w:hAnsi="Times New Roman"/>
                <w:sz w:val="24"/>
              </w:rPr>
              <w:t xml:space="preserve">se upoštevajo samo, če izpolnjujejo merila </w:t>
            </w:r>
            <w:r>
              <w:rPr>
                <w:rFonts w:ascii="Times New Roman" w:hAnsi="Times New Roman"/>
                <w:color w:val="000000" w:themeColor="text1"/>
                <w:sz w:val="24"/>
              </w:rPr>
              <w:t>iz člena 92b Uredbe (EU) št. 575/2013 in člena 45f(2), točka (b)(ii), Direktive 2014/59/EU.</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V primeru notranje MREL se vključijo instrumenti iz člena 89(2), četrti pododstavek, Direktive 2014/59/EU, če se uporablja ta odstavek. Instrumenti, ki jih ureja pravo tretje države, se vključijo samo, če izpolnjujejo zahteve iz člena 55 Direktive 2014/59/EU.</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Kvalificirani dodatni kapital</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Člen 71 Uredbe (EU) št. 575/2013.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Instrumenti dodatnega kapitala</w:t>
            </w:r>
            <w:r>
              <w:rPr>
                <w:rStyle w:val="FormatvorlageInstructionsTabelleText"/>
                <w:rFonts w:ascii="Times New Roman" w:hAnsi="Times New Roman"/>
                <w:sz w:val="24"/>
              </w:rPr>
              <w:t xml:space="preserve"> se upoštevajo samo, če izpolnjujejo merila</w:t>
            </w:r>
            <w:r>
              <w:rPr>
                <w:rFonts w:ascii="Times New Roman" w:hAnsi="Times New Roman"/>
                <w:color w:val="000000" w:themeColor="text1"/>
                <w:sz w:val="24"/>
              </w:rPr>
              <w:t xml:space="preserve"> iz člena 92b Uredbe (EU) št. 575/2013 in člena 45f(2), točka (b)(ii), Direktive 2014/59/EU.</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V primeru notranje MREL se vključijo instrumenti iz člena 89(2), četrti pododstavek, Direktive 2014/59/EU, če se uporablja ta odstavek. Instrumenti, ki jih ureja pravo tretje države, se vključijo samo, če izpolnjujejo zahteve iz člena 55 Direktive 2014/59/EU.</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Kvalificirani kapital</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Vsota navadnega lastniškega temeljnega kapitala, kvalificiranega dodatnega temeljnega kapitala in kvalificiranega dodatnega kapitala.</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Kvalificirane obveznosti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Notranja MREL</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Kvalificirane obveznosti, ki izpolnjujejo pogoje iz člena 45f(2) Direktive 2014/59/EU,</w:t>
            </w:r>
            <w:r>
              <w:rPr>
                <w:rFonts w:ascii="Times New Roman" w:hAnsi="Times New Roman"/>
                <w:b/>
                <w:sz w:val="24"/>
              </w:rPr>
              <w:t xml:space="preserve"> </w:t>
            </w:r>
            <w:r>
              <w:rPr>
                <w:rStyle w:val="InstructionsTabelleberschrift"/>
                <w:rFonts w:ascii="Times New Roman" w:hAnsi="Times New Roman"/>
                <w:b w:val="0"/>
                <w:sz w:val="24"/>
                <w:u w:val="none"/>
              </w:rPr>
              <w:t>pri čemer se upošteva tudi člen 89(2), četrti pododstavek</w:t>
            </w:r>
            <w:r>
              <w:rPr>
                <w:rStyle w:val="FormatvorlageInstructionsTabelleText"/>
                <w:rFonts w:ascii="Times New Roman" w:hAnsi="Times New Roman"/>
                <w:sz w:val="24"/>
              </w:rPr>
              <w:t>,</w:t>
            </w:r>
            <w:r>
              <w:rPr>
                <w:rStyle w:val="FormatvorlageInstructionsTabelleText"/>
              </w:rPr>
              <w:t xml:space="preserve"> </w:t>
            </w:r>
            <w:r>
              <w:rPr>
                <w:rStyle w:val="FormatvorlageInstructionsTabelleText"/>
                <w:rFonts w:ascii="Times New Roman" w:hAnsi="Times New Roman"/>
                <w:sz w:val="24"/>
              </w:rPr>
              <w:t>navedene direktive</w:t>
            </w:r>
            <w:r>
              <w:rPr>
                <w:rStyle w:val="InstructionsTabelleberschrift"/>
                <w:rFonts w:ascii="Times New Roman" w:hAnsi="Times New Roman"/>
                <w:b w:val="0"/>
                <w:sz w:val="24"/>
                <w:u w:val="none"/>
              </w:rPr>
              <w:t>, kjer je relevantno</w:t>
            </w:r>
            <w:r>
              <w:rPr>
                <w:rFonts w:ascii="Times New Roman" w:hAnsi="Times New Roman"/>
                <w:color w:val="000000" w:themeColor="text1"/>
                <w:sz w:val="24"/>
              </w:rPr>
              <w:t>.</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V primeru instrumentov, ki jih ureja pravo tretje države, se instrument vključi v to vrstico samo, če izpolnjuje zahteve iz člena 55 Direktive 2014/59/EU.</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Style w:val="FormatvorlageInstructionsTabelleText"/>
                <w:rFonts w:ascii="Times New Roman" w:hAnsi="Times New Roman"/>
                <w:sz w:val="24"/>
              </w:rPr>
              <w:t>Če organ za reševanje podrejene družbe subjektu dovoli, da notranjo MREL izpolni z jamstvi, se v to vrstico vključi tudi znesek jamstev, ki jih zagotovi subjekt v postopku reševanja in ki izpolnjujejo vse pogoje iz člena 45f(5) Direktive 2014/59/EU.</w:t>
            </w:r>
            <w:r>
              <w:rPr>
                <w:rFonts w:ascii="Times New Roman" w:hAnsi="Times New Roman"/>
                <w:i/>
                <w:color w:val="000000" w:themeColor="text1"/>
                <w:sz w:val="24"/>
              </w:rPr>
              <w:t xml:space="preserve"> Notranja TLAC</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Znesek kvalificiranih obveznosti se izračuna v skladu s členom 72k Uredbe (EU) št. 575/2013, če te obveznosti izpolnjujejo pogoje iz člena 92b(2) navedene uredbe.</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Kvalificirane obveznosti – od tega dovoljena jamstva</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Če organ za reševanje podrejene družbe subjektu dovoli, da notranjo MREL izpolni z jamstvi, je to znesek jamstev, ki jih zagotovi subjekt v postopku reševanja in ki izpolnjujejo vse pogoje iz člena 45f(5) Direktive 2014/59/EU.</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(Prilagoditve)</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Negativni znesek.</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V tej vrstici se razkrijejo naslednje prilagoditve:</w:t>
            </w:r>
          </w:p>
          <w:p w14:paraId="61271E0C" w14:textId="02F82C25" w:rsidR="00766271" w:rsidRPr="0008623B" w:rsidRDefault="00766271" w:rsidP="004B5E57">
            <w:pPr>
              <w:pStyle w:val="ListParagraph"/>
              <w:numPr>
                <w:ilvl w:val="0"/>
                <w:numId w:val="36"/>
              </w:numPr>
              <w:rPr>
                <w:rFonts w:ascii="Times New Roman" w:hAnsi="Times New Roman" w:cs="Times New Roman"/>
                <w:b/>
                <w:noProof/>
                <w:color w:val="000000" w:themeColor="text1"/>
                <w:sz w:val="24"/>
                <w:szCs w:val="24"/>
              </w:rPr>
            </w:pPr>
            <w:r>
              <w:rPr>
                <w:rFonts w:ascii="Times New Roman" w:hAnsi="Times New Roman"/>
                <w:color w:val="000000" w:themeColor="text1"/>
                <w:sz w:val="24"/>
              </w:rPr>
              <w:t>deleži v kapitalskih instrumentih in instrumentih kvalificiranih obveznosti, ki jih je treba odbiti v skladu s členom 72e(5) Uredbe (EU) št. 575/2013</w:t>
            </w:r>
            <w:r>
              <w:rPr>
                <w:rFonts w:ascii="Times New Roman" w:hAnsi="Times New Roman"/>
                <w:sz w:val="24"/>
              </w:rPr>
              <w:t xml:space="preserve"> ali členom 45c(2a), peti pododstavek, Direktive 2014/59/EU,</w:t>
            </w:r>
          </w:p>
          <w:p w14:paraId="17EE89C8" w14:textId="699CDE18" w:rsidR="00547B2E" w:rsidRPr="0008623B" w:rsidRDefault="00766271" w:rsidP="004B5E57">
            <w:pPr>
              <w:pStyle w:val="ListParagraph"/>
              <w:numPr>
                <w:ilvl w:val="0"/>
                <w:numId w:val="36"/>
              </w:numPr>
              <w:rPr>
                <w:rFonts w:ascii="Times New Roman" w:hAnsi="Times New Roman" w:cs="Times New Roman"/>
                <w:b/>
                <w:noProof/>
                <w:color w:val="000000" w:themeColor="text1"/>
                <w:sz w:val="24"/>
                <w:szCs w:val="24"/>
              </w:rPr>
            </w:pPr>
            <w:r>
              <w:rPr>
                <w:rFonts w:ascii="Times New Roman" w:hAnsi="Times New Roman"/>
                <w:color w:val="000000" w:themeColor="text1"/>
                <w:sz w:val="24"/>
              </w:rPr>
              <w:t>zneski, ki jih zajema dovoljenje za odpoklic, odkup, odplačilo ali izplačilo instrumentov kvalificiranih obveznosti v skladu s členom 78a Uredbe (EU) št. 575/2013 v obsegu, v katerem subjekt, ki poroča, še ni porabil tega zneska za odpoklic, odkup, odplačilo ali izplačilo instrumentov („neporabljeni zneski iz naslova predhodnega dovoljenja“).</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Postavke kapitala in kvalificiranih obveznosti po prilagoditvah</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Notranja MREL</w:t>
            </w:r>
          </w:p>
          <w:p w14:paraId="4FED8305" w14:textId="534AF772" w:rsidR="00547B2E" w:rsidRPr="0008623B" w:rsidRDefault="00F42DCD" w:rsidP="00F42DCD">
            <w:pPr>
              <w:rPr>
                <w:rStyle w:val="InstructionsTabelleberschrift"/>
                <w:rFonts w:ascii="Times New Roman" w:hAnsi="Times New Roman"/>
                <w:b w:val="0"/>
                <w:sz w:val="24"/>
                <w:u w:val="none"/>
              </w:rPr>
            </w:pPr>
            <w:r>
              <w:rPr>
                <w:rStyle w:val="FormatvorlageInstructionsTabelleText"/>
                <w:rFonts w:ascii="Times New Roman" w:hAnsi="Times New Roman"/>
                <w:sz w:val="24"/>
              </w:rPr>
              <w:t>Zneski kvalificiranega kapitala in kvalificiranih obveznosti subjekta, brez prilagoditev, ki se upoštevajo pri notranji MREL iz člena 45f(2) Direktive 2014/59/EU</w:t>
            </w:r>
            <w:r>
              <w:rPr>
                <w:rStyle w:val="InstructionsTabelleberschrift"/>
                <w:rFonts w:ascii="Times New Roman" w:hAnsi="Times New Roman"/>
                <w:b w:val="0"/>
                <w:sz w:val="24"/>
                <w:u w:val="none"/>
              </w:rPr>
              <w:t>, pri čemer se upošteva tudi člen 89(2), četrti pododstavek, navedene direktive, kjer je relevantno. V primeru instrumentov, ki jih ureja pravo tretje države, se instrument vključi v to vrstico samo, če izpolnjuje zahteve iz člena 55 Direktive 2014/59/EU.</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Izračunajo se kot vsota vrstic EU-6, EU-7 in EU-9a.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Notranja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Kvalificirani kapital in kvalificirane obveznosti, ki se upoštevajo pri zahtevi glede kapitala in kvalificiranih obveznosti za GSPI zunaj EU iz člena 92b(2) Uredbe (EU) št. 575/2013</w:t>
            </w:r>
            <w:r>
              <w:rPr>
                <w:rFonts w:ascii="Times New Roman" w:hAnsi="Times New Roman"/>
                <w:color w:val="000000" w:themeColor="text1"/>
                <w:sz w:val="24"/>
              </w:rPr>
              <w:t>. Izračunajo se kot vsota vrstic EU-6 in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Znesek skupne izpostavljenosti tveganju (TREA)</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Znesek skupne izpostavljenosti tveganju posameznega subjekta ali konsolidirane skupine, na ravni katere so bile določene zahteve, kakor je ustrezno, v skladu s členom 18(1), drugi pododstavek, Uredbe (EU) št. 575/2013.</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Znesek skupne izpostavljenosti tveganju, ki se poroča v tej vrstici, je znesek skupne izpostavljenosti tveganju, ki je podlaga za izpolnjevanje zahtev iz člena 45 Direktive 2014/59/EU ali člena 92b Uredbe (EU) št. 575/2013, kot je ustrezno.</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Mera skupne izpostavljenosti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Mera skupne izpostavljenosti (imenovalec količnika finančnega vzvoda) posameznega subjekta ali konsolidirane skupine, na ravni katere so bile določene zahteve, kakor je ustrezno, v skladu s členom 429(4) in členom 429a Uredbe (EU) št. 575/2013.</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Mera skupne izpostavljenosti, ki se poroča v tej vrstici, je mera skupne izpostavljenosti, ki je podlaga za izpolnjevanje zahtev iz člena 45 Direktive 2014/59/EU ali člena 92b Uredbe (EU) št. 575/2013, kot je ustrezno.</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Kapital in kvalificirane obveznosti kot odstotek TREA</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Delež kapitala in kvalificiranih obveznosti kot odstotek zneska skupne izpostavljenosti tveganju.</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Izračuna se tako, da se vrstica EU-9b deli z vrstico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 in kvalificirane obveznosti kot odstotek TREA – od tega dovoljena jamstva</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Če organ za reševanje podrejene družbe subjektu dovoli, da notranjo MREL izpolni z jamstvi, je to znesek </w:t>
            </w:r>
            <w:r>
              <w:rPr>
                <w:rFonts w:ascii="Times New Roman" w:hAnsi="Times New Roman"/>
                <w:color w:val="000000" w:themeColor="text1"/>
                <w:sz w:val="24"/>
              </w:rPr>
              <w:t>jamstev, ki jih zagotovi subjekt v postopku reševanja in ki izpolnjujejo pogoje iz člena 45f(5) Direktive 2014/59/EU, kot odstotek zneska skupne izpostavljenosti tveganju</w:t>
            </w:r>
            <w:r>
              <w:rPr>
                <w:rFonts w:ascii="Times New Roman" w:hAnsi="Times New Roman"/>
                <w:sz w:val="24"/>
              </w:rPr>
              <w:t>.</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Izračuna se tako, da se vrstica EU-8 deli z vrstico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 in kvalificirane obveznosti kot odstotek TEM</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Delež kapitala in kvalificiranih obveznosti kot odstotek mere skupne izpostavljenosti.</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Izračuna se tako, da se vrstica EU-9b deli z vrstico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Kapital in kvalificirane obveznosti kot odstotek TEM – od tega dovoljena jamstva</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Če organ za reševanje podrejene družbe subjektu dovoli, da notranjo MREL izpolni z jamstvi, je to znesek </w:t>
            </w:r>
            <w:r>
              <w:rPr>
                <w:rFonts w:ascii="Times New Roman" w:hAnsi="Times New Roman"/>
                <w:color w:val="000000" w:themeColor="text1"/>
                <w:sz w:val="24"/>
              </w:rPr>
              <w:t>jamstev, ki jih zagotovi subjekt v postopku reševanja in ki izpolnjujejo pogoje iz člena 45f(5) Direktive 2014/59/EU, kot odstotek mere skupne izpostavljenosti</w:t>
            </w:r>
            <w:r>
              <w:rPr>
                <w:rFonts w:ascii="Times New Roman" w:hAnsi="Times New Roman"/>
                <w:sz w:val="24"/>
              </w:rPr>
              <w:t>.</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Izračuna se tako, da se vrstica EU-8 deli z vrstico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Navadni lastniški temeljni kapital (kot odstotek TREA), ki je na voljo po izpolnitvi zahtev za subjekt</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Znesek navadnega lastniškega temeljnega kapitala, enak nič ali pozitiven, ki je na voljo po izpolnitvi vsake od zahtev iz člena 141a, točke (a), (b) in (c), Direktive 2013/36/EU in je višji izmed naslednjega:</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kjer je relevantno, zahteve glede kapitala in kvalificiranih obveznosti za GSPI zunaj EU v skladu s členom 92b Uredbe (EU) št. 575/2013, kadar se v skladu s členom 92b(1) Uredbe (EU) št. 575/2013 izračuna kot 90 % zahteve iz člena 92a(1), točka (a), navedene uredbe, in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(b) minimalne zahteve glede kapitala in kvalificiranih obveznosti v skladu s členom 45f Direktive 2014/59/EU, kadar se izračuna v skladu s členom 45(2), točka (a), navedene direktive.</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Vrednost, ki se razkrije, je enaka tako v stolpcu MREL kot TLAC.</w:t>
            </w:r>
          </w:p>
          <w:p w14:paraId="6C9387A7" w14:textId="461089FB" w:rsidR="000C5255" w:rsidRPr="0008623B" w:rsidRDefault="00A47BCD" w:rsidP="00AA0676">
            <w:pPr>
              <w:rPr>
                <w:b/>
                <w:noProof/>
              </w:rPr>
            </w:pPr>
            <w:r>
              <w:rPr>
                <w:rFonts w:ascii="Times New Roman" w:hAnsi="Times New Roman"/>
                <w:color w:val="000000" w:themeColor="text1"/>
                <w:sz w:val="24"/>
              </w:rPr>
              <w:t>Pri njej se upošteva učinek prehodnih določb na kapital in kvalificirane obveznosti, na znesek skupne izpostavljenosti tveganju in na same zahteve. Smernica glede dodatnega kapitala iz člena 104b Direktive 2013/36/EU in zahteva po skupnem blažilniku iz člena 128, prvi odstavek, točka 6, navedene direktive se ne upoštevata.</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Zahteva po skupnem blažilniku za institucijo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Za institucijo specifična zahteva po skupnem blažilniku, kot je opredeljena v členu 128, prvi odstavek, točka 6, Direktive 2013/36/EU, izražena kot odstotek zneska skupne izpostavljenosti tveganju, ki se uporablja za subjekt v skladu s členom 128, prvi odstavek, točka 6, Direktive 2013/36/EU.</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Zahteva, izražena kot odstotek TREA</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Notranja MREL</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Zahteva glede kapitala in kvalificiranih obveznosti, ki se uporablja za subjekt v skladu s členom 45f Direktive 2014/59/EU, izražena kot odstotek zneska skupne izpostavljenosti tveganju (na posamični ali konsolidirani ravni, kakor je ustrezno).</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lastRenderedPageBreak/>
              <w:t>Notranja 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Zahteva iz člena 92b Uredbe (EU) št. 575/2013, izražena kot odstotek zneska skupne izpostavljenosti tveganju (na posamični ali konsolidirani ravni, kakor je ustrezno).</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Zahteva, izražena kot odstotek TREA – od tega del zahteve, ki se lahko izpolni z jamstvom</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Kjer je relevantno, del zahteve glede kapitala in kvalificiranih obveznosti, izražen kot odstotek zneska skupne izpostavljenosti tveganju, ki se lahko izpolni z jamstvom, ki ga zagotovi subjekt v postopku reševanja v skladu s členom 45f(5) Direktive 2014/59/EU.</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Zahteva, izražena kot odstotek TEM</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Notranja MREL</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Zahteva glede kapitala in kvalificiranih obveznosti, ki se uporablja za subjekt v skladu s členom 45f Direktive 2014/59/EU, izražena kot odstotek mere skupne izpostavljenosti (na posamični ali konsolidirani ravni nadrejene osebe v EU, kakor je ustrezno).</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Notranja TLAC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Zahteva iz člena 92b Uredbe (EU) št. 575/2013, izražena kot odstotek mere skupne izpostavljenosti (na posamični ali konsolidirani ravni, kakor je ustrezno).</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Zahteva, izražena kot odstotek TEM – od tega del zahteve, ki se lahko izpolni z jamstvom</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Kjer je relevantno, del zahteve glede kapitala in kvalificiranih obveznosti, izražen kot odstotek mere skupne izpostavljenosti, ki se lahko izpolni z jamstvom, ki ga zagotovi subjekt v postopku reševanja v skladu s členom 45f(5) Direktive 2014/59/EU.</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Skupni znesek izključenih obveznosti iz člena 72a(2) Uredbe (EU) št.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tab/>
      </w:r>
      <w:r>
        <w:rPr>
          <w:rFonts w:ascii="Times New Roman" w:hAnsi="Times New Roman"/>
          <w:color w:val="auto"/>
          <w:sz w:val="24"/>
        </w:rPr>
        <w:t>EU TLAC2: Razvrstitev glede na vrstni red poplačila v hierarhiji upnikov – subjekti, ki sami niso subjekti v</w:t>
      </w:r>
      <w:bookmarkEnd w:id="230"/>
      <w:r>
        <w:rPr>
          <w:rFonts w:ascii="Times New Roman" w:hAnsi="Times New Roman"/>
          <w:color w:val="auto"/>
          <w:sz w:val="24"/>
        </w:rPr>
        <w:t xml:space="preserve"> postopku reševanja</w:t>
      </w:r>
      <w:bookmarkEnd w:id="231"/>
      <w:bookmarkEnd w:id="232"/>
    </w:p>
    <w:p w14:paraId="7A03C7D5" w14:textId="52B10ED1" w:rsidR="00EE122D" w:rsidRPr="0008623B" w:rsidRDefault="00EE122D" w:rsidP="00B62DC9">
      <w:pPr>
        <w:pStyle w:val="InstructionsText2"/>
        <w:numPr>
          <w:ilvl w:val="0"/>
          <w:numId w:val="12"/>
        </w:numPr>
      </w:pPr>
      <w:r>
        <w:t>Informacije, vključene v predlogo EU TLAC2, se razkrijejo na ravni posameznega subjekta.</w:t>
      </w:r>
    </w:p>
    <w:p w14:paraId="37B5040A" w14:textId="241394B6" w:rsidR="00D76A01" w:rsidRPr="0008623B" w:rsidRDefault="00D76A01" w:rsidP="00B62DC9">
      <w:pPr>
        <w:pStyle w:val="InstructionsText2"/>
        <w:numPr>
          <w:ilvl w:val="0"/>
          <w:numId w:val="12"/>
        </w:numPr>
      </w:pPr>
      <w:r>
        <w:t xml:space="preserve">Predloga EU TLAC2 obstaja v dveh različicah, EU TLAC2a in EU TLAC2b. Predloga EU TLAC2a zajema vse financiranje, ki je uvrščeno </w:t>
      </w:r>
      <w:r>
        <w:rPr>
          <w:i/>
        </w:rPr>
        <w:t>pari passu</w:t>
      </w:r>
      <w:r>
        <w:t xml:space="preserve"> ali podrejeno instrumentom, ki se kvalificirajo za MREL, vključno s kapitalom in </w:t>
      </w:r>
      <w:r>
        <w:lastRenderedPageBreak/>
        <w:t>drugimi kapitalskimi instrumenti. Predloga EU TLAC2b zajema samo kapital in obveznosti, ki se kvalificirajo za izpolnjevanje zahteve iz člena 45 Direktive 2014/59/EU v skladu s členom 45f navedene direktive.</w:t>
      </w:r>
    </w:p>
    <w:p w14:paraId="51E3EFB7" w14:textId="5F05BD0B" w:rsidR="00410769" w:rsidRPr="0008623B" w:rsidRDefault="00410769" w:rsidP="00B62DC9">
      <w:pPr>
        <w:pStyle w:val="InstructionsText2"/>
        <w:numPr>
          <w:ilvl w:val="0"/>
          <w:numId w:val="12"/>
        </w:numPr>
      </w:pPr>
      <w:r>
        <w:t>V skladu s členom 13(2) te uredbe lahko subjekti, za katere ne velja obveznost izpolnjevanja zahteve iz člena 92b Uredbe (EU) št. 575/2013, vendar so obvezani izpolnjevati zahtevo iz člena 45 Direktive 2014/59/EU v skladu s členom 45f navedene direktive, izberejo, ali bodo uporabljali predlogo EU TLAC2a ali EU TLAC2b za izpolnitev zahteve po razkritju iz člena 45i(3), točka (b), Direktive 2014/59/EU.</w:t>
      </w:r>
    </w:p>
    <w:p w14:paraId="0E950EC5" w14:textId="2D041687" w:rsidR="00510C0E" w:rsidRPr="0008623B" w:rsidRDefault="0071460A" w:rsidP="00B62DC9">
      <w:pPr>
        <w:pStyle w:val="InstructionsText2"/>
        <w:numPr>
          <w:ilvl w:val="0"/>
          <w:numId w:val="12"/>
        </w:numPr>
      </w:pPr>
      <w:r>
        <w:t>Izdajatelji od datuma uporabe člena 45i(3) Direktive 2014/59/EU v predlogi EU TLAC2a razkrivajo obveznosti, ki se lahko potencialno kvalificirajo za izpolnjevanje notranje MREL in notranje TLAC. Izdajatelji pred tem datumom razkrivajo obveznosti, ki se lahko potencialno kvalificirajo za izpolnjevanje notranje TLAC.</w:t>
      </w:r>
    </w:p>
    <w:p w14:paraId="6CD2E5E7" w14:textId="10E10F4A" w:rsidR="00134FA4" w:rsidRPr="0008623B" w:rsidRDefault="00134FA4" w:rsidP="00B62DC9">
      <w:pPr>
        <w:pStyle w:val="InstructionsText2"/>
        <w:numPr>
          <w:ilvl w:val="0"/>
          <w:numId w:val="12"/>
        </w:numPr>
      </w:pPr>
      <w:r>
        <w:t>Neporavnani zneski v vrsticah morajo biti razčlenjeni glede na mesto v vrstnem redu poplačila v primeru insolventnosti na podlagi insolvenčnega prava izdajatelja ne glede na pravo, ki ureja instrument.</w:t>
      </w:r>
    </w:p>
    <w:p w14:paraId="0B0B9A5D" w14:textId="25143FFC" w:rsidR="00134FA4" w:rsidRPr="0008623B" w:rsidRDefault="00522875" w:rsidP="00B62DC9">
      <w:pPr>
        <w:pStyle w:val="InstructionsText2"/>
        <w:numPr>
          <w:ilvl w:val="0"/>
          <w:numId w:val="12"/>
        </w:numPr>
      </w:pPr>
      <w:r>
        <w:t>Vrstni red poplačila v primeru insolventnosti je tisti, ki ga sporoči pristojni organ za reševanje v skladu s standardno predstavitvijo, določeno v členu 8 te uredbe.</w:t>
      </w:r>
    </w:p>
    <w:p w14:paraId="572D872C" w14:textId="35C5457F" w:rsidR="00134FA4" w:rsidRPr="0008623B" w:rsidRDefault="00134FA4" w:rsidP="00B62DC9">
      <w:pPr>
        <w:pStyle w:val="InstructionsText2"/>
        <w:numPr>
          <w:ilvl w:val="0"/>
          <w:numId w:val="12"/>
        </w:numPr>
      </w:pPr>
      <w:r>
        <w:t xml:space="preserve">Mesta v vrstnem redu poplačila so prikazana od najbolj podrejenega do najbolj nadrejenega. Stolpci za mesta v vrstnem redu poplačila se dodajajo, dokler niso razkriti najvišje uvrščeni instrumenti, ki se lahko potencialno kvalificirajo. </w:t>
      </w:r>
    </w:p>
    <w:p w14:paraId="451EEEC0" w14:textId="6C07DCB8" w:rsidR="00134FA4" w:rsidRPr="0008623B" w:rsidRDefault="00134FA4" w:rsidP="00B62DC9">
      <w:pPr>
        <w:pStyle w:val="InstructionsText2"/>
        <w:numPr>
          <w:ilvl w:val="0"/>
          <w:numId w:val="12"/>
        </w:numPr>
      </w:pPr>
      <w:r>
        <w:t>Znesek, ki se lahko pripiše posameznemu mestu v vrstnem redu poplačila, se nadalje razčleni na zneske, ki jih ima v lasti subjekt v postopku reševanja, vključno z zneski, ki jih ima v lasti neposredno ali posredno prek subjektov vzdolž verige lastništva, kjer je relevantno, in druge zneske, ki jih nima v lasti subjekt v postopku reševanja, kjer je relevantno. Skupni znesek za vsako vrstico se vnese v zadnji stolpec vsake vrstice.</w:t>
      </w:r>
    </w:p>
    <w:p w14:paraId="4EBA1B5C" w14:textId="77777777" w:rsidR="00134FA4" w:rsidRPr="0008623B" w:rsidRDefault="00134FA4" w:rsidP="00134FA4">
      <w:pPr>
        <w:rPr>
          <w:rFonts w:ascii="Times New Roman" w:hAnsi="Times New Roman" w:cs="Times New Roman"/>
          <w:noProof/>
          <w:color w:val="000000" w:themeColor="text1"/>
          <w:sz w:val="24"/>
          <w:szCs w:val="24"/>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Vrstice</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Pravna podlaga in navodila</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Prazna množica v EU</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Opis mesta v vrstnem redu poplačila v primeru insolventnosti (prosto besedilo)</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Število mest v vrstnem redu poplačila v primeru insolventnosti (n) v hierarhiji upnikov bo odvisno od sklopa obveznosti izdajatelja. Opis mora vključevati navedbo vrst terjatev, ki jih zajema mesto v tem vrstnem redu poplačila (npr. instrumenti navadnega lastniškega temeljnega kapitala, dodatnega kapitala). </w:t>
            </w:r>
          </w:p>
          <w:p w14:paraId="22A60804" w14:textId="5BBC2F70" w:rsidR="000C3B9F" w:rsidRPr="0008623B" w:rsidRDefault="000C3B9F" w:rsidP="00331959">
            <w:pPr>
              <w:pStyle w:val="Applicationdirecte"/>
              <w:spacing w:before="120"/>
              <w:rPr>
                <w:b/>
                <w:color w:val="000000" w:themeColor="text1"/>
                <w:szCs w:val="24"/>
              </w:rPr>
            </w:pPr>
            <w:r>
              <w:lastRenderedPageBreak/>
              <w:t>Za vsako mesto v vrstnem redu poplačila v primeru insolventnosti obstaja en stolpec, ki vsebuje znesek, ki ga ima v celoti v lasti subjekt v postopku reševanja, vključno z zneski, ki jih ima v lasti neposredno ali posredno prek subjektov vzdolž verige lastništva, kjer je relevantno, in drugi stolpec, ki vsebuje del zneska za posamezno mesto, ki ga posedujejo tudi lastniki, ki niso subjekt v postopku reševanja.</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lastRenderedPageBreak/>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Obveznosti in kapital</w:t>
            </w:r>
          </w:p>
          <w:p w14:paraId="4216384F" w14:textId="0D31DC4A" w:rsidR="000C3B9F" w:rsidRPr="0008623B" w:rsidRDefault="00BB21F0" w:rsidP="00AA4A01">
            <w:pPr>
              <w:pStyle w:val="Applicationdirecte"/>
              <w:spacing w:before="120"/>
              <w:rPr>
                <w:color w:val="000000" w:themeColor="text1"/>
              </w:rPr>
            </w:pPr>
            <w:r>
              <w:rPr>
                <w:color w:val="000000" w:themeColor="text1"/>
              </w:rPr>
              <w:t xml:space="preserve">Znesek kapitala, kvalificiranih obveznosti in obveznosti, ki so podrejene ali uvrščene </w:t>
            </w:r>
            <w:r>
              <w:rPr>
                <w:i/>
                <w:color w:val="000000" w:themeColor="text1"/>
              </w:rPr>
              <w:t xml:space="preserve">pari passu </w:t>
            </w:r>
            <w:r>
              <w:rPr>
                <w:color w:val="000000" w:themeColor="text1"/>
              </w:rPr>
              <w:t>kapitalu in kvalificiranim obveznostim.</w:t>
            </w:r>
          </w:p>
          <w:p w14:paraId="1B0E819E" w14:textId="77777777" w:rsidR="00BB21F0" w:rsidRPr="0008623B" w:rsidRDefault="00BB21F0" w:rsidP="00AA4A01">
            <w:pPr>
              <w:pStyle w:val="Applicationdirecte"/>
              <w:spacing w:before="120"/>
              <w:rPr>
                <w:color w:val="000000" w:themeColor="text1"/>
              </w:rPr>
            </w:pPr>
            <w:r>
              <w:rPr>
                <w:color w:val="000000" w:themeColor="text1"/>
              </w:rPr>
              <w:t>To vključuje tudi obveznosti, izključene iz reševanja s sredstvi upnikov.</w:t>
            </w:r>
          </w:p>
          <w:p w14:paraId="5A7B82DD" w14:textId="368405A5" w:rsidR="008907A6" w:rsidRPr="0008623B" w:rsidRDefault="00410769" w:rsidP="005F391D">
            <w:pPr>
              <w:pStyle w:val="Fait"/>
            </w:pPr>
            <w:r>
              <w:t>Ta vrstica se ne uporablja v predlogi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Obveznosti in kapital – od tega izključene obveznosti</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Razčlenitev obveznosti, izključenih v skladu s členom 72a(2) Uredbe (EU) št. 575/2013 ali členom 44(2) Direktive 2014/59/EU in, kjer je relevantno, členom 44(3) Direktive 2014/59/EU.</w:t>
            </w:r>
          </w:p>
          <w:p w14:paraId="182D9647" w14:textId="5AEB0362" w:rsidR="008907A6" w:rsidRPr="0008623B" w:rsidRDefault="00410769" w:rsidP="005F391D">
            <w:pPr>
              <w:pStyle w:val="Applicationdirecte"/>
              <w:spacing w:before="120"/>
            </w:pPr>
            <w:r>
              <w:t>Ta vrstica se ne uporablja v predlogi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Obveznosti in kapital, zmanjšani za izključene obveznosti</w:t>
            </w:r>
          </w:p>
          <w:p w14:paraId="359D335B" w14:textId="3554B9D3" w:rsidR="008907A6" w:rsidRPr="0008623B" w:rsidRDefault="00367DF1" w:rsidP="005F391D">
            <w:pPr>
              <w:pStyle w:val="Fait"/>
            </w:pPr>
            <w:r>
              <w:rPr>
                <w:color w:val="000000" w:themeColor="text1"/>
              </w:rPr>
              <w:t>Obveznosti in kapital brez izključenih obveznosti.</w:t>
            </w:r>
          </w:p>
          <w:p w14:paraId="52590AAA" w14:textId="18E701D2" w:rsidR="000C3B9F" w:rsidRPr="0008623B" w:rsidRDefault="00410769" w:rsidP="008907A6">
            <w:pPr>
              <w:pStyle w:val="Applicationdirecte"/>
              <w:spacing w:before="120"/>
              <w:rPr>
                <w:color w:val="000000" w:themeColor="text1"/>
                <w:szCs w:val="24"/>
              </w:rPr>
            </w:pPr>
            <w:r>
              <w:t>Ta vrstica se ne uporablja v predlogi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Podskupina obveznosti in kapitala, zmanjšanih za izključene obveznosti, ki so kapital in kvalificirane obveznosti za namene notranje MREL/notranje TLAC</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Razčlenitev zneska kapitala in kvalificiranih obveznosti za namene notranje MREL ali notranje TLAC, kakor je ustrezno, v skladu z odstavkom 11 zgoraj.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Od tega preostala zapadlost ≥ 1 leto in &lt; 2 leti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Podskupina vrstice 6 z relevantno preostalo zapadlostjo.</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preostala zapadlost ≥ 2 leti in &lt; 5 let</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Podskupina vrstice 6 z relevantno preostalo zapadlostjo.</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preostala zapadlost ≥ 5 let in &lt; 10 let</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Podskupina vrstice 6 z relevantno preostalo zapadlostjo.</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preostala zapadlost ≥ 10 let, vendar brez vrednostnih papirjev brez zapadlosti</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Podskupina vrstice 6 z relevantno preostalo zapadlostjo.</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vrednostni papirji brez zapadlosti</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Podskupina vrstice 6, ki so vrednostni papirji brez zapadlosti.</w:t>
            </w:r>
          </w:p>
        </w:tc>
      </w:tr>
    </w:tbl>
    <w:p w14:paraId="4FDBE82C" w14:textId="77777777" w:rsidR="00134FA4" w:rsidRPr="0008623B" w:rsidRDefault="00134FA4" w:rsidP="00134FA4">
      <w:pPr>
        <w:jc w:val="both"/>
        <w:rPr>
          <w:rFonts w:ascii="Times New Roman" w:hAnsi="Times New Roman" w:cs="Times New Roman"/>
          <w:bCs/>
          <w:i/>
          <w:noProof/>
          <w:color w:val="000000" w:themeColor="text1"/>
          <w:sz w:val="24"/>
          <w:szCs w:val="24"/>
          <w:lang w:val="en-GB"/>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tab/>
      </w:r>
      <w:r>
        <w:rPr>
          <w:rFonts w:ascii="Times New Roman" w:hAnsi="Times New Roman"/>
          <w:color w:val="auto"/>
          <w:sz w:val="24"/>
        </w:rPr>
        <w:t>EU TLAC3: Razvrstitev glede na vrstni red poplačila v hierarhiji upnikov –</w:t>
      </w:r>
      <w:bookmarkEnd w:id="233"/>
      <w:bookmarkEnd w:id="234"/>
      <w:r>
        <w:rPr>
          <w:rFonts w:ascii="Times New Roman" w:hAnsi="Times New Roman"/>
          <w:color w:val="auto"/>
          <w:sz w:val="24"/>
        </w:rPr>
        <w:t xml:space="preserve"> subjekt v postopku reševanja</w:t>
      </w:r>
      <w:bookmarkEnd w:id="235"/>
    </w:p>
    <w:p w14:paraId="578097FF" w14:textId="1EA4E7A0" w:rsidR="00EE122D" w:rsidRPr="0008623B" w:rsidRDefault="00EE122D" w:rsidP="00B62DC9">
      <w:pPr>
        <w:pStyle w:val="InstructionsText2"/>
        <w:numPr>
          <w:ilvl w:val="0"/>
          <w:numId w:val="12"/>
        </w:numPr>
      </w:pPr>
      <w:r>
        <w:t>Informacije, vključene v predlogo EU TLAC3, se razkrijejo na ravni posameznega subjekta.</w:t>
      </w:r>
    </w:p>
    <w:p w14:paraId="0EB7EFE1" w14:textId="7A32417C" w:rsidR="00410769" w:rsidRPr="0008623B" w:rsidRDefault="00410769" w:rsidP="00B62DC9">
      <w:pPr>
        <w:pStyle w:val="InstructionsText2"/>
        <w:numPr>
          <w:ilvl w:val="0"/>
          <w:numId w:val="12"/>
        </w:numPr>
      </w:pPr>
      <w:r>
        <w:t xml:space="preserve">Predloga EU TLAC3 obstaja v dveh različicah, EU TLAC3a in EU TLAC3b. Predloga EU TLAC3a zajema vse financiranje, ki je uvrščeno </w:t>
      </w:r>
      <w:r>
        <w:rPr>
          <w:i/>
        </w:rPr>
        <w:t>pari passu</w:t>
      </w:r>
      <w:r>
        <w:t xml:space="preserve"> ali podrejeno instrumentom, ki se lahko potencialno kvalificirajo za MREL, vključno s kapitalom in drugimi kapitalskimi instrumenti. Zneski, ki se ne kvalificirajo izključno zaradi zahteve po podrejenosti, se vključijo v celoti v vrstico, ki ustreza relevantnemu mestu v vrstnem redu poplačila v primeru insolventnosti, tj. brez uporabe zgornjih mej. Predloga EU TLAC3b zajema samo kapital in obveznosti, ki se kvalificirajo za izpolnjevanje zahteve iz člena 45 Direktive 2014/59/EU v skladu s členom 45e navedene direktive.</w:t>
      </w:r>
    </w:p>
    <w:p w14:paraId="417A390B" w14:textId="2D84B100" w:rsidR="00410769" w:rsidRPr="0008623B" w:rsidRDefault="00410769" w:rsidP="00B62DC9">
      <w:pPr>
        <w:pStyle w:val="InstructionsText2"/>
        <w:numPr>
          <w:ilvl w:val="0"/>
          <w:numId w:val="12"/>
        </w:numPr>
      </w:pPr>
      <w:r>
        <w:t>V skladu s členom 14(2) te uredbe lahko subjekti, za katere ne velja obveznost izpolnjevanja zahteve iz člena 92a Uredbe (EU) št. 575/2013, vendar so obvezani izpolnjevati zahtevo iz člena 45 Direktive 2014/59/EU v skladu s členom 45e navedene direktive, izberejo, ali bodo uporabljali predlogo EU TLAC3a ali EU TLAC3b za izpolnitev zahteve po razkritju iz člena 45i(3), točka (b), Direktive 2014/59/EU.</w:t>
      </w:r>
    </w:p>
    <w:p w14:paraId="7914D4A7" w14:textId="50C29BF6" w:rsidR="005F391D" w:rsidRPr="0008623B" w:rsidRDefault="005F391D" w:rsidP="00B62DC9">
      <w:pPr>
        <w:pStyle w:val="InstructionsText2"/>
        <w:numPr>
          <w:ilvl w:val="0"/>
          <w:numId w:val="12"/>
        </w:numPr>
      </w:pPr>
      <w:r>
        <w:t>Izdajatelji od datuma uporabe člena 45i(3) Direktive 2014/59/EU v predlogi EU TLAC3a razkrivajo obveznosti, ki se lahko potencialno kvalificirajo za izpolnjevanje MREL in TLAC. Izdajatelji pred tem datumom razkrivajo obveznosti, ki se lahko potencialno kvalificirajo za izpolnjevanje notranje TLAC.</w:t>
      </w:r>
    </w:p>
    <w:p w14:paraId="0643F6F9" w14:textId="54E61B56" w:rsidR="005F391D" w:rsidRPr="0008623B" w:rsidRDefault="00134FA4" w:rsidP="00B62DC9">
      <w:pPr>
        <w:pStyle w:val="InstructionsText2"/>
        <w:numPr>
          <w:ilvl w:val="0"/>
          <w:numId w:val="12"/>
        </w:numPr>
      </w:pPr>
      <w:r>
        <w:t>Neporavnani zneski v vrsticah 2 do 10 morajo biti razčlenjeni glede na mesto v vrstnem redu poplačila v primeru insolventnosti na podlagi insolvenčnega prava izdajatelja ne glede na pravo, ki ureja instrument.</w:t>
      </w:r>
    </w:p>
    <w:p w14:paraId="2ED9C4B9" w14:textId="752032A7" w:rsidR="005F391D" w:rsidRPr="0008623B" w:rsidRDefault="00EA31AA" w:rsidP="00B62DC9">
      <w:pPr>
        <w:pStyle w:val="InstructionsText2"/>
        <w:numPr>
          <w:ilvl w:val="0"/>
          <w:numId w:val="12"/>
        </w:numPr>
      </w:pPr>
      <w:r>
        <w:t>Vrstni red poplačila v primeru insolventnosti je tisti, ki ga sporoči pristojni organ za reševanje v skladu s standardno predstavitvijo, določeno v relevantni predlogi za poročanje.</w:t>
      </w:r>
    </w:p>
    <w:p w14:paraId="098D1362" w14:textId="424912A1" w:rsidR="003D2D85" w:rsidRPr="0008623B" w:rsidRDefault="00134FA4" w:rsidP="00B62DC9">
      <w:pPr>
        <w:pStyle w:val="InstructionsText2"/>
        <w:numPr>
          <w:ilvl w:val="0"/>
          <w:numId w:val="12"/>
        </w:numPr>
      </w:pPr>
      <w:r>
        <w:t>Mesta v vrstnem redu poplačila so prikazana od najbolj podrejenega do najbolj nadrejenega. Stolpci za mesta v vrstnem redu poplačila se dodajajo, dokler niso razkriti najvišje uvrščeni instrumenti, ki se lahko potencialno kvalificirajo.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Vrstice</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Pravna podlaga in navodila</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Opis mesta v vrstnem redu poplačila v primeru insolventnosti (prosto besedilo)</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Število mest v vrstnem redu poplačila v primeru insolventnosti (n) v hierarhiji upnikov bo odvisno od sklopa obveznosti subjekta. Za vsako mesto v vrstnem redu poplačila v primeru insolventnosti obstaja en stolpec. Opis mora vključevati navedbo vrst terjatev, ki jih zajema mesto v tem vrstnem redu poplačila (npr. instrumenti navadnega lastniškega temeljnega kapitala, dodatnega kapitala).</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Obveznosti in kapital</w:t>
            </w:r>
          </w:p>
          <w:p w14:paraId="6CEB4608" w14:textId="77777777" w:rsidR="003D2D85" w:rsidRPr="0008623B" w:rsidRDefault="003D2D85" w:rsidP="003D2D85">
            <w:pPr>
              <w:pStyle w:val="Applicationdirecte"/>
              <w:spacing w:before="120"/>
              <w:rPr>
                <w:color w:val="000000" w:themeColor="text1"/>
              </w:rPr>
            </w:pPr>
            <w:r>
              <w:rPr>
                <w:color w:val="000000" w:themeColor="text1"/>
              </w:rPr>
              <w:t xml:space="preserve">Znesek kapitala, kvalificiranih obveznosti in obveznosti, ki so podrejene ali uvrščene </w:t>
            </w:r>
            <w:r>
              <w:rPr>
                <w:i/>
                <w:color w:val="000000" w:themeColor="text1"/>
              </w:rPr>
              <w:t xml:space="preserve">pari passu </w:t>
            </w:r>
            <w:r>
              <w:rPr>
                <w:color w:val="000000" w:themeColor="text1"/>
              </w:rPr>
              <w:t>kapitalu in kvalificiranim obveznostim.</w:t>
            </w:r>
          </w:p>
          <w:p w14:paraId="7ABCDC8B" w14:textId="193792D4" w:rsidR="00585921" w:rsidRPr="0008623B" w:rsidRDefault="003D2D85" w:rsidP="00E13544">
            <w:pPr>
              <w:pStyle w:val="Applicationdirecte"/>
              <w:spacing w:before="120"/>
              <w:rPr>
                <w:color w:val="000000" w:themeColor="text1"/>
              </w:rPr>
            </w:pPr>
            <w:r>
              <w:rPr>
                <w:color w:val="000000" w:themeColor="text1"/>
              </w:rPr>
              <w:t>To vključuje tudi obveznosti, izključene iz reševanja s sredstvi upnikov.</w:t>
            </w:r>
            <w:r>
              <w:t xml:space="preserve"> </w:t>
            </w:r>
          </w:p>
          <w:p w14:paraId="3B3981A4" w14:textId="543E66EA" w:rsidR="003D2D85" w:rsidRPr="0008623B" w:rsidRDefault="008348B0" w:rsidP="00640F37">
            <w:pPr>
              <w:pStyle w:val="Fait"/>
            </w:pPr>
            <w:r>
              <w:t>Ta vrstica se ne uporablja v predlogi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Obveznosti in kapital – od tega izključene obveznosti</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Razčlenitev obveznosti, izključenih v skladu s členom 72a(2) Uredbe (EU) št. 575/2013 ali členom 44(2) Direktive 2014/59/EU in, kjer je relevantno, členom 44(3) navedene direktive.</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Ta vrstica se ne uporablja v predlogi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Obveznosti in kapital, zmanjšani za izključene obveznosti</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Obveznosti in kapital brez izključenih obveznosti.</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Ta vrstica se ne uporablja v predlogi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Podskupina obveznosti in kapitala, zmanjšanih za izključene obveznosti, ki so kapital in obveznosti, ki se lahko potencialno kvalificirajo za izpolnjevanje MREL/TLAC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Razčlenitev zneska kapitala in obveznosti, ki se lahko kvalificirajo za namene MREL ali za namene TLAC, kakor je ustrezno, v skladu z odstavkom 19 zgoraj, brez uporabe zgornjih mej za pripoznanje nepodrejenih obveznosti.</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Od tega preostala zapadlost ≥ 1 leto in &lt; 2 leti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Podskupina vrstice 5 z relevantno preostalo zapadlostjo.</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preostala zapadlost ≥ 2 leti in &lt; 5 let</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Podskupina vrstice 5 z relevantno preostalo zapadlostjo.</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preostala zapadlost ≥ 5 let in &lt; 10 let</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Podskupina vrstice 5 z relevantno preostalo zapadlostjo.</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preostala zapadlost ≥ 10 let, vendar brez vrednostnih papirjev brez zapadlosti</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Podskupina vrstice 5 z relevantno preostalo zapadlostjo.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Od tega vrednostni papirji brez zapadlosti</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Podskupina vrstice 5, ki so vrednostni papirji brez zapadlosti.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A Regular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46891"/>
    <w:multiLevelType w:val="hybridMultilevel"/>
    <w:tmpl w:val="0ABE58B4"/>
    <w:lvl w:ilvl="0" w:tplc="8460C64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0"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3"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451EBB"/>
    <w:multiLevelType w:val="hybridMultilevel"/>
    <w:tmpl w:val="E07C802C"/>
    <w:lvl w:ilvl="0" w:tplc="8460C64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0382A"/>
    <w:multiLevelType w:val="hybridMultilevel"/>
    <w:tmpl w:val="10AC1754"/>
    <w:lvl w:ilvl="0" w:tplc="8460C64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8E2199"/>
    <w:multiLevelType w:val="hybridMultilevel"/>
    <w:tmpl w:val="810E55DE"/>
    <w:lvl w:ilvl="0" w:tplc="8460C64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9C81A53"/>
    <w:multiLevelType w:val="hybridMultilevel"/>
    <w:tmpl w:val="06C65134"/>
    <w:lvl w:ilvl="0" w:tplc="8460C64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5"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6"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9"/>
  </w:num>
  <w:num w:numId="2" w16cid:durableId="1184441859">
    <w:abstractNumId w:val="3"/>
  </w:num>
  <w:num w:numId="3" w16cid:durableId="1028918299">
    <w:abstractNumId w:val="14"/>
  </w:num>
  <w:num w:numId="4" w16cid:durableId="776296339">
    <w:abstractNumId w:val="27"/>
  </w:num>
  <w:num w:numId="5" w16cid:durableId="750153091">
    <w:abstractNumId w:val="1"/>
  </w:num>
  <w:num w:numId="6" w16cid:durableId="336813224">
    <w:abstractNumId w:val="26"/>
  </w:num>
  <w:num w:numId="7" w16cid:durableId="465779702">
    <w:abstractNumId w:val="22"/>
  </w:num>
  <w:num w:numId="8" w16cid:durableId="663163219">
    <w:abstractNumId w:val="0"/>
  </w:num>
  <w:num w:numId="9" w16cid:durableId="1917978329">
    <w:abstractNumId w:val="9"/>
  </w:num>
  <w:num w:numId="10" w16cid:durableId="353311820">
    <w:abstractNumId w:val="28"/>
  </w:num>
  <w:num w:numId="11" w16cid:durableId="670957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8"/>
  </w:num>
  <w:num w:numId="13" w16cid:durableId="1831798045">
    <w:abstractNumId w:val="25"/>
  </w:num>
  <w:num w:numId="14" w16cid:durableId="1121650833">
    <w:abstractNumId w:val="24"/>
  </w:num>
  <w:num w:numId="15" w16cid:durableId="1026759010">
    <w:abstractNumId w:val="12"/>
  </w:num>
  <w:num w:numId="16" w16cid:durableId="826094156">
    <w:abstractNumId w:val="10"/>
  </w:num>
  <w:num w:numId="17" w16cid:durableId="1348865239">
    <w:abstractNumId w:val="21"/>
  </w:num>
  <w:num w:numId="18" w16cid:durableId="1335106368">
    <w:abstractNumId w:val="7"/>
  </w:num>
  <w:num w:numId="19" w16cid:durableId="227693673">
    <w:abstractNumId w:val="12"/>
  </w:num>
  <w:num w:numId="20" w16cid:durableId="748769138">
    <w:abstractNumId w:val="12"/>
  </w:num>
  <w:num w:numId="21" w16cid:durableId="935597942">
    <w:abstractNumId w:val="2"/>
  </w:num>
  <w:num w:numId="22" w16cid:durableId="1734306422">
    <w:abstractNumId w:val="5"/>
  </w:num>
  <w:num w:numId="23" w16cid:durableId="451824100">
    <w:abstractNumId w:val="15"/>
  </w:num>
  <w:num w:numId="24" w16cid:durableId="398483654">
    <w:abstractNumId w:val="13"/>
  </w:num>
  <w:num w:numId="25" w16cid:durableId="818500383">
    <w:abstractNumId w:val="4"/>
  </w:num>
  <w:num w:numId="26" w16cid:durableId="1235430350">
    <w:abstractNumId w:val="12"/>
  </w:num>
  <w:num w:numId="27" w16cid:durableId="1326936538">
    <w:abstractNumId w:val="12"/>
  </w:num>
  <w:num w:numId="28" w16cid:durableId="1637417445">
    <w:abstractNumId w:val="12"/>
  </w:num>
  <w:num w:numId="29" w16cid:durableId="1921674367">
    <w:abstractNumId w:val="12"/>
  </w:num>
  <w:num w:numId="30" w16cid:durableId="1001541118">
    <w:abstractNumId w:val="12"/>
  </w:num>
  <w:num w:numId="31" w16cid:durableId="243297301">
    <w:abstractNumId w:val="11"/>
  </w:num>
  <w:num w:numId="32" w16cid:durableId="318922411">
    <w:abstractNumId w:val="23"/>
  </w:num>
  <w:num w:numId="33" w16cid:durableId="1291741144">
    <w:abstractNumId w:val="8"/>
  </w:num>
  <w:num w:numId="34" w16cid:durableId="1808207809">
    <w:abstractNumId w:val="17"/>
  </w:num>
  <w:num w:numId="35" w16cid:durableId="457382462">
    <w:abstractNumId w:val="16"/>
  </w:num>
  <w:num w:numId="36" w16cid:durableId="46408288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5E5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sl-SI"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7494</Words>
  <Characters>42717</Characters>
  <Application>Microsoft Office Word</Application>
  <DocSecurity>0</DocSecurity>
  <Lines>355</Lines>
  <Paragraphs>100</Paragraphs>
  <ScaleCrop>false</ScaleCrop>
  <Company/>
  <LinksUpToDate>false</LinksUpToDate>
  <CharactersWithSpaces>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