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55038" w14:textId="40D10931" w:rsidR="00676354" w:rsidRPr="00235C73" w:rsidRDefault="00676354" w:rsidP="0099485B">
      <w:pPr>
        <w:jc w:val="center"/>
        <w:rPr>
          <w:rFonts w:ascii="Times New Roman" w:hAnsi="Times New Roman"/>
          <w:b/>
          <w:sz w:val="24"/>
          <w:u w:val="single"/>
        </w:rPr>
      </w:pPr>
      <w:bookmarkStart w:id="0" w:name="_Toc298787969"/>
      <w:bookmarkStart w:id="1" w:name="_Toc298788158"/>
      <w:bookmarkStart w:id="2" w:name="_Toc298788641"/>
      <w:bookmarkStart w:id="3" w:name="_Toc305686691"/>
      <w:bookmarkStart w:id="4" w:name="_Toc306350093"/>
      <w:bookmarkStart w:id="5" w:name="_Toc306350113"/>
      <w:bookmarkStart w:id="6" w:name="_Toc331517265"/>
      <w:bookmarkStart w:id="7" w:name="_Toc245891774"/>
      <w:bookmarkStart w:id="8" w:name="_Toc238803087"/>
      <w:bookmarkStart w:id="9" w:name="_Toc238803888"/>
      <w:r w:rsidRPr="00235C73">
        <w:rPr>
          <w:rFonts w:ascii="Times New Roman" w:hAnsi="Times New Roman"/>
          <w:b/>
          <w:sz w:val="24"/>
          <w:u w:val="single"/>
        </w:rPr>
        <w:t>SK</w:t>
      </w:r>
    </w:p>
    <w:p w14:paraId="39DA4C9C" w14:textId="5F2E6493" w:rsidR="00385DE1" w:rsidRPr="00235C73" w:rsidRDefault="00385DE1" w:rsidP="0099485B">
      <w:pPr>
        <w:jc w:val="center"/>
        <w:rPr>
          <w:rFonts w:ascii="Times New Roman" w:hAnsi="Times New Roman"/>
          <w:b/>
          <w:sz w:val="24"/>
          <w:u w:val="single"/>
        </w:rPr>
      </w:pPr>
      <w:r w:rsidRPr="00235C73">
        <w:rPr>
          <w:rFonts w:ascii="Times New Roman" w:hAnsi="Times New Roman"/>
          <w:b/>
          <w:sz w:val="24"/>
          <w:u w:val="single"/>
        </w:rPr>
        <w:t>PRÍLOHA IV</w:t>
      </w:r>
    </w:p>
    <w:p w14:paraId="66B07866" w14:textId="77777777" w:rsidR="00385DE1" w:rsidRPr="00235C73" w:rsidRDefault="00385DE1" w:rsidP="0099485B">
      <w:pPr>
        <w:jc w:val="center"/>
        <w:rPr>
          <w:rFonts w:ascii="Times New Roman" w:hAnsi="Times New Roman"/>
          <w:b/>
          <w:sz w:val="24"/>
        </w:rPr>
      </w:pPr>
    </w:p>
    <w:p w14:paraId="1D3B5C40" w14:textId="50B78FAF" w:rsidR="0001617D" w:rsidRPr="00235C73" w:rsidRDefault="0001617D" w:rsidP="0001617D">
      <w:pPr>
        <w:spacing w:before="120" w:after="120" w:line="240" w:lineRule="auto"/>
        <w:jc w:val="center"/>
        <w:rPr>
          <w:rFonts w:ascii="Times New Roman" w:eastAsia="Times New Roman" w:hAnsi="Times New Roman" w:cs="Times New Roman"/>
          <w:b/>
          <w:sz w:val="24"/>
          <w:szCs w:val="24"/>
        </w:rPr>
      </w:pPr>
      <w:r w:rsidRPr="00235C73">
        <w:rPr>
          <w:rFonts w:ascii="Times New Roman" w:hAnsi="Times New Roman"/>
          <w:b/>
          <w:sz w:val="24"/>
        </w:rPr>
        <w:t>ZVEREJŇOVANIE MINIMÁLNEJ POŽIADAVKY NA VLASTNÉ ZDROJE A OPRÁVNENÉ ZÁVÄZKY – POKYNY</w:t>
      </w:r>
    </w:p>
    <w:p w14:paraId="7E4782B7" w14:textId="77777777" w:rsidR="00940030" w:rsidRPr="00235C73" w:rsidRDefault="00940030" w:rsidP="00940030"/>
    <w:p w14:paraId="6E12AAF5" w14:textId="2CC8BE6D" w:rsidR="00940030" w:rsidRPr="00235C73"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r w:rsidRPr="00235C73">
        <w:rPr>
          <w:rFonts w:ascii="Times New Roman" w:hAnsi="Times New Roman"/>
          <w:color w:val="auto"/>
          <w:sz w:val="24"/>
        </w:rPr>
        <w:t>1.</w:t>
      </w:r>
      <w:r w:rsidRPr="00235C73">
        <w:rPr>
          <w:rFonts w:ascii="Times New Roman" w:hAnsi="Times New Roman"/>
          <w:color w:val="auto"/>
          <w:sz w:val="24"/>
        </w:rPr>
        <w:tab/>
        <w:t>Všeobecné pokyny: Štruktúra</w:t>
      </w:r>
      <w:r w:rsidR="00235C73">
        <w:rPr>
          <w:rFonts w:ascii="Times New Roman" w:hAnsi="Times New Roman"/>
          <w:color w:val="auto"/>
          <w:sz w:val="24"/>
        </w:rPr>
        <w:t xml:space="preserve"> a </w:t>
      </w:r>
      <w:r w:rsidRPr="00235C73">
        <w:rPr>
          <w:rFonts w:ascii="Times New Roman" w:hAnsi="Times New Roman"/>
          <w:color w:val="auto"/>
          <w:sz w:val="24"/>
        </w:rPr>
        <w:t>pravidlá</w:t>
      </w:r>
    </w:p>
    <w:p w14:paraId="6CFEBC53" w14:textId="59A6818A" w:rsidR="0065594A" w:rsidRPr="00235C73" w:rsidRDefault="0065594A" w:rsidP="002A5117">
      <w:pPr>
        <w:pStyle w:val="Numberedtilelevel1"/>
        <w:keepNext/>
        <w:pBdr>
          <w:bottom w:val="none" w:sz="0" w:space="0" w:color="auto"/>
        </w:pBdr>
        <w:spacing w:before="240" w:after="240" w:line="240" w:lineRule="auto"/>
        <w:ind w:left="792" w:hanging="432"/>
        <w:jc w:val="both"/>
        <w:outlineLvl w:val="1"/>
        <w:rPr>
          <w:rFonts w:ascii="Times New Roman" w:eastAsia="Arial" w:hAnsi="Times New Roman" w:cs="Times New Roman"/>
          <w:color w:val="auto"/>
          <w:spacing w:val="0"/>
          <w:kern w:val="0"/>
          <w:sz w:val="24"/>
          <w:szCs w:val="24"/>
        </w:rPr>
      </w:pPr>
      <w:bookmarkStart w:id="10" w:name="_Toc360188319"/>
      <w:bookmarkStart w:id="11" w:name="_Toc473560867"/>
      <w:bookmarkStart w:id="12" w:name="_Toc15294522"/>
      <w:bookmarkStart w:id="13" w:name="_Toc264038399"/>
      <w:bookmarkStart w:id="14" w:name="_Toc294018834"/>
      <w:r w:rsidRPr="00235C73">
        <w:rPr>
          <w:rFonts w:ascii="Times New Roman" w:hAnsi="Times New Roman"/>
          <w:color w:val="auto"/>
          <w:sz w:val="24"/>
        </w:rPr>
        <w:t>1.1</w:t>
      </w:r>
      <w:r w:rsidRPr="00235C73">
        <w:rPr>
          <w:rFonts w:ascii="Times New Roman" w:hAnsi="Times New Roman"/>
          <w:color w:val="auto"/>
          <w:sz w:val="24"/>
        </w:rPr>
        <w:tab/>
        <w:t>Štruktúra</w:t>
      </w:r>
      <w:bookmarkEnd w:id="10"/>
      <w:bookmarkEnd w:id="11"/>
      <w:bookmarkEnd w:id="12"/>
    </w:p>
    <w:p w14:paraId="038BA668" w14:textId="690DC16F" w:rsidR="0065594A" w:rsidRPr="00235C73" w:rsidRDefault="0065594A" w:rsidP="00B62DC9">
      <w:pPr>
        <w:pStyle w:val="InstructionsText2"/>
        <w:numPr>
          <w:ilvl w:val="0"/>
          <w:numId w:val="12"/>
        </w:numPr>
        <w:rPr>
          <w:noProof w:val="0"/>
        </w:rPr>
      </w:pPr>
      <w:r w:rsidRPr="00235C73">
        <w:rPr>
          <w:noProof w:val="0"/>
        </w:rPr>
        <w:t>Tento rámec zverejňovania informácií</w:t>
      </w:r>
      <w:r w:rsidR="00235C73">
        <w:rPr>
          <w:noProof w:val="0"/>
        </w:rPr>
        <w:t xml:space="preserve"> o </w:t>
      </w:r>
      <w:r w:rsidRPr="00235C73">
        <w:rPr>
          <w:noProof w:val="0"/>
        </w:rPr>
        <w:t>MREL</w:t>
      </w:r>
      <w:r w:rsidR="00235C73">
        <w:rPr>
          <w:noProof w:val="0"/>
        </w:rPr>
        <w:t xml:space="preserve"> a </w:t>
      </w:r>
      <w:r w:rsidRPr="00235C73">
        <w:rPr>
          <w:noProof w:val="0"/>
        </w:rPr>
        <w:t>TLAC pozostáva</w:t>
      </w:r>
      <w:r w:rsidR="00235C73">
        <w:rPr>
          <w:noProof w:val="0"/>
        </w:rPr>
        <w:t xml:space="preserve"> z </w:t>
      </w:r>
      <w:r w:rsidRPr="00235C73">
        <w:rPr>
          <w:noProof w:val="0"/>
        </w:rPr>
        <w:t>troch skupín vzorov:</w:t>
      </w:r>
    </w:p>
    <w:p w14:paraId="160EDC16" w14:textId="798B6516" w:rsidR="00AB77FD" w:rsidRPr="00235C73" w:rsidRDefault="00AB77FD" w:rsidP="00B62DC9">
      <w:pPr>
        <w:pStyle w:val="InstructionsText2"/>
        <w:numPr>
          <w:ilvl w:val="1"/>
          <w:numId w:val="15"/>
        </w:numPr>
        <w:rPr>
          <w:noProof w:val="0"/>
        </w:rPr>
      </w:pPr>
      <w:r w:rsidRPr="00235C73">
        <w:rPr>
          <w:noProof w:val="0"/>
        </w:rPr>
        <w:t>MREL</w:t>
      </w:r>
      <w:r w:rsidR="00235C73">
        <w:rPr>
          <w:noProof w:val="0"/>
        </w:rPr>
        <w:t xml:space="preserve"> a </w:t>
      </w:r>
      <w:r w:rsidRPr="00235C73">
        <w:rPr>
          <w:noProof w:val="0"/>
        </w:rPr>
        <w:t>TLAC skupín, ktorých krízová situácia sa rieši,</w:t>
      </w:r>
      <w:r w:rsidR="00235C73">
        <w:rPr>
          <w:noProof w:val="0"/>
        </w:rPr>
        <w:t xml:space="preserve"> a </w:t>
      </w:r>
      <w:r w:rsidRPr="00235C73">
        <w:rPr>
          <w:noProof w:val="0"/>
        </w:rPr>
        <w:t>subjektov, ktorých krízová situácia sa rieši;</w:t>
      </w:r>
    </w:p>
    <w:p w14:paraId="531DF249" w14:textId="6443FBFB" w:rsidR="00AB77FD" w:rsidRPr="00235C73" w:rsidRDefault="00AB77FD" w:rsidP="00B62DC9">
      <w:pPr>
        <w:pStyle w:val="InstructionsText2"/>
        <w:numPr>
          <w:ilvl w:val="1"/>
          <w:numId w:val="15"/>
        </w:numPr>
        <w:rPr>
          <w:noProof w:val="0"/>
        </w:rPr>
      </w:pPr>
      <w:r w:rsidRPr="00235C73">
        <w:rPr>
          <w:noProof w:val="0"/>
        </w:rPr>
        <w:t>MREL</w:t>
      </w:r>
      <w:r w:rsidR="00235C73">
        <w:rPr>
          <w:noProof w:val="0"/>
        </w:rPr>
        <w:t xml:space="preserve"> a </w:t>
      </w:r>
      <w:r w:rsidRPr="00235C73">
        <w:rPr>
          <w:noProof w:val="0"/>
        </w:rPr>
        <w:t>TLAC subjektov iných, než sú subjekty, ktorých krízová situácia sa rieši,</w:t>
      </w:r>
      <w:r w:rsidR="00235C73">
        <w:rPr>
          <w:noProof w:val="0"/>
        </w:rPr>
        <w:t xml:space="preserve"> a </w:t>
      </w:r>
      <w:r w:rsidRPr="00235C73">
        <w:rPr>
          <w:noProof w:val="0"/>
        </w:rPr>
        <w:t>významných dcérskych spoločností globálnych systémovo významných inštitúcií (G-SII) mimo EÚ;</w:t>
      </w:r>
    </w:p>
    <w:p w14:paraId="3EE4CEDD" w14:textId="5B2484DA" w:rsidR="00AB77FD" w:rsidRPr="00235C73" w:rsidRDefault="00AB77FD" w:rsidP="00B62DC9">
      <w:pPr>
        <w:pStyle w:val="InstructionsText2"/>
        <w:numPr>
          <w:ilvl w:val="1"/>
          <w:numId w:val="15"/>
        </w:numPr>
        <w:rPr>
          <w:noProof w:val="0"/>
        </w:rPr>
      </w:pPr>
      <w:r w:rsidRPr="00235C73">
        <w:rPr>
          <w:noProof w:val="0"/>
        </w:rPr>
        <w:t>poradie veriteľov emitujúcich subjektov.</w:t>
      </w:r>
    </w:p>
    <w:p w14:paraId="1ED5F5C4" w14:textId="2C9E991B" w:rsidR="0065594A" w:rsidRPr="00235C73" w:rsidRDefault="0065594A" w:rsidP="00B62DC9">
      <w:pPr>
        <w:pStyle w:val="InstructionsText2"/>
        <w:numPr>
          <w:ilvl w:val="0"/>
          <w:numId w:val="12"/>
        </w:numPr>
        <w:rPr>
          <w:noProof w:val="0"/>
        </w:rPr>
      </w:pPr>
      <w:r w:rsidRPr="00235C73">
        <w:rPr>
          <w:noProof w:val="0"/>
        </w:rPr>
        <w:t>Pri každom vzore sa uvádzajú odkazy na právne predpisy.</w:t>
      </w:r>
      <w:r w:rsidR="00235C73">
        <w:rPr>
          <w:noProof w:val="0"/>
        </w:rPr>
        <w:t xml:space="preserve"> V </w:t>
      </w:r>
      <w:r w:rsidRPr="00235C73">
        <w:rPr>
          <w:noProof w:val="0"/>
        </w:rPr>
        <w:t>tejto prílohe sú zahrnuté ďalšie podrobné informácie týkajúce sa všeobecnejších aspektov vykazovania pre jednotlivé súbory vzorov</w:t>
      </w:r>
      <w:r w:rsidR="00235C73">
        <w:rPr>
          <w:noProof w:val="0"/>
        </w:rPr>
        <w:t xml:space="preserve"> a </w:t>
      </w:r>
      <w:r w:rsidRPr="00235C73">
        <w:rPr>
          <w:noProof w:val="0"/>
        </w:rPr>
        <w:t>pokyny týkajúce sa konkrétnych pozícií.</w:t>
      </w:r>
    </w:p>
    <w:p w14:paraId="13B7702A" w14:textId="70815289" w:rsidR="0065594A" w:rsidRPr="00235C73" w:rsidRDefault="002A5117" w:rsidP="002A5117">
      <w:pPr>
        <w:pStyle w:val="Numberedtilelevel1"/>
        <w:keepNext/>
        <w:pBdr>
          <w:bottom w:val="none" w:sz="0" w:space="0" w:color="auto"/>
        </w:pBdr>
        <w:spacing w:before="240" w:after="240" w:line="240" w:lineRule="auto"/>
        <w:ind w:left="792" w:hanging="432"/>
        <w:jc w:val="both"/>
        <w:outlineLvl w:val="1"/>
        <w:rPr>
          <w:rFonts w:ascii="Times New Roman" w:eastAsia="Arial" w:hAnsi="Times New Roman" w:cs="Times New Roman"/>
          <w:color w:val="auto"/>
          <w:spacing w:val="0"/>
          <w:kern w:val="0"/>
          <w:sz w:val="24"/>
          <w:szCs w:val="24"/>
        </w:rPr>
      </w:pPr>
      <w:bookmarkStart w:id="15" w:name="_Toc360188320"/>
      <w:bookmarkStart w:id="16" w:name="_Toc473560868"/>
      <w:bookmarkStart w:id="17" w:name="_Toc15294523"/>
      <w:r w:rsidRPr="00235C73">
        <w:rPr>
          <w:rFonts w:ascii="Times New Roman" w:hAnsi="Times New Roman"/>
          <w:color w:val="auto"/>
          <w:sz w:val="24"/>
        </w:rPr>
        <w:t>1.</w:t>
      </w:r>
      <w:bookmarkStart w:id="18" w:name="_Toc15294525"/>
      <w:bookmarkEnd w:id="13"/>
      <w:bookmarkEnd w:id="14"/>
      <w:bookmarkEnd w:id="15"/>
      <w:bookmarkEnd w:id="16"/>
      <w:bookmarkEnd w:id="17"/>
      <w:r w:rsidRPr="00235C73">
        <w:rPr>
          <w:rFonts w:ascii="Times New Roman" w:hAnsi="Times New Roman"/>
          <w:color w:val="auto"/>
          <w:sz w:val="24"/>
        </w:rPr>
        <w:t>2</w:t>
      </w:r>
      <w:r w:rsidRPr="00235C73">
        <w:rPr>
          <w:rFonts w:ascii="Times New Roman" w:hAnsi="Times New Roman"/>
          <w:color w:val="auto"/>
          <w:sz w:val="24"/>
        </w:rPr>
        <w:tab/>
        <w:t>Skratky</w:t>
      </w:r>
      <w:bookmarkEnd w:id="18"/>
    </w:p>
    <w:p w14:paraId="7F56C9B4" w14:textId="44329067" w:rsidR="0065594A" w:rsidRPr="00235C73" w:rsidRDefault="0065594A" w:rsidP="00B62DC9">
      <w:pPr>
        <w:pStyle w:val="InstructionsText2"/>
        <w:numPr>
          <w:ilvl w:val="0"/>
          <w:numId w:val="12"/>
        </w:numPr>
        <w:rPr>
          <w:noProof w:val="0"/>
        </w:rPr>
      </w:pPr>
      <w:r w:rsidRPr="00235C73">
        <w:rPr>
          <w:noProof w:val="0"/>
        </w:rPr>
        <w:t>Na účely príloh</w:t>
      </w:r>
      <w:r w:rsidR="00235C73">
        <w:rPr>
          <w:noProof w:val="0"/>
        </w:rPr>
        <w:t xml:space="preserve"> k </w:t>
      </w:r>
      <w:r w:rsidRPr="00235C73">
        <w:rPr>
          <w:noProof w:val="0"/>
        </w:rPr>
        <w:t>tomuto nariadeniu sa uplatňujú tieto skratky:</w:t>
      </w:r>
    </w:p>
    <w:p w14:paraId="7AA24AF3" w14:textId="4E5A7E30" w:rsidR="0065594A" w:rsidRPr="00235C73" w:rsidRDefault="00B96861" w:rsidP="00B62DC9">
      <w:pPr>
        <w:pStyle w:val="InstructionsText2"/>
        <w:numPr>
          <w:ilvl w:val="0"/>
          <w:numId w:val="31"/>
        </w:numPr>
        <w:rPr>
          <w:noProof w:val="0"/>
        </w:rPr>
      </w:pPr>
      <w:r w:rsidRPr="00235C73">
        <w:rPr>
          <w:noProof w:val="0"/>
        </w:rPr>
        <w:t xml:space="preserve"> „MREL“ sa vzťahuje na minimálnu požiadavka na vlastné zdroje</w:t>
      </w:r>
      <w:r w:rsidR="00235C73">
        <w:rPr>
          <w:noProof w:val="0"/>
        </w:rPr>
        <w:t xml:space="preserve"> a </w:t>
      </w:r>
      <w:r w:rsidRPr="00235C73">
        <w:rPr>
          <w:noProof w:val="0"/>
        </w:rPr>
        <w:t>oprávnené záväzky podľa článku 45 smernice 2014/59/EÚ;</w:t>
      </w:r>
    </w:p>
    <w:p w14:paraId="3F223F84" w14:textId="41875D4B" w:rsidR="0065594A" w:rsidRPr="00235C73" w:rsidRDefault="0065594A" w:rsidP="00B62DC9">
      <w:pPr>
        <w:pStyle w:val="InstructionsText2"/>
        <w:numPr>
          <w:ilvl w:val="0"/>
          <w:numId w:val="31"/>
        </w:numPr>
        <w:rPr>
          <w:noProof w:val="0"/>
        </w:rPr>
      </w:pPr>
      <w:r w:rsidRPr="00235C73">
        <w:rPr>
          <w:noProof w:val="0"/>
        </w:rPr>
        <w:t>„TLAC“ sa vzťahuje na požiadavku na vlastné zdroje</w:t>
      </w:r>
      <w:r w:rsidR="00235C73">
        <w:rPr>
          <w:noProof w:val="0"/>
        </w:rPr>
        <w:t xml:space="preserve"> a </w:t>
      </w:r>
      <w:r w:rsidRPr="00235C73">
        <w:rPr>
          <w:noProof w:val="0"/>
        </w:rPr>
        <w:t>oprávnené záväzky pre G-SII podľa článku 92a nariadenia (EÚ) č. 575/2013;</w:t>
      </w:r>
    </w:p>
    <w:p w14:paraId="1FEB92E2" w14:textId="4A655D90" w:rsidR="0065594A" w:rsidRPr="00235C73" w:rsidRDefault="0065594A" w:rsidP="00B62DC9">
      <w:pPr>
        <w:pStyle w:val="InstructionsText2"/>
        <w:numPr>
          <w:ilvl w:val="0"/>
          <w:numId w:val="31"/>
        </w:numPr>
        <w:rPr>
          <w:noProof w:val="0"/>
        </w:rPr>
      </w:pPr>
      <w:r w:rsidRPr="00235C73">
        <w:rPr>
          <w:noProof w:val="0"/>
        </w:rPr>
        <w:t>„interná TLAC“ sa vzťahuje na požiadavku na vlastné zdroje</w:t>
      </w:r>
      <w:r w:rsidR="00235C73">
        <w:rPr>
          <w:noProof w:val="0"/>
        </w:rPr>
        <w:t xml:space="preserve"> a </w:t>
      </w:r>
      <w:r w:rsidRPr="00235C73">
        <w:rPr>
          <w:noProof w:val="0"/>
        </w:rPr>
        <w:t>oprávnené záväzky pre G-SII mimo EÚ podľa článku 92b nariadenia (EÚ) č. 575/2013;</w:t>
      </w:r>
    </w:p>
    <w:p w14:paraId="028E3A34" w14:textId="77777777" w:rsidR="00235C73" w:rsidRDefault="0097126E" w:rsidP="0073688E">
      <w:pPr>
        <w:pStyle w:val="ListParagraph"/>
        <w:numPr>
          <w:ilvl w:val="0"/>
          <w:numId w:val="31"/>
        </w:numPr>
        <w:rPr>
          <w:rFonts w:ascii="Times New Roman" w:hAnsi="Times New Roman"/>
          <w:sz w:val="24"/>
        </w:rPr>
      </w:pPr>
      <w:r w:rsidRPr="00235C73">
        <w:rPr>
          <w:rFonts w:ascii="Times New Roman" w:hAnsi="Times New Roman"/>
          <w:sz w:val="24"/>
        </w:rPr>
        <w:t>„interná MREL“ sa vzťahuje na MREL uplatňovanú na subjekty, ktoré nie sú samy subjektmi, ktorých krízová situácia sa rieši, podľa článku 45f</w:t>
      </w:r>
      <w:r w:rsidRPr="00235C73">
        <w:t xml:space="preserve"> </w:t>
      </w:r>
      <w:r w:rsidRPr="00235C73">
        <w:rPr>
          <w:rFonts w:ascii="Times New Roman" w:hAnsi="Times New Roman"/>
          <w:sz w:val="24"/>
        </w:rPr>
        <w:t>smernice 2014/59/EÚ</w:t>
      </w:r>
      <w:r w:rsidR="00235C73">
        <w:rPr>
          <w:rFonts w:ascii="Times New Roman" w:hAnsi="Times New Roman"/>
          <w:sz w:val="24"/>
        </w:rPr>
        <w:t>.</w:t>
      </w:r>
    </w:p>
    <w:p w14:paraId="0BC0B9FF" w14:textId="4C7246E2" w:rsidR="00B43E07" w:rsidRPr="00235C73"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19" w:name="_Toc264033192"/>
      <w:bookmarkEnd w:id="19"/>
      <w:r w:rsidRPr="00235C73">
        <w:rPr>
          <w:rFonts w:ascii="Times New Roman" w:hAnsi="Times New Roman"/>
          <w:color w:val="auto"/>
          <w:sz w:val="24"/>
        </w:rPr>
        <w:lastRenderedPageBreak/>
        <w:t>2.</w:t>
      </w:r>
      <w:r w:rsidRPr="00235C73">
        <w:rPr>
          <w:rFonts w:ascii="Times New Roman" w:hAnsi="Times New Roman"/>
          <w:color w:val="auto"/>
          <w:sz w:val="24"/>
        </w:rPr>
        <w:tab/>
      </w:r>
      <w:bookmarkStart w:id="20" w:name="_Toc45266923"/>
      <w:bookmarkStart w:id="21" w:name="_Toc45266924"/>
      <w:bookmarkStart w:id="22" w:name="_Toc45266925"/>
      <w:bookmarkStart w:id="23" w:name="_Toc14770635"/>
      <w:bookmarkStart w:id="24" w:name="_Toc45266926"/>
      <w:bookmarkEnd w:id="20"/>
      <w:bookmarkEnd w:id="21"/>
      <w:bookmarkEnd w:id="22"/>
      <w:r w:rsidRPr="00235C73">
        <w:rPr>
          <w:rFonts w:ascii="Times New Roman" w:hAnsi="Times New Roman"/>
          <w:color w:val="auto"/>
          <w:sz w:val="24"/>
        </w:rPr>
        <w:t>EU KM2: Kľúčové parametre – MREL</w:t>
      </w:r>
      <w:r w:rsidR="00235C73">
        <w:rPr>
          <w:rFonts w:ascii="Times New Roman" w:hAnsi="Times New Roman"/>
          <w:color w:val="auto"/>
          <w:sz w:val="24"/>
        </w:rPr>
        <w:t xml:space="preserve"> a </w:t>
      </w:r>
      <w:r w:rsidRPr="00235C73">
        <w:rPr>
          <w:rFonts w:ascii="Times New Roman" w:hAnsi="Times New Roman"/>
          <w:color w:val="auto"/>
          <w:sz w:val="24"/>
        </w:rPr>
        <w:t>prípadne požiadavka na vlastné zdroje</w:t>
      </w:r>
      <w:r w:rsidR="00235C73">
        <w:rPr>
          <w:rFonts w:ascii="Times New Roman" w:hAnsi="Times New Roman"/>
          <w:color w:val="auto"/>
          <w:sz w:val="24"/>
        </w:rPr>
        <w:t xml:space="preserve"> a </w:t>
      </w:r>
      <w:r w:rsidRPr="00235C73">
        <w:rPr>
          <w:rFonts w:ascii="Times New Roman" w:hAnsi="Times New Roman"/>
          <w:color w:val="auto"/>
          <w:sz w:val="24"/>
        </w:rPr>
        <w:t>oprávnené záväzky pre G-SII</w:t>
      </w:r>
      <w:bookmarkEnd w:id="23"/>
      <w:bookmarkEnd w:id="24"/>
    </w:p>
    <w:p w14:paraId="7C25FB3D" w14:textId="1F97517D" w:rsidR="001D5361" w:rsidRPr="00235C73" w:rsidRDefault="00CB1021" w:rsidP="00B62DC9">
      <w:pPr>
        <w:pStyle w:val="InstructionsText2"/>
        <w:numPr>
          <w:ilvl w:val="0"/>
          <w:numId w:val="12"/>
        </w:numPr>
        <w:rPr>
          <w:noProof w:val="0"/>
        </w:rPr>
      </w:pPr>
      <w:r w:rsidRPr="00235C73">
        <w:rPr>
          <w:noProof w:val="0"/>
        </w:rPr>
        <w:t>Subjekty vysvetľujú</w:t>
      </w:r>
      <w:r w:rsidR="00235C73">
        <w:rPr>
          <w:noProof w:val="0"/>
        </w:rPr>
        <w:t xml:space="preserve"> v </w:t>
      </w:r>
      <w:r w:rsidRPr="00235C73">
        <w:rPr>
          <w:noProof w:val="0"/>
        </w:rPr>
        <w:t>opise sprevádzajúcom daný vzor každý významný rozdiel medzi zverejňovanými sumami vlastných zdrojov</w:t>
      </w:r>
      <w:r w:rsidR="00235C73">
        <w:rPr>
          <w:noProof w:val="0"/>
        </w:rPr>
        <w:t xml:space="preserve"> a </w:t>
      </w:r>
      <w:r w:rsidRPr="00235C73">
        <w:rPr>
          <w:noProof w:val="0"/>
        </w:rPr>
        <w:t>hodnotou požiadavky</w:t>
      </w:r>
      <w:r w:rsidR="00235C73">
        <w:rPr>
          <w:noProof w:val="0"/>
        </w:rPr>
        <w:t xml:space="preserve"> v </w:t>
      </w:r>
      <w:r w:rsidRPr="00235C73">
        <w:rPr>
          <w:noProof w:val="0"/>
        </w:rPr>
        <w:t>plnom rozsahu podľa IFRS 9 na úrovni skupiny, ktorej krízová situácia sa rieši. Vysvetľujú aj každý významný rozdiel medzi hodnotou požiadavky</w:t>
      </w:r>
      <w:r w:rsidR="00235C73">
        <w:rPr>
          <w:noProof w:val="0"/>
        </w:rPr>
        <w:t xml:space="preserve"> v </w:t>
      </w:r>
      <w:r w:rsidRPr="00235C73">
        <w:rPr>
          <w:noProof w:val="0"/>
        </w:rPr>
        <w:t>plnom rozsahu podľa IFRS 9 na úrovni skupiny, ktorej krízová situácia sa rieši,</w:t>
      </w:r>
      <w:r w:rsidR="00235C73">
        <w:rPr>
          <w:noProof w:val="0"/>
        </w:rPr>
        <w:t xml:space="preserve"> a </w:t>
      </w:r>
      <w:r w:rsidRPr="00235C73">
        <w:rPr>
          <w:noProof w:val="0"/>
        </w:rPr>
        <w:t>hodnotou požiadavky</w:t>
      </w:r>
      <w:r w:rsidR="00235C73">
        <w:rPr>
          <w:noProof w:val="0"/>
        </w:rPr>
        <w:t xml:space="preserve"> v </w:t>
      </w:r>
      <w:r w:rsidRPr="00235C73">
        <w:rPr>
          <w:noProof w:val="0"/>
        </w:rPr>
        <w:t>plnom rozsahu podľa IFRS 9 na úrovni skupiny pod prudenciálnym dohľadom.</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235C73" w14:paraId="534A9C03" w14:textId="77777777" w:rsidTr="00915305">
        <w:trPr>
          <w:trHeight w:val="238"/>
        </w:trPr>
        <w:tc>
          <w:tcPr>
            <w:tcW w:w="1384" w:type="dxa"/>
            <w:shd w:val="clear" w:color="auto" w:fill="D9D9D9" w:themeFill="background1" w:themeFillShade="D9"/>
          </w:tcPr>
          <w:p w14:paraId="44B24714" w14:textId="77777777" w:rsidR="006D4640" w:rsidRPr="00235C73" w:rsidRDefault="006D4640" w:rsidP="00915305">
            <w:pPr>
              <w:autoSpaceDE w:val="0"/>
              <w:autoSpaceDN w:val="0"/>
              <w:adjustRightInd w:val="0"/>
              <w:rPr>
                <w:rFonts w:ascii="Times New Roman" w:hAnsi="Times New Roman" w:cs="Times New Roman"/>
                <w:b/>
                <w:color w:val="000000" w:themeColor="text1"/>
                <w:sz w:val="24"/>
                <w:szCs w:val="24"/>
              </w:rPr>
            </w:pPr>
            <w:r w:rsidRPr="00235C73">
              <w:rPr>
                <w:rFonts w:ascii="Times New Roman" w:hAnsi="Times New Roman"/>
                <w:b/>
                <w:color w:val="000000" w:themeColor="text1"/>
                <w:sz w:val="24"/>
              </w:rPr>
              <w:t>Stĺpce</w:t>
            </w:r>
          </w:p>
        </w:tc>
        <w:tc>
          <w:tcPr>
            <w:tcW w:w="7655" w:type="dxa"/>
            <w:shd w:val="clear" w:color="auto" w:fill="D9D9D9" w:themeFill="background1" w:themeFillShade="D9"/>
          </w:tcPr>
          <w:p w14:paraId="065DB08C" w14:textId="1380C587" w:rsidR="006D4640" w:rsidRPr="00235C73" w:rsidRDefault="00E46262" w:rsidP="00915305">
            <w:pPr>
              <w:autoSpaceDE w:val="0"/>
              <w:autoSpaceDN w:val="0"/>
              <w:adjustRightInd w:val="0"/>
              <w:rPr>
                <w:rFonts w:ascii="Times New Roman" w:hAnsi="Times New Roman" w:cs="Times New Roman"/>
                <w:b/>
                <w:color w:val="000000" w:themeColor="text1"/>
                <w:sz w:val="24"/>
                <w:szCs w:val="24"/>
              </w:rPr>
            </w:pPr>
            <w:r w:rsidRPr="00235C73">
              <w:rPr>
                <w:rFonts w:ascii="Times New Roman" w:hAnsi="Times New Roman"/>
                <w:b/>
                <w:color w:val="000000" w:themeColor="text1"/>
                <w:sz w:val="24"/>
              </w:rPr>
              <w:t>Odkazy na právne predpisy</w:t>
            </w:r>
            <w:r w:rsidR="00235C73">
              <w:rPr>
                <w:rFonts w:ascii="Times New Roman" w:hAnsi="Times New Roman"/>
                <w:b/>
                <w:color w:val="000000" w:themeColor="text1"/>
                <w:sz w:val="24"/>
              </w:rPr>
              <w:t xml:space="preserve"> a </w:t>
            </w:r>
            <w:r w:rsidRPr="00235C73">
              <w:rPr>
                <w:rFonts w:ascii="Times New Roman" w:hAnsi="Times New Roman"/>
                <w:b/>
                <w:color w:val="000000" w:themeColor="text1"/>
                <w:sz w:val="24"/>
              </w:rPr>
              <w:t>pokyny</w:t>
            </w:r>
          </w:p>
        </w:tc>
      </w:tr>
      <w:tr w:rsidR="00BB516B" w:rsidRPr="00235C73" w14:paraId="5E930C2C" w14:textId="77777777" w:rsidTr="00807127">
        <w:trPr>
          <w:trHeight w:val="637"/>
        </w:trPr>
        <w:tc>
          <w:tcPr>
            <w:tcW w:w="1384" w:type="dxa"/>
          </w:tcPr>
          <w:p w14:paraId="3149647C" w14:textId="54230E4A" w:rsidR="00BB516B" w:rsidRPr="00235C73" w:rsidDel="00DE6BC1" w:rsidRDefault="00BB516B" w:rsidP="003F5FDC">
            <w:pPr>
              <w:pStyle w:val="Applicationdirecte"/>
              <w:spacing w:before="120"/>
              <w:rPr>
                <w:color w:val="000000" w:themeColor="text1"/>
                <w:szCs w:val="24"/>
              </w:rPr>
            </w:pPr>
            <w:r w:rsidRPr="00235C73">
              <w:rPr>
                <w:color w:val="000000" w:themeColor="text1"/>
              </w:rPr>
              <w:t>a</w:t>
            </w:r>
          </w:p>
        </w:tc>
        <w:tc>
          <w:tcPr>
            <w:tcW w:w="7655" w:type="dxa"/>
          </w:tcPr>
          <w:p w14:paraId="67A0C6A1" w14:textId="37BFEE6D" w:rsidR="00BB516B" w:rsidRPr="00235C73" w:rsidRDefault="008C2E99" w:rsidP="00807127">
            <w:pPr>
              <w:autoSpaceDE w:val="0"/>
              <w:autoSpaceDN w:val="0"/>
              <w:adjustRightInd w:val="0"/>
              <w:spacing w:before="120" w:after="120"/>
              <w:rPr>
                <w:rFonts w:ascii="Times New Roman" w:hAnsi="Times New Roman" w:cs="Times New Roman"/>
                <w:color w:val="000000" w:themeColor="text1"/>
                <w:sz w:val="24"/>
                <w:szCs w:val="24"/>
              </w:rPr>
            </w:pPr>
            <w:r w:rsidRPr="00235C73">
              <w:rPr>
                <w:rFonts w:ascii="Times New Roman" w:hAnsi="Times New Roman"/>
                <w:color w:val="000000" w:themeColor="text1"/>
                <w:sz w:val="24"/>
              </w:rPr>
              <w:t>Subjekty zverejňujú</w:t>
            </w:r>
            <w:r w:rsidR="00235C73">
              <w:rPr>
                <w:rFonts w:ascii="Times New Roman" w:hAnsi="Times New Roman"/>
                <w:color w:val="000000" w:themeColor="text1"/>
                <w:sz w:val="24"/>
              </w:rPr>
              <w:t xml:space="preserve"> v </w:t>
            </w:r>
            <w:r w:rsidRPr="00235C73">
              <w:rPr>
                <w:rFonts w:ascii="Times New Roman" w:hAnsi="Times New Roman"/>
                <w:color w:val="000000" w:themeColor="text1"/>
                <w:sz w:val="24"/>
              </w:rPr>
              <w:t>tomto stĺpci príslušné informácie</w:t>
            </w:r>
            <w:r w:rsidR="00235C73">
              <w:rPr>
                <w:rFonts w:ascii="Times New Roman" w:hAnsi="Times New Roman"/>
                <w:color w:val="000000" w:themeColor="text1"/>
                <w:sz w:val="24"/>
              </w:rPr>
              <w:t xml:space="preserve"> o </w:t>
            </w:r>
            <w:r w:rsidRPr="00235C73">
              <w:rPr>
                <w:rFonts w:ascii="Times New Roman" w:hAnsi="Times New Roman"/>
                <w:color w:val="000000" w:themeColor="text1"/>
                <w:sz w:val="24"/>
              </w:rPr>
              <w:t>MREL</w:t>
            </w:r>
            <w:r w:rsidR="00235C73">
              <w:rPr>
                <w:rFonts w:ascii="Times New Roman" w:hAnsi="Times New Roman"/>
                <w:color w:val="000000" w:themeColor="text1"/>
                <w:sz w:val="24"/>
              </w:rPr>
              <w:t xml:space="preserve"> v </w:t>
            </w:r>
            <w:r w:rsidRPr="00235C73">
              <w:rPr>
                <w:rFonts w:ascii="Times New Roman" w:hAnsi="Times New Roman"/>
                <w:color w:val="000000" w:themeColor="text1"/>
                <w:sz w:val="24"/>
              </w:rPr>
              <w:t>súlade</w:t>
            </w:r>
            <w:r w:rsidR="00235C73">
              <w:rPr>
                <w:rFonts w:ascii="Times New Roman" w:hAnsi="Times New Roman"/>
                <w:color w:val="000000" w:themeColor="text1"/>
                <w:sz w:val="24"/>
              </w:rPr>
              <w:t xml:space="preserve"> s </w:t>
            </w:r>
            <w:r w:rsidRPr="00235C73">
              <w:rPr>
                <w:rFonts w:ascii="Times New Roman" w:hAnsi="Times New Roman"/>
                <w:color w:val="000000" w:themeColor="text1"/>
                <w:sz w:val="24"/>
              </w:rPr>
              <w:t>článkami 45</w:t>
            </w:r>
            <w:r w:rsidR="00235C73">
              <w:rPr>
                <w:rFonts w:ascii="Times New Roman" w:hAnsi="Times New Roman"/>
                <w:color w:val="000000" w:themeColor="text1"/>
                <w:sz w:val="24"/>
              </w:rPr>
              <w:t xml:space="preserve"> a </w:t>
            </w:r>
            <w:r w:rsidRPr="00235C73">
              <w:rPr>
                <w:rFonts w:ascii="Times New Roman" w:hAnsi="Times New Roman"/>
                <w:color w:val="000000" w:themeColor="text1"/>
                <w:sz w:val="24"/>
              </w:rPr>
              <w:t>45e smernice 2014/59/EÚ.</w:t>
            </w:r>
          </w:p>
          <w:p w14:paraId="430CD6A3" w14:textId="4273F292" w:rsidR="00BB516B" w:rsidRPr="00235C73" w:rsidRDefault="008C2E99" w:rsidP="008C2E99">
            <w:pPr>
              <w:autoSpaceDE w:val="0"/>
              <w:autoSpaceDN w:val="0"/>
              <w:adjustRightInd w:val="0"/>
              <w:spacing w:before="120" w:after="120"/>
              <w:rPr>
                <w:rFonts w:ascii="Times New Roman" w:hAnsi="Times New Roman" w:cs="Times New Roman"/>
                <w:color w:val="000000" w:themeColor="text1"/>
                <w:sz w:val="24"/>
                <w:szCs w:val="24"/>
              </w:rPr>
            </w:pPr>
            <w:r w:rsidRPr="00235C73">
              <w:rPr>
                <w:rFonts w:ascii="Times New Roman" w:hAnsi="Times New Roman"/>
                <w:color w:val="000000" w:themeColor="text1"/>
                <w:sz w:val="24"/>
              </w:rPr>
              <w:t>Subjekty zverejňujú hodnotu ku koncu obdobia zverejňovania informácií.</w:t>
            </w:r>
          </w:p>
        </w:tc>
      </w:tr>
      <w:tr w:rsidR="00DE6BC1" w:rsidRPr="00235C73" w14:paraId="7B5301DE" w14:textId="77777777" w:rsidTr="00915305">
        <w:trPr>
          <w:trHeight w:val="637"/>
        </w:trPr>
        <w:tc>
          <w:tcPr>
            <w:tcW w:w="1384" w:type="dxa"/>
          </w:tcPr>
          <w:p w14:paraId="6F6942E8" w14:textId="11CBC8E4" w:rsidR="00DE6BC1" w:rsidRPr="00235C73" w:rsidDel="00DE6BC1" w:rsidRDefault="00B96861" w:rsidP="00BB516B">
            <w:pPr>
              <w:pStyle w:val="Applicationdirecte"/>
              <w:spacing w:before="120"/>
              <w:rPr>
                <w:color w:val="000000" w:themeColor="text1"/>
                <w:szCs w:val="24"/>
              </w:rPr>
            </w:pPr>
            <w:r w:rsidRPr="00235C73">
              <w:rPr>
                <w:color w:val="000000" w:themeColor="text1"/>
              </w:rPr>
              <w:t>b až f</w:t>
            </w:r>
          </w:p>
        </w:tc>
        <w:tc>
          <w:tcPr>
            <w:tcW w:w="7655" w:type="dxa"/>
          </w:tcPr>
          <w:p w14:paraId="43C14334" w14:textId="44663248" w:rsidR="00235C73" w:rsidRDefault="008C2E99" w:rsidP="00DE6BC1">
            <w:pPr>
              <w:autoSpaceDE w:val="0"/>
              <w:autoSpaceDN w:val="0"/>
              <w:adjustRightInd w:val="0"/>
              <w:spacing w:before="120" w:after="120"/>
              <w:rPr>
                <w:rFonts w:ascii="Times New Roman" w:hAnsi="Times New Roman"/>
                <w:color w:val="000000" w:themeColor="text1"/>
                <w:sz w:val="24"/>
              </w:rPr>
            </w:pPr>
            <w:r w:rsidRPr="00235C73">
              <w:rPr>
                <w:rFonts w:ascii="Times New Roman" w:hAnsi="Times New Roman"/>
                <w:color w:val="000000" w:themeColor="text1"/>
                <w:sz w:val="24"/>
              </w:rPr>
              <w:t>Subjekty, ktoré sú G-SII, na ktoré sa vzťahuje požiadavka TLAC podľa článku 92a nariadenia (EÚ) č. 575/2013, zverejňujú</w:t>
            </w:r>
            <w:r w:rsidR="00235C73">
              <w:rPr>
                <w:rFonts w:ascii="Times New Roman" w:hAnsi="Times New Roman"/>
                <w:color w:val="000000" w:themeColor="text1"/>
                <w:sz w:val="24"/>
              </w:rPr>
              <w:t xml:space="preserve"> v </w:t>
            </w:r>
            <w:r w:rsidRPr="00235C73">
              <w:rPr>
                <w:rFonts w:ascii="Times New Roman" w:hAnsi="Times New Roman"/>
                <w:color w:val="000000" w:themeColor="text1"/>
                <w:sz w:val="24"/>
              </w:rPr>
              <w:t>týchto stĺpcoch príslušné informácie</w:t>
            </w:r>
            <w:r w:rsidR="00235C73">
              <w:rPr>
                <w:rFonts w:ascii="Times New Roman" w:hAnsi="Times New Roman"/>
                <w:color w:val="000000" w:themeColor="text1"/>
                <w:sz w:val="24"/>
              </w:rPr>
              <w:t xml:space="preserve"> o </w:t>
            </w:r>
            <w:r w:rsidRPr="00235C73">
              <w:rPr>
                <w:rFonts w:ascii="Times New Roman" w:hAnsi="Times New Roman"/>
                <w:color w:val="000000" w:themeColor="text1"/>
                <w:sz w:val="24"/>
              </w:rPr>
              <w:t>tejto požiadavke</w:t>
            </w:r>
            <w:r w:rsidR="00235C73">
              <w:rPr>
                <w:rFonts w:ascii="Times New Roman" w:hAnsi="Times New Roman"/>
                <w:color w:val="000000" w:themeColor="text1"/>
                <w:sz w:val="24"/>
              </w:rPr>
              <w:t>.</w:t>
            </w:r>
          </w:p>
          <w:p w14:paraId="34389FB0" w14:textId="14A11206" w:rsidR="00DE6BC1" w:rsidRPr="00235C73" w:rsidRDefault="00DE6BC1" w:rsidP="00401EDD">
            <w:pPr>
              <w:autoSpaceDE w:val="0"/>
              <w:autoSpaceDN w:val="0"/>
              <w:adjustRightInd w:val="0"/>
              <w:spacing w:before="120" w:after="120"/>
              <w:rPr>
                <w:rFonts w:ascii="Times New Roman" w:hAnsi="Times New Roman" w:cs="Times New Roman"/>
                <w:b/>
                <w:color w:val="000000" w:themeColor="text1"/>
                <w:sz w:val="24"/>
                <w:szCs w:val="24"/>
              </w:rPr>
            </w:pPr>
            <w:r w:rsidRPr="00235C73">
              <w:rPr>
                <w:rFonts w:ascii="Times New Roman" w:hAnsi="Times New Roman"/>
                <w:sz w:val="24"/>
              </w:rPr>
              <w:t>Obdobia zverejňovania informácií T, T – 1, T – 2, T – 3</w:t>
            </w:r>
            <w:r w:rsidR="00235C73">
              <w:rPr>
                <w:rFonts w:ascii="Times New Roman" w:hAnsi="Times New Roman"/>
                <w:sz w:val="24"/>
              </w:rPr>
              <w:t xml:space="preserve"> a </w:t>
            </w:r>
            <w:r w:rsidRPr="00235C73">
              <w:rPr>
                <w:rFonts w:ascii="Times New Roman" w:hAnsi="Times New Roman"/>
                <w:sz w:val="24"/>
              </w:rPr>
              <w:t>T – 4 sú štvrťročné obdobia. Subjekty zverejňujú dátumy zodpovedajúce obdobiam zverejňovania informácií. Subjekty, ktoré zverejňujú tieto informácie raz za štvrťrok, poskytujú údaje za obdobia T, T – 1, T – 2, T – 3</w:t>
            </w:r>
            <w:r w:rsidR="00235C73">
              <w:rPr>
                <w:rFonts w:ascii="Times New Roman" w:hAnsi="Times New Roman"/>
                <w:sz w:val="24"/>
              </w:rPr>
              <w:t xml:space="preserve"> a </w:t>
            </w:r>
            <w:r w:rsidRPr="00235C73">
              <w:rPr>
                <w:rFonts w:ascii="Times New Roman" w:hAnsi="Times New Roman"/>
                <w:sz w:val="24"/>
              </w:rPr>
              <w:t>T – 4; subjekty, ktoré zverejňujú tieto informácie raz za polrok, poskytujú údaje za obdobia T, T – 2</w:t>
            </w:r>
            <w:r w:rsidR="00235C73">
              <w:rPr>
                <w:rFonts w:ascii="Times New Roman" w:hAnsi="Times New Roman"/>
                <w:sz w:val="24"/>
              </w:rPr>
              <w:t xml:space="preserve"> a </w:t>
            </w:r>
            <w:r w:rsidRPr="00235C73">
              <w:rPr>
                <w:rFonts w:ascii="Times New Roman" w:hAnsi="Times New Roman"/>
                <w:sz w:val="24"/>
              </w:rPr>
              <w:t>T – 4;</w:t>
            </w:r>
            <w:r w:rsidR="00235C73">
              <w:rPr>
                <w:rFonts w:ascii="Times New Roman" w:hAnsi="Times New Roman"/>
                <w:sz w:val="24"/>
              </w:rPr>
              <w:t xml:space="preserve"> a </w:t>
            </w:r>
            <w:r w:rsidRPr="00235C73">
              <w:rPr>
                <w:rFonts w:ascii="Times New Roman" w:hAnsi="Times New Roman"/>
                <w:sz w:val="24"/>
              </w:rPr>
              <w:t>subjekty, ktoré zverejňujú tieto informácie raz za rok, poskytujú údaje za obdobia T</w:t>
            </w:r>
            <w:r w:rsidR="00235C73">
              <w:rPr>
                <w:rFonts w:ascii="Times New Roman" w:hAnsi="Times New Roman"/>
                <w:sz w:val="24"/>
              </w:rPr>
              <w:t xml:space="preserve"> a </w:t>
            </w:r>
            <w:r w:rsidRPr="00235C73">
              <w:rPr>
                <w:rFonts w:ascii="Times New Roman" w:hAnsi="Times New Roman"/>
                <w:sz w:val="24"/>
              </w:rPr>
              <w:t>T – 4.</w:t>
            </w:r>
          </w:p>
        </w:tc>
      </w:tr>
    </w:tbl>
    <w:p w14:paraId="33309394" w14:textId="77777777" w:rsidR="009C13C2" w:rsidRPr="00235C73" w:rsidRDefault="009C13C2" w:rsidP="006D4640">
      <w:pPr>
        <w:rPr>
          <w:rFonts w:ascii="Times New Roman" w:hAnsi="Times New Roman" w:cs="Times New Roman"/>
          <w:color w:val="000000" w:themeColor="text1"/>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235C73" w14:paraId="65A77E60" w14:textId="77777777" w:rsidTr="00915305">
        <w:trPr>
          <w:trHeight w:val="238"/>
        </w:trPr>
        <w:tc>
          <w:tcPr>
            <w:tcW w:w="1384" w:type="dxa"/>
            <w:shd w:val="clear" w:color="auto" w:fill="D9D9D9" w:themeFill="background1" w:themeFillShade="D9"/>
          </w:tcPr>
          <w:p w14:paraId="2C46BBB5" w14:textId="77777777" w:rsidR="006D4640" w:rsidRPr="00235C73" w:rsidRDefault="006D4640" w:rsidP="00915305">
            <w:pPr>
              <w:autoSpaceDE w:val="0"/>
              <w:autoSpaceDN w:val="0"/>
              <w:adjustRightInd w:val="0"/>
              <w:rPr>
                <w:rFonts w:ascii="Times New Roman" w:hAnsi="Times New Roman" w:cs="Times New Roman"/>
                <w:b/>
                <w:color w:val="000000" w:themeColor="text1"/>
                <w:sz w:val="24"/>
                <w:szCs w:val="24"/>
              </w:rPr>
            </w:pPr>
            <w:r w:rsidRPr="00235C73">
              <w:rPr>
                <w:rFonts w:ascii="Times New Roman" w:hAnsi="Times New Roman"/>
                <w:b/>
                <w:color w:val="000000" w:themeColor="text1"/>
                <w:sz w:val="24"/>
              </w:rPr>
              <w:t>Riadky</w:t>
            </w:r>
          </w:p>
        </w:tc>
        <w:tc>
          <w:tcPr>
            <w:tcW w:w="7655" w:type="dxa"/>
            <w:shd w:val="clear" w:color="auto" w:fill="D9D9D9" w:themeFill="background1" w:themeFillShade="D9"/>
          </w:tcPr>
          <w:p w14:paraId="309BD783" w14:textId="7DC75EA0" w:rsidR="006D4640" w:rsidRPr="00235C73" w:rsidRDefault="00E46262" w:rsidP="00915305">
            <w:pPr>
              <w:autoSpaceDE w:val="0"/>
              <w:autoSpaceDN w:val="0"/>
              <w:adjustRightInd w:val="0"/>
              <w:rPr>
                <w:rFonts w:ascii="Times New Roman" w:hAnsi="Times New Roman" w:cs="Times New Roman"/>
                <w:color w:val="000000" w:themeColor="text1"/>
                <w:sz w:val="24"/>
                <w:szCs w:val="24"/>
              </w:rPr>
            </w:pPr>
            <w:r w:rsidRPr="00235C73">
              <w:rPr>
                <w:rFonts w:ascii="Times New Roman" w:hAnsi="Times New Roman"/>
                <w:b/>
                <w:color w:val="000000" w:themeColor="text1"/>
                <w:sz w:val="24"/>
              </w:rPr>
              <w:t>Odkazy na právne predpisy</w:t>
            </w:r>
            <w:r w:rsidR="00235C73">
              <w:rPr>
                <w:rFonts w:ascii="Times New Roman" w:hAnsi="Times New Roman"/>
                <w:b/>
                <w:color w:val="000000" w:themeColor="text1"/>
                <w:sz w:val="24"/>
              </w:rPr>
              <w:t xml:space="preserve"> a </w:t>
            </w:r>
            <w:r w:rsidRPr="00235C73">
              <w:rPr>
                <w:rFonts w:ascii="Times New Roman" w:hAnsi="Times New Roman"/>
                <w:b/>
                <w:color w:val="000000" w:themeColor="text1"/>
                <w:sz w:val="24"/>
              </w:rPr>
              <w:t>pokyny</w:t>
            </w:r>
          </w:p>
        </w:tc>
      </w:tr>
      <w:tr w:rsidR="00DF735F" w:rsidRPr="00235C73" w14:paraId="3E6E8E5C" w14:textId="77777777" w:rsidTr="005D18F8">
        <w:trPr>
          <w:trHeight w:val="1014"/>
        </w:trPr>
        <w:tc>
          <w:tcPr>
            <w:tcW w:w="1384" w:type="dxa"/>
          </w:tcPr>
          <w:p w14:paraId="2671D250" w14:textId="2BE97FB7" w:rsidR="00DF735F" w:rsidRPr="00235C73" w:rsidRDefault="00150101" w:rsidP="005D18F8">
            <w:pPr>
              <w:pStyle w:val="Applicationdirecte"/>
              <w:spacing w:before="120"/>
              <w:rPr>
                <w:color w:val="000000" w:themeColor="text1"/>
                <w:szCs w:val="24"/>
              </w:rPr>
            </w:pPr>
            <w:r w:rsidRPr="00235C73">
              <w:rPr>
                <w:color w:val="000000" w:themeColor="text1"/>
              </w:rPr>
              <w:t>1</w:t>
            </w:r>
          </w:p>
        </w:tc>
        <w:tc>
          <w:tcPr>
            <w:tcW w:w="7655" w:type="dxa"/>
          </w:tcPr>
          <w:p w14:paraId="779E1D4D" w14:textId="0520A6F9" w:rsidR="00DF735F" w:rsidRPr="00235C73" w:rsidRDefault="00DF735F" w:rsidP="005D18F8">
            <w:pPr>
              <w:pStyle w:val="Applicationdirecte"/>
              <w:spacing w:before="120"/>
              <w:rPr>
                <w:b/>
                <w:color w:val="000000" w:themeColor="text1"/>
                <w:szCs w:val="24"/>
              </w:rPr>
            </w:pPr>
            <w:r w:rsidRPr="00235C73">
              <w:rPr>
                <w:b/>
                <w:color w:val="000000" w:themeColor="text1"/>
              </w:rPr>
              <w:t>Vlastné zdroje</w:t>
            </w:r>
            <w:r w:rsidR="00235C73">
              <w:rPr>
                <w:b/>
                <w:color w:val="000000" w:themeColor="text1"/>
              </w:rPr>
              <w:t xml:space="preserve"> a </w:t>
            </w:r>
            <w:r w:rsidRPr="00235C73">
              <w:rPr>
                <w:b/>
                <w:color w:val="000000" w:themeColor="text1"/>
              </w:rPr>
              <w:t>oprávnené záväzky</w:t>
            </w:r>
          </w:p>
          <w:p w14:paraId="0A140E20" w14:textId="690BADDA" w:rsidR="00DF735F" w:rsidRPr="00235C73" w:rsidRDefault="00DF735F" w:rsidP="00812B3B">
            <w:pPr>
              <w:spacing w:before="120" w:after="120" w:line="240" w:lineRule="auto"/>
              <w:jc w:val="both"/>
              <w:rPr>
                <w:rFonts w:ascii="Times New Roman" w:hAnsi="Times New Roman" w:cs="Times New Roman"/>
                <w:bCs/>
                <w:sz w:val="24"/>
              </w:rPr>
            </w:pPr>
            <w:r w:rsidRPr="00235C73">
              <w:rPr>
                <w:rFonts w:ascii="Times New Roman" w:hAnsi="Times New Roman"/>
                <w:color w:val="000000" w:themeColor="text1"/>
                <w:sz w:val="24"/>
              </w:rPr>
              <w:t>Rovnajúce sa hodnotám zverejneným</w:t>
            </w:r>
            <w:r w:rsidR="00235C73">
              <w:rPr>
                <w:rFonts w:ascii="Times New Roman" w:hAnsi="Times New Roman"/>
                <w:color w:val="000000" w:themeColor="text1"/>
                <w:sz w:val="24"/>
              </w:rPr>
              <w:t xml:space="preserve"> v </w:t>
            </w:r>
            <w:r w:rsidRPr="00235C73">
              <w:rPr>
                <w:rFonts w:ascii="Times New Roman" w:hAnsi="Times New Roman"/>
                <w:color w:val="000000" w:themeColor="text1"/>
                <w:sz w:val="24"/>
              </w:rPr>
              <w:t>riadku 22 vzoru na zverejňovanie informácií EU TLAC1.</w:t>
            </w:r>
          </w:p>
        </w:tc>
      </w:tr>
      <w:tr w:rsidR="00962389" w:rsidRPr="00235C73" w14:paraId="3461B86E" w14:textId="77777777" w:rsidTr="00915305">
        <w:trPr>
          <w:trHeight w:val="1014"/>
        </w:trPr>
        <w:tc>
          <w:tcPr>
            <w:tcW w:w="1384" w:type="dxa"/>
          </w:tcPr>
          <w:p w14:paraId="47F71FA9" w14:textId="52988882" w:rsidR="00962389" w:rsidRPr="00235C73" w:rsidDel="00150101" w:rsidRDefault="00962389" w:rsidP="005B765F">
            <w:pPr>
              <w:pStyle w:val="Applicationdirecte"/>
              <w:spacing w:before="120"/>
              <w:rPr>
                <w:color w:val="000000" w:themeColor="text1"/>
                <w:szCs w:val="24"/>
              </w:rPr>
            </w:pPr>
            <w:r w:rsidRPr="00235C73">
              <w:rPr>
                <w:color w:val="000000" w:themeColor="text1"/>
              </w:rPr>
              <w:t>EU-1a</w:t>
            </w:r>
          </w:p>
        </w:tc>
        <w:tc>
          <w:tcPr>
            <w:tcW w:w="7655" w:type="dxa"/>
          </w:tcPr>
          <w:p w14:paraId="3D396CEE" w14:textId="613E7424" w:rsidR="00962389" w:rsidRPr="00235C73" w:rsidRDefault="00962389" w:rsidP="00962389">
            <w:pPr>
              <w:autoSpaceDE w:val="0"/>
              <w:autoSpaceDN w:val="0"/>
              <w:adjustRightInd w:val="0"/>
              <w:spacing w:before="120" w:after="120"/>
              <w:jc w:val="both"/>
              <w:rPr>
                <w:rFonts w:ascii="Times New Roman" w:hAnsi="Times New Roman" w:cs="Times New Roman"/>
                <w:b/>
                <w:color w:val="000000" w:themeColor="text1"/>
                <w:sz w:val="24"/>
                <w:szCs w:val="24"/>
              </w:rPr>
            </w:pPr>
            <w:r w:rsidRPr="00235C73">
              <w:rPr>
                <w:rFonts w:ascii="Times New Roman" w:hAnsi="Times New Roman"/>
                <w:b/>
                <w:color w:val="000000" w:themeColor="text1"/>
                <w:sz w:val="24"/>
              </w:rPr>
              <w:t>Vlastné zdroje</w:t>
            </w:r>
            <w:r w:rsidR="00235C73">
              <w:rPr>
                <w:rFonts w:ascii="Times New Roman" w:hAnsi="Times New Roman"/>
                <w:b/>
                <w:color w:val="000000" w:themeColor="text1"/>
                <w:sz w:val="24"/>
              </w:rPr>
              <w:t xml:space="preserve"> a </w:t>
            </w:r>
            <w:r w:rsidRPr="00235C73">
              <w:rPr>
                <w:rFonts w:ascii="Times New Roman" w:hAnsi="Times New Roman"/>
                <w:b/>
                <w:color w:val="000000" w:themeColor="text1"/>
                <w:sz w:val="24"/>
              </w:rPr>
              <w:t>oprávnené záväzky –</w:t>
            </w:r>
            <w:r w:rsidR="00235C73">
              <w:rPr>
                <w:rFonts w:ascii="Times New Roman" w:hAnsi="Times New Roman"/>
                <w:b/>
                <w:color w:val="000000" w:themeColor="text1"/>
                <w:sz w:val="24"/>
              </w:rPr>
              <w:t xml:space="preserve"> z </w:t>
            </w:r>
            <w:r w:rsidRPr="00235C73">
              <w:rPr>
                <w:rFonts w:ascii="Times New Roman" w:hAnsi="Times New Roman"/>
                <w:b/>
                <w:color w:val="000000" w:themeColor="text1"/>
                <w:sz w:val="24"/>
              </w:rPr>
              <w:t>čoho vlastné zdroje</w:t>
            </w:r>
            <w:r w:rsidR="00235C73">
              <w:rPr>
                <w:rFonts w:ascii="Times New Roman" w:hAnsi="Times New Roman"/>
                <w:b/>
                <w:color w:val="000000" w:themeColor="text1"/>
                <w:sz w:val="24"/>
              </w:rPr>
              <w:t xml:space="preserve"> a </w:t>
            </w:r>
            <w:r w:rsidRPr="00235C73">
              <w:rPr>
                <w:rFonts w:ascii="Times New Roman" w:hAnsi="Times New Roman"/>
                <w:b/>
                <w:color w:val="000000" w:themeColor="text1"/>
                <w:sz w:val="24"/>
              </w:rPr>
              <w:t>podriadené záväzky</w:t>
            </w:r>
          </w:p>
          <w:p w14:paraId="729B564A" w14:textId="6A9215E9" w:rsidR="00AF2AB2" w:rsidRPr="00235C73" w:rsidRDefault="00AF2AB2" w:rsidP="00962389">
            <w:pPr>
              <w:autoSpaceDE w:val="0"/>
              <w:autoSpaceDN w:val="0"/>
              <w:adjustRightInd w:val="0"/>
              <w:spacing w:before="120" w:after="120"/>
              <w:jc w:val="both"/>
              <w:rPr>
                <w:rFonts w:ascii="Times New Roman" w:hAnsi="Times New Roman" w:cs="Times New Roman"/>
                <w:color w:val="000000" w:themeColor="text1"/>
                <w:sz w:val="24"/>
                <w:szCs w:val="24"/>
              </w:rPr>
            </w:pPr>
            <w:r w:rsidRPr="00235C73">
              <w:rPr>
                <w:rFonts w:ascii="Times New Roman" w:hAnsi="Times New Roman"/>
                <w:color w:val="000000" w:themeColor="text1"/>
                <w:sz w:val="24"/>
              </w:rPr>
              <w:t>Rovnajúce sa hodnote zverejnenej</w:t>
            </w:r>
            <w:r w:rsidR="00235C73">
              <w:rPr>
                <w:rFonts w:ascii="Times New Roman" w:hAnsi="Times New Roman"/>
                <w:color w:val="000000" w:themeColor="text1"/>
                <w:sz w:val="24"/>
              </w:rPr>
              <w:t xml:space="preserve"> v </w:t>
            </w:r>
            <w:r w:rsidRPr="00235C73">
              <w:rPr>
                <w:rFonts w:ascii="Times New Roman" w:hAnsi="Times New Roman"/>
                <w:color w:val="000000" w:themeColor="text1"/>
                <w:sz w:val="24"/>
              </w:rPr>
              <w:t>riadku EU-22a vzoru na zverejňovanie informácií EU TLAC1.</w:t>
            </w:r>
          </w:p>
          <w:p w14:paraId="6E8661C5" w14:textId="57B84CFB" w:rsidR="00AF2AB2" w:rsidRPr="00235C73" w:rsidRDefault="00AF2AB2" w:rsidP="00B96861">
            <w:pPr>
              <w:rPr>
                <w:rFonts w:ascii="Times New Roman" w:hAnsi="Times New Roman" w:cs="Times New Roman"/>
                <w:b/>
                <w:color w:val="000000" w:themeColor="text1"/>
                <w:sz w:val="24"/>
                <w:szCs w:val="24"/>
              </w:rPr>
            </w:pPr>
            <w:r w:rsidRPr="00235C73">
              <w:rPr>
                <w:rFonts w:ascii="Times New Roman" w:hAnsi="Times New Roman"/>
                <w:color w:val="000000" w:themeColor="text1"/>
                <w:sz w:val="24"/>
              </w:rPr>
              <w:t xml:space="preserve">Vlastné zdroje, oprávnené záväzky </w:t>
            </w:r>
            <w:r w:rsidRPr="00235C73">
              <w:rPr>
                <w:rStyle w:val="InstructionsTabelleberschrift"/>
                <w:rFonts w:ascii="Times New Roman" w:hAnsi="Times New Roman"/>
                <w:b w:val="0"/>
                <w:sz w:val="24"/>
                <w:u w:val="none"/>
              </w:rPr>
              <w:t xml:space="preserve">zahrnuté do </w:t>
            </w:r>
            <w:r w:rsidRPr="00235C73">
              <w:rPr>
                <w:rStyle w:val="FormatvorlageInstructionsTabelleText"/>
                <w:rFonts w:ascii="Times New Roman" w:hAnsi="Times New Roman"/>
                <w:sz w:val="24"/>
              </w:rPr>
              <w:t>sumy vlastných zdrojov</w:t>
            </w:r>
            <w:r w:rsidR="00235C73">
              <w:rPr>
                <w:rStyle w:val="FormatvorlageInstructionsTabelleText"/>
                <w:rFonts w:ascii="Times New Roman" w:hAnsi="Times New Roman"/>
                <w:sz w:val="24"/>
              </w:rPr>
              <w:t xml:space="preserve"> a </w:t>
            </w:r>
            <w:r w:rsidRPr="00235C73">
              <w:rPr>
                <w:rStyle w:val="FormatvorlageInstructionsTabelleText"/>
                <w:rFonts w:ascii="Times New Roman" w:hAnsi="Times New Roman"/>
                <w:sz w:val="24"/>
              </w:rPr>
              <w:t>oprávnených záväzkov podľa článku 45b smernice 2014/59/EÚ, ktoré sú podriadenými oprávnenými nástrojmi</w:t>
            </w:r>
            <w:r w:rsidR="00235C73">
              <w:rPr>
                <w:rStyle w:val="FormatvorlageInstructionsTabelleText"/>
                <w:rFonts w:ascii="Times New Roman" w:hAnsi="Times New Roman"/>
                <w:sz w:val="24"/>
              </w:rPr>
              <w:t xml:space="preserve"> v </w:t>
            </w:r>
            <w:r w:rsidRPr="00235C73">
              <w:rPr>
                <w:rStyle w:val="FormatvorlageInstructionsTabelleText"/>
                <w:rFonts w:ascii="Times New Roman" w:hAnsi="Times New Roman"/>
                <w:sz w:val="24"/>
              </w:rPr>
              <w:t>zmysle vymedzenia</w:t>
            </w:r>
            <w:r w:rsidR="00235C73">
              <w:rPr>
                <w:rStyle w:val="FormatvorlageInstructionsTabelleText"/>
                <w:rFonts w:ascii="Times New Roman" w:hAnsi="Times New Roman"/>
                <w:sz w:val="24"/>
              </w:rPr>
              <w:t xml:space="preserve"> v </w:t>
            </w:r>
            <w:r w:rsidRPr="00235C73">
              <w:rPr>
                <w:rStyle w:val="FormatvorlageInstructionsTabelleText"/>
                <w:rFonts w:ascii="Times New Roman" w:hAnsi="Times New Roman"/>
                <w:sz w:val="24"/>
              </w:rPr>
              <w:t>článku 2 ods. 1 bode 71b uvedenej smernice,</w:t>
            </w:r>
            <w:r w:rsidR="00235C73">
              <w:rPr>
                <w:rStyle w:val="FormatvorlageInstructionsTabelleText"/>
                <w:rFonts w:ascii="Times New Roman" w:hAnsi="Times New Roman"/>
                <w:sz w:val="24"/>
              </w:rPr>
              <w:t xml:space="preserve"> a </w:t>
            </w:r>
            <w:r w:rsidRPr="00235C73">
              <w:rPr>
                <w:rStyle w:val="InstructionsTabelleberschrift"/>
                <w:rFonts w:ascii="Times New Roman" w:hAnsi="Times New Roman"/>
                <w:b w:val="0"/>
                <w:sz w:val="24"/>
                <w:u w:val="none"/>
              </w:rPr>
              <w:t>záväzky</w:t>
            </w:r>
            <w:r w:rsidRPr="00235C73">
              <w:rPr>
                <w:rStyle w:val="FormatvorlageInstructionsTabelleText"/>
                <w:rFonts w:ascii="Times New Roman" w:hAnsi="Times New Roman"/>
                <w:sz w:val="24"/>
              </w:rPr>
              <w:t xml:space="preserve"> zahrnuté do sumy vlastných zdrojov</w:t>
            </w:r>
            <w:r w:rsidR="00235C73">
              <w:rPr>
                <w:rStyle w:val="FormatvorlageInstructionsTabelleText"/>
                <w:rFonts w:ascii="Times New Roman" w:hAnsi="Times New Roman"/>
                <w:sz w:val="24"/>
              </w:rPr>
              <w:t xml:space="preserve"> a </w:t>
            </w:r>
            <w:r w:rsidRPr="00235C73">
              <w:rPr>
                <w:rStyle w:val="FormatvorlageInstructionsTabelleText"/>
                <w:rFonts w:ascii="Times New Roman" w:hAnsi="Times New Roman"/>
                <w:sz w:val="24"/>
              </w:rPr>
              <w:t xml:space="preserve">oprávnených záväzkov podľa článku 45b ods. 3 smernice </w:t>
            </w:r>
            <w:r w:rsidRPr="00235C73">
              <w:rPr>
                <w:rStyle w:val="FormatvorlageInstructionsTabelleText"/>
                <w:rFonts w:ascii="Times New Roman" w:hAnsi="Times New Roman"/>
                <w:sz w:val="24"/>
              </w:rPr>
              <w:lastRenderedPageBreak/>
              <w:t>2014/59/EÚ. Pri nástrojoch upravených právom tretej krajiny sa nástroj uvádza</w:t>
            </w:r>
            <w:r w:rsidR="00235C73">
              <w:rPr>
                <w:rStyle w:val="FormatvorlageInstructionsTabelleText"/>
                <w:rFonts w:ascii="Times New Roman" w:hAnsi="Times New Roman"/>
                <w:sz w:val="24"/>
              </w:rPr>
              <w:t xml:space="preserve"> v </w:t>
            </w:r>
            <w:r w:rsidRPr="00235C73">
              <w:rPr>
                <w:rStyle w:val="FormatvorlageInstructionsTabelleText"/>
                <w:rFonts w:ascii="Times New Roman" w:hAnsi="Times New Roman"/>
                <w:sz w:val="24"/>
              </w:rPr>
              <w:t>tomto riadku len vtedy, ak spĺňa požiadavky stanovené</w:t>
            </w:r>
            <w:r w:rsidR="00235C73">
              <w:rPr>
                <w:rStyle w:val="FormatvorlageInstructionsTabelleText"/>
                <w:rFonts w:ascii="Times New Roman" w:hAnsi="Times New Roman"/>
                <w:sz w:val="24"/>
              </w:rPr>
              <w:t xml:space="preserve"> v </w:t>
            </w:r>
            <w:r w:rsidRPr="00235C73">
              <w:rPr>
                <w:rStyle w:val="FormatvorlageInstructionsTabelleText"/>
                <w:rFonts w:ascii="Times New Roman" w:hAnsi="Times New Roman"/>
                <w:sz w:val="24"/>
              </w:rPr>
              <w:t>článku 55 smernice 2014/59/EÚ.</w:t>
            </w:r>
          </w:p>
        </w:tc>
      </w:tr>
      <w:tr w:rsidR="00026FC1" w:rsidRPr="00235C73" w14:paraId="7087FBBE" w14:textId="77777777" w:rsidTr="00915305">
        <w:trPr>
          <w:trHeight w:val="1014"/>
        </w:trPr>
        <w:tc>
          <w:tcPr>
            <w:tcW w:w="1384" w:type="dxa"/>
          </w:tcPr>
          <w:p w14:paraId="65A81525" w14:textId="01438D1E" w:rsidR="006D4640" w:rsidRPr="00235C73" w:rsidRDefault="00150101" w:rsidP="00915305">
            <w:pPr>
              <w:pStyle w:val="Applicationdirecte"/>
              <w:spacing w:before="120"/>
              <w:rPr>
                <w:color w:val="000000" w:themeColor="text1"/>
                <w:szCs w:val="24"/>
              </w:rPr>
            </w:pPr>
            <w:r w:rsidRPr="00235C73">
              <w:rPr>
                <w:color w:val="000000" w:themeColor="text1"/>
              </w:rPr>
              <w:lastRenderedPageBreak/>
              <w:t>2</w:t>
            </w:r>
          </w:p>
        </w:tc>
        <w:tc>
          <w:tcPr>
            <w:tcW w:w="7655" w:type="dxa"/>
          </w:tcPr>
          <w:p w14:paraId="6D51BEC4" w14:textId="77777777" w:rsidR="00235C73" w:rsidRDefault="006D4640" w:rsidP="00915305">
            <w:pPr>
              <w:autoSpaceDE w:val="0"/>
              <w:autoSpaceDN w:val="0"/>
              <w:adjustRightInd w:val="0"/>
              <w:spacing w:before="120" w:after="120"/>
              <w:jc w:val="both"/>
              <w:rPr>
                <w:rFonts w:ascii="Times New Roman" w:hAnsi="Times New Roman"/>
                <w:b/>
                <w:color w:val="000000" w:themeColor="text1"/>
                <w:sz w:val="24"/>
              </w:rPr>
            </w:pPr>
            <w:r w:rsidRPr="00235C73">
              <w:rPr>
                <w:rFonts w:ascii="Times New Roman" w:hAnsi="Times New Roman"/>
                <w:b/>
                <w:color w:val="000000" w:themeColor="text1"/>
                <w:sz w:val="24"/>
              </w:rPr>
              <w:t>Celková hodnota rizikovej expozície (TREA) skupiny, ktorej krízová situácia sa rieši</w:t>
            </w:r>
          </w:p>
          <w:p w14:paraId="147C8558" w14:textId="7B6F064D" w:rsidR="006D4640" w:rsidRPr="00235C73" w:rsidRDefault="006D4640" w:rsidP="00936956">
            <w:pPr>
              <w:autoSpaceDE w:val="0"/>
              <w:autoSpaceDN w:val="0"/>
              <w:adjustRightInd w:val="0"/>
              <w:spacing w:before="120" w:after="120"/>
              <w:jc w:val="both"/>
              <w:rPr>
                <w:rFonts w:ascii="Times New Roman" w:hAnsi="Times New Roman" w:cs="Times New Roman"/>
                <w:color w:val="000000" w:themeColor="text1"/>
                <w:sz w:val="24"/>
                <w:szCs w:val="24"/>
              </w:rPr>
            </w:pPr>
            <w:r w:rsidRPr="00235C73">
              <w:rPr>
                <w:rFonts w:ascii="Times New Roman" w:hAnsi="Times New Roman"/>
                <w:color w:val="000000" w:themeColor="text1"/>
                <w:sz w:val="24"/>
              </w:rPr>
              <w:t>Rovnajúca sa hodnote zverejnenej</w:t>
            </w:r>
            <w:r w:rsidR="00235C73">
              <w:rPr>
                <w:rFonts w:ascii="Times New Roman" w:hAnsi="Times New Roman"/>
                <w:color w:val="000000" w:themeColor="text1"/>
                <w:sz w:val="24"/>
              </w:rPr>
              <w:t xml:space="preserve"> v </w:t>
            </w:r>
            <w:r w:rsidRPr="00235C73">
              <w:rPr>
                <w:rFonts w:ascii="Times New Roman" w:hAnsi="Times New Roman"/>
                <w:color w:val="000000" w:themeColor="text1"/>
                <w:sz w:val="24"/>
              </w:rPr>
              <w:t>riadku 23 vzoru na zverejňovanie informácií EU TLAC1.</w:t>
            </w:r>
          </w:p>
          <w:p w14:paraId="10BE5322" w14:textId="167B6DDA" w:rsidR="00705FB0" w:rsidRPr="00235C73" w:rsidRDefault="003D0BF6" w:rsidP="00FB021F">
            <w:pPr>
              <w:autoSpaceDE w:val="0"/>
              <w:autoSpaceDN w:val="0"/>
              <w:adjustRightInd w:val="0"/>
              <w:spacing w:before="120" w:after="120"/>
              <w:jc w:val="both"/>
              <w:rPr>
                <w:rFonts w:ascii="Times New Roman" w:hAnsi="Times New Roman" w:cs="Times New Roman"/>
                <w:bCs/>
                <w:sz w:val="24"/>
              </w:rPr>
            </w:pPr>
            <w:r w:rsidRPr="00235C73">
              <w:rPr>
                <w:rStyle w:val="FormatvorlageInstructionsTabelleText"/>
                <w:rFonts w:ascii="Times New Roman" w:hAnsi="Times New Roman"/>
                <w:sz w:val="24"/>
              </w:rPr>
              <w:t>Článok 45 ods. 2 písm. a) smernice 2014/59/EÚ, článok 92 ods. 3 nariadenia (EÚ) č. 575/2013.</w:t>
            </w:r>
          </w:p>
        </w:tc>
      </w:tr>
      <w:tr w:rsidR="00DF735F" w:rsidRPr="00235C73" w14:paraId="36D02255" w14:textId="77777777" w:rsidTr="005D18F8">
        <w:trPr>
          <w:trHeight w:val="316"/>
        </w:trPr>
        <w:tc>
          <w:tcPr>
            <w:tcW w:w="1384" w:type="dxa"/>
          </w:tcPr>
          <w:p w14:paraId="24FC7113" w14:textId="5D3DECAC" w:rsidR="00DF735F" w:rsidRPr="00235C73" w:rsidRDefault="00150101" w:rsidP="005D18F8">
            <w:pPr>
              <w:autoSpaceDE w:val="0"/>
              <w:autoSpaceDN w:val="0"/>
              <w:adjustRightInd w:val="0"/>
              <w:rPr>
                <w:rFonts w:ascii="Times New Roman" w:eastAsia="Times New Roman" w:hAnsi="Times New Roman" w:cs="Times New Roman"/>
                <w:color w:val="000000" w:themeColor="text1"/>
                <w:sz w:val="24"/>
                <w:szCs w:val="24"/>
              </w:rPr>
            </w:pPr>
            <w:r w:rsidRPr="00235C73">
              <w:rPr>
                <w:rFonts w:ascii="Times New Roman" w:hAnsi="Times New Roman"/>
                <w:color w:val="000000" w:themeColor="text1"/>
                <w:sz w:val="24"/>
              </w:rPr>
              <w:t>3</w:t>
            </w:r>
          </w:p>
        </w:tc>
        <w:tc>
          <w:tcPr>
            <w:tcW w:w="7655" w:type="dxa"/>
          </w:tcPr>
          <w:p w14:paraId="038AB6D4" w14:textId="1F71EC9E" w:rsidR="00DF735F" w:rsidRPr="00235C73" w:rsidRDefault="00DF735F" w:rsidP="005D18F8">
            <w:pPr>
              <w:autoSpaceDE w:val="0"/>
              <w:autoSpaceDN w:val="0"/>
              <w:adjustRightInd w:val="0"/>
              <w:spacing w:before="120" w:after="120"/>
              <w:jc w:val="both"/>
              <w:rPr>
                <w:rFonts w:ascii="Times New Roman" w:hAnsi="Times New Roman" w:cs="Times New Roman"/>
                <w:b/>
                <w:color w:val="000000" w:themeColor="text1"/>
                <w:sz w:val="24"/>
                <w:szCs w:val="24"/>
              </w:rPr>
            </w:pPr>
            <w:r w:rsidRPr="00235C73">
              <w:rPr>
                <w:rFonts w:ascii="Times New Roman" w:hAnsi="Times New Roman"/>
                <w:b/>
                <w:color w:val="000000" w:themeColor="text1"/>
                <w:sz w:val="24"/>
              </w:rPr>
              <w:t>Vlastné zdroje</w:t>
            </w:r>
            <w:r w:rsidR="00235C73">
              <w:rPr>
                <w:rFonts w:ascii="Times New Roman" w:hAnsi="Times New Roman"/>
                <w:b/>
                <w:color w:val="000000" w:themeColor="text1"/>
                <w:sz w:val="24"/>
              </w:rPr>
              <w:t xml:space="preserve"> a </w:t>
            </w:r>
            <w:r w:rsidRPr="00235C73">
              <w:rPr>
                <w:rFonts w:ascii="Times New Roman" w:hAnsi="Times New Roman"/>
                <w:b/>
                <w:color w:val="000000" w:themeColor="text1"/>
                <w:sz w:val="24"/>
              </w:rPr>
              <w:t>oprávnené záväzky ako percentuálny podiel TREA</w:t>
            </w:r>
          </w:p>
          <w:p w14:paraId="607163E3" w14:textId="0EDBC44C" w:rsidR="00235C73" w:rsidRDefault="00DF735F" w:rsidP="005D18F8">
            <w:pPr>
              <w:autoSpaceDE w:val="0"/>
              <w:autoSpaceDN w:val="0"/>
              <w:adjustRightInd w:val="0"/>
              <w:spacing w:before="120" w:after="120"/>
              <w:jc w:val="both"/>
              <w:rPr>
                <w:rFonts w:ascii="Times New Roman" w:hAnsi="Times New Roman"/>
                <w:color w:val="000000" w:themeColor="text1"/>
                <w:sz w:val="24"/>
              </w:rPr>
            </w:pPr>
            <w:r w:rsidRPr="00235C73">
              <w:rPr>
                <w:rFonts w:ascii="Times New Roman" w:hAnsi="Times New Roman"/>
                <w:color w:val="000000" w:themeColor="text1"/>
                <w:sz w:val="24"/>
              </w:rPr>
              <w:t>Rovnajúce sa hodnotám zverejneným</w:t>
            </w:r>
            <w:r w:rsidR="00235C73">
              <w:rPr>
                <w:rFonts w:ascii="Times New Roman" w:hAnsi="Times New Roman"/>
                <w:color w:val="000000" w:themeColor="text1"/>
                <w:sz w:val="24"/>
              </w:rPr>
              <w:t xml:space="preserve"> v </w:t>
            </w:r>
            <w:r w:rsidRPr="00235C73">
              <w:rPr>
                <w:rFonts w:ascii="Times New Roman" w:hAnsi="Times New Roman"/>
                <w:color w:val="000000" w:themeColor="text1"/>
                <w:sz w:val="24"/>
              </w:rPr>
              <w:t>riadku 25 vzoru na zverejňovanie informácií EU TLAC1</w:t>
            </w:r>
            <w:r w:rsidR="00235C73">
              <w:rPr>
                <w:rFonts w:ascii="Times New Roman" w:hAnsi="Times New Roman"/>
                <w:color w:val="000000" w:themeColor="text1"/>
                <w:sz w:val="24"/>
              </w:rPr>
              <w:t>.</w:t>
            </w:r>
          </w:p>
          <w:p w14:paraId="0F5B2611" w14:textId="422A774F" w:rsidR="00DF735F" w:rsidRPr="00235C73" w:rsidRDefault="00705FB0" w:rsidP="00DE7C85">
            <w:pPr>
              <w:autoSpaceDE w:val="0"/>
              <w:autoSpaceDN w:val="0"/>
              <w:adjustRightInd w:val="0"/>
              <w:spacing w:before="120" w:after="120"/>
              <w:jc w:val="both"/>
              <w:rPr>
                <w:rFonts w:ascii="Times New Roman" w:hAnsi="Times New Roman" w:cs="Times New Roman"/>
                <w:color w:val="000000" w:themeColor="text1"/>
                <w:sz w:val="24"/>
                <w:szCs w:val="24"/>
              </w:rPr>
            </w:pPr>
            <w:r w:rsidRPr="00235C73">
              <w:rPr>
                <w:rFonts w:ascii="Times New Roman" w:hAnsi="Times New Roman"/>
                <w:color w:val="000000" w:themeColor="text1"/>
                <w:sz w:val="24"/>
              </w:rPr>
              <w:t>Na účely tohto riadku sa suma vlastných zdrojov</w:t>
            </w:r>
            <w:r w:rsidR="00235C73">
              <w:rPr>
                <w:rFonts w:ascii="Times New Roman" w:hAnsi="Times New Roman"/>
                <w:color w:val="000000" w:themeColor="text1"/>
                <w:sz w:val="24"/>
              </w:rPr>
              <w:t xml:space="preserve"> a </w:t>
            </w:r>
            <w:r w:rsidRPr="00235C73">
              <w:rPr>
                <w:rFonts w:ascii="Times New Roman" w:hAnsi="Times New Roman"/>
                <w:color w:val="000000" w:themeColor="text1"/>
                <w:sz w:val="24"/>
              </w:rPr>
              <w:t>oprávnených záväzkov, ktorá sa zverejňuje</w:t>
            </w:r>
            <w:r w:rsidR="00235C73">
              <w:rPr>
                <w:rFonts w:ascii="Times New Roman" w:hAnsi="Times New Roman"/>
                <w:color w:val="000000" w:themeColor="text1"/>
                <w:sz w:val="24"/>
              </w:rPr>
              <w:t xml:space="preserve"> v </w:t>
            </w:r>
            <w:r w:rsidRPr="00235C73">
              <w:rPr>
                <w:rFonts w:ascii="Times New Roman" w:hAnsi="Times New Roman"/>
                <w:color w:val="000000" w:themeColor="text1"/>
                <w:sz w:val="24"/>
              </w:rPr>
              <w:t>riadku 1, vyjadruje ako percentuálny podiel celkovej hodnoty rizikovej expozície vypočítanej</w:t>
            </w:r>
            <w:r w:rsidR="00235C73">
              <w:rPr>
                <w:rFonts w:ascii="Times New Roman" w:hAnsi="Times New Roman"/>
                <w:color w:val="000000" w:themeColor="text1"/>
                <w:sz w:val="24"/>
              </w:rPr>
              <w:t xml:space="preserve"> v </w:t>
            </w:r>
            <w:r w:rsidRPr="00235C73">
              <w:rPr>
                <w:rFonts w:ascii="Times New Roman" w:hAnsi="Times New Roman"/>
                <w:color w:val="000000" w:themeColor="text1"/>
                <w:sz w:val="24"/>
              </w:rPr>
              <w:t>súlade</w:t>
            </w:r>
            <w:r w:rsidR="00235C73">
              <w:rPr>
                <w:rFonts w:ascii="Times New Roman" w:hAnsi="Times New Roman"/>
                <w:color w:val="000000" w:themeColor="text1"/>
                <w:sz w:val="24"/>
              </w:rPr>
              <w:t xml:space="preserve"> s </w:t>
            </w:r>
            <w:r w:rsidRPr="00235C73">
              <w:rPr>
                <w:rFonts w:ascii="Times New Roman" w:hAnsi="Times New Roman"/>
                <w:color w:val="000000" w:themeColor="text1"/>
                <w:sz w:val="24"/>
              </w:rPr>
              <w:t>článkom 92 ods. 3 nariadenia (EÚ) č. 575/2013.</w:t>
            </w:r>
          </w:p>
        </w:tc>
      </w:tr>
      <w:tr w:rsidR="00000DE2" w:rsidRPr="00235C73" w14:paraId="57CCD1AB" w14:textId="77777777" w:rsidTr="00915305">
        <w:trPr>
          <w:trHeight w:val="1014"/>
        </w:trPr>
        <w:tc>
          <w:tcPr>
            <w:tcW w:w="1384" w:type="dxa"/>
          </w:tcPr>
          <w:p w14:paraId="3F2D9068" w14:textId="39D72622" w:rsidR="00000DE2" w:rsidRPr="00235C73" w:rsidDel="00150101" w:rsidRDefault="00000DE2" w:rsidP="00DB779A">
            <w:pPr>
              <w:pStyle w:val="Applicationdirecte"/>
              <w:spacing w:before="120"/>
              <w:rPr>
                <w:color w:val="000000" w:themeColor="text1"/>
                <w:szCs w:val="24"/>
              </w:rPr>
            </w:pPr>
            <w:r w:rsidRPr="00235C73">
              <w:rPr>
                <w:color w:val="000000" w:themeColor="text1"/>
              </w:rPr>
              <w:t>EU-3a</w:t>
            </w:r>
          </w:p>
        </w:tc>
        <w:tc>
          <w:tcPr>
            <w:tcW w:w="7655" w:type="dxa"/>
          </w:tcPr>
          <w:p w14:paraId="44E29BD6" w14:textId="12C52543" w:rsidR="00000DE2" w:rsidRPr="00235C73" w:rsidRDefault="00000DE2" w:rsidP="00000DE2">
            <w:pPr>
              <w:autoSpaceDE w:val="0"/>
              <w:autoSpaceDN w:val="0"/>
              <w:adjustRightInd w:val="0"/>
              <w:spacing w:before="120" w:after="120"/>
              <w:jc w:val="both"/>
              <w:rPr>
                <w:rFonts w:ascii="Times New Roman" w:hAnsi="Times New Roman" w:cs="Times New Roman"/>
                <w:b/>
                <w:color w:val="000000" w:themeColor="text1"/>
                <w:sz w:val="24"/>
                <w:szCs w:val="24"/>
              </w:rPr>
            </w:pPr>
            <w:r w:rsidRPr="00235C73">
              <w:rPr>
                <w:rFonts w:ascii="Times New Roman" w:hAnsi="Times New Roman"/>
                <w:b/>
                <w:color w:val="000000" w:themeColor="text1"/>
                <w:sz w:val="24"/>
              </w:rPr>
              <w:t>Vlastné zdroje</w:t>
            </w:r>
            <w:r w:rsidR="00235C73">
              <w:rPr>
                <w:rFonts w:ascii="Times New Roman" w:hAnsi="Times New Roman"/>
                <w:b/>
                <w:color w:val="000000" w:themeColor="text1"/>
                <w:sz w:val="24"/>
              </w:rPr>
              <w:t xml:space="preserve"> a </w:t>
            </w:r>
            <w:r w:rsidRPr="00235C73">
              <w:rPr>
                <w:rFonts w:ascii="Times New Roman" w:hAnsi="Times New Roman"/>
                <w:b/>
                <w:color w:val="000000" w:themeColor="text1"/>
                <w:sz w:val="24"/>
              </w:rPr>
              <w:t>oprávnené záväzky ako percentuálny podiel TREA –</w:t>
            </w:r>
            <w:r w:rsidR="00235C73">
              <w:rPr>
                <w:rFonts w:ascii="Times New Roman" w:hAnsi="Times New Roman"/>
                <w:b/>
                <w:color w:val="000000" w:themeColor="text1"/>
                <w:sz w:val="24"/>
              </w:rPr>
              <w:t xml:space="preserve"> z </w:t>
            </w:r>
            <w:r w:rsidRPr="00235C73">
              <w:rPr>
                <w:rFonts w:ascii="Times New Roman" w:hAnsi="Times New Roman"/>
                <w:b/>
                <w:color w:val="000000" w:themeColor="text1"/>
                <w:sz w:val="24"/>
              </w:rPr>
              <w:t>čoho vlastné zdroje</w:t>
            </w:r>
            <w:r w:rsidR="00235C73">
              <w:rPr>
                <w:rFonts w:ascii="Times New Roman" w:hAnsi="Times New Roman"/>
                <w:b/>
                <w:color w:val="000000" w:themeColor="text1"/>
                <w:sz w:val="24"/>
              </w:rPr>
              <w:t xml:space="preserve"> a </w:t>
            </w:r>
            <w:r w:rsidRPr="00235C73">
              <w:rPr>
                <w:rFonts w:ascii="Times New Roman" w:hAnsi="Times New Roman"/>
                <w:b/>
                <w:color w:val="000000" w:themeColor="text1"/>
                <w:sz w:val="24"/>
              </w:rPr>
              <w:t>podriadené záväzky</w:t>
            </w:r>
          </w:p>
          <w:p w14:paraId="6CBFF6B4" w14:textId="3761108C" w:rsidR="00000DE2" w:rsidRPr="00235C73" w:rsidRDefault="00000DE2" w:rsidP="00000DE2">
            <w:pPr>
              <w:autoSpaceDE w:val="0"/>
              <w:autoSpaceDN w:val="0"/>
              <w:adjustRightInd w:val="0"/>
              <w:spacing w:before="120" w:after="120"/>
              <w:jc w:val="both"/>
              <w:rPr>
                <w:rFonts w:ascii="Times New Roman" w:hAnsi="Times New Roman" w:cs="Times New Roman"/>
                <w:color w:val="000000" w:themeColor="text1"/>
                <w:sz w:val="24"/>
                <w:szCs w:val="24"/>
              </w:rPr>
            </w:pPr>
            <w:r w:rsidRPr="00235C73">
              <w:rPr>
                <w:rFonts w:ascii="Times New Roman" w:hAnsi="Times New Roman"/>
                <w:color w:val="000000" w:themeColor="text1"/>
                <w:sz w:val="24"/>
              </w:rPr>
              <w:t>Rovnajúce sa hodnote zverejnenej</w:t>
            </w:r>
            <w:r w:rsidR="00235C73">
              <w:rPr>
                <w:rFonts w:ascii="Times New Roman" w:hAnsi="Times New Roman"/>
                <w:color w:val="000000" w:themeColor="text1"/>
                <w:sz w:val="24"/>
              </w:rPr>
              <w:t xml:space="preserve"> v </w:t>
            </w:r>
            <w:r w:rsidRPr="00235C73">
              <w:rPr>
                <w:rFonts w:ascii="Times New Roman" w:hAnsi="Times New Roman"/>
                <w:color w:val="000000" w:themeColor="text1"/>
                <w:sz w:val="24"/>
              </w:rPr>
              <w:t>riadku EU-25</w:t>
            </w:r>
            <w:r w:rsidR="00235C73">
              <w:rPr>
                <w:rFonts w:ascii="Times New Roman" w:hAnsi="Times New Roman"/>
                <w:color w:val="000000" w:themeColor="text1"/>
                <w:sz w:val="24"/>
              </w:rPr>
              <w:t xml:space="preserve"> a </w:t>
            </w:r>
            <w:r w:rsidRPr="00235C73">
              <w:rPr>
                <w:rFonts w:ascii="Times New Roman" w:hAnsi="Times New Roman"/>
                <w:color w:val="000000" w:themeColor="text1"/>
                <w:sz w:val="24"/>
              </w:rPr>
              <w:t>vzoru na zverejňovanie informácií EU TLAC1.</w:t>
            </w:r>
          </w:p>
          <w:p w14:paraId="5209AA08" w14:textId="0CE15BE1" w:rsidR="00000DE2" w:rsidRPr="00235C73" w:rsidRDefault="00705FB0" w:rsidP="00AA4A01">
            <w:pPr>
              <w:pStyle w:val="Institutionquisigne"/>
              <w:spacing w:before="100" w:beforeAutospacing="1"/>
              <w:rPr>
                <w:b/>
                <w:i w:val="0"/>
                <w:color w:val="000000" w:themeColor="text1"/>
                <w:szCs w:val="24"/>
              </w:rPr>
            </w:pPr>
            <w:r w:rsidRPr="00235C73">
              <w:rPr>
                <w:i w:val="0"/>
                <w:color w:val="000000" w:themeColor="text1"/>
              </w:rPr>
              <w:t>Na účely tohto riadku sa suma vlastných zdrojov</w:t>
            </w:r>
            <w:r w:rsidR="00235C73">
              <w:rPr>
                <w:i w:val="0"/>
                <w:color w:val="000000" w:themeColor="text1"/>
              </w:rPr>
              <w:t xml:space="preserve"> a </w:t>
            </w:r>
            <w:r w:rsidRPr="00235C73">
              <w:rPr>
                <w:i w:val="0"/>
                <w:color w:val="000000" w:themeColor="text1"/>
              </w:rPr>
              <w:t>podriadených oprávnených záväzkov, ktorá je uvedená</w:t>
            </w:r>
            <w:r w:rsidR="00235C73">
              <w:rPr>
                <w:i w:val="0"/>
                <w:color w:val="000000" w:themeColor="text1"/>
              </w:rPr>
              <w:t xml:space="preserve"> v </w:t>
            </w:r>
            <w:r w:rsidRPr="00235C73">
              <w:rPr>
                <w:i w:val="0"/>
                <w:color w:val="000000" w:themeColor="text1"/>
              </w:rPr>
              <w:t>riadku EU-1a, vyjadruje ako percentuálny podiel celkovej hodnoty rizikovej expozície vypočítanej</w:t>
            </w:r>
            <w:r w:rsidR="00235C73">
              <w:rPr>
                <w:i w:val="0"/>
                <w:color w:val="000000" w:themeColor="text1"/>
              </w:rPr>
              <w:t xml:space="preserve"> v </w:t>
            </w:r>
            <w:r w:rsidRPr="00235C73">
              <w:rPr>
                <w:i w:val="0"/>
                <w:color w:val="000000" w:themeColor="text1"/>
              </w:rPr>
              <w:t>súlade</w:t>
            </w:r>
            <w:r w:rsidR="00235C73">
              <w:rPr>
                <w:i w:val="0"/>
                <w:color w:val="000000" w:themeColor="text1"/>
              </w:rPr>
              <w:t xml:space="preserve"> s </w:t>
            </w:r>
            <w:r w:rsidRPr="00235C73">
              <w:rPr>
                <w:i w:val="0"/>
                <w:color w:val="000000" w:themeColor="text1"/>
              </w:rPr>
              <w:t>článkom 92 ods. 3 nariadenia (EÚ) č. 575/2013.</w:t>
            </w:r>
          </w:p>
        </w:tc>
      </w:tr>
      <w:tr w:rsidR="00026FC1" w:rsidRPr="00235C73" w14:paraId="598F6093" w14:textId="77777777" w:rsidTr="00915305">
        <w:trPr>
          <w:trHeight w:val="1014"/>
        </w:trPr>
        <w:tc>
          <w:tcPr>
            <w:tcW w:w="1384" w:type="dxa"/>
          </w:tcPr>
          <w:p w14:paraId="2BD1914D" w14:textId="668E84BB" w:rsidR="00150101" w:rsidRPr="00235C73" w:rsidRDefault="00150101" w:rsidP="00150101">
            <w:pPr>
              <w:pStyle w:val="Applicationdirecte"/>
              <w:spacing w:before="120"/>
              <w:rPr>
                <w:color w:val="000000" w:themeColor="text1"/>
                <w:szCs w:val="24"/>
              </w:rPr>
            </w:pPr>
            <w:r w:rsidRPr="00235C73">
              <w:rPr>
                <w:color w:val="000000" w:themeColor="text1"/>
              </w:rPr>
              <w:t>4</w:t>
            </w:r>
          </w:p>
        </w:tc>
        <w:tc>
          <w:tcPr>
            <w:tcW w:w="7655" w:type="dxa"/>
          </w:tcPr>
          <w:p w14:paraId="21BFF265" w14:textId="5070F7DC" w:rsidR="006D4640" w:rsidRPr="00235C73" w:rsidRDefault="00B409EF" w:rsidP="00915305">
            <w:pPr>
              <w:autoSpaceDE w:val="0"/>
              <w:autoSpaceDN w:val="0"/>
              <w:adjustRightInd w:val="0"/>
              <w:spacing w:before="120" w:after="120"/>
              <w:jc w:val="both"/>
              <w:rPr>
                <w:rFonts w:ascii="Times New Roman" w:hAnsi="Times New Roman" w:cs="Times New Roman"/>
                <w:b/>
                <w:color w:val="000000" w:themeColor="text1"/>
                <w:sz w:val="24"/>
                <w:szCs w:val="24"/>
              </w:rPr>
            </w:pPr>
            <w:r w:rsidRPr="00235C73">
              <w:rPr>
                <w:rFonts w:ascii="Times New Roman" w:hAnsi="Times New Roman"/>
                <w:b/>
                <w:color w:val="000000" w:themeColor="text1"/>
                <w:sz w:val="24"/>
              </w:rPr>
              <w:t>Veľkosť celkovej expozície (TEM) skupiny, ktorej krízová situácia sa rieši</w:t>
            </w:r>
          </w:p>
          <w:p w14:paraId="252377B7" w14:textId="7FEF5459" w:rsidR="006D4640" w:rsidRPr="00235C73" w:rsidRDefault="006D4640" w:rsidP="00936956">
            <w:pPr>
              <w:pStyle w:val="Applicationdirecte"/>
              <w:spacing w:before="120"/>
              <w:rPr>
                <w:color w:val="000000" w:themeColor="text1"/>
                <w:szCs w:val="24"/>
              </w:rPr>
            </w:pPr>
            <w:r w:rsidRPr="00235C73">
              <w:rPr>
                <w:color w:val="000000" w:themeColor="text1"/>
              </w:rPr>
              <w:t>Rovnajúca sa hodnote zverejnenej</w:t>
            </w:r>
            <w:r w:rsidR="00235C73">
              <w:rPr>
                <w:color w:val="000000" w:themeColor="text1"/>
              </w:rPr>
              <w:t xml:space="preserve"> v </w:t>
            </w:r>
            <w:r w:rsidRPr="00235C73">
              <w:rPr>
                <w:color w:val="000000" w:themeColor="text1"/>
              </w:rPr>
              <w:t>riadku 24 vzoru na zverejňovanie informácií EU TLAC1.</w:t>
            </w:r>
          </w:p>
          <w:p w14:paraId="5BC2C1BD" w14:textId="422413F2" w:rsidR="00705FB0" w:rsidRPr="00235C73" w:rsidRDefault="003D0BF6" w:rsidP="00FB021F">
            <w:pPr>
              <w:pStyle w:val="Fait"/>
            </w:pPr>
            <w:r w:rsidRPr="00235C73">
              <w:t>Článok 45 ods. 2 písm. b) smernice 2014/59/EÚ, článok 429 ods. 4</w:t>
            </w:r>
            <w:r w:rsidR="00235C73">
              <w:t xml:space="preserve"> a </w:t>
            </w:r>
            <w:r w:rsidRPr="00235C73">
              <w:t>článok 429a nariadenia (EÚ) č. 575/2013.</w:t>
            </w:r>
          </w:p>
        </w:tc>
      </w:tr>
      <w:tr w:rsidR="00150101" w:rsidRPr="00235C73" w14:paraId="338EAA8B" w14:textId="77777777" w:rsidTr="005D18F8">
        <w:trPr>
          <w:trHeight w:val="316"/>
        </w:trPr>
        <w:tc>
          <w:tcPr>
            <w:tcW w:w="1384" w:type="dxa"/>
          </w:tcPr>
          <w:p w14:paraId="22D80E63" w14:textId="3B307FF1" w:rsidR="00150101" w:rsidRPr="00235C73" w:rsidRDefault="00150101" w:rsidP="005D18F8">
            <w:pPr>
              <w:autoSpaceDE w:val="0"/>
              <w:autoSpaceDN w:val="0"/>
              <w:adjustRightInd w:val="0"/>
              <w:rPr>
                <w:rFonts w:ascii="Times New Roman" w:eastAsia="Times New Roman" w:hAnsi="Times New Roman" w:cs="Times New Roman"/>
                <w:color w:val="000000" w:themeColor="text1"/>
                <w:sz w:val="24"/>
                <w:szCs w:val="24"/>
              </w:rPr>
            </w:pPr>
            <w:r w:rsidRPr="00235C73">
              <w:rPr>
                <w:rFonts w:ascii="Times New Roman" w:hAnsi="Times New Roman"/>
                <w:color w:val="000000" w:themeColor="text1"/>
                <w:sz w:val="24"/>
              </w:rPr>
              <w:t>5</w:t>
            </w:r>
          </w:p>
        </w:tc>
        <w:tc>
          <w:tcPr>
            <w:tcW w:w="7655" w:type="dxa"/>
          </w:tcPr>
          <w:p w14:paraId="55ACA309" w14:textId="015ECC2C" w:rsidR="00150101" w:rsidRPr="00235C73" w:rsidRDefault="00150101" w:rsidP="005D18F8">
            <w:pPr>
              <w:autoSpaceDE w:val="0"/>
              <w:autoSpaceDN w:val="0"/>
              <w:adjustRightInd w:val="0"/>
              <w:spacing w:before="120" w:after="120"/>
              <w:jc w:val="both"/>
              <w:rPr>
                <w:rFonts w:ascii="Times New Roman" w:hAnsi="Times New Roman" w:cs="Times New Roman"/>
                <w:b/>
                <w:color w:val="000000" w:themeColor="text1"/>
                <w:sz w:val="24"/>
                <w:szCs w:val="24"/>
              </w:rPr>
            </w:pPr>
            <w:r w:rsidRPr="00235C73">
              <w:rPr>
                <w:rFonts w:ascii="Times New Roman" w:hAnsi="Times New Roman"/>
                <w:b/>
                <w:color w:val="000000" w:themeColor="text1"/>
                <w:sz w:val="24"/>
              </w:rPr>
              <w:t>Vlastné zdroje</w:t>
            </w:r>
            <w:r w:rsidR="00235C73">
              <w:rPr>
                <w:rFonts w:ascii="Times New Roman" w:hAnsi="Times New Roman"/>
                <w:b/>
                <w:color w:val="000000" w:themeColor="text1"/>
                <w:sz w:val="24"/>
              </w:rPr>
              <w:t xml:space="preserve"> a </w:t>
            </w:r>
            <w:r w:rsidRPr="00235C73">
              <w:rPr>
                <w:rFonts w:ascii="Times New Roman" w:hAnsi="Times New Roman"/>
                <w:b/>
                <w:color w:val="000000" w:themeColor="text1"/>
                <w:sz w:val="24"/>
              </w:rPr>
              <w:t>oprávnené záväzky ako percentuálny podiel TEM</w:t>
            </w:r>
          </w:p>
          <w:p w14:paraId="5AF77D83" w14:textId="295B6E70" w:rsidR="00150101" w:rsidRPr="00235C73" w:rsidRDefault="00150101" w:rsidP="005D18F8">
            <w:pPr>
              <w:autoSpaceDE w:val="0"/>
              <w:autoSpaceDN w:val="0"/>
              <w:adjustRightInd w:val="0"/>
              <w:spacing w:before="120" w:after="120"/>
              <w:jc w:val="both"/>
              <w:rPr>
                <w:rFonts w:ascii="Times New Roman" w:hAnsi="Times New Roman" w:cs="Times New Roman"/>
                <w:b/>
                <w:color w:val="000000" w:themeColor="text1"/>
                <w:sz w:val="24"/>
                <w:szCs w:val="24"/>
              </w:rPr>
            </w:pPr>
            <w:r w:rsidRPr="00235C73">
              <w:rPr>
                <w:rFonts w:ascii="Times New Roman" w:hAnsi="Times New Roman"/>
                <w:color w:val="000000" w:themeColor="text1"/>
                <w:sz w:val="24"/>
              </w:rPr>
              <w:t>Rovnajúce sa hodnote zverejnenej</w:t>
            </w:r>
            <w:r w:rsidR="00235C73">
              <w:rPr>
                <w:rFonts w:ascii="Times New Roman" w:hAnsi="Times New Roman"/>
                <w:color w:val="000000" w:themeColor="text1"/>
                <w:sz w:val="24"/>
              </w:rPr>
              <w:t xml:space="preserve"> v </w:t>
            </w:r>
            <w:r w:rsidRPr="00235C73">
              <w:rPr>
                <w:rFonts w:ascii="Times New Roman" w:hAnsi="Times New Roman"/>
                <w:color w:val="000000" w:themeColor="text1"/>
                <w:sz w:val="24"/>
              </w:rPr>
              <w:t>riadku 26 vzoru na zverejňovanie informácií EU TLAC1.</w:t>
            </w:r>
          </w:p>
          <w:p w14:paraId="63970459" w14:textId="50A6A352" w:rsidR="00150101" w:rsidRPr="00235C73" w:rsidRDefault="00705FB0" w:rsidP="00FB021F">
            <w:pPr>
              <w:autoSpaceDE w:val="0"/>
              <w:autoSpaceDN w:val="0"/>
              <w:adjustRightInd w:val="0"/>
              <w:spacing w:before="120" w:after="120"/>
              <w:jc w:val="both"/>
              <w:rPr>
                <w:rFonts w:ascii="Times New Roman" w:hAnsi="Times New Roman" w:cs="Times New Roman"/>
                <w:color w:val="000000" w:themeColor="text1"/>
                <w:sz w:val="24"/>
                <w:szCs w:val="24"/>
              </w:rPr>
            </w:pPr>
            <w:r w:rsidRPr="00235C73">
              <w:rPr>
                <w:rFonts w:ascii="Times New Roman" w:hAnsi="Times New Roman"/>
                <w:color w:val="000000" w:themeColor="text1"/>
                <w:sz w:val="24"/>
              </w:rPr>
              <w:t>Na účely tohto riadku sa suma vlastných zdrojov</w:t>
            </w:r>
            <w:r w:rsidR="00235C73">
              <w:rPr>
                <w:rFonts w:ascii="Times New Roman" w:hAnsi="Times New Roman"/>
                <w:color w:val="000000" w:themeColor="text1"/>
                <w:sz w:val="24"/>
              </w:rPr>
              <w:t xml:space="preserve"> a </w:t>
            </w:r>
            <w:r w:rsidRPr="00235C73">
              <w:rPr>
                <w:rFonts w:ascii="Times New Roman" w:hAnsi="Times New Roman"/>
                <w:color w:val="000000" w:themeColor="text1"/>
                <w:sz w:val="24"/>
              </w:rPr>
              <w:t>oprávnených záväzkov, ktorá je uvedená</w:t>
            </w:r>
            <w:r w:rsidR="00235C73">
              <w:rPr>
                <w:rFonts w:ascii="Times New Roman" w:hAnsi="Times New Roman"/>
                <w:color w:val="000000" w:themeColor="text1"/>
                <w:sz w:val="24"/>
              </w:rPr>
              <w:t xml:space="preserve"> v </w:t>
            </w:r>
            <w:r w:rsidRPr="00235C73">
              <w:rPr>
                <w:rFonts w:ascii="Times New Roman" w:hAnsi="Times New Roman"/>
                <w:color w:val="000000" w:themeColor="text1"/>
                <w:sz w:val="24"/>
              </w:rPr>
              <w:t xml:space="preserve">riadku 1, vyjadruje ako percentuálny podiel veľkosti </w:t>
            </w:r>
            <w:r w:rsidRPr="00235C73">
              <w:rPr>
                <w:rFonts w:ascii="Times New Roman" w:hAnsi="Times New Roman"/>
                <w:color w:val="000000" w:themeColor="text1"/>
                <w:sz w:val="24"/>
              </w:rPr>
              <w:lastRenderedPageBreak/>
              <w:t>celkovej expozície vypočítanej</w:t>
            </w:r>
            <w:r w:rsidR="00235C73">
              <w:rPr>
                <w:rFonts w:ascii="Times New Roman" w:hAnsi="Times New Roman"/>
                <w:color w:val="000000" w:themeColor="text1"/>
                <w:sz w:val="24"/>
              </w:rPr>
              <w:t xml:space="preserve"> v </w:t>
            </w:r>
            <w:r w:rsidRPr="00235C73">
              <w:rPr>
                <w:rFonts w:ascii="Times New Roman" w:hAnsi="Times New Roman"/>
                <w:color w:val="000000" w:themeColor="text1"/>
                <w:sz w:val="24"/>
              </w:rPr>
              <w:t>súlade</w:t>
            </w:r>
            <w:r w:rsidR="00235C73">
              <w:rPr>
                <w:rFonts w:ascii="Times New Roman" w:hAnsi="Times New Roman"/>
                <w:color w:val="000000" w:themeColor="text1"/>
                <w:sz w:val="24"/>
              </w:rPr>
              <w:t xml:space="preserve"> s </w:t>
            </w:r>
            <w:r w:rsidRPr="00235C73">
              <w:rPr>
                <w:rFonts w:ascii="Times New Roman" w:hAnsi="Times New Roman"/>
                <w:color w:val="000000" w:themeColor="text1"/>
                <w:sz w:val="24"/>
              </w:rPr>
              <w:t>článkom 429 ods. 4</w:t>
            </w:r>
            <w:r w:rsidR="00235C73">
              <w:rPr>
                <w:rFonts w:ascii="Times New Roman" w:hAnsi="Times New Roman"/>
                <w:color w:val="000000" w:themeColor="text1"/>
                <w:sz w:val="24"/>
              </w:rPr>
              <w:t xml:space="preserve"> a </w:t>
            </w:r>
            <w:r w:rsidRPr="00235C73">
              <w:rPr>
                <w:rFonts w:ascii="Times New Roman" w:hAnsi="Times New Roman"/>
                <w:color w:val="000000" w:themeColor="text1"/>
                <w:sz w:val="24"/>
              </w:rPr>
              <w:t>článkom 429a nariadenia (EÚ) č. 575/2013.</w:t>
            </w:r>
          </w:p>
        </w:tc>
      </w:tr>
      <w:tr w:rsidR="0037295D" w:rsidRPr="00235C73" w14:paraId="0D9B4EED" w14:textId="77777777" w:rsidTr="00807127">
        <w:trPr>
          <w:trHeight w:val="1014"/>
        </w:trPr>
        <w:tc>
          <w:tcPr>
            <w:tcW w:w="1384" w:type="dxa"/>
          </w:tcPr>
          <w:p w14:paraId="59748E19" w14:textId="219DA8E1" w:rsidR="0037295D" w:rsidRPr="00235C73" w:rsidDel="00150101" w:rsidRDefault="00A3785C" w:rsidP="00807127">
            <w:pPr>
              <w:pStyle w:val="Applicationdirecte"/>
              <w:spacing w:before="120"/>
              <w:rPr>
                <w:color w:val="000000" w:themeColor="text1"/>
                <w:szCs w:val="24"/>
              </w:rPr>
            </w:pPr>
            <w:r w:rsidRPr="00235C73">
              <w:rPr>
                <w:color w:val="000000" w:themeColor="text1"/>
              </w:rPr>
              <w:lastRenderedPageBreak/>
              <w:t>EU-5a</w:t>
            </w:r>
          </w:p>
        </w:tc>
        <w:tc>
          <w:tcPr>
            <w:tcW w:w="7655" w:type="dxa"/>
          </w:tcPr>
          <w:p w14:paraId="677C4852" w14:textId="0493EE05" w:rsidR="0037295D" w:rsidRPr="00235C73" w:rsidRDefault="00A3785C" w:rsidP="00A3785C">
            <w:pPr>
              <w:autoSpaceDE w:val="0"/>
              <w:autoSpaceDN w:val="0"/>
              <w:adjustRightInd w:val="0"/>
              <w:spacing w:before="120" w:after="120"/>
              <w:jc w:val="both"/>
              <w:rPr>
                <w:rFonts w:ascii="Times New Roman" w:hAnsi="Times New Roman" w:cs="Times New Roman"/>
                <w:b/>
                <w:color w:val="000000" w:themeColor="text1"/>
                <w:sz w:val="24"/>
                <w:szCs w:val="24"/>
              </w:rPr>
            </w:pPr>
            <w:r w:rsidRPr="00235C73">
              <w:rPr>
                <w:rFonts w:ascii="Times New Roman" w:hAnsi="Times New Roman"/>
                <w:b/>
                <w:color w:val="000000" w:themeColor="text1"/>
                <w:sz w:val="24"/>
              </w:rPr>
              <w:t>Vlastné zdroje</w:t>
            </w:r>
            <w:r w:rsidR="00235C73">
              <w:rPr>
                <w:rFonts w:ascii="Times New Roman" w:hAnsi="Times New Roman"/>
                <w:b/>
                <w:color w:val="000000" w:themeColor="text1"/>
                <w:sz w:val="24"/>
              </w:rPr>
              <w:t xml:space="preserve"> a </w:t>
            </w:r>
            <w:r w:rsidRPr="00235C73">
              <w:rPr>
                <w:rFonts w:ascii="Times New Roman" w:hAnsi="Times New Roman"/>
                <w:b/>
                <w:color w:val="000000" w:themeColor="text1"/>
                <w:sz w:val="24"/>
              </w:rPr>
              <w:t>oprávnené záväzky ako percentuálny podiel TEM –</w:t>
            </w:r>
            <w:r w:rsidR="00235C73">
              <w:rPr>
                <w:rFonts w:ascii="Times New Roman" w:hAnsi="Times New Roman"/>
                <w:b/>
                <w:color w:val="000000" w:themeColor="text1"/>
                <w:sz w:val="24"/>
              </w:rPr>
              <w:t xml:space="preserve"> z </w:t>
            </w:r>
            <w:r w:rsidRPr="00235C73">
              <w:rPr>
                <w:rFonts w:ascii="Times New Roman" w:hAnsi="Times New Roman"/>
                <w:b/>
                <w:color w:val="000000" w:themeColor="text1"/>
                <w:sz w:val="24"/>
              </w:rPr>
              <w:t>čoho vlastné zdroje</w:t>
            </w:r>
            <w:r w:rsidR="00235C73">
              <w:rPr>
                <w:rFonts w:ascii="Times New Roman" w:hAnsi="Times New Roman"/>
                <w:b/>
                <w:color w:val="000000" w:themeColor="text1"/>
                <w:sz w:val="24"/>
              </w:rPr>
              <w:t xml:space="preserve"> a </w:t>
            </w:r>
            <w:r w:rsidRPr="00235C73">
              <w:rPr>
                <w:rFonts w:ascii="Times New Roman" w:hAnsi="Times New Roman"/>
                <w:b/>
                <w:color w:val="000000" w:themeColor="text1"/>
                <w:sz w:val="24"/>
              </w:rPr>
              <w:t>podriadené záväzky</w:t>
            </w:r>
          </w:p>
          <w:p w14:paraId="25EF5991" w14:textId="5052E39F" w:rsidR="0037295D" w:rsidRPr="00235C73" w:rsidRDefault="0037295D" w:rsidP="00807127">
            <w:pPr>
              <w:autoSpaceDE w:val="0"/>
              <w:autoSpaceDN w:val="0"/>
              <w:adjustRightInd w:val="0"/>
              <w:spacing w:before="120" w:after="120"/>
              <w:jc w:val="both"/>
              <w:rPr>
                <w:rFonts w:ascii="Times New Roman" w:hAnsi="Times New Roman" w:cs="Times New Roman"/>
                <w:color w:val="000000" w:themeColor="text1"/>
                <w:sz w:val="24"/>
                <w:szCs w:val="24"/>
              </w:rPr>
            </w:pPr>
            <w:r w:rsidRPr="00235C73">
              <w:rPr>
                <w:rFonts w:ascii="Times New Roman" w:hAnsi="Times New Roman"/>
                <w:color w:val="000000" w:themeColor="text1"/>
                <w:sz w:val="24"/>
              </w:rPr>
              <w:t>Rovnajúce sa hodnote zverejnenej</w:t>
            </w:r>
            <w:r w:rsidR="00235C73">
              <w:rPr>
                <w:rFonts w:ascii="Times New Roman" w:hAnsi="Times New Roman"/>
                <w:color w:val="000000" w:themeColor="text1"/>
                <w:sz w:val="24"/>
              </w:rPr>
              <w:t xml:space="preserve"> v </w:t>
            </w:r>
            <w:r w:rsidRPr="00235C73">
              <w:rPr>
                <w:rFonts w:ascii="Times New Roman" w:hAnsi="Times New Roman"/>
                <w:color w:val="000000" w:themeColor="text1"/>
                <w:sz w:val="24"/>
              </w:rPr>
              <w:t>riadku EU-26</w:t>
            </w:r>
            <w:r w:rsidR="00235C73">
              <w:rPr>
                <w:rFonts w:ascii="Times New Roman" w:hAnsi="Times New Roman"/>
                <w:color w:val="000000" w:themeColor="text1"/>
                <w:sz w:val="24"/>
              </w:rPr>
              <w:t xml:space="preserve"> a </w:t>
            </w:r>
            <w:r w:rsidRPr="00235C73">
              <w:rPr>
                <w:rFonts w:ascii="Times New Roman" w:hAnsi="Times New Roman"/>
                <w:color w:val="000000" w:themeColor="text1"/>
                <w:sz w:val="24"/>
              </w:rPr>
              <w:t>vzoru na zverejňovanie informácií EU TLAC1.</w:t>
            </w:r>
          </w:p>
          <w:p w14:paraId="4E14C375" w14:textId="1D9BF1A7" w:rsidR="0037295D" w:rsidRPr="00235C73" w:rsidRDefault="00705FB0" w:rsidP="00FB021F">
            <w:pPr>
              <w:pStyle w:val="Fait"/>
              <w:spacing w:before="0"/>
              <w:rPr>
                <w:b/>
                <w:color w:val="000000" w:themeColor="text1"/>
                <w:szCs w:val="24"/>
              </w:rPr>
            </w:pPr>
            <w:r w:rsidRPr="00235C73">
              <w:rPr>
                <w:color w:val="000000" w:themeColor="text1"/>
              </w:rPr>
              <w:t>Na účely tohto riadku sa suma vlastných zdrojov</w:t>
            </w:r>
            <w:r w:rsidR="00235C73">
              <w:rPr>
                <w:color w:val="000000" w:themeColor="text1"/>
              </w:rPr>
              <w:t xml:space="preserve"> a </w:t>
            </w:r>
            <w:r w:rsidRPr="00235C73">
              <w:rPr>
                <w:color w:val="000000" w:themeColor="text1"/>
              </w:rPr>
              <w:t>podriadených oprávnených záväzkov, ktorá je uvedená</w:t>
            </w:r>
            <w:r w:rsidR="00235C73">
              <w:rPr>
                <w:color w:val="000000" w:themeColor="text1"/>
              </w:rPr>
              <w:t xml:space="preserve"> v </w:t>
            </w:r>
            <w:r w:rsidRPr="00235C73">
              <w:rPr>
                <w:color w:val="000000" w:themeColor="text1"/>
              </w:rPr>
              <w:t>riadku EU-1a, vyjadruje ako percentuálny podiel veľkosti celkovej expozície vypočítanej</w:t>
            </w:r>
            <w:r w:rsidR="00235C73">
              <w:rPr>
                <w:color w:val="000000" w:themeColor="text1"/>
              </w:rPr>
              <w:t xml:space="preserve"> v </w:t>
            </w:r>
            <w:r w:rsidRPr="00235C73">
              <w:rPr>
                <w:color w:val="000000" w:themeColor="text1"/>
              </w:rPr>
              <w:t>súlade</w:t>
            </w:r>
            <w:r w:rsidR="00235C73">
              <w:rPr>
                <w:color w:val="000000" w:themeColor="text1"/>
              </w:rPr>
              <w:t xml:space="preserve"> s </w:t>
            </w:r>
            <w:r w:rsidRPr="00235C73">
              <w:rPr>
                <w:color w:val="000000" w:themeColor="text1"/>
              </w:rPr>
              <w:t>článkom 429 ods. 4</w:t>
            </w:r>
            <w:r w:rsidR="00235C73">
              <w:rPr>
                <w:color w:val="000000" w:themeColor="text1"/>
              </w:rPr>
              <w:t xml:space="preserve"> a </w:t>
            </w:r>
            <w:r w:rsidRPr="00235C73">
              <w:rPr>
                <w:color w:val="000000" w:themeColor="text1"/>
              </w:rPr>
              <w:t>článkom 429a nariadenia (EÚ) č. 575/2013.</w:t>
            </w:r>
          </w:p>
        </w:tc>
      </w:tr>
      <w:tr w:rsidR="0064224B" w:rsidRPr="00235C73" w14:paraId="4586DD47" w14:textId="77777777" w:rsidTr="00BB35EA">
        <w:trPr>
          <w:trHeight w:val="316"/>
        </w:trPr>
        <w:tc>
          <w:tcPr>
            <w:tcW w:w="1384" w:type="dxa"/>
          </w:tcPr>
          <w:p w14:paraId="641FAF10" w14:textId="4E1D75A0" w:rsidR="0064224B" w:rsidRPr="00235C73" w:rsidRDefault="0064224B" w:rsidP="00BB35EA">
            <w:pPr>
              <w:autoSpaceDE w:val="0"/>
              <w:autoSpaceDN w:val="0"/>
              <w:adjustRightInd w:val="0"/>
              <w:rPr>
                <w:rFonts w:ascii="Times New Roman" w:eastAsia="Times New Roman" w:hAnsi="Times New Roman" w:cs="Times New Roman"/>
                <w:color w:val="000000" w:themeColor="text1"/>
                <w:sz w:val="24"/>
                <w:szCs w:val="24"/>
              </w:rPr>
            </w:pPr>
            <w:r w:rsidRPr="00235C73">
              <w:rPr>
                <w:rFonts w:ascii="Times New Roman" w:hAnsi="Times New Roman"/>
                <w:sz w:val="24"/>
              </w:rPr>
              <w:t>6a</w:t>
            </w:r>
          </w:p>
        </w:tc>
        <w:tc>
          <w:tcPr>
            <w:tcW w:w="7655" w:type="dxa"/>
          </w:tcPr>
          <w:p w14:paraId="2E8BDE31" w14:textId="1698F491" w:rsidR="0064224B" w:rsidRPr="00235C73" w:rsidRDefault="0064224B" w:rsidP="00BB35EA">
            <w:pPr>
              <w:autoSpaceDE w:val="0"/>
              <w:autoSpaceDN w:val="0"/>
              <w:adjustRightInd w:val="0"/>
              <w:spacing w:before="120" w:after="120"/>
              <w:jc w:val="both"/>
              <w:rPr>
                <w:rFonts w:ascii="Times New Roman" w:hAnsi="Times New Roman" w:cs="Times New Roman"/>
                <w:b/>
                <w:color w:val="000000" w:themeColor="text1"/>
                <w:sz w:val="24"/>
                <w:szCs w:val="24"/>
              </w:rPr>
            </w:pPr>
            <w:r w:rsidRPr="00235C73">
              <w:rPr>
                <w:rFonts w:ascii="Times New Roman" w:hAnsi="Times New Roman"/>
                <w:b/>
                <w:color w:val="000000" w:themeColor="text1"/>
                <w:sz w:val="24"/>
              </w:rPr>
              <w:t>Uplatňuje sa výnimka</w:t>
            </w:r>
            <w:r w:rsidR="00235C73">
              <w:rPr>
                <w:rFonts w:ascii="Times New Roman" w:hAnsi="Times New Roman"/>
                <w:b/>
                <w:color w:val="000000" w:themeColor="text1"/>
                <w:sz w:val="24"/>
              </w:rPr>
              <w:t xml:space="preserve"> z </w:t>
            </w:r>
            <w:r w:rsidRPr="00235C73">
              <w:rPr>
                <w:rFonts w:ascii="Times New Roman" w:hAnsi="Times New Roman"/>
                <w:b/>
                <w:color w:val="000000" w:themeColor="text1"/>
                <w:sz w:val="24"/>
              </w:rPr>
              <w:t>podriadenosti uvedená</w:t>
            </w:r>
            <w:r w:rsidR="00235C73">
              <w:rPr>
                <w:rFonts w:ascii="Times New Roman" w:hAnsi="Times New Roman"/>
                <w:b/>
                <w:color w:val="000000" w:themeColor="text1"/>
                <w:sz w:val="24"/>
              </w:rPr>
              <w:t xml:space="preserve"> v </w:t>
            </w:r>
            <w:r w:rsidRPr="00235C73">
              <w:rPr>
                <w:rFonts w:ascii="Times New Roman" w:hAnsi="Times New Roman"/>
                <w:b/>
                <w:color w:val="000000" w:themeColor="text1"/>
                <w:sz w:val="24"/>
              </w:rPr>
              <w:t>článku 72b ods. 4 nariadenia (EÚ) č. 575/2013? (výnimka vo výške 5</w:t>
            </w:r>
            <w:r w:rsidR="00235C73">
              <w:rPr>
                <w:rFonts w:ascii="Times New Roman" w:hAnsi="Times New Roman"/>
                <w:b/>
                <w:color w:val="000000" w:themeColor="text1"/>
                <w:sz w:val="24"/>
              </w:rPr>
              <w:t> %</w:t>
            </w:r>
            <w:r w:rsidRPr="00235C73">
              <w:rPr>
                <w:rFonts w:ascii="Times New Roman" w:hAnsi="Times New Roman"/>
                <w:b/>
                <w:color w:val="000000" w:themeColor="text1"/>
                <w:sz w:val="24"/>
              </w:rPr>
              <w:t>)</w:t>
            </w:r>
          </w:p>
          <w:p w14:paraId="46D7CE6C" w14:textId="42AE91DF" w:rsidR="0064224B" w:rsidRPr="00235C73"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sidRPr="00235C73">
              <w:rPr>
                <w:rFonts w:ascii="Times New Roman" w:hAnsi="Times New Roman"/>
                <w:color w:val="000000" w:themeColor="text1"/>
                <w:sz w:val="24"/>
              </w:rPr>
              <w:t>Tento riadok zverejňujú len subjekty, na ktoré sa vzťahuje požiadavka na vlastné zdroje</w:t>
            </w:r>
            <w:r w:rsidR="00235C73">
              <w:rPr>
                <w:rFonts w:ascii="Times New Roman" w:hAnsi="Times New Roman"/>
                <w:color w:val="000000" w:themeColor="text1"/>
                <w:sz w:val="24"/>
              </w:rPr>
              <w:t xml:space="preserve"> a </w:t>
            </w:r>
            <w:r w:rsidRPr="00235C73">
              <w:rPr>
                <w:rFonts w:ascii="Times New Roman" w:hAnsi="Times New Roman"/>
                <w:color w:val="000000" w:themeColor="text1"/>
                <w:sz w:val="24"/>
              </w:rPr>
              <w:t>oprávnené záväzky pre G-SII.</w:t>
            </w:r>
          </w:p>
          <w:p w14:paraId="6016F028" w14:textId="6F553522" w:rsidR="0064224B" w:rsidRPr="00235C73"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sidRPr="00235C73">
              <w:rPr>
                <w:rFonts w:ascii="Times New Roman" w:hAnsi="Times New Roman"/>
                <w:color w:val="000000" w:themeColor="text1"/>
                <w:sz w:val="24"/>
              </w:rPr>
              <w:t>Ak orgán pre riešenie krízových situácií</w:t>
            </w:r>
            <w:r w:rsidR="00235C73">
              <w:rPr>
                <w:rFonts w:ascii="Times New Roman" w:hAnsi="Times New Roman"/>
                <w:color w:val="000000" w:themeColor="text1"/>
                <w:sz w:val="24"/>
              </w:rPr>
              <w:t xml:space="preserve"> v </w:t>
            </w:r>
            <w:r w:rsidRPr="00235C73">
              <w:rPr>
                <w:rFonts w:ascii="Times New Roman" w:hAnsi="Times New Roman"/>
                <w:color w:val="000000" w:themeColor="text1"/>
                <w:sz w:val="24"/>
              </w:rPr>
              <w:t>súlade</w:t>
            </w:r>
            <w:r w:rsidR="00235C73">
              <w:rPr>
                <w:rFonts w:ascii="Times New Roman" w:hAnsi="Times New Roman"/>
                <w:color w:val="000000" w:themeColor="text1"/>
                <w:sz w:val="24"/>
              </w:rPr>
              <w:t xml:space="preserve"> s </w:t>
            </w:r>
            <w:r w:rsidRPr="00235C73">
              <w:rPr>
                <w:rFonts w:ascii="Times New Roman" w:hAnsi="Times New Roman"/>
                <w:color w:val="000000" w:themeColor="text1"/>
                <w:sz w:val="24"/>
              </w:rPr>
              <w:t>článkom 72b ods. 4 nariadenia (EÚ) č. 575/2013 povolí, aby sa záväzky kvalifikovali ako nástroje oprávnených záväzkov, vykazujúci subjekt uvedie „áno“.</w:t>
            </w:r>
          </w:p>
          <w:p w14:paraId="6B081016" w14:textId="7DEA874B" w:rsidR="0064224B" w:rsidRPr="00235C73"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sidRPr="00235C73">
              <w:rPr>
                <w:rFonts w:ascii="Times New Roman" w:hAnsi="Times New Roman"/>
                <w:color w:val="000000" w:themeColor="text1"/>
                <w:sz w:val="24"/>
              </w:rPr>
              <w:t>Ak orgán pre riešenie krízových situácií</w:t>
            </w:r>
            <w:r w:rsidR="00235C73">
              <w:rPr>
                <w:rFonts w:ascii="Times New Roman" w:hAnsi="Times New Roman"/>
                <w:color w:val="000000" w:themeColor="text1"/>
                <w:sz w:val="24"/>
              </w:rPr>
              <w:t xml:space="preserve"> v </w:t>
            </w:r>
            <w:r w:rsidRPr="00235C73">
              <w:rPr>
                <w:rFonts w:ascii="Times New Roman" w:hAnsi="Times New Roman"/>
                <w:color w:val="000000" w:themeColor="text1"/>
                <w:sz w:val="24"/>
              </w:rPr>
              <w:t>súlade</w:t>
            </w:r>
            <w:r w:rsidR="00235C73">
              <w:rPr>
                <w:rFonts w:ascii="Times New Roman" w:hAnsi="Times New Roman"/>
                <w:color w:val="000000" w:themeColor="text1"/>
                <w:sz w:val="24"/>
              </w:rPr>
              <w:t xml:space="preserve"> s </w:t>
            </w:r>
            <w:r w:rsidRPr="00235C73">
              <w:rPr>
                <w:rFonts w:ascii="Times New Roman" w:hAnsi="Times New Roman"/>
                <w:color w:val="000000" w:themeColor="text1"/>
                <w:sz w:val="24"/>
              </w:rPr>
              <w:t>článkom 72b ods. 4 nariadenia (EÚ) č. 575/2013 nepovolí, aby sa záväzky kvalifikovali ako nástroje oprávnených záväzkov, skupina, ktorej krízová situácia sa rieši, alebo subjekt, ktorého krízová situácia sa rieši, uvedú „nie“.</w:t>
            </w:r>
          </w:p>
          <w:p w14:paraId="2F5E08DD" w14:textId="41628134" w:rsidR="0064224B" w:rsidRPr="00235C73" w:rsidRDefault="0064224B" w:rsidP="00A70777">
            <w:pPr>
              <w:autoSpaceDE w:val="0"/>
              <w:autoSpaceDN w:val="0"/>
              <w:adjustRightInd w:val="0"/>
              <w:spacing w:before="120" w:after="120"/>
              <w:jc w:val="both"/>
              <w:rPr>
                <w:rFonts w:ascii="Times New Roman" w:hAnsi="Times New Roman" w:cs="Times New Roman"/>
                <w:color w:val="000000" w:themeColor="text1"/>
                <w:sz w:val="24"/>
                <w:szCs w:val="24"/>
              </w:rPr>
            </w:pPr>
            <w:r w:rsidRPr="00235C73">
              <w:rPr>
                <w:rFonts w:ascii="Times New Roman" w:hAnsi="Times New Roman"/>
                <w:color w:val="000000" w:themeColor="text1"/>
                <w:sz w:val="24"/>
              </w:rPr>
              <w:t>Keďže výnimky</w:t>
            </w:r>
            <w:r w:rsidR="00235C73">
              <w:rPr>
                <w:rFonts w:ascii="Times New Roman" w:hAnsi="Times New Roman"/>
                <w:color w:val="000000" w:themeColor="text1"/>
                <w:sz w:val="24"/>
              </w:rPr>
              <w:t xml:space="preserve"> v </w:t>
            </w:r>
            <w:r w:rsidRPr="00235C73">
              <w:rPr>
                <w:rFonts w:ascii="Times New Roman" w:hAnsi="Times New Roman"/>
                <w:color w:val="000000" w:themeColor="text1"/>
                <w:sz w:val="24"/>
              </w:rPr>
              <w:t>článku 72b ods. 3</w:t>
            </w:r>
            <w:r w:rsidR="00235C73">
              <w:rPr>
                <w:rFonts w:ascii="Times New Roman" w:hAnsi="Times New Roman"/>
                <w:color w:val="000000" w:themeColor="text1"/>
                <w:sz w:val="24"/>
              </w:rPr>
              <w:t xml:space="preserve"> a </w:t>
            </w:r>
            <w:r w:rsidRPr="00235C73">
              <w:rPr>
                <w:rFonts w:ascii="Times New Roman" w:hAnsi="Times New Roman"/>
                <w:color w:val="000000" w:themeColor="text1"/>
                <w:sz w:val="24"/>
              </w:rPr>
              <w:t>4 nariadenia (EÚ) č. 575/2013 sa navzájom vylučujú, tento riadok sa ponechá prázdny, ak vykazujúci subjekt vyplnil riadok 6b.</w:t>
            </w:r>
          </w:p>
        </w:tc>
      </w:tr>
      <w:tr w:rsidR="008B1AF1" w:rsidRPr="00235C73" w14:paraId="03F999DF" w14:textId="77777777" w:rsidTr="00915305">
        <w:trPr>
          <w:trHeight w:val="316"/>
        </w:trPr>
        <w:tc>
          <w:tcPr>
            <w:tcW w:w="1384" w:type="dxa"/>
          </w:tcPr>
          <w:p w14:paraId="4B73F7B3" w14:textId="3C82303C" w:rsidR="008B1AF1" w:rsidRPr="00235C73" w:rsidRDefault="00FF2A56" w:rsidP="008B1AF1">
            <w:pPr>
              <w:autoSpaceDE w:val="0"/>
              <w:autoSpaceDN w:val="0"/>
              <w:adjustRightInd w:val="0"/>
              <w:rPr>
                <w:rFonts w:ascii="Times New Roman" w:eastAsia="Times New Roman" w:hAnsi="Times New Roman" w:cs="Times New Roman"/>
                <w:color w:val="000000" w:themeColor="text1"/>
                <w:sz w:val="24"/>
                <w:szCs w:val="24"/>
              </w:rPr>
            </w:pPr>
            <w:r w:rsidRPr="00235C73">
              <w:rPr>
                <w:rFonts w:ascii="Times New Roman" w:hAnsi="Times New Roman"/>
                <w:sz w:val="24"/>
              </w:rPr>
              <w:t>6b</w:t>
            </w:r>
          </w:p>
        </w:tc>
        <w:tc>
          <w:tcPr>
            <w:tcW w:w="7655" w:type="dxa"/>
          </w:tcPr>
          <w:p w14:paraId="41C2E586" w14:textId="4B88784B" w:rsidR="00BB35EA" w:rsidRPr="00235C73" w:rsidRDefault="00650183" w:rsidP="00705FB0">
            <w:pPr>
              <w:autoSpaceDE w:val="0"/>
              <w:autoSpaceDN w:val="0"/>
              <w:adjustRightInd w:val="0"/>
              <w:spacing w:before="120" w:after="120"/>
              <w:jc w:val="both"/>
              <w:rPr>
                <w:rFonts w:ascii="Times New Roman" w:hAnsi="Times New Roman" w:cs="Times New Roman"/>
                <w:b/>
                <w:color w:val="000000" w:themeColor="text1"/>
                <w:sz w:val="24"/>
                <w:szCs w:val="24"/>
              </w:rPr>
            </w:pPr>
            <w:r w:rsidRPr="00235C73">
              <w:rPr>
                <w:rFonts w:ascii="Times New Roman" w:hAnsi="Times New Roman"/>
                <w:b/>
                <w:color w:val="000000" w:themeColor="text1"/>
                <w:sz w:val="24"/>
              </w:rPr>
              <w:t>Súhrnná suma povolených nástrojov nepodriadených oprávnených záväzkov, ak sa uplatňuje diskrečná právomoc</w:t>
            </w:r>
            <w:r w:rsidR="00235C73">
              <w:rPr>
                <w:rFonts w:ascii="Times New Roman" w:hAnsi="Times New Roman"/>
                <w:b/>
                <w:color w:val="000000" w:themeColor="text1"/>
                <w:sz w:val="24"/>
              </w:rPr>
              <w:t xml:space="preserve"> v </w:t>
            </w:r>
            <w:r w:rsidRPr="00235C73">
              <w:rPr>
                <w:rFonts w:ascii="Times New Roman" w:hAnsi="Times New Roman"/>
                <w:b/>
                <w:color w:val="000000" w:themeColor="text1"/>
                <w:sz w:val="24"/>
              </w:rPr>
              <w:t>oblasti podriadenosti</w:t>
            </w:r>
            <w:r w:rsidR="00235C73">
              <w:rPr>
                <w:rFonts w:ascii="Times New Roman" w:hAnsi="Times New Roman"/>
                <w:b/>
                <w:color w:val="000000" w:themeColor="text1"/>
                <w:sz w:val="24"/>
              </w:rPr>
              <w:t xml:space="preserve"> v </w:t>
            </w:r>
            <w:r w:rsidRPr="00235C73">
              <w:rPr>
                <w:rFonts w:ascii="Times New Roman" w:hAnsi="Times New Roman"/>
                <w:b/>
                <w:color w:val="000000" w:themeColor="text1"/>
                <w:sz w:val="24"/>
              </w:rPr>
              <w:t>súlade</w:t>
            </w:r>
            <w:r w:rsidR="00235C73">
              <w:rPr>
                <w:rFonts w:ascii="Times New Roman" w:hAnsi="Times New Roman"/>
                <w:b/>
                <w:color w:val="000000" w:themeColor="text1"/>
                <w:sz w:val="24"/>
              </w:rPr>
              <w:t xml:space="preserve"> s </w:t>
            </w:r>
            <w:r w:rsidRPr="00235C73">
              <w:rPr>
                <w:rFonts w:ascii="Times New Roman" w:hAnsi="Times New Roman"/>
                <w:b/>
                <w:color w:val="000000" w:themeColor="text1"/>
                <w:sz w:val="24"/>
              </w:rPr>
              <w:t>článkom 72b ods. 3 nariadenia (EÚ) č. 575/2013 (výnimka vo výške maximálne 3,5</w:t>
            </w:r>
            <w:r w:rsidR="00235C73">
              <w:rPr>
                <w:rFonts w:ascii="Times New Roman" w:hAnsi="Times New Roman"/>
                <w:b/>
                <w:color w:val="000000" w:themeColor="text1"/>
                <w:sz w:val="24"/>
              </w:rPr>
              <w:t> %</w:t>
            </w:r>
            <w:r w:rsidRPr="00235C73">
              <w:rPr>
                <w:rFonts w:ascii="Times New Roman" w:hAnsi="Times New Roman"/>
                <w:b/>
                <w:color w:val="000000" w:themeColor="text1"/>
                <w:sz w:val="24"/>
              </w:rPr>
              <w:t>)</w:t>
            </w:r>
          </w:p>
          <w:p w14:paraId="564101D0" w14:textId="4E52EE99" w:rsidR="00705FB0" w:rsidRPr="00235C73" w:rsidRDefault="00705FB0" w:rsidP="00705FB0">
            <w:pPr>
              <w:autoSpaceDE w:val="0"/>
              <w:autoSpaceDN w:val="0"/>
              <w:adjustRightInd w:val="0"/>
              <w:spacing w:before="120" w:after="120"/>
              <w:jc w:val="both"/>
              <w:rPr>
                <w:rFonts w:ascii="Times New Roman" w:hAnsi="Times New Roman" w:cs="Times New Roman"/>
                <w:color w:val="000000" w:themeColor="text1"/>
                <w:sz w:val="24"/>
                <w:szCs w:val="24"/>
              </w:rPr>
            </w:pPr>
            <w:r w:rsidRPr="00235C73">
              <w:rPr>
                <w:rFonts w:ascii="Times New Roman" w:hAnsi="Times New Roman"/>
                <w:color w:val="000000" w:themeColor="text1"/>
                <w:sz w:val="24"/>
              </w:rPr>
              <w:t>Tento riadok zverejňujú len subjekty, na ktoré sa vzťahuje požiadavka na vlastné zdroje</w:t>
            </w:r>
            <w:r w:rsidR="00235C73">
              <w:rPr>
                <w:rFonts w:ascii="Times New Roman" w:hAnsi="Times New Roman"/>
                <w:color w:val="000000" w:themeColor="text1"/>
                <w:sz w:val="24"/>
              </w:rPr>
              <w:t xml:space="preserve"> a </w:t>
            </w:r>
            <w:r w:rsidRPr="00235C73">
              <w:rPr>
                <w:rFonts w:ascii="Times New Roman" w:hAnsi="Times New Roman"/>
                <w:color w:val="000000" w:themeColor="text1"/>
                <w:sz w:val="24"/>
              </w:rPr>
              <w:t>oprávnené záväzky pre G-SII.</w:t>
            </w:r>
          </w:p>
          <w:p w14:paraId="00AD85CC" w14:textId="19809911" w:rsidR="002A5279" w:rsidRPr="00235C73" w:rsidRDefault="002A5279" w:rsidP="002A5279">
            <w:pPr>
              <w:rPr>
                <w:rStyle w:val="FormatvorlageInstructionsTabelleText"/>
                <w:rFonts w:ascii="Times New Roman" w:hAnsi="Times New Roman"/>
                <w:sz w:val="24"/>
              </w:rPr>
            </w:pPr>
            <w:r w:rsidRPr="00235C73">
              <w:rPr>
                <w:rStyle w:val="FormatvorlageInstructionsTabelleText"/>
                <w:rFonts w:ascii="Times New Roman" w:hAnsi="Times New Roman"/>
                <w:sz w:val="24"/>
              </w:rPr>
              <w:t>Súhrnná suma nástrojov nepodriadených oprávnených záväzkov,</w:t>
            </w:r>
            <w:r w:rsidR="00235C73">
              <w:rPr>
                <w:rStyle w:val="FormatvorlageInstructionsTabelleText"/>
                <w:rFonts w:ascii="Times New Roman" w:hAnsi="Times New Roman"/>
                <w:sz w:val="24"/>
              </w:rPr>
              <w:t xml:space="preserve"> v </w:t>
            </w:r>
            <w:r w:rsidRPr="00235C73">
              <w:rPr>
                <w:rStyle w:val="FormatvorlageInstructionsTabelleText"/>
                <w:rFonts w:ascii="Times New Roman" w:hAnsi="Times New Roman"/>
                <w:sz w:val="24"/>
              </w:rPr>
              <w:t>prípade ktorých orgán pre riešenie krízových situácií podľa článku 72b ods. 3 nariadenia (EÚ) č. 575/2013 povolil, aby sa kvalifikovali ako nástroje oprávnených záväzkov na účely TLAC.</w:t>
            </w:r>
          </w:p>
          <w:p w14:paraId="24CA67B7" w14:textId="14D1C35F" w:rsidR="008B1AF1" w:rsidRPr="00235C73" w:rsidRDefault="00705FB0" w:rsidP="00D45878">
            <w:pPr>
              <w:autoSpaceDE w:val="0"/>
              <w:autoSpaceDN w:val="0"/>
              <w:adjustRightInd w:val="0"/>
              <w:spacing w:before="120" w:after="120"/>
              <w:jc w:val="both"/>
              <w:rPr>
                <w:rFonts w:ascii="Times New Roman" w:hAnsi="Times New Roman" w:cs="Times New Roman"/>
                <w:color w:val="000000" w:themeColor="text1"/>
                <w:sz w:val="24"/>
                <w:szCs w:val="24"/>
              </w:rPr>
            </w:pPr>
            <w:r w:rsidRPr="00235C73">
              <w:rPr>
                <w:rFonts w:ascii="Times New Roman" w:hAnsi="Times New Roman"/>
                <w:color w:val="000000" w:themeColor="text1"/>
                <w:sz w:val="24"/>
              </w:rPr>
              <w:t>Keďže výnimky</w:t>
            </w:r>
            <w:r w:rsidR="00235C73">
              <w:rPr>
                <w:rFonts w:ascii="Times New Roman" w:hAnsi="Times New Roman"/>
                <w:color w:val="000000" w:themeColor="text1"/>
                <w:sz w:val="24"/>
              </w:rPr>
              <w:t xml:space="preserve"> v </w:t>
            </w:r>
            <w:r w:rsidRPr="00235C73">
              <w:rPr>
                <w:rFonts w:ascii="Times New Roman" w:hAnsi="Times New Roman"/>
                <w:color w:val="000000" w:themeColor="text1"/>
                <w:sz w:val="24"/>
              </w:rPr>
              <w:t>článku 72b ods. 3</w:t>
            </w:r>
            <w:r w:rsidR="00235C73">
              <w:rPr>
                <w:rFonts w:ascii="Times New Roman" w:hAnsi="Times New Roman"/>
                <w:color w:val="000000" w:themeColor="text1"/>
                <w:sz w:val="24"/>
              </w:rPr>
              <w:t xml:space="preserve"> a </w:t>
            </w:r>
            <w:r w:rsidRPr="00235C73">
              <w:rPr>
                <w:rFonts w:ascii="Times New Roman" w:hAnsi="Times New Roman"/>
                <w:color w:val="000000" w:themeColor="text1"/>
                <w:sz w:val="24"/>
              </w:rPr>
              <w:t>4 nariadenia (EÚ) č. 575/2013 sa navzájom vylučujú, tento riadok sa ponecháva prázdny, ak subjekt</w:t>
            </w:r>
            <w:r w:rsidR="00235C73">
              <w:rPr>
                <w:rFonts w:ascii="Times New Roman" w:hAnsi="Times New Roman"/>
                <w:color w:val="000000" w:themeColor="text1"/>
                <w:sz w:val="24"/>
              </w:rPr>
              <w:t xml:space="preserve"> v </w:t>
            </w:r>
            <w:r w:rsidRPr="00235C73">
              <w:rPr>
                <w:rFonts w:ascii="Times New Roman" w:hAnsi="Times New Roman"/>
                <w:color w:val="000000" w:themeColor="text1"/>
                <w:sz w:val="24"/>
              </w:rPr>
              <w:t>riadku 6a uvedie „áno“.</w:t>
            </w:r>
          </w:p>
        </w:tc>
      </w:tr>
      <w:tr w:rsidR="008B1AF1" w:rsidRPr="00235C73" w14:paraId="2D64923D" w14:textId="77777777" w:rsidTr="00915305">
        <w:trPr>
          <w:trHeight w:val="316"/>
        </w:trPr>
        <w:tc>
          <w:tcPr>
            <w:tcW w:w="1384" w:type="dxa"/>
          </w:tcPr>
          <w:p w14:paraId="6C3622AD" w14:textId="140E60D3" w:rsidR="008B1AF1" w:rsidRPr="00235C73" w:rsidRDefault="00FF2A56" w:rsidP="008B1AF1">
            <w:pPr>
              <w:autoSpaceDE w:val="0"/>
              <w:autoSpaceDN w:val="0"/>
              <w:adjustRightInd w:val="0"/>
              <w:rPr>
                <w:rFonts w:ascii="Times New Roman" w:eastAsia="Times New Roman" w:hAnsi="Times New Roman" w:cs="Times New Roman"/>
                <w:color w:val="000000" w:themeColor="text1"/>
                <w:sz w:val="24"/>
                <w:szCs w:val="24"/>
              </w:rPr>
            </w:pPr>
            <w:r w:rsidRPr="00235C73">
              <w:rPr>
                <w:rFonts w:ascii="Times New Roman" w:hAnsi="Times New Roman"/>
                <w:sz w:val="24"/>
              </w:rPr>
              <w:lastRenderedPageBreak/>
              <w:t>6c</w:t>
            </w:r>
          </w:p>
        </w:tc>
        <w:tc>
          <w:tcPr>
            <w:tcW w:w="7655" w:type="dxa"/>
          </w:tcPr>
          <w:p w14:paraId="73DD47A6" w14:textId="1D96C98E" w:rsidR="008B1AF1" w:rsidRPr="00235C73" w:rsidRDefault="008B1AF1" w:rsidP="008B1AF1">
            <w:pPr>
              <w:autoSpaceDE w:val="0"/>
              <w:autoSpaceDN w:val="0"/>
              <w:adjustRightInd w:val="0"/>
              <w:spacing w:before="120" w:after="120"/>
              <w:jc w:val="both"/>
              <w:rPr>
                <w:rFonts w:ascii="Times New Roman" w:hAnsi="Times New Roman" w:cs="Times New Roman"/>
                <w:b/>
                <w:color w:val="000000" w:themeColor="text1"/>
                <w:sz w:val="24"/>
                <w:szCs w:val="24"/>
              </w:rPr>
            </w:pPr>
            <w:r w:rsidRPr="00235C73">
              <w:rPr>
                <w:rFonts w:ascii="Times New Roman" w:hAnsi="Times New Roman"/>
                <w:b/>
                <w:color w:val="000000" w:themeColor="text1"/>
                <w:sz w:val="24"/>
              </w:rPr>
              <w:t>Ak sa uplatňuje výnimka</w:t>
            </w:r>
            <w:r w:rsidR="00235C73">
              <w:rPr>
                <w:rFonts w:ascii="Times New Roman" w:hAnsi="Times New Roman"/>
                <w:b/>
                <w:color w:val="000000" w:themeColor="text1"/>
                <w:sz w:val="24"/>
              </w:rPr>
              <w:t xml:space="preserve"> z </w:t>
            </w:r>
            <w:r w:rsidRPr="00235C73">
              <w:rPr>
                <w:rFonts w:ascii="Times New Roman" w:hAnsi="Times New Roman"/>
                <w:b/>
                <w:color w:val="000000" w:themeColor="text1"/>
                <w:sz w:val="24"/>
              </w:rPr>
              <w:t>podriadenosti</w:t>
            </w:r>
            <w:r w:rsidR="00235C73">
              <w:rPr>
                <w:rFonts w:ascii="Times New Roman" w:hAnsi="Times New Roman"/>
                <w:b/>
                <w:color w:val="000000" w:themeColor="text1"/>
                <w:sz w:val="24"/>
              </w:rPr>
              <w:t xml:space="preserve"> s </w:t>
            </w:r>
            <w:r w:rsidRPr="00235C73">
              <w:rPr>
                <w:rFonts w:ascii="Times New Roman" w:hAnsi="Times New Roman"/>
                <w:b/>
                <w:color w:val="000000" w:themeColor="text1"/>
                <w:sz w:val="24"/>
              </w:rPr>
              <w:t>horným ohraničením</w:t>
            </w:r>
            <w:r w:rsidR="00235C73">
              <w:rPr>
                <w:rFonts w:ascii="Times New Roman" w:hAnsi="Times New Roman"/>
                <w:b/>
                <w:color w:val="000000" w:themeColor="text1"/>
                <w:sz w:val="24"/>
              </w:rPr>
              <w:t xml:space="preserve"> v </w:t>
            </w:r>
            <w:r w:rsidRPr="00235C73">
              <w:rPr>
                <w:rFonts w:ascii="Times New Roman" w:hAnsi="Times New Roman"/>
                <w:b/>
                <w:color w:val="000000" w:themeColor="text1"/>
                <w:sz w:val="24"/>
              </w:rPr>
              <w:t>súlade</w:t>
            </w:r>
            <w:r w:rsidR="00235C73">
              <w:rPr>
                <w:rFonts w:ascii="Times New Roman" w:hAnsi="Times New Roman"/>
                <w:b/>
                <w:color w:val="000000" w:themeColor="text1"/>
                <w:sz w:val="24"/>
              </w:rPr>
              <w:t xml:space="preserve"> s </w:t>
            </w:r>
            <w:r w:rsidRPr="00235C73">
              <w:rPr>
                <w:rFonts w:ascii="Times New Roman" w:hAnsi="Times New Roman"/>
                <w:b/>
                <w:color w:val="000000" w:themeColor="text1"/>
                <w:sz w:val="24"/>
              </w:rPr>
              <w:t>článkom 72b ods. 3 nariadenia (EÚ) č. 575/2013, hodnota emitovaných finančných prostriedkov, ktoré majú rovnaké postavenie ako vylúčené záväzky</w:t>
            </w:r>
            <w:r w:rsidR="00235C73">
              <w:rPr>
                <w:rFonts w:ascii="Times New Roman" w:hAnsi="Times New Roman"/>
                <w:b/>
                <w:color w:val="000000" w:themeColor="text1"/>
                <w:sz w:val="24"/>
              </w:rPr>
              <w:t xml:space="preserve"> a </w:t>
            </w:r>
            <w:r w:rsidRPr="00235C73">
              <w:rPr>
                <w:rFonts w:ascii="Times New Roman" w:hAnsi="Times New Roman"/>
                <w:b/>
                <w:color w:val="000000" w:themeColor="text1"/>
                <w:sz w:val="24"/>
              </w:rPr>
              <w:t>ktoré sú vykázané</w:t>
            </w:r>
            <w:r w:rsidR="00235C73">
              <w:rPr>
                <w:rFonts w:ascii="Times New Roman" w:hAnsi="Times New Roman"/>
                <w:b/>
                <w:color w:val="000000" w:themeColor="text1"/>
                <w:sz w:val="24"/>
              </w:rPr>
              <w:t xml:space="preserve"> v </w:t>
            </w:r>
            <w:r w:rsidRPr="00235C73">
              <w:rPr>
                <w:rFonts w:ascii="Times New Roman" w:hAnsi="Times New Roman"/>
                <w:b/>
                <w:color w:val="000000" w:themeColor="text1"/>
                <w:sz w:val="24"/>
              </w:rPr>
              <w:t>riadku 1, vydelená emitovanými finančnými prostriedkami, ktoré majú rovnaké postavenie ako vylúčené záväzky</w:t>
            </w:r>
            <w:r w:rsidR="00235C73">
              <w:rPr>
                <w:rFonts w:ascii="Times New Roman" w:hAnsi="Times New Roman"/>
                <w:b/>
                <w:color w:val="000000" w:themeColor="text1"/>
                <w:sz w:val="24"/>
              </w:rPr>
              <w:t xml:space="preserve"> a </w:t>
            </w:r>
            <w:r w:rsidRPr="00235C73">
              <w:rPr>
                <w:rFonts w:ascii="Times New Roman" w:hAnsi="Times New Roman"/>
                <w:b/>
                <w:color w:val="000000" w:themeColor="text1"/>
                <w:sz w:val="24"/>
              </w:rPr>
              <w:t>ktoré by sa vykázali</w:t>
            </w:r>
            <w:r w:rsidR="00235C73">
              <w:rPr>
                <w:rFonts w:ascii="Times New Roman" w:hAnsi="Times New Roman"/>
                <w:b/>
                <w:color w:val="000000" w:themeColor="text1"/>
                <w:sz w:val="24"/>
              </w:rPr>
              <w:t xml:space="preserve"> v </w:t>
            </w:r>
            <w:r w:rsidRPr="00235C73">
              <w:rPr>
                <w:rFonts w:ascii="Times New Roman" w:hAnsi="Times New Roman"/>
                <w:b/>
                <w:color w:val="000000" w:themeColor="text1"/>
                <w:sz w:val="24"/>
              </w:rPr>
              <w:t>riadku 1, ak by sa neuplatňovalo žiadne horné ohraničenie (v</w:t>
            </w:r>
            <w:r w:rsidR="00235C73">
              <w:rPr>
                <w:rFonts w:ascii="Times New Roman" w:hAnsi="Times New Roman"/>
                <w:b/>
                <w:color w:val="000000" w:themeColor="text1"/>
                <w:sz w:val="24"/>
              </w:rPr>
              <w:t> %</w:t>
            </w:r>
            <w:r w:rsidRPr="00235C73">
              <w:rPr>
                <w:rFonts w:ascii="Times New Roman" w:hAnsi="Times New Roman"/>
                <w:b/>
                <w:color w:val="000000" w:themeColor="text1"/>
                <w:sz w:val="24"/>
              </w:rPr>
              <w:t>)</w:t>
            </w:r>
          </w:p>
          <w:p w14:paraId="02910CB6" w14:textId="79A0D659" w:rsidR="00CF21D0" w:rsidRPr="00235C73" w:rsidRDefault="00CF21D0" w:rsidP="00B654C4">
            <w:pPr>
              <w:autoSpaceDE w:val="0"/>
              <w:autoSpaceDN w:val="0"/>
              <w:adjustRightInd w:val="0"/>
              <w:spacing w:before="120" w:after="120"/>
              <w:jc w:val="both"/>
              <w:rPr>
                <w:rFonts w:ascii="Times New Roman" w:hAnsi="Times New Roman" w:cs="Times New Roman"/>
                <w:color w:val="000000" w:themeColor="text1"/>
                <w:sz w:val="24"/>
                <w:szCs w:val="24"/>
              </w:rPr>
            </w:pPr>
            <w:r w:rsidRPr="00235C73">
              <w:rPr>
                <w:rStyle w:val="InstructionsTabelleberschrift"/>
                <w:rFonts w:ascii="Times New Roman" w:hAnsi="Times New Roman"/>
                <w:b w:val="0"/>
                <w:sz w:val="24"/>
                <w:u w:val="none"/>
              </w:rPr>
              <w:t>Tento riadok zverejňujú len subjekty, na ktoré sa vzťahuje požiadavka na vlastné zdroje</w:t>
            </w:r>
            <w:r w:rsidR="00235C73">
              <w:rPr>
                <w:rStyle w:val="InstructionsTabelleberschrift"/>
                <w:rFonts w:ascii="Times New Roman" w:hAnsi="Times New Roman"/>
                <w:b w:val="0"/>
                <w:sz w:val="24"/>
                <w:u w:val="none"/>
              </w:rPr>
              <w:t xml:space="preserve"> a </w:t>
            </w:r>
            <w:r w:rsidRPr="00235C73">
              <w:rPr>
                <w:rStyle w:val="InstructionsTabelleberschrift"/>
                <w:rFonts w:ascii="Times New Roman" w:hAnsi="Times New Roman"/>
                <w:b w:val="0"/>
                <w:sz w:val="24"/>
                <w:u w:val="none"/>
              </w:rPr>
              <w:t>oprávnené záväzky pre G-SII.</w:t>
            </w:r>
          </w:p>
          <w:p w14:paraId="27823EE1" w14:textId="43E1B26B" w:rsidR="008B1AF1" w:rsidRPr="00235C73" w:rsidRDefault="008B1AF1" w:rsidP="00B654C4">
            <w:pPr>
              <w:autoSpaceDE w:val="0"/>
              <w:autoSpaceDN w:val="0"/>
              <w:adjustRightInd w:val="0"/>
              <w:spacing w:before="120" w:after="120"/>
              <w:jc w:val="both"/>
              <w:rPr>
                <w:rFonts w:ascii="Times New Roman" w:hAnsi="Times New Roman" w:cs="Times New Roman"/>
                <w:color w:val="000000" w:themeColor="text1"/>
                <w:sz w:val="24"/>
                <w:szCs w:val="24"/>
              </w:rPr>
            </w:pPr>
            <w:r w:rsidRPr="00235C73">
              <w:rPr>
                <w:rFonts w:ascii="Times New Roman" w:hAnsi="Times New Roman"/>
                <w:color w:val="000000" w:themeColor="text1"/>
                <w:sz w:val="24"/>
              </w:rPr>
              <w:t>V tomto riadku sa vlastníci nadriadeného dlhu emitovaného subjektom, ktorého krízová situácia sa rieši, informujú</w:t>
            </w:r>
            <w:r w:rsidR="00235C73">
              <w:rPr>
                <w:rFonts w:ascii="Times New Roman" w:hAnsi="Times New Roman"/>
                <w:color w:val="000000" w:themeColor="text1"/>
                <w:sz w:val="24"/>
              </w:rPr>
              <w:t xml:space="preserve"> o </w:t>
            </w:r>
            <w:r w:rsidRPr="00235C73">
              <w:rPr>
                <w:rFonts w:ascii="Times New Roman" w:hAnsi="Times New Roman"/>
                <w:color w:val="000000" w:themeColor="text1"/>
                <w:sz w:val="24"/>
              </w:rPr>
              <w:t>percentuálnom podiele nevylúčeného nadriadeného dlhu, ktorý sa považoval za oprávnený, takže</w:t>
            </w:r>
            <w:r w:rsidR="00235C73">
              <w:rPr>
                <w:rFonts w:ascii="Times New Roman" w:hAnsi="Times New Roman"/>
                <w:color w:val="000000" w:themeColor="text1"/>
                <w:sz w:val="24"/>
              </w:rPr>
              <w:t xml:space="preserve"> v </w:t>
            </w:r>
            <w:r w:rsidRPr="00235C73">
              <w:rPr>
                <w:rFonts w:ascii="Times New Roman" w:hAnsi="Times New Roman"/>
                <w:color w:val="000000" w:themeColor="text1"/>
                <w:sz w:val="24"/>
              </w:rPr>
              <w:t>náležitých prípadoch budú môcť uplatňovať režim odpočtov stanovený</w:t>
            </w:r>
            <w:r w:rsidR="00235C73">
              <w:rPr>
                <w:rFonts w:ascii="Times New Roman" w:hAnsi="Times New Roman"/>
                <w:color w:val="000000" w:themeColor="text1"/>
                <w:sz w:val="24"/>
              </w:rPr>
              <w:t xml:space="preserve"> v </w:t>
            </w:r>
            <w:r w:rsidRPr="00235C73">
              <w:rPr>
                <w:rFonts w:ascii="Times New Roman" w:hAnsi="Times New Roman"/>
                <w:color w:val="000000" w:themeColor="text1"/>
                <w:sz w:val="24"/>
              </w:rPr>
              <w:t>článku 72e nariadenia (EÚ) č. 575/2013.</w:t>
            </w:r>
          </w:p>
          <w:p w14:paraId="69CB0A17" w14:textId="0189138B" w:rsidR="00CF21D0" w:rsidRPr="00235C73" w:rsidRDefault="00F66078" w:rsidP="00B62DC9">
            <w:pPr>
              <w:pStyle w:val="InstructionsText"/>
              <w:rPr>
                <w:rStyle w:val="InstructionsTabelleberschrift"/>
                <w:rFonts w:ascii="Times New Roman" w:hAnsi="Times New Roman"/>
                <w:b w:val="0"/>
                <w:noProof w:val="0"/>
                <w:sz w:val="24"/>
                <w:u w:val="none"/>
              </w:rPr>
            </w:pPr>
            <w:r w:rsidRPr="00235C73">
              <w:rPr>
                <w:rStyle w:val="InstructionsTabelleberschrift"/>
                <w:rFonts w:ascii="Times New Roman" w:hAnsi="Times New Roman"/>
                <w:b w:val="0"/>
                <w:noProof w:val="0"/>
                <w:sz w:val="24"/>
                <w:u w:val="none"/>
              </w:rPr>
              <w:t>Ak sa uplatňuje výnimka</w:t>
            </w:r>
            <w:r w:rsidR="00235C73">
              <w:rPr>
                <w:rStyle w:val="InstructionsTabelleberschrift"/>
                <w:rFonts w:ascii="Times New Roman" w:hAnsi="Times New Roman"/>
                <w:b w:val="0"/>
                <w:noProof w:val="0"/>
                <w:sz w:val="24"/>
                <w:u w:val="none"/>
              </w:rPr>
              <w:t xml:space="preserve"> z </w:t>
            </w:r>
            <w:r w:rsidRPr="00235C73">
              <w:rPr>
                <w:rStyle w:val="InstructionsTabelleberschrift"/>
                <w:rFonts w:ascii="Times New Roman" w:hAnsi="Times New Roman"/>
                <w:b w:val="0"/>
                <w:noProof w:val="0"/>
                <w:sz w:val="24"/>
                <w:u w:val="none"/>
              </w:rPr>
              <w:t>podriadenosti</w:t>
            </w:r>
            <w:r w:rsidR="00235C73">
              <w:rPr>
                <w:rStyle w:val="InstructionsTabelleberschrift"/>
                <w:rFonts w:ascii="Times New Roman" w:hAnsi="Times New Roman"/>
                <w:b w:val="0"/>
                <w:noProof w:val="0"/>
                <w:sz w:val="24"/>
                <w:u w:val="none"/>
              </w:rPr>
              <w:t xml:space="preserve"> s </w:t>
            </w:r>
            <w:r w:rsidRPr="00235C73">
              <w:rPr>
                <w:rStyle w:val="InstructionsTabelleberschrift"/>
                <w:rFonts w:ascii="Times New Roman" w:hAnsi="Times New Roman"/>
                <w:b w:val="0"/>
                <w:noProof w:val="0"/>
                <w:sz w:val="24"/>
                <w:u w:val="none"/>
              </w:rPr>
              <w:t>horným ohraničením podľa článku 72b ods. 3 nariadenia (EÚ) č. 575/2013, subjekty vykazujú:</w:t>
            </w:r>
          </w:p>
          <w:p w14:paraId="2D4EFCF5" w14:textId="416C7828" w:rsidR="00CF21D0" w:rsidRPr="00235C73" w:rsidRDefault="00F66078" w:rsidP="0073688E">
            <w:pPr>
              <w:spacing w:before="120" w:after="120" w:line="240" w:lineRule="auto"/>
              <w:jc w:val="both"/>
              <w:rPr>
                <w:rStyle w:val="InstructionsTabelleberschrift"/>
                <w:rFonts w:ascii="Times New Roman" w:hAnsi="Times New Roman"/>
                <w:b w:val="0"/>
                <w:sz w:val="24"/>
                <w:szCs w:val="24"/>
                <w:u w:val="none"/>
              </w:rPr>
            </w:pPr>
            <w:r w:rsidRPr="00235C73">
              <w:rPr>
                <w:rStyle w:val="InstructionsTabelleberschrift"/>
                <w:rFonts w:ascii="Times New Roman" w:hAnsi="Times New Roman"/>
                <w:b w:val="0"/>
                <w:sz w:val="24"/>
                <w:u w:val="none"/>
              </w:rPr>
              <w:t>a) hodnotu emitovaných finančných prostriedkov, ktoré majú rovnaké postavenie ako vylúčené záväzky podľa článku 72a ods. 2 nariadenia (EÚ) č. 575/2013</w:t>
            </w:r>
            <w:r w:rsidR="00235C73">
              <w:rPr>
                <w:rStyle w:val="InstructionsTabelleberschrift"/>
                <w:rFonts w:ascii="Times New Roman" w:hAnsi="Times New Roman"/>
                <w:b w:val="0"/>
                <w:sz w:val="24"/>
                <w:u w:val="none"/>
              </w:rPr>
              <w:t xml:space="preserve"> a </w:t>
            </w:r>
            <w:r w:rsidRPr="00235C73">
              <w:rPr>
                <w:rStyle w:val="InstructionsTabelleberschrift"/>
                <w:rFonts w:ascii="Times New Roman" w:hAnsi="Times New Roman"/>
                <w:b w:val="0"/>
                <w:sz w:val="24"/>
                <w:u w:val="none"/>
              </w:rPr>
              <w:t>sú zahrnuté do hodnoty uvedenej</w:t>
            </w:r>
            <w:r w:rsidR="00235C73">
              <w:rPr>
                <w:rStyle w:val="InstructionsTabelleberschrift"/>
                <w:rFonts w:ascii="Times New Roman" w:hAnsi="Times New Roman"/>
                <w:b w:val="0"/>
                <w:sz w:val="24"/>
                <w:u w:val="none"/>
              </w:rPr>
              <w:t xml:space="preserve"> v </w:t>
            </w:r>
            <w:r w:rsidRPr="00235C73">
              <w:rPr>
                <w:rStyle w:val="InstructionsTabelleberschrift"/>
                <w:rFonts w:ascii="Times New Roman" w:hAnsi="Times New Roman"/>
                <w:b w:val="0"/>
                <w:sz w:val="24"/>
                <w:u w:val="none"/>
              </w:rPr>
              <w:t>riadku 1;</w:t>
            </w:r>
          </w:p>
          <w:p w14:paraId="61EF1E26" w14:textId="397D8A66" w:rsidR="00CF21D0" w:rsidRPr="00235C73" w:rsidRDefault="00F66078" w:rsidP="0073688E">
            <w:pPr>
              <w:spacing w:before="120" w:after="120" w:line="240" w:lineRule="auto"/>
              <w:jc w:val="both"/>
              <w:rPr>
                <w:rFonts w:ascii="Times New Roman" w:hAnsi="Times New Roman" w:cs="Times New Roman"/>
                <w:color w:val="000000" w:themeColor="text1"/>
                <w:sz w:val="24"/>
                <w:szCs w:val="24"/>
              </w:rPr>
            </w:pPr>
            <w:r w:rsidRPr="00235C73">
              <w:rPr>
                <w:rStyle w:val="InstructionsTabelleberschrift"/>
                <w:rFonts w:ascii="Times New Roman" w:hAnsi="Times New Roman"/>
                <w:b w:val="0"/>
                <w:sz w:val="24"/>
                <w:u w:val="none"/>
              </w:rPr>
              <w:t>b) vydelenú hodnotou emitovaných finančných prostriedkov, ktoré majú rovnaké postavenie ako vylúčené záväzky podľa článku 72a ods. 2 nariadenia (EÚ) č. 575/2013</w:t>
            </w:r>
            <w:r w:rsidR="00235C73">
              <w:rPr>
                <w:rStyle w:val="InstructionsTabelleberschrift"/>
                <w:rFonts w:ascii="Times New Roman" w:hAnsi="Times New Roman"/>
                <w:b w:val="0"/>
                <w:sz w:val="24"/>
                <w:u w:val="none"/>
              </w:rPr>
              <w:t xml:space="preserve"> a </w:t>
            </w:r>
            <w:r w:rsidRPr="00235C73">
              <w:rPr>
                <w:rStyle w:val="InstructionsTabelleberschrift"/>
                <w:rFonts w:ascii="Times New Roman" w:hAnsi="Times New Roman"/>
                <w:b w:val="0"/>
                <w:sz w:val="24"/>
                <w:u w:val="none"/>
              </w:rPr>
              <w:t>ktoré by sa vykázali</w:t>
            </w:r>
            <w:r w:rsidR="00235C73">
              <w:rPr>
                <w:rStyle w:val="InstructionsTabelleberschrift"/>
                <w:rFonts w:ascii="Times New Roman" w:hAnsi="Times New Roman"/>
                <w:b w:val="0"/>
                <w:sz w:val="24"/>
                <w:u w:val="none"/>
              </w:rPr>
              <w:t xml:space="preserve"> v </w:t>
            </w:r>
            <w:r w:rsidRPr="00235C73">
              <w:rPr>
                <w:rStyle w:val="InstructionsTabelleberschrift"/>
                <w:rFonts w:ascii="Times New Roman" w:hAnsi="Times New Roman"/>
                <w:b w:val="0"/>
                <w:sz w:val="24"/>
                <w:u w:val="none"/>
              </w:rPr>
              <w:t>riadku 1, ak by sa neuplatňovalo žiadne horné ohraničenie.</w:t>
            </w:r>
          </w:p>
        </w:tc>
      </w:tr>
      <w:tr w:rsidR="008B1AF1" w:rsidRPr="00235C73" w14:paraId="3397A407" w14:textId="77777777" w:rsidTr="00915305">
        <w:trPr>
          <w:trHeight w:val="316"/>
        </w:trPr>
        <w:tc>
          <w:tcPr>
            <w:tcW w:w="1384" w:type="dxa"/>
          </w:tcPr>
          <w:p w14:paraId="064B005C" w14:textId="65B49825" w:rsidR="008B1AF1" w:rsidRPr="00235C73" w:rsidDel="00CD7CA4" w:rsidRDefault="008B1AF1" w:rsidP="008B1AF1">
            <w:pPr>
              <w:autoSpaceDE w:val="0"/>
              <w:autoSpaceDN w:val="0"/>
              <w:adjustRightInd w:val="0"/>
              <w:rPr>
                <w:rFonts w:ascii="Times New Roman" w:hAnsi="Times New Roman" w:cs="Times New Roman"/>
                <w:color w:val="000000" w:themeColor="text1"/>
                <w:sz w:val="24"/>
                <w:szCs w:val="24"/>
              </w:rPr>
            </w:pPr>
          </w:p>
        </w:tc>
        <w:tc>
          <w:tcPr>
            <w:tcW w:w="7655" w:type="dxa"/>
          </w:tcPr>
          <w:p w14:paraId="065986DE" w14:textId="67577459" w:rsidR="008B1AF1" w:rsidRPr="00235C73" w:rsidRDefault="008B1AF1" w:rsidP="008B1AF1">
            <w:pPr>
              <w:autoSpaceDE w:val="0"/>
              <w:autoSpaceDN w:val="0"/>
              <w:adjustRightInd w:val="0"/>
              <w:spacing w:before="120" w:after="120"/>
              <w:jc w:val="both"/>
              <w:rPr>
                <w:rFonts w:ascii="Times New Roman" w:hAnsi="Times New Roman" w:cs="Times New Roman"/>
                <w:b/>
                <w:color w:val="000000" w:themeColor="text1"/>
                <w:sz w:val="24"/>
                <w:szCs w:val="24"/>
              </w:rPr>
            </w:pPr>
            <w:r w:rsidRPr="00235C73">
              <w:rPr>
                <w:rFonts w:ascii="Times New Roman" w:hAnsi="Times New Roman"/>
                <w:b/>
                <w:color w:val="000000" w:themeColor="text1"/>
                <w:sz w:val="24"/>
              </w:rPr>
              <w:t>Minimálna požiadavka na vlastné zdroje</w:t>
            </w:r>
            <w:r w:rsidR="00235C73">
              <w:rPr>
                <w:rFonts w:ascii="Times New Roman" w:hAnsi="Times New Roman"/>
                <w:b/>
                <w:color w:val="000000" w:themeColor="text1"/>
                <w:sz w:val="24"/>
              </w:rPr>
              <w:t xml:space="preserve"> a </w:t>
            </w:r>
            <w:r w:rsidRPr="00235C73">
              <w:rPr>
                <w:rFonts w:ascii="Times New Roman" w:hAnsi="Times New Roman"/>
                <w:b/>
                <w:color w:val="000000" w:themeColor="text1"/>
                <w:sz w:val="24"/>
              </w:rPr>
              <w:t>oprávnené záväzky (MREL)</w:t>
            </w:r>
          </w:p>
        </w:tc>
      </w:tr>
      <w:tr w:rsidR="008B1AF1" w:rsidRPr="00235C73" w14:paraId="1D50EF40" w14:textId="77777777" w:rsidTr="00915305">
        <w:trPr>
          <w:trHeight w:val="316"/>
        </w:trPr>
        <w:tc>
          <w:tcPr>
            <w:tcW w:w="1384" w:type="dxa"/>
          </w:tcPr>
          <w:p w14:paraId="5B7C6EEB" w14:textId="0DDF46DE" w:rsidR="008B1AF1" w:rsidRPr="00235C73" w:rsidRDefault="00FF2A56" w:rsidP="008B1AF1">
            <w:pPr>
              <w:autoSpaceDE w:val="0"/>
              <w:autoSpaceDN w:val="0"/>
              <w:adjustRightInd w:val="0"/>
              <w:rPr>
                <w:rFonts w:ascii="Times New Roman" w:hAnsi="Times New Roman" w:cs="Times New Roman"/>
                <w:color w:val="000000" w:themeColor="text1"/>
                <w:sz w:val="24"/>
                <w:szCs w:val="24"/>
              </w:rPr>
            </w:pPr>
            <w:r w:rsidRPr="00235C73">
              <w:rPr>
                <w:rFonts w:ascii="Times New Roman" w:hAnsi="Times New Roman"/>
                <w:sz w:val="24"/>
              </w:rPr>
              <w:t>EU-7</w:t>
            </w:r>
          </w:p>
        </w:tc>
        <w:tc>
          <w:tcPr>
            <w:tcW w:w="7655" w:type="dxa"/>
          </w:tcPr>
          <w:p w14:paraId="4FB8070F" w14:textId="2E661595" w:rsidR="008B1AF1" w:rsidRPr="00235C73" w:rsidRDefault="008B1AF1" w:rsidP="008B1AF1">
            <w:pPr>
              <w:pStyle w:val="Applicationdirecte"/>
              <w:spacing w:before="120"/>
              <w:rPr>
                <w:b/>
                <w:color w:val="000000" w:themeColor="text1"/>
                <w:szCs w:val="24"/>
              </w:rPr>
            </w:pPr>
            <w:r w:rsidRPr="00235C73">
              <w:rPr>
                <w:b/>
                <w:color w:val="000000" w:themeColor="text1"/>
              </w:rPr>
              <w:t>MREL vyjadrená ako percentuálny podiel TREA</w:t>
            </w:r>
          </w:p>
          <w:p w14:paraId="5D62407D" w14:textId="19C80DD8" w:rsidR="006453C4" w:rsidRPr="00235C73" w:rsidRDefault="006453C4" w:rsidP="00D33D65">
            <w:pPr>
              <w:pStyle w:val="Fait"/>
            </w:pPr>
            <w:r w:rsidRPr="00235C73">
              <w:rPr>
                <w:color w:val="000000" w:themeColor="text1"/>
              </w:rPr>
              <w:t>Minimálna požiadavka subjektu na vlastné zdroje</w:t>
            </w:r>
            <w:r w:rsidR="00235C73">
              <w:rPr>
                <w:color w:val="000000" w:themeColor="text1"/>
              </w:rPr>
              <w:t xml:space="preserve"> a </w:t>
            </w:r>
            <w:r w:rsidRPr="00235C73">
              <w:rPr>
                <w:color w:val="000000" w:themeColor="text1"/>
              </w:rPr>
              <w:t>oprávnené záväzky určená orgánom pre riešenie krízových situácií</w:t>
            </w:r>
            <w:r w:rsidR="00235C73">
              <w:rPr>
                <w:color w:val="000000" w:themeColor="text1"/>
              </w:rPr>
              <w:t xml:space="preserve"> v </w:t>
            </w:r>
            <w:r w:rsidRPr="00235C73">
              <w:rPr>
                <w:color w:val="000000" w:themeColor="text1"/>
              </w:rPr>
              <w:t>súlade</w:t>
            </w:r>
            <w:r w:rsidR="00235C73">
              <w:rPr>
                <w:color w:val="000000" w:themeColor="text1"/>
              </w:rPr>
              <w:t xml:space="preserve"> s </w:t>
            </w:r>
            <w:r w:rsidRPr="00235C73">
              <w:rPr>
                <w:color w:val="000000" w:themeColor="text1"/>
              </w:rPr>
              <w:t>článkom 45e smernice 2014/59/EÚ vyjadrená ako percentuálny podiel celkovej hodnoty rizikovej expozície vypočítanej</w:t>
            </w:r>
            <w:r w:rsidR="00235C73">
              <w:rPr>
                <w:color w:val="000000" w:themeColor="text1"/>
              </w:rPr>
              <w:t xml:space="preserve"> v </w:t>
            </w:r>
            <w:r w:rsidRPr="00235C73">
              <w:rPr>
                <w:color w:val="000000" w:themeColor="text1"/>
              </w:rPr>
              <w:t>súlade</w:t>
            </w:r>
            <w:r w:rsidR="00235C73">
              <w:rPr>
                <w:color w:val="000000" w:themeColor="text1"/>
              </w:rPr>
              <w:t xml:space="preserve"> s </w:t>
            </w:r>
            <w:r w:rsidRPr="00235C73">
              <w:rPr>
                <w:color w:val="000000" w:themeColor="text1"/>
              </w:rPr>
              <w:t>článkom 92 ods. 3 nariadenia (EÚ) č. 575/2013.</w:t>
            </w:r>
          </w:p>
        </w:tc>
      </w:tr>
      <w:tr w:rsidR="008B1AF1" w:rsidRPr="00235C73" w14:paraId="1415A72E" w14:textId="77777777" w:rsidTr="00915305">
        <w:trPr>
          <w:trHeight w:val="316"/>
        </w:trPr>
        <w:tc>
          <w:tcPr>
            <w:tcW w:w="1384" w:type="dxa"/>
          </w:tcPr>
          <w:p w14:paraId="519FCFF9" w14:textId="293BA3A8" w:rsidR="008B1AF1" w:rsidRPr="00235C73" w:rsidRDefault="00FF2A56" w:rsidP="008B1AF1">
            <w:pPr>
              <w:autoSpaceDE w:val="0"/>
              <w:autoSpaceDN w:val="0"/>
              <w:adjustRightInd w:val="0"/>
              <w:rPr>
                <w:rFonts w:ascii="Times New Roman" w:hAnsi="Times New Roman" w:cs="Times New Roman"/>
                <w:color w:val="000000" w:themeColor="text1"/>
                <w:sz w:val="24"/>
                <w:szCs w:val="24"/>
              </w:rPr>
            </w:pPr>
            <w:r w:rsidRPr="00235C73">
              <w:rPr>
                <w:rFonts w:ascii="Times New Roman" w:hAnsi="Times New Roman"/>
                <w:sz w:val="24"/>
              </w:rPr>
              <w:t>EU-8</w:t>
            </w:r>
          </w:p>
        </w:tc>
        <w:tc>
          <w:tcPr>
            <w:tcW w:w="7655" w:type="dxa"/>
          </w:tcPr>
          <w:p w14:paraId="7AFA5D84" w14:textId="05675441" w:rsidR="008B1AF1" w:rsidRPr="00235C73" w:rsidRDefault="00B80F7C" w:rsidP="008B1AF1">
            <w:pPr>
              <w:pStyle w:val="Applicationdirecte"/>
              <w:spacing w:before="0" w:after="0"/>
              <w:rPr>
                <w:b/>
                <w:color w:val="000000" w:themeColor="text1"/>
                <w:szCs w:val="24"/>
              </w:rPr>
            </w:pPr>
            <w:r w:rsidRPr="00235C73">
              <w:rPr>
                <w:b/>
                <w:color w:val="000000" w:themeColor="text1"/>
              </w:rPr>
              <w:t>MREL vyjadrená ako percentuálny podiel TREA –</w:t>
            </w:r>
            <w:r w:rsidR="00235C73">
              <w:rPr>
                <w:b/>
                <w:color w:val="000000" w:themeColor="text1"/>
              </w:rPr>
              <w:t xml:space="preserve"> z </w:t>
            </w:r>
            <w:r w:rsidRPr="00235C73">
              <w:rPr>
                <w:b/>
                <w:color w:val="000000" w:themeColor="text1"/>
              </w:rPr>
              <w:t>čoho časť, ktorá sa má splniť vlastnými zdrojmi alebo podriadenými záväzkami</w:t>
            </w:r>
          </w:p>
          <w:p w14:paraId="33EFDD9D" w14:textId="26120267" w:rsidR="008B1AF1" w:rsidRPr="00235C73" w:rsidRDefault="00D819D9" w:rsidP="00D33D65">
            <w:pPr>
              <w:rPr>
                <w:color w:val="000000" w:themeColor="text1"/>
                <w:szCs w:val="24"/>
              </w:rPr>
            </w:pPr>
            <w:r w:rsidRPr="00235C73">
              <w:rPr>
                <w:rStyle w:val="FormatvorlageInstructionsTabelleText"/>
                <w:rFonts w:ascii="Times New Roman" w:hAnsi="Times New Roman"/>
                <w:sz w:val="24"/>
              </w:rPr>
              <w:t>Prípadne tá časť MREL, pri ktorej orgán pre riešenie krízových situácií podľa článku 45b ods. 4 až 8 smernice 2014/59/EÚ vyžadoval, aby bola splnená pomocou vlastných zdrojov, podriadených oprávnených nástrojov alebo záväzkov uvedených</w:t>
            </w:r>
            <w:r w:rsidR="00235C73">
              <w:rPr>
                <w:rStyle w:val="FormatvorlageInstructionsTabelleText"/>
                <w:rFonts w:ascii="Times New Roman" w:hAnsi="Times New Roman"/>
                <w:sz w:val="24"/>
              </w:rPr>
              <w:t xml:space="preserve"> v </w:t>
            </w:r>
            <w:r w:rsidRPr="00235C73">
              <w:rPr>
                <w:rStyle w:val="FormatvorlageInstructionsTabelleText"/>
                <w:rFonts w:ascii="Times New Roman" w:hAnsi="Times New Roman"/>
                <w:sz w:val="24"/>
              </w:rPr>
              <w:t>odseku 3 uvedeného článku, vyjadrená ako percentuálny podiel celkovej hodnoty rizikovej expozície vypočítanej</w:t>
            </w:r>
            <w:r w:rsidR="00235C73">
              <w:rPr>
                <w:rStyle w:val="FormatvorlageInstructionsTabelleText"/>
                <w:rFonts w:ascii="Times New Roman" w:hAnsi="Times New Roman"/>
                <w:sz w:val="24"/>
              </w:rPr>
              <w:t xml:space="preserve"> v </w:t>
            </w:r>
            <w:r w:rsidRPr="00235C73">
              <w:rPr>
                <w:rStyle w:val="FormatvorlageInstructionsTabelleText"/>
                <w:rFonts w:ascii="Times New Roman" w:hAnsi="Times New Roman"/>
                <w:sz w:val="24"/>
              </w:rPr>
              <w:t>súlade</w:t>
            </w:r>
            <w:r w:rsidR="00235C73">
              <w:rPr>
                <w:rStyle w:val="FormatvorlageInstructionsTabelleText"/>
                <w:rFonts w:ascii="Times New Roman" w:hAnsi="Times New Roman"/>
                <w:sz w:val="24"/>
              </w:rPr>
              <w:t xml:space="preserve"> s </w:t>
            </w:r>
            <w:r w:rsidRPr="00235C73">
              <w:rPr>
                <w:rStyle w:val="FormatvorlageInstructionsTabelleText"/>
                <w:rFonts w:ascii="Times New Roman" w:hAnsi="Times New Roman"/>
                <w:sz w:val="24"/>
              </w:rPr>
              <w:t>článkom 92 ods. 3 nariadenia (EÚ) č. 575/2013</w:t>
            </w:r>
            <w:r w:rsidRPr="00235C73">
              <w:rPr>
                <w:rFonts w:ascii="Times New Roman" w:hAnsi="Times New Roman"/>
                <w:sz w:val="24"/>
              </w:rPr>
              <w:t>.</w:t>
            </w:r>
          </w:p>
        </w:tc>
      </w:tr>
      <w:tr w:rsidR="008B1AF1" w:rsidRPr="00235C73" w14:paraId="060950C0" w14:textId="77777777" w:rsidTr="00915305">
        <w:trPr>
          <w:trHeight w:val="316"/>
        </w:trPr>
        <w:tc>
          <w:tcPr>
            <w:tcW w:w="1384" w:type="dxa"/>
          </w:tcPr>
          <w:p w14:paraId="1DBB4CB4" w14:textId="31361788" w:rsidR="008B1AF1" w:rsidRPr="00235C73" w:rsidRDefault="00FF2A56" w:rsidP="008B1AF1">
            <w:pPr>
              <w:autoSpaceDE w:val="0"/>
              <w:autoSpaceDN w:val="0"/>
              <w:adjustRightInd w:val="0"/>
              <w:rPr>
                <w:rFonts w:ascii="Times New Roman" w:hAnsi="Times New Roman" w:cs="Times New Roman"/>
                <w:color w:val="000000" w:themeColor="text1"/>
                <w:sz w:val="24"/>
                <w:szCs w:val="24"/>
              </w:rPr>
            </w:pPr>
            <w:r w:rsidRPr="00235C73">
              <w:rPr>
                <w:rFonts w:ascii="Times New Roman" w:hAnsi="Times New Roman"/>
                <w:sz w:val="24"/>
              </w:rPr>
              <w:t>EU-9</w:t>
            </w:r>
          </w:p>
        </w:tc>
        <w:tc>
          <w:tcPr>
            <w:tcW w:w="7655" w:type="dxa"/>
          </w:tcPr>
          <w:p w14:paraId="357A69B0" w14:textId="07AF7072" w:rsidR="008B1AF1" w:rsidRPr="00235C73" w:rsidRDefault="008B1AF1" w:rsidP="008B1AF1">
            <w:pPr>
              <w:pStyle w:val="Applicationdirecte"/>
              <w:spacing w:before="120"/>
              <w:rPr>
                <w:b/>
                <w:color w:val="000000" w:themeColor="text1"/>
                <w:szCs w:val="24"/>
              </w:rPr>
            </w:pPr>
            <w:r w:rsidRPr="00235C73">
              <w:rPr>
                <w:b/>
                <w:color w:val="000000" w:themeColor="text1"/>
              </w:rPr>
              <w:t>MREL vyjadrená ako percentuálny podiel TEM</w:t>
            </w:r>
          </w:p>
          <w:p w14:paraId="7ABED549" w14:textId="15F17CBA" w:rsidR="006453C4" w:rsidRPr="00235C73" w:rsidRDefault="006453C4" w:rsidP="00717DB0">
            <w:pPr>
              <w:pStyle w:val="Fait"/>
            </w:pPr>
            <w:r w:rsidRPr="00235C73">
              <w:lastRenderedPageBreak/>
              <w:t>Minimálna požiadavka vykazujúceho subjektu na vlastné zdroje</w:t>
            </w:r>
            <w:r w:rsidR="00235C73">
              <w:t xml:space="preserve"> a </w:t>
            </w:r>
            <w:r w:rsidRPr="00235C73">
              <w:t>oprávnené záväzky určená orgánom pre riešenie krízových situácií</w:t>
            </w:r>
            <w:r w:rsidR="00235C73">
              <w:t xml:space="preserve"> v </w:t>
            </w:r>
            <w:r w:rsidRPr="00235C73">
              <w:t>súlade</w:t>
            </w:r>
            <w:r w:rsidR="00235C73">
              <w:t xml:space="preserve"> s </w:t>
            </w:r>
            <w:r w:rsidRPr="00235C73">
              <w:t>článkom 45e smernice 2014/59/EÚ vyjadrená ako percentuálny podiel veľkosti celkovej expozície vypočítanej</w:t>
            </w:r>
            <w:r w:rsidR="00235C73">
              <w:t xml:space="preserve"> v </w:t>
            </w:r>
            <w:r w:rsidRPr="00235C73">
              <w:t>súlade</w:t>
            </w:r>
            <w:r w:rsidR="00235C73">
              <w:t xml:space="preserve"> s </w:t>
            </w:r>
            <w:r w:rsidRPr="00235C73">
              <w:t>článkom 429 ods. 4</w:t>
            </w:r>
            <w:r w:rsidR="00235C73">
              <w:t xml:space="preserve"> a </w:t>
            </w:r>
            <w:r w:rsidRPr="00235C73">
              <w:t>článkom 429a nariadenia (EÚ) č. 575/2013.</w:t>
            </w:r>
          </w:p>
        </w:tc>
      </w:tr>
      <w:tr w:rsidR="008B1AF1" w:rsidRPr="00235C73" w14:paraId="5A4A9503" w14:textId="77777777" w:rsidTr="00915305">
        <w:trPr>
          <w:trHeight w:val="316"/>
        </w:trPr>
        <w:tc>
          <w:tcPr>
            <w:tcW w:w="1384" w:type="dxa"/>
          </w:tcPr>
          <w:p w14:paraId="4E5C6AFC" w14:textId="2C522F9C" w:rsidR="008B1AF1" w:rsidRPr="00235C73" w:rsidRDefault="00FF2A56" w:rsidP="008B1AF1">
            <w:pPr>
              <w:autoSpaceDE w:val="0"/>
              <w:autoSpaceDN w:val="0"/>
              <w:adjustRightInd w:val="0"/>
              <w:rPr>
                <w:rFonts w:ascii="Times New Roman" w:hAnsi="Times New Roman" w:cs="Times New Roman"/>
                <w:color w:val="000000" w:themeColor="text1"/>
                <w:sz w:val="24"/>
                <w:szCs w:val="24"/>
              </w:rPr>
            </w:pPr>
            <w:r w:rsidRPr="00235C73">
              <w:rPr>
                <w:rFonts w:ascii="Times New Roman" w:hAnsi="Times New Roman"/>
                <w:sz w:val="24"/>
              </w:rPr>
              <w:lastRenderedPageBreak/>
              <w:t>EU-10</w:t>
            </w:r>
          </w:p>
        </w:tc>
        <w:tc>
          <w:tcPr>
            <w:tcW w:w="7655" w:type="dxa"/>
          </w:tcPr>
          <w:p w14:paraId="4A8117E5" w14:textId="7A8279B3" w:rsidR="008B1AF1" w:rsidRPr="00235C73" w:rsidRDefault="00B80F7C" w:rsidP="008B1AF1">
            <w:pPr>
              <w:pStyle w:val="Applicationdirecte"/>
              <w:spacing w:before="0" w:after="0"/>
              <w:rPr>
                <w:b/>
                <w:color w:val="000000" w:themeColor="text1"/>
                <w:szCs w:val="24"/>
              </w:rPr>
            </w:pPr>
            <w:r w:rsidRPr="00235C73">
              <w:rPr>
                <w:b/>
                <w:color w:val="000000" w:themeColor="text1"/>
              </w:rPr>
              <w:t>MREL vyjadrená ako percentuálny podiel TEM –</w:t>
            </w:r>
            <w:r w:rsidR="00235C73">
              <w:rPr>
                <w:b/>
                <w:color w:val="000000" w:themeColor="text1"/>
              </w:rPr>
              <w:t xml:space="preserve"> z </w:t>
            </w:r>
            <w:r w:rsidRPr="00235C73">
              <w:rPr>
                <w:b/>
                <w:color w:val="000000" w:themeColor="text1"/>
              </w:rPr>
              <w:t>čoho časť, ktorá sa má splniť vlastnými zdrojmi alebo podriadenými záväzkami</w:t>
            </w:r>
          </w:p>
          <w:p w14:paraId="366BA2A0" w14:textId="06E3D41A" w:rsidR="008B1AF1" w:rsidRPr="00235C73" w:rsidRDefault="00D819D9" w:rsidP="00E1386E">
            <w:pPr>
              <w:rPr>
                <w:color w:val="000000" w:themeColor="text1"/>
                <w:szCs w:val="24"/>
              </w:rPr>
            </w:pPr>
            <w:r w:rsidRPr="00235C73">
              <w:rPr>
                <w:rStyle w:val="FormatvorlageInstructionsTabelleText"/>
                <w:rFonts w:ascii="Times New Roman" w:hAnsi="Times New Roman"/>
                <w:sz w:val="24"/>
              </w:rPr>
              <w:t>Prípadne tá časť MREL, pri ktorej orgán pre riešenie krízových situácií podľa článku 45b ods. 4 až 8 smernice 2014/59/EÚ vyžadoval, aby bola splnená pomocou vlastných zdrojov, podriadených oprávnených nástrojov alebo záväzkov uvedených</w:t>
            </w:r>
            <w:r w:rsidR="00235C73">
              <w:rPr>
                <w:rStyle w:val="FormatvorlageInstructionsTabelleText"/>
                <w:rFonts w:ascii="Times New Roman" w:hAnsi="Times New Roman"/>
                <w:sz w:val="24"/>
              </w:rPr>
              <w:t xml:space="preserve"> v </w:t>
            </w:r>
            <w:r w:rsidRPr="00235C73">
              <w:rPr>
                <w:rStyle w:val="FormatvorlageInstructionsTabelleText"/>
                <w:rFonts w:ascii="Times New Roman" w:hAnsi="Times New Roman"/>
                <w:sz w:val="24"/>
              </w:rPr>
              <w:t>odseku 3 uvedeného článku, vyjadrená ako percentuálny podiel veľkosti celkovej expozície vypočítanej</w:t>
            </w:r>
            <w:r w:rsidR="00235C73">
              <w:rPr>
                <w:rStyle w:val="FormatvorlageInstructionsTabelleText"/>
                <w:rFonts w:ascii="Times New Roman" w:hAnsi="Times New Roman"/>
                <w:sz w:val="24"/>
              </w:rPr>
              <w:t xml:space="preserve"> v </w:t>
            </w:r>
            <w:r w:rsidRPr="00235C73">
              <w:rPr>
                <w:rStyle w:val="FormatvorlageInstructionsTabelleText"/>
                <w:rFonts w:ascii="Times New Roman" w:hAnsi="Times New Roman"/>
                <w:sz w:val="24"/>
              </w:rPr>
              <w:t>súlade</w:t>
            </w:r>
            <w:r w:rsidR="00235C73">
              <w:rPr>
                <w:rStyle w:val="FormatvorlageInstructionsTabelleText"/>
                <w:rFonts w:ascii="Times New Roman" w:hAnsi="Times New Roman"/>
                <w:sz w:val="24"/>
              </w:rPr>
              <w:t xml:space="preserve"> s </w:t>
            </w:r>
            <w:r w:rsidRPr="00235C73">
              <w:rPr>
                <w:rStyle w:val="FormatvorlageInstructionsTabelleText"/>
                <w:rFonts w:ascii="Times New Roman" w:hAnsi="Times New Roman"/>
                <w:sz w:val="24"/>
              </w:rPr>
              <w:t>článkom 429 ods. 4</w:t>
            </w:r>
            <w:r w:rsidR="00235C73">
              <w:rPr>
                <w:rStyle w:val="FormatvorlageInstructionsTabelleText"/>
                <w:rFonts w:ascii="Times New Roman" w:hAnsi="Times New Roman"/>
                <w:sz w:val="24"/>
              </w:rPr>
              <w:t xml:space="preserve"> a </w:t>
            </w:r>
            <w:r w:rsidRPr="00235C73">
              <w:rPr>
                <w:rStyle w:val="FormatvorlageInstructionsTabelleText"/>
                <w:rFonts w:ascii="Times New Roman" w:hAnsi="Times New Roman"/>
                <w:sz w:val="24"/>
              </w:rPr>
              <w:t>článkom 429a nariadenia (EÚ) č. 575/2013</w:t>
            </w:r>
            <w:r w:rsidRPr="00235C73">
              <w:rPr>
                <w:rFonts w:ascii="Times New Roman" w:hAnsi="Times New Roman"/>
                <w:sz w:val="24"/>
              </w:rPr>
              <w:t>.</w:t>
            </w:r>
          </w:p>
        </w:tc>
      </w:tr>
    </w:tbl>
    <w:p w14:paraId="38CEC33F" w14:textId="77777777" w:rsidR="005673AC" w:rsidRPr="00235C73" w:rsidRDefault="005673AC" w:rsidP="00E258D8">
      <w:pPr>
        <w:rPr>
          <w:rFonts w:ascii="Times New Roman" w:hAnsi="Times New Roman" w:cs="Times New Roman"/>
          <w:color w:val="000000" w:themeColor="text1"/>
          <w:sz w:val="24"/>
          <w:szCs w:val="24"/>
        </w:rPr>
      </w:pPr>
    </w:p>
    <w:p w14:paraId="62DE89D5" w14:textId="5FF685E7" w:rsidR="003956D6" w:rsidRPr="00235C73"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5" w:name="_Toc14768967"/>
      <w:bookmarkStart w:id="26" w:name="_Toc14769241"/>
      <w:bookmarkStart w:id="27" w:name="_Toc14769635"/>
      <w:bookmarkStart w:id="28" w:name="_Toc14769788"/>
      <w:bookmarkStart w:id="29" w:name="_Toc14770058"/>
      <w:bookmarkStart w:id="30" w:name="_Toc14770328"/>
      <w:bookmarkStart w:id="31" w:name="_Toc14770481"/>
      <w:bookmarkStart w:id="32" w:name="_Toc14770636"/>
      <w:bookmarkStart w:id="33" w:name="_Toc14770791"/>
      <w:bookmarkStart w:id="34" w:name="_Toc14770948"/>
      <w:bookmarkStart w:id="35" w:name="_Toc14771489"/>
      <w:bookmarkStart w:id="36" w:name="_Toc14771607"/>
      <w:bookmarkStart w:id="37" w:name="_Toc15478323"/>
      <w:bookmarkStart w:id="38" w:name="_Toc14768968"/>
      <w:bookmarkStart w:id="39" w:name="_Toc14769242"/>
      <w:bookmarkStart w:id="40" w:name="_Toc14769636"/>
      <w:bookmarkStart w:id="41" w:name="_Toc14769789"/>
      <w:bookmarkStart w:id="42" w:name="_Toc14770059"/>
      <w:bookmarkStart w:id="43" w:name="_Toc14770329"/>
      <w:bookmarkStart w:id="44" w:name="_Toc14770482"/>
      <w:bookmarkStart w:id="45" w:name="_Toc14770637"/>
      <w:bookmarkStart w:id="46" w:name="_Toc14770792"/>
      <w:bookmarkStart w:id="47" w:name="_Toc14770949"/>
      <w:bookmarkStart w:id="48" w:name="_Toc14771608"/>
      <w:bookmarkStart w:id="49" w:name="_Toc14768969"/>
      <w:bookmarkStart w:id="50" w:name="_Toc14769243"/>
      <w:bookmarkStart w:id="51" w:name="_Toc14769637"/>
      <w:bookmarkStart w:id="52" w:name="_Toc14769790"/>
      <w:bookmarkStart w:id="53" w:name="_Toc14770060"/>
      <w:bookmarkStart w:id="54" w:name="_Toc14770330"/>
      <w:bookmarkStart w:id="55" w:name="_Toc14770483"/>
      <w:bookmarkStart w:id="56" w:name="_Toc14770638"/>
      <w:bookmarkStart w:id="57" w:name="_Toc14770793"/>
      <w:bookmarkStart w:id="58" w:name="_Toc14770950"/>
      <w:bookmarkStart w:id="59" w:name="_Toc14771491"/>
      <w:bookmarkStart w:id="60" w:name="_Toc14771609"/>
      <w:bookmarkStart w:id="61" w:name="_Toc15478325"/>
      <w:bookmarkStart w:id="62" w:name="_Toc14768970"/>
      <w:bookmarkStart w:id="63" w:name="_Toc14769244"/>
      <w:bookmarkStart w:id="64" w:name="_Toc14769638"/>
      <w:bookmarkStart w:id="65" w:name="_Toc14769791"/>
      <w:bookmarkStart w:id="66" w:name="_Toc14770061"/>
      <w:bookmarkStart w:id="67" w:name="_Toc14770331"/>
      <w:bookmarkStart w:id="68" w:name="_Toc14770484"/>
      <w:bookmarkStart w:id="69" w:name="_Toc14770639"/>
      <w:bookmarkStart w:id="70" w:name="_Toc14770794"/>
      <w:bookmarkStart w:id="71" w:name="_Toc14770951"/>
      <w:bookmarkStart w:id="72" w:name="_Toc14771610"/>
      <w:bookmarkStart w:id="73" w:name="_Toc14768971"/>
      <w:bookmarkStart w:id="74" w:name="_Toc14769245"/>
      <w:bookmarkStart w:id="75" w:name="_Toc14769639"/>
      <w:bookmarkStart w:id="76" w:name="_Toc14769792"/>
      <w:bookmarkStart w:id="77" w:name="_Toc14770062"/>
      <w:bookmarkStart w:id="78" w:name="_Toc14770332"/>
      <w:bookmarkStart w:id="79" w:name="_Toc14770485"/>
      <w:bookmarkStart w:id="80" w:name="_Toc14770640"/>
      <w:bookmarkStart w:id="81" w:name="_Toc14770795"/>
      <w:bookmarkStart w:id="82" w:name="_Toc14770952"/>
      <w:bookmarkStart w:id="83" w:name="_Toc14771493"/>
      <w:bookmarkStart w:id="84" w:name="_Toc14771611"/>
      <w:bookmarkStart w:id="85" w:name="_Toc15478327"/>
      <w:bookmarkStart w:id="86" w:name="_Toc14768986"/>
      <w:bookmarkStart w:id="87" w:name="_Toc14769260"/>
      <w:bookmarkStart w:id="88" w:name="_Toc14769654"/>
      <w:bookmarkStart w:id="89" w:name="_Toc14769807"/>
      <w:bookmarkStart w:id="90" w:name="_Toc14770077"/>
      <w:bookmarkStart w:id="91" w:name="_Toc14770347"/>
      <w:bookmarkStart w:id="92" w:name="_Toc14770500"/>
      <w:bookmarkStart w:id="93" w:name="_Toc14770655"/>
      <w:bookmarkStart w:id="94" w:name="_Toc14770810"/>
      <w:bookmarkStart w:id="95" w:name="_Toc14770967"/>
      <w:bookmarkStart w:id="96" w:name="_Toc14771504"/>
      <w:bookmarkStart w:id="97" w:name="_Toc14771626"/>
      <w:bookmarkStart w:id="98" w:name="_Toc15478338"/>
      <w:bookmarkStart w:id="99" w:name="_Toc14768987"/>
      <w:bookmarkStart w:id="100" w:name="_Toc14769261"/>
      <w:bookmarkStart w:id="101" w:name="_Toc14769655"/>
      <w:bookmarkStart w:id="102" w:name="_Toc14769808"/>
      <w:bookmarkStart w:id="103" w:name="_Toc14770078"/>
      <w:bookmarkStart w:id="104" w:name="_Toc14770348"/>
      <w:bookmarkStart w:id="105" w:name="_Toc14770501"/>
      <w:bookmarkStart w:id="106" w:name="_Toc14770656"/>
      <w:bookmarkStart w:id="107" w:name="_Toc14770811"/>
      <w:bookmarkStart w:id="108" w:name="_Toc14770968"/>
      <w:bookmarkStart w:id="109" w:name="_Toc14771627"/>
      <w:bookmarkStart w:id="110" w:name="_Toc14768988"/>
      <w:bookmarkStart w:id="111" w:name="_Toc14769262"/>
      <w:bookmarkStart w:id="112" w:name="_Toc14769656"/>
      <w:bookmarkStart w:id="113" w:name="_Toc14769809"/>
      <w:bookmarkStart w:id="114" w:name="_Toc14770079"/>
      <w:bookmarkStart w:id="115" w:name="_Toc14770349"/>
      <w:bookmarkStart w:id="116" w:name="_Toc14770502"/>
      <w:bookmarkStart w:id="117" w:name="_Toc14770657"/>
      <w:bookmarkStart w:id="118" w:name="_Toc14770812"/>
      <w:bookmarkStart w:id="119" w:name="_Toc14770969"/>
      <w:bookmarkStart w:id="120" w:name="_Toc14771506"/>
      <w:bookmarkStart w:id="121" w:name="_Toc14771628"/>
      <w:bookmarkStart w:id="122" w:name="_Toc15478340"/>
      <w:bookmarkStart w:id="123" w:name="_Toc14768989"/>
      <w:bookmarkStart w:id="124" w:name="_Toc14769263"/>
      <w:bookmarkStart w:id="125" w:name="_Toc14769657"/>
      <w:bookmarkStart w:id="126" w:name="_Toc14769810"/>
      <w:bookmarkStart w:id="127" w:name="_Toc14770080"/>
      <w:bookmarkStart w:id="128" w:name="_Toc14770350"/>
      <w:bookmarkStart w:id="129" w:name="_Toc14770503"/>
      <w:bookmarkStart w:id="130" w:name="_Toc14770658"/>
      <w:bookmarkStart w:id="131" w:name="_Toc14770813"/>
      <w:bookmarkStart w:id="132" w:name="_Toc14770970"/>
      <w:bookmarkStart w:id="133" w:name="_Toc14771629"/>
      <w:bookmarkStart w:id="134" w:name="_Toc14768990"/>
      <w:bookmarkStart w:id="135" w:name="_Toc14769264"/>
      <w:bookmarkStart w:id="136" w:name="_Toc14769658"/>
      <w:bookmarkStart w:id="137" w:name="_Toc14769811"/>
      <w:bookmarkStart w:id="138" w:name="_Toc14770081"/>
      <w:bookmarkStart w:id="139" w:name="_Toc14770351"/>
      <w:bookmarkStart w:id="140" w:name="_Toc14770504"/>
      <w:bookmarkStart w:id="141" w:name="_Toc14770659"/>
      <w:bookmarkStart w:id="142" w:name="_Toc14770814"/>
      <w:bookmarkStart w:id="143" w:name="_Toc14770971"/>
      <w:bookmarkStart w:id="144" w:name="_Toc14771508"/>
      <w:bookmarkStart w:id="145" w:name="_Toc14771630"/>
      <w:bookmarkStart w:id="146" w:name="_Toc15478342"/>
      <w:bookmarkStart w:id="147" w:name="_Toc14769016"/>
      <w:bookmarkStart w:id="148" w:name="_Toc14769290"/>
      <w:bookmarkStart w:id="149" w:name="_Toc14769684"/>
      <w:bookmarkStart w:id="150" w:name="_Toc14769837"/>
      <w:bookmarkStart w:id="151" w:name="_Toc14770107"/>
      <w:bookmarkStart w:id="152" w:name="_Toc14770377"/>
      <w:bookmarkStart w:id="153" w:name="_Toc14770530"/>
      <w:bookmarkStart w:id="154" w:name="_Toc14770685"/>
      <w:bookmarkStart w:id="155" w:name="_Toc14770840"/>
      <w:bookmarkStart w:id="156" w:name="_Toc14770997"/>
      <w:bookmarkStart w:id="157" w:name="_Toc14771527"/>
      <w:bookmarkStart w:id="158" w:name="_Toc14771656"/>
      <w:bookmarkStart w:id="159" w:name="_Toc15478361"/>
      <w:bookmarkStart w:id="160" w:name="_Toc14769060"/>
      <w:bookmarkStart w:id="161" w:name="_Toc14769334"/>
      <w:bookmarkStart w:id="162" w:name="_Toc14769728"/>
      <w:bookmarkStart w:id="163" w:name="_Toc14769881"/>
      <w:bookmarkStart w:id="164" w:name="_Toc14770151"/>
      <w:bookmarkStart w:id="165" w:name="_Toc14770421"/>
      <w:bookmarkStart w:id="166" w:name="_Toc14770574"/>
      <w:bookmarkStart w:id="167" w:name="_Toc14770729"/>
      <w:bookmarkStart w:id="168" w:name="_Toc14770884"/>
      <w:bookmarkStart w:id="169" w:name="_Toc14771041"/>
      <w:bookmarkStart w:id="170" w:name="_Toc14771559"/>
      <w:bookmarkStart w:id="171" w:name="_Toc14771700"/>
      <w:bookmarkStart w:id="172" w:name="_Toc15478393"/>
      <w:bookmarkStart w:id="173" w:name="_Toc14769113"/>
      <w:bookmarkStart w:id="174" w:name="_Toc14769387"/>
      <w:bookmarkStart w:id="175" w:name="_Toc14769781"/>
      <w:bookmarkStart w:id="176" w:name="_Toc14769934"/>
      <w:bookmarkStart w:id="177" w:name="_Toc14770204"/>
      <w:bookmarkStart w:id="178" w:name="_Toc14770474"/>
      <w:bookmarkStart w:id="179" w:name="_Toc14770627"/>
      <w:bookmarkStart w:id="180" w:name="_Toc14770782"/>
      <w:bookmarkStart w:id="181" w:name="_Toc14770937"/>
      <w:bookmarkStart w:id="182" w:name="_Toc14771094"/>
      <w:bookmarkStart w:id="183" w:name="_Toc14771600"/>
      <w:bookmarkStart w:id="184" w:name="_Toc14771753"/>
      <w:bookmarkStart w:id="185" w:name="_Toc1547843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235C73">
        <w:rPr>
          <w:rFonts w:ascii="Times New Roman" w:hAnsi="Times New Roman"/>
          <w:color w:val="auto"/>
          <w:sz w:val="24"/>
        </w:rPr>
        <w:t>3.</w:t>
      </w:r>
      <w:r w:rsidRPr="00235C73">
        <w:rPr>
          <w:rFonts w:ascii="Times New Roman" w:hAnsi="Times New Roman"/>
          <w:color w:val="auto"/>
          <w:sz w:val="24"/>
        </w:rPr>
        <w:tab/>
      </w:r>
      <w:bookmarkStart w:id="186" w:name="_Toc14770783"/>
      <w:bookmarkStart w:id="187" w:name="_Toc45266927"/>
      <w:r w:rsidRPr="00235C73">
        <w:rPr>
          <w:rFonts w:ascii="Times New Roman" w:hAnsi="Times New Roman"/>
          <w:color w:val="auto"/>
          <w:sz w:val="24"/>
        </w:rPr>
        <w:t>EU TLAC 1: Zloženie – MREL</w:t>
      </w:r>
      <w:r w:rsidR="00235C73">
        <w:rPr>
          <w:rFonts w:ascii="Times New Roman" w:hAnsi="Times New Roman"/>
          <w:color w:val="auto"/>
          <w:sz w:val="24"/>
        </w:rPr>
        <w:t xml:space="preserve"> a </w:t>
      </w:r>
      <w:r w:rsidRPr="00235C73">
        <w:rPr>
          <w:rFonts w:ascii="Times New Roman" w:hAnsi="Times New Roman"/>
          <w:color w:val="auto"/>
          <w:sz w:val="24"/>
        </w:rPr>
        <w:t>prípadne požiadavka na vlastné zdroje</w:t>
      </w:r>
      <w:r w:rsidR="00235C73">
        <w:rPr>
          <w:rFonts w:ascii="Times New Roman" w:hAnsi="Times New Roman"/>
          <w:color w:val="auto"/>
          <w:sz w:val="24"/>
        </w:rPr>
        <w:t xml:space="preserve"> a </w:t>
      </w:r>
      <w:r w:rsidRPr="00235C73">
        <w:rPr>
          <w:rFonts w:ascii="Times New Roman" w:hAnsi="Times New Roman"/>
          <w:color w:val="auto"/>
          <w:sz w:val="24"/>
        </w:rPr>
        <w:t>oprávnené záväzky pre G-SII</w:t>
      </w:r>
      <w:bookmarkEnd w:id="186"/>
      <w:bookmarkEnd w:id="187"/>
    </w:p>
    <w:p w14:paraId="5FDEB8AD" w14:textId="229D3FE6" w:rsidR="00021E4F" w:rsidRPr="00235C73" w:rsidRDefault="00021E4F" w:rsidP="00B62DC9">
      <w:pPr>
        <w:pStyle w:val="InstructionsText2"/>
        <w:numPr>
          <w:ilvl w:val="0"/>
          <w:numId w:val="12"/>
        </w:numPr>
        <w:rPr>
          <w:noProof w:val="0"/>
        </w:rPr>
      </w:pPr>
      <w:r w:rsidRPr="00235C73">
        <w:rPr>
          <w:noProof w:val="0"/>
        </w:rPr>
        <w:t>Pozícia vlastných zdrojov</w:t>
      </w:r>
      <w:r w:rsidR="00235C73">
        <w:rPr>
          <w:noProof w:val="0"/>
        </w:rPr>
        <w:t xml:space="preserve"> a </w:t>
      </w:r>
      <w:r w:rsidRPr="00235C73">
        <w:rPr>
          <w:noProof w:val="0"/>
        </w:rPr>
        <w:t>oprávnených záväzkov súvisiaca so skupinou, ktorej krízová situácia sa rieši, zahŕňa len kapitálové nástroje</w:t>
      </w:r>
      <w:r w:rsidR="00235C73">
        <w:rPr>
          <w:noProof w:val="0"/>
        </w:rPr>
        <w:t xml:space="preserve"> a </w:t>
      </w:r>
      <w:r w:rsidRPr="00235C73">
        <w:rPr>
          <w:noProof w:val="0"/>
        </w:rPr>
        <w:t>oprávnené záväzky emitované subjektom, ktorého krízová situácia sa rieši,</w:t>
      </w:r>
      <w:r w:rsidR="00235C73">
        <w:rPr>
          <w:noProof w:val="0"/>
        </w:rPr>
        <w:t xml:space="preserve"> a </w:t>
      </w:r>
      <w:r w:rsidRPr="00235C73">
        <w:rPr>
          <w:noProof w:val="0"/>
        </w:rPr>
        <w:t>ak je to</w:t>
      </w:r>
      <w:r w:rsidR="00235C73">
        <w:rPr>
          <w:noProof w:val="0"/>
        </w:rPr>
        <w:t xml:space="preserve"> v </w:t>
      </w:r>
      <w:r w:rsidRPr="00235C73">
        <w:rPr>
          <w:noProof w:val="0"/>
        </w:rPr>
        <w:t>súlade</w:t>
      </w:r>
      <w:r w:rsidR="00235C73">
        <w:rPr>
          <w:noProof w:val="0"/>
        </w:rPr>
        <w:t xml:space="preserve"> s </w:t>
      </w:r>
      <w:r w:rsidRPr="00235C73">
        <w:rPr>
          <w:noProof w:val="0"/>
        </w:rPr>
        <w:t>článkom 45b ods. 3 smernice 2014/59/EÚ alebo prípadne článkom 88a nariadenia (EÚ) č. 575/2013, dcérskymi spoločnosťami subjektu, ktorého krízová situácia sa rieši,</w:t>
      </w:r>
      <w:r w:rsidR="00235C73">
        <w:rPr>
          <w:noProof w:val="0"/>
        </w:rPr>
        <w:t xml:space="preserve"> s </w:t>
      </w:r>
      <w:r w:rsidRPr="00235C73">
        <w:rPr>
          <w:noProof w:val="0"/>
        </w:rPr>
        <w:t>výnimkou subjektov mimo skupiny, ktorej krízová situácia sa rieši. Podobne je pozícia vlastných zdrojov</w:t>
      </w:r>
      <w:r w:rsidR="00235C73">
        <w:rPr>
          <w:noProof w:val="0"/>
        </w:rPr>
        <w:t xml:space="preserve"> a </w:t>
      </w:r>
      <w:r w:rsidRPr="00235C73">
        <w:rPr>
          <w:noProof w:val="0"/>
        </w:rPr>
        <w:t>oprávnených záväzkov založená na celkovej hodnote rizikovej expozície (upravenej tak, ako je povolené podľa článku 45h ods. 2 smernice 2014/59/EÚ)</w:t>
      </w:r>
      <w:r w:rsidR="00235C73">
        <w:rPr>
          <w:noProof w:val="0"/>
        </w:rPr>
        <w:t xml:space="preserve"> a </w:t>
      </w:r>
      <w:r w:rsidRPr="00235C73">
        <w:rPr>
          <w:noProof w:val="0"/>
        </w:rPr>
        <w:t>na veľkosti celkovej expozície vypočítanej na úrovni skupiny, ktorej krízová situácia sa rieši.</w:t>
      </w:r>
    </w:p>
    <w:p w14:paraId="31AA4E2B" w14:textId="27565210" w:rsidR="00B00CC4" w:rsidRPr="00235C73" w:rsidRDefault="00021E4F" w:rsidP="00B62DC9">
      <w:pPr>
        <w:pStyle w:val="InstructionsText2"/>
        <w:numPr>
          <w:ilvl w:val="0"/>
          <w:numId w:val="12"/>
        </w:numPr>
        <w:rPr>
          <w:noProof w:val="0"/>
        </w:rPr>
      </w:pPr>
      <w:r w:rsidRPr="00235C73">
        <w:rPr>
          <w:noProof w:val="0"/>
        </w:rPr>
        <w:t>Pokiaľ ide</w:t>
      </w:r>
      <w:r w:rsidR="00235C73">
        <w:rPr>
          <w:noProof w:val="0"/>
        </w:rPr>
        <w:t xml:space="preserve"> o </w:t>
      </w:r>
      <w:r w:rsidRPr="00235C73">
        <w:rPr>
          <w:noProof w:val="0"/>
        </w:rPr>
        <w:t>regulačné úpravy, subjekty zverejňujú odpočty od vlastných zdrojov</w:t>
      </w:r>
      <w:r w:rsidR="00235C73">
        <w:rPr>
          <w:noProof w:val="0"/>
        </w:rPr>
        <w:t xml:space="preserve"> a </w:t>
      </w:r>
      <w:r w:rsidRPr="00235C73">
        <w:rPr>
          <w:noProof w:val="0"/>
        </w:rPr>
        <w:t>oprávnených záväzkov ako záporné čísla</w:t>
      </w:r>
      <w:r w:rsidR="00235C73">
        <w:rPr>
          <w:noProof w:val="0"/>
        </w:rPr>
        <w:t xml:space="preserve"> a </w:t>
      </w:r>
      <w:r w:rsidRPr="00235C73">
        <w:rPr>
          <w:noProof w:val="0"/>
        </w:rPr>
        <w:t>prírastky vlastných zdrojov</w:t>
      </w:r>
      <w:r w:rsidR="00235C73">
        <w:rPr>
          <w:noProof w:val="0"/>
        </w:rPr>
        <w:t xml:space="preserve"> a </w:t>
      </w:r>
      <w:r w:rsidRPr="00235C73">
        <w:rPr>
          <w:noProof w:val="0"/>
        </w:rPr>
        <w:t>oprávnených záväzkov ako kladné čísla.</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807127" w:rsidRPr="00235C73" w14:paraId="326F196A" w14:textId="77777777" w:rsidTr="00807127">
        <w:trPr>
          <w:trHeight w:val="238"/>
        </w:trPr>
        <w:tc>
          <w:tcPr>
            <w:tcW w:w="1384" w:type="dxa"/>
            <w:shd w:val="clear" w:color="auto" w:fill="D9D9D9" w:themeFill="background1" w:themeFillShade="D9"/>
          </w:tcPr>
          <w:p w14:paraId="0D11A621" w14:textId="7182C6B7" w:rsidR="00807127" w:rsidRPr="00235C73" w:rsidRDefault="00807127" w:rsidP="00807127">
            <w:pPr>
              <w:autoSpaceDE w:val="0"/>
              <w:autoSpaceDN w:val="0"/>
              <w:adjustRightInd w:val="0"/>
              <w:rPr>
                <w:rFonts w:ascii="Times New Roman" w:hAnsi="Times New Roman" w:cs="Times New Roman"/>
                <w:b/>
                <w:color w:val="000000" w:themeColor="text1"/>
                <w:sz w:val="24"/>
                <w:szCs w:val="24"/>
              </w:rPr>
            </w:pPr>
            <w:r w:rsidRPr="00235C73">
              <w:rPr>
                <w:rFonts w:ascii="Times New Roman" w:hAnsi="Times New Roman"/>
                <w:b/>
                <w:color w:val="000000" w:themeColor="text1"/>
                <w:sz w:val="24"/>
              </w:rPr>
              <w:t>Stĺpce</w:t>
            </w:r>
          </w:p>
        </w:tc>
        <w:tc>
          <w:tcPr>
            <w:tcW w:w="7655" w:type="dxa"/>
            <w:shd w:val="clear" w:color="auto" w:fill="D9D9D9" w:themeFill="background1" w:themeFillShade="D9"/>
          </w:tcPr>
          <w:p w14:paraId="791EECCB" w14:textId="7C37F5E9" w:rsidR="00807127" w:rsidRPr="00235C73" w:rsidRDefault="00E46262" w:rsidP="00807127">
            <w:pPr>
              <w:autoSpaceDE w:val="0"/>
              <w:autoSpaceDN w:val="0"/>
              <w:adjustRightInd w:val="0"/>
              <w:rPr>
                <w:rFonts w:ascii="Times New Roman" w:hAnsi="Times New Roman" w:cs="Times New Roman"/>
                <w:b/>
                <w:color w:val="000000" w:themeColor="text1"/>
                <w:sz w:val="24"/>
                <w:szCs w:val="24"/>
              </w:rPr>
            </w:pPr>
            <w:r w:rsidRPr="00235C73">
              <w:rPr>
                <w:rFonts w:ascii="Times New Roman" w:hAnsi="Times New Roman"/>
                <w:b/>
                <w:color w:val="000000" w:themeColor="text1"/>
                <w:sz w:val="24"/>
              </w:rPr>
              <w:t>Odkazy na právne predpisy</w:t>
            </w:r>
            <w:r w:rsidR="00235C73">
              <w:rPr>
                <w:rFonts w:ascii="Times New Roman" w:hAnsi="Times New Roman"/>
                <w:b/>
                <w:color w:val="000000" w:themeColor="text1"/>
                <w:sz w:val="24"/>
              </w:rPr>
              <w:t xml:space="preserve"> a </w:t>
            </w:r>
            <w:r w:rsidRPr="00235C73">
              <w:rPr>
                <w:rFonts w:ascii="Times New Roman" w:hAnsi="Times New Roman"/>
                <w:b/>
                <w:color w:val="000000" w:themeColor="text1"/>
                <w:sz w:val="24"/>
              </w:rPr>
              <w:t>pokyny</w:t>
            </w:r>
          </w:p>
        </w:tc>
      </w:tr>
      <w:tr w:rsidR="00807127" w:rsidRPr="00235C73" w14:paraId="32E9685C" w14:textId="77777777" w:rsidTr="00807127">
        <w:trPr>
          <w:trHeight w:val="637"/>
        </w:trPr>
        <w:tc>
          <w:tcPr>
            <w:tcW w:w="1384" w:type="dxa"/>
          </w:tcPr>
          <w:p w14:paraId="6B2EC01C" w14:textId="6A4D6558" w:rsidR="00807127" w:rsidRPr="00235C73" w:rsidDel="00DE6BC1" w:rsidRDefault="00807127" w:rsidP="00EF47A4">
            <w:pPr>
              <w:pStyle w:val="Applicationdirecte"/>
              <w:spacing w:before="120"/>
              <w:jc w:val="center"/>
              <w:rPr>
                <w:color w:val="000000" w:themeColor="text1"/>
                <w:szCs w:val="24"/>
              </w:rPr>
            </w:pPr>
            <w:r w:rsidRPr="00235C73">
              <w:rPr>
                <w:color w:val="000000" w:themeColor="text1"/>
              </w:rPr>
              <w:t>a</w:t>
            </w:r>
          </w:p>
        </w:tc>
        <w:tc>
          <w:tcPr>
            <w:tcW w:w="7655" w:type="dxa"/>
          </w:tcPr>
          <w:p w14:paraId="436FCBC7" w14:textId="37AC5D69" w:rsidR="00807127" w:rsidRPr="00235C73" w:rsidRDefault="008C2E99" w:rsidP="003C10CA">
            <w:pPr>
              <w:autoSpaceDE w:val="0"/>
              <w:autoSpaceDN w:val="0"/>
              <w:adjustRightInd w:val="0"/>
              <w:spacing w:before="120" w:after="120"/>
              <w:rPr>
                <w:rFonts w:ascii="Times New Roman" w:hAnsi="Times New Roman" w:cs="Times New Roman"/>
                <w:color w:val="000000" w:themeColor="text1"/>
                <w:sz w:val="24"/>
                <w:szCs w:val="24"/>
              </w:rPr>
            </w:pPr>
            <w:r w:rsidRPr="00235C73">
              <w:rPr>
                <w:rFonts w:ascii="Times New Roman" w:hAnsi="Times New Roman"/>
                <w:color w:val="000000" w:themeColor="text1"/>
                <w:sz w:val="24"/>
              </w:rPr>
              <w:t>Subjekty zverejňujú</w:t>
            </w:r>
            <w:r w:rsidR="00235C73">
              <w:rPr>
                <w:rFonts w:ascii="Times New Roman" w:hAnsi="Times New Roman"/>
                <w:color w:val="000000" w:themeColor="text1"/>
                <w:sz w:val="24"/>
              </w:rPr>
              <w:t xml:space="preserve"> v </w:t>
            </w:r>
            <w:r w:rsidRPr="00235C73">
              <w:rPr>
                <w:rFonts w:ascii="Times New Roman" w:hAnsi="Times New Roman"/>
                <w:color w:val="000000" w:themeColor="text1"/>
                <w:sz w:val="24"/>
              </w:rPr>
              <w:t>tomto stĺpci príslušné informácie</w:t>
            </w:r>
            <w:r w:rsidR="00235C73">
              <w:rPr>
                <w:rFonts w:ascii="Times New Roman" w:hAnsi="Times New Roman"/>
                <w:color w:val="000000" w:themeColor="text1"/>
                <w:sz w:val="24"/>
              </w:rPr>
              <w:t xml:space="preserve"> o </w:t>
            </w:r>
            <w:r w:rsidRPr="00235C73">
              <w:rPr>
                <w:rFonts w:ascii="Times New Roman" w:hAnsi="Times New Roman"/>
                <w:color w:val="000000" w:themeColor="text1"/>
                <w:sz w:val="24"/>
              </w:rPr>
              <w:t>MREL podľa článkov 45</w:t>
            </w:r>
            <w:r w:rsidR="00235C73">
              <w:rPr>
                <w:rFonts w:ascii="Times New Roman" w:hAnsi="Times New Roman"/>
                <w:color w:val="000000" w:themeColor="text1"/>
                <w:sz w:val="24"/>
              </w:rPr>
              <w:t xml:space="preserve"> a </w:t>
            </w:r>
            <w:r w:rsidRPr="00235C73">
              <w:rPr>
                <w:rFonts w:ascii="Times New Roman" w:hAnsi="Times New Roman"/>
                <w:color w:val="000000" w:themeColor="text1"/>
                <w:sz w:val="24"/>
              </w:rPr>
              <w:t>45e smernice 2014/59/EÚ.</w:t>
            </w:r>
          </w:p>
        </w:tc>
      </w:tr>
      <w:tr w:rsidR="00807127" w:rsidRPr="00235C73" w14:paraId="462C6C09" w14:textId="77777777" w:rsidTr="00807127">
        <w:trPr>
          <w:trHeight w:val="637"/>
        </w:trPr>
        <w:tc>
          <w:tcPr>
            <w:tcW w:w="1384" w:type="dxa"/>
          </w:tcPr>
          <w:p w14:paraId="560866CC" w14:textId="77777777" w:rsidR="00807127" w:rsidRPr="00235C73" w:rsidDel="00DE6BC1" w:rsidRDefault="00807127" w:rsidP="00807127">
            <w:pPr>
              <w:pStyle w:val="Applicationdirecte"/>
              <w:spacing w:before="120"/>
              <w:jc w:val="center"/>
              <w:rPr>
                <w:color w:val="000000" w:themeColor="text1"/>
                <w:szCs w:val="24"/>
              </w:rPr>
            </w:pPr>
            <w:r w:rsidRPr="00235C73">
              <w:rPr>
                <w:color w:val="000000" w:themeColor="text1"/>
              </w:rPr>
              <w:t>b</w:t>
            </w:r>
          </w:p>
        </w:tc>
        <w:tc>
          <w:tcPr>
            <w:tcW w:w="7655" w:type="dxa"/>
          </w:tcPr>
          <w:p w14:paraId="1B5C7CCC" w14:textId="3BD96A32" w:rsidR="00807127" w:rsidRPr="00235C73" w:rsidRDefault="008C2E99" w:rsidP="00F60ACD">
            <w:pPr>
              <w:autoSpaceDE w:val="0"/>
              <w:autoSpaceDN w:val="0"/>
              <w:adjustRightInd w:val="0"/>
              <w:spacing w:before="120" w:after="120"/>
              <w:rPr>
                <w:rFonts w:ascii="Times New Roman" w:hAnsi="Times New Roman" w:cs="Times New Roman"/>
                <w:b/>
                <w:color w:val="000000" w:themeColor="text1"/>
                <w:sz w:val="24"/>
                <w:szCs w:val="24"/>
              </w:rPr>
            </w:pPr>
            <w:r w:rsidRPr="00235C73">
              <w:rPr>
                <w:rFonts w:ascii="Times New Roman" w:hAnsi="Times New Roman"/>
                <w:color w:val="000000" w:themeColor="text1"/>
                <w:sz w:val="24"/>
              </w:rPr>
              <w:t>Subjekty, ktoré sú G-SII, na ktoré sa vzťahuje požiadavka TLAC podľa článku 92a nariadenia (EÚ) č. 575/2013, zverejňujú</w:t>
            </w:r>
            <w:r w:rsidR="00235C73">
              <w:rPr>
                <w:rFonts w:ascii="Times New Roman" w:hAnsi="Times New Roman"/>
                <w:color w:val="000000" w:themeColor="text1"/>
                <w:sz w:val="24"/>
              </w:rPr>
              <w:t xml:space="preserve"> v </w:t>
            </w:r>
            <w:r w:rsidRPr="00235C73">
              <w:rPr>
                <w:rFonts w:ascii="Times New Roman" w:hAnsi="Times New Roman"/>
                <w:color w:val="000000" w:themeColor="text1"/>
                <w:sz w:val="24"/>
              </w:rPr>
              <w:t>tomto stĺpci príslušné informácie</w:t>
            </w:r>
            <w:r w:rsidR="00235C73">
              <w:rPr>
                <w:rFonts w:ascii="Times New Roman" w:hAnsi="Times New Roman"/>
                <w:color w:val="000000" w:themeColor="text1"/>
                <w:sz w:val="24"/>
              </w:rPr>
              <w:t xml:space="preserve"> o </w:t>
            </w:r>
            <w:r w:rsidRPr="00235C73">
              <w:rPr>
                <w:rFonts w:ascii="Times New Roman" w:hAnsi="Times New Roman"/>
                <w:color w:val="000000" w:themeColor="text1"/>
                <w:sz w:val="24"/>
              </w:rPr>
              <w:t xml:space="preserve">tejto požiadavke. </w:t>
            </w:r>
          </w:p>
        </w:tc>
      </w:tr>
      <w:tr w:rsidR="00807127" w:rsidRPr="00235C73" w14:paraId="4B0052CD" w14:textId="77777777" w:rsidTr="00807127">
        <w:trPr>
          <w:trHeight w:val="637"/>
        </w:trPr>
        <w:tc>
          <w:tcPr>
            <w:tcW w:w="1384" w:type="dxa"/>
          </w:tcPr>
          <w:p w14:paraId="3F556DCF" w14:textId="09520620" w:rsidR="00807127" w:rsidRPr="00235C73" w:rsidDel="00DE6BC1" w:rsidRDefault="00807127" w:rsidP="00EF47A4">
            <w:pPr>
              <w:pStyle w:val="Applicationdirecte"/>
              <w:spacing w:before="120"/>
              <w:jc w:val="center"/>
              <w:rPr>
                <w:color w:val="000000" w:themeColor="text1"/>
                <w:szCs w:val="24"/>
              </w:rPr>
            </w:pPr>
            <w:r w:rsidRPr="00235C73">
              <w:rPr>
                <w:color w:val="000000" w:themeColor="text1"/>
              </w:rPr>
              <w:t>c</w:t>
            </w:r>
          </w:p>
        </w:tc>
        <w:tc>
          <w:tcPr>
            <w:tcW w:w="7655" w:type="dxa"/>
          </w:tcPr>
          <w:p w14:paraId="4066D283" w14:textId="77777777" w:rsidR="00235C73" w:rsidRDefault="00807127" w:rsidP="00B62DC9">
            <w:pPr>
              <w:pStyle w:val="InstructionsText"/>
              <w:rPr>
                <w:rStyle w:val="FormatvorlageInstructionsTabelleText"/>
                <w:rFonts w:ascii="Times New Roman" w:hAnsi="Times New Roman"/>
                <w:noProof w:val="0"/>
                <w:sz w:val="24"/>
              </w:rPr>
            </w:pPr>
            <w:r w:rsidRPr="00235C73">
              <w:rPr>
                <w:rStyle w:val="FormatvorlageInstructionsTabelleText"/>
                <w:rFonts w:ascii="Times New Roman" w:hAnsi="Times New Roman"/>
                <w:noProof w:val="0"/>
                <w:sz w:val="24"/>
              </w:rPr>
              <w:t>Tento stĺpec vypĺňajú len subjekty, na ktoré sa vzťahuje požiadavka TLAC</w:t>
            </w:r>
            <w:r w:rsidR="00235C73">
              <w:rPr>
                <w:rStyle w:val="FormatvorlageInstructionsTabelleText"/>
                <w:rFonts w:ascii="Times New Roman" w:hAnsi="Times New Roman"/>
                <w:noProof w:val="0"/>
                <w:sz w:val="24"/>
              </w:rPr>
              <w:t>.</w:t>
            </w:r>
          </w:p>
          <w:p w14:paraId="1B6D4BC4" w14:textId="0E294A48" w:rsidR="00807127" w:rsidRPr="00235C73" w:rsidRDefault="00807127" w:rsidP="00B62DC9">
            <w:pPr>
              <w:pStyle w:val="InstructionsText"/>
              <w:rPr>
                <w:noProof w:val="0"/>
              </w:rPr>
            </w:pPr>
            <w:r w:rsidRPr="00235C73">
              <w:rPr>
                <w:noProof w:val="0"/>
              </w:rPr>
              <w:t>V tomto stĺpci sa zohľadňuje rozdiel medzi hodnotami uplatniteľnými</w:t>
            </w:r>
            <w:r w:rsidR="00235C73">
              <w:rPr>
                <w:noProof w:val="0"/>
              </w:rPr>
              <w:t xml:space="preserve"> v </w:t>
            </w:r>
            <w:r w:rsidRPr="00235C73">
              <w:rPr>
                <w:noProof w:val="0"/>
              </w:rPr>
              <w:t>súvislosti</w:t>
            </w:r>
            <w:r w:rsidR="00235C73">
              <w:rPr>
                <w:noProof w:val="0"/>
              </w:rPr>
              <w:t xml:space="preserve"> s </w:t>
            </w:r>
            <w:r w:rsidRPr="00235C73">
              <w:rPr>
                <w:noProof w:val="0"/>
              </w:rPr>
              <w:t>požiadavkou stanovenou</w:t>
            </w:r>
            <w:r w:rsidR="00235C73">
              <w:rPr>
                <w:noProof w:val="0"/>
              </w:rPr>
              <w:t xml:space="preserve"> v </w:t>
            </w:r>
            <w:r w:rsidRPr="00235C73">
              <w:rPr>
                <w:noProof w:val="0"/>
              </w:rPr>
              <w:t>článku 45 smernice 2014/59/EÚ</w:t>
            </w:r>
            <w:r w:rsidR="00235C73">
              <w:rPr>
                <w:noProof w:val="0"/>
              </w:rPr>
              <w:t xml:space="preserve"> </w:t>
            </w:r>
            <w:r w:rsidR="00235C73">
              <w:rPr>
                <w:noProof w:val="0"/>
              </w:rPr>
              <w:lastRenderedPageBreak/>
              <w:t>a </w:t>
            </w:r>
            <w:r w:rsidRPr="00235C73">
              <w:rPr>
                <w:noProof w:val="0"/>
              </w:rPr>
              <w:t>hodnotami uplatniteľnými</w:t>
            </w:r>
            <w:r w:rsidR="00235C73">
              <w:rPr>
                <w:noProof w:val="0"/>
              </w:rPr>
              <w:t xml:space="preserve"> v </w:t>
            </w:r>
            <w:r w:rsidRPr="00235C73">
              <w:rPr>
                <w:noProof w:val="0"/>
              </w:rPr>
              <w:t>súvislosti</w:t>
            </w:r>
            <w:r w:rsidR="00235C73">
              <w:rPr>
                <w:noProof w:val="0"/>
              </w:rPr>
              <w:t xml:space="preserve"> s </w:t>
            </w:r>
            <w:r w:rsidRPr="00235C73">
              <w:rPr>
                <w:noProof w:val="0"/>
              </w:rPr>
              <w:t>požiadavkou uvedenou</w:t>
            </w:r>
            <w:r w:rsidR="00235C73">
              <w:rPr>
                <w:noProof w:val="0"/>
              </w:rPr>
              <w:t xml:space="preserve"> v </w:t>
            </w:r>
            <w:r w:rsidRPr="00235C73">
              <w:rPr>
                <w:noProof w:val="0"/>
              </w:rPr>
              <w:t>článku 92a nariadenia (EÚ) č. 575/2013.</w:t>
            </w:r>
          </w:p>
        </w:tc>
      </w:tr>
    </w:tbl>
    <w:p w14:paraId="3AC1888A" w14:textId="77777777" w:rsidR="00807127" w:rsidRPr="00235C73" w:rsidRDefault="00807127" w:rsidP="00807127">
      <w:pPr>
        <w:jc w:val="both"/>
        <w:rPr>
          <w:rFonts w:ascii="Times New Roman" w:hAnsi="Times New Roman" w:cs="Times New Roman"/>
          <w:i/>
          <w:color w:val="000000" w:themeColor="text1"/>
          <w:sz w:val="24"/>
          <w:szCs w:val="24"/>
        </w:rPr>
      </w:pPr>
    </w:p>
    <w:tbl>
      <w:tblPr>
        <w:tblStyle w:val="TableGrid"/>
        <w:tblW w:w="0" w:type="auto"/>
        <w:tblInd w:w="5"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030"/>
        <w:gridCol w:w="7736"/>
      </w:tblGrid>
      <w:tr w:rsidR="00026FC1" w:rsidRPr="00235C73" w14:paraId="6EA9B061" w14:textId="77777777" w:rsidTr="00E46262">
        <w:trPr>
          <w:cnfStyle w:val="100000000000" w:firstRow="1" w:lastRow="0" w:firstColumn="0" w:lastColumn="0" w:oddVBand="0" w:evenVBand="0" w:oddHBand="0" w:evenHBand="0" w:firstRowFirstColumn="0" w:firstRowLastColumn="0" w:lastRowFirstColumn="0" w:lastRowLastColumn="0"/>
        </w:trPr>
        <w:tc>
          <w:tcPr>
            <w:tcW w:w="1030" w:type="dxa"/>
            <w:tcBorders>
              <w:top w:val="single" w:sz="4" w:space="0" w:color="auto"/>
              <w:left w:val="single" w:sz="4" w:space="0" w:color="auto"/>
              <w:right w:val="single" w:sz="4" w:space="0" w:color="auto"/>
            </w:tcBorders>
            <w:shd w:val="clear" w:color="auto" w:fill="D9D9D9" w:themeFill="background1" w:themeFillShade="D9"/>
          </w:tcPr>
          <w:p w14:paraId="563BF1AA" w14:textId="77777777" w:rsidR="00021E4F" w:rsidRPr="00235C73" w:rsidRDefault="00021E4F" w:rsidP="00915305">
            <w:pPr>
              <w:rPr>
                <w:rFonts w:ascii="Times New Roman" w:hAnsi="Times New Roman" w:cs="Times New Roman"/>
                <w:color w:val="000000" w:themeColor="text1"/>
                <w:sz w:val="24"/>
                <w:szCs w:val="24"/>
                <w:lang w:val="sk-SK"/>
              </w:rPr>
            </w:pPr>
            <w:r w:rsidRPr="00235C73">
              <w:rPr>
                <w:rFonts w:ascii="Times New Roman" w:hAnsi="Times New Roman"/>
                <w:b/>
                <w:color w:val="000000" w:themeColor="text1"/>
                <w:sz w:val="24"/>
                <w:lang w:val="sk-SK"/>
              </w:rPr>
              <w:t xml:space="preserve">Riadok </w:t>
            </w:r>
          </w:p>
        </w:tc>
        <w:tc>
          <w:tcPr>
            <w:tcW w:w="7736" w:type="dxa"/>
            <w:tcBorders>
              <w:top w:val="single" w:sz="4" w:space="0" w:color="auto"/>
              <w:left w:val="single" w:sz="4" w:space="0" w:color="auto"/>
              <w:right w:val="single" w:sz="4" w:space="0" w:color="auto"/>
            </w:tcBorders>
            <w:shd w:val="clear" w:color="auto" w:fill="D9D9D9" w:themeFill="background1" w:themeFillShade="D9"/>
          </w:tcPr>
          <w:p w14:paraId="54B2E936" w14:textId="3ECD0116" w:rsidR="00021E4F" w:rsidRPr="00235C73" w:rsidRDefault="00E46262" w:rsidP="00915305">
            <w:pPr>
              <w:rPr>
                <w:rFonts w:ascii="Times New Roman" w:hAnsi="Times New Roman" w:cs="Times New Roman"/>
                <w:color w:val="000000" w:themeColor="text1"/>
                <w:sz w:val="24"/>
                <w:szCs w:val="24"/>
                <w:lang w:val="sk-SK"/>
              </w:rPr>
            </w:pPr>
            <w:r w:rsidRPr="00235C73">
              <w:rPr>
                <w:rFonts w:ascii="Times New Roman" w:hAnsi="Times New Roman"/>
                <w:b/>
                <w:color w:val="000000" w:themeColor="text1"/>
                <w:sz w:val="24"/>
                <w:lang w:val="sk-SK"/>
              </w:rPr>
              <w:t>Odkazy na právne predpisy</w:t>
            </w:r>
            <w:r w:rsidR="00235C73">
              <w:rPr>
                <w:rFonts w:ascii="Times New Roman" w:hAnsi="Times New Roman"/>
                <w:b/>
                <w:color w:val="000000" w:themeColor="text1"/>
                <w:sz w:val="24"/>
                <w:lang w:val="sk-SK"/>
              </w:rPr>
              <w:t xml:space="preserve"> a </w:t>
            </w:r>
            <w:r w:rsidRPr="00235C73">
              <w:rPr>
                <w:rFonts w:ascii="Times New Roman" w:hAnsi="Times New Roman"/>
                <w:b/>
                <w:color w:val="000000" w:themeColor="text1"/>
                <w:sz w:val="24"/>
                <w:lang w:val="sk-SK"/>
              </w:rPr>
              <w:t>pokyny</w:t>
            </w:r>
          </w:p>
        </w:tc>
      </w:tr>
      <w:tr w:rsidR="00026FC1" w:rsidRPr="00235C73" w14:paraId="614F9517" w14:textId="77777777" w:rsidTr="00E46262">
        <w:tc>
          <w:tcPr>
            <w:tcW w:w="1030" w:type="dxa"/>
          </w:tcPr>
          <w:p w14:paraId="7EE06B6D" w14:textId="77777777" w:rsidR="00021E4F" w:rsidRPr="00235C73" w:rsidRDefault="00021E4F" w:rsidP="00915305">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1</w:t>
            </w:r>
          </w:p>
        </w:tc>
        <w:tc>
          <w:tcPr>
            <w:tcW w:w="7736" w:type="dxa"/>
          </w:tcPr>
          <w:p w14:paraId="709BFA1D" w14:textId="0A17EB42" w:rsidR="00021E4F" w:rsidRPr="00235C73" w:rsidRDefault="00021E4F" w:rsidP="00915305">
            <w:pPr>
              <w:rPr>
                <w:rFonts w:ascii="Times New Roman" w:hAnsi="Times New Roman" w:cs="Times New Roman"/>
                <w:color w:val="000000" w:themeColor="text1"/>
                <w:sz w:val="24"/>
                <w:szCs w:val="24"/>
                <w:lang w:val="sk-SK"/>
              </w:rPr>
            </w:pPr>
            <w:r w:rsidRPr="00235C73">
              <w:rPr>
                <w:rFonts w:ascii="Times New Roman" w:hAnsi="Times New Roman"/>
                <w:b/>
                <w:color w:val="000000" w:themeColor="text1"/>
                <w:sz w:val="24"/>
                <w:lang w:val="sk-SK"/>
              </w:rPr>
              <w:t>Vlastný kapitál Tier 1 (CET1)</w:t>
            </w:r>
          </w:p>
          <w:p w14:paraId="0C38277D" w14:textId="6551EF28" w:rsidR="00021E4F" w:rsidRPr="00235C73" w:rsidRDefault="00021E4F" w:rsidP="0097126E">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Kapitál CET1 skupiny, ktorej krízová situácia sa rieši, vypočítaný</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súlade</w:t>
            </w:r>
            <w:r w:rsidR="00235C73">
              <w:rPr>
                <w:rFonts w:ascii="Times New Roman" w:hAnsi="Times New Roman"/>
                <w:color w:val="000000" w:themeColor="text1"/>
                <w:sz w:val="24"/>
                <w:lang w:val="sk-SK"/>
              </w:rPr>
              <w:t xml:space="preserve"> s </w:t>
            </w:r>
            <w:r w:rsidRPr="00235C73">
              <w:rPr>
                <w:rFonts w:ascii="Times New Roman" w:hAnsi="Times New Roman"/>
                <w:color w:val="000000" w:themeColor="text1"/>
                <w:sz w:val="24"/>
                <w:lang w:val="sk-SK"/>
              </w:rPr>
              <w:t>článkom 50 nariadenia (EÚ) č. 575/2013.</w:t>
            </w:r>
          </w:p>
        </w:tc>
      </w:tr>
      <w:tr w:rsidR="00026FC1" w:rsidRPr="00235C73" w14:paraId="0AC96626" w14:textId="77777777" w:rsidTr="00E46262">
        <w:tc>
          <w:tcPr>
            <w:tcW w:w="1030" w:type="dxa"/>
          </w:tcPr>
          <w:p w14:paraId="4517736A" w14:textId="77777777" w:rsidR="00021E4F" w:rsidRPr="00235C73" w:rsidRDefault="00021E4F" w:rsidP="00915305">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2</w:t>
            </w:r>
          </w:p>
        </w:tc>
        <w:tc>
          <w:tcPr>
            <w:tcW w:w="7736" w:type="dxa"/>
          </w:tcPr>
          <w:p w14:paraId="32C1A788" w14:textId="77777777" w:rsidR="00235C73" w:rsidRDefault="00021E4F" w:rsidP="00915305">
            <w:pPr>
              <w:rPr>
                <w:rFonts w:ascii="Times New Roman" w:hAnsi="Times New Roman"/>
                <w:b/>
                <w:color w:val="000000" w:themeColor="text1"/>
                <w:sz w:val="24"/>
                <w:lang w:val="sk-SK"/>
              </w:rPr>
            </w:pPr>
            <w:r w:rsidRPr="00235C73">
              <w:rPr>
                <w:rFonts w:ascii="Times New Roman" w:hAnsi="Times New Roman"/>
                <w:b/>
                <w:color w:val="000000" w:themeColor="text1"/>
                <w:sz w:val="24"/>
                <w:lang w:val="sk-SK"/>
              </w:rPr>
              <w:t>Dodatočný kapitál Tier 1 (AT1)</w:t>
            </w:r>
          </w:p>
          <w:p w14:paraId="05B0D3DA" w14:textId="74105CB6" w:rsidR="00E94218" w:rsidRPr="00235C73" w:rsidRDefault="00021E4F">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Kapitál AT1 skupiny, ktorej krízová situácia sa rieši, vypočítaný</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súlade</w:t>
            </w:r>
            <w:r w:rsidR="00235C73">
              <w:rPr>
                <w:rFonts w:ascii="Times New Roman" w:hAnsi="Times New Roman"/>
                <w:color w:val="000000" w:themeColor="text1"/>
                <w:sz w:val="24"/>
                <w:lang w:val="sk-SK"/>
              </w:rPr>
              <w:t xml:space="preserve"> s </w:t>
            </w:r>
            <w:r w:rsidRPr="00235C73">
              <w:rPr>
                <w:rFonts w:ascii="Times New Roman" w:hAnsi="Times New Roman"/>
                <w:color w:val="000000" w:themeColor="text1"/>
                <w:sz w:val="24"/>
                <w:lang w:val="sk-SK"/>
              </w:rPr>
              <w:t>článkom 61 nariadenia (EÚ) č. 575/2013.</w:t>
            </w:r>
          </w:p>
          <w:p w14:paraId="66E56E67" w14:textId="42BF8537" w:rsidR="00021E4F" w:rsidRPr="00235C73" w:rsidRDefault="00E94218" w:rsidP="00E94218">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Pri MREL sa nástroje upravené právom tretej krajiny uvádzajú</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tomto riadku len vtedy, ak spĺňajú požiadavky stanovené</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článku 55 smernice 2014/59/EÚ.</w:t>
            </w:r>
          </w:p>
        </w:tc>
      </w:tr>
      <w:tr w:rsidR="00026FC1" w:rsidRPr="00235C73" w14:paraId="2781CFBF" w14:textId="77777777" w:rsidTr="00E46262">
        <w:tc>
          <w:tcPr>
            <w:tcW w:w="1030" w:type="dxa"/>
          </w:tcPr>
          <w:p w14:paraId="6B607587" w14:textId="58DB8643" w:rsidR="00021E4F" w:rsidRPr="00235C73" w:rsidRDefault="00D571F6" w:rsidP="00915305">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6</w:t>
            </w:r>
          </w:p>
        </w:tc>
        <w:tc>
          <w:tcPr>
            <w:tcW w:w="7736" w:type="dxa"/>
          </w:tcPr>
          <w:p w14:paraId="30A3A120" w14:textId="05F7C1CC" w:rsidR="00021E4F" w:rsidRPr="00235C73" w:rsidRDefault="00021E4F" w:rsidP="00915305">
            <w:pPr>
              <w:rPr>
                <w:rFonts w:ascii="Times New Roman" w:hAnsi="Times New Roman" w:cs="Times New Roman"/>
                <w:color w:val="000000" w:themeColor="text1"/>
                <w:sz w:val="24"/>
                <w:szCs w:val="24"/>
                <w:lang w:val="sk-SK"/>
              </w:rPr>
            </w:pPr>
            <w:r w:rsidRPr="00235C73">
              <w:rPr>
                <w:rFonts w:ascii="Times New Roman" w:hAnsi="Times New Roman"/>
                <w:b/>
                <w:color w:val="000000" w:themeColor="text1"/>
                <w:sz w:val="24"/>
                <w:lang w:val="sk-SK"/>
              </w:rPr>
              <w:t>Kapitál Tier 2 (T2)</w:t>
            </w:r>
          </w:p>
          <w:p w14:paraId="6F849BF3" w14:textId="18DC13FA" w:rsidR="00021E4F" w:rsidRPr="00235C73" w:rsidRDefault="00021E4F" w:rsidP="001F75A3">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Kapitál Tier 2 skupiny, ktorej krízová situácia sa rieši, vypočítaný</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súlade</w:t>
            </w:r>
            <w:r w:rsidR="00235C73">
              <w:rPr>
                <w:rFonts w:ascii="Times New Roman" w:hAnsi="Times New Roman"/>
                <w:color w:val="000000" w:themeColor="text1"/>
                <w:sz w:val="24"/>
                <w:lang w:val="sk-SK"/>
              </w:rPr>
              <w:t xml:space="preserve"> s </w:t>
            </w:r>
            <w:r w:rsidRPr="00235C73">
              <w:rPr>
                <w:rFonts w:ascii="Times New Roman" w:hAnsi="Times New Roman"/>
                <w:color w:val="000000" w:themeColor="text1"/>
                <w:sz w:val="24"/>
                <w:lang w:val="sk-SK"/>
              </w:rPr>
              <w:t>článkom 71 nariadenia (EÚ) č. 575/2013.</w:t>
            </w:r>
          </w:p>
          <w:p w14:paraId="2C50816C" w14:textId="48D27B06" w:rsidR="00E94218" w:rsidRPr="00235C73" w:rsidRDefault="00E94218" w:rsidP="001F75A3">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Pri MREL sa nástroje upravené právom tretej krajiny uvádzajú</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tomto riadku len vtedy, ak spĺňajú požiadavky stanovené</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článku 55 smernice 2014/59/EÚ.</w:t>
            </w:r>
          </w:p>
        </w:tc>
      </w:tr>
      <w:tr w:rsidR="00026FC1" w:rsidRPr="00235C73" w14:paraId="77060B4B" w14:textId="77777777" w:rsidTr="00E46262">
        <w:tc>
          <w:tcPr>
            <w:tcW w:w="1030" w:type="dxa"/>
          </w:tcPr>
          <w:p w14:paraId="62D73831" w14:textId="2A91E8D9" w:rsidR="00021E4F" w:rsidRPr="00235C73" w:rsidRDefault="00D571F6" w:rsidP="00915305">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11</w:t>
            </w:r>
          </w:p>
        </w:tc>
        <w:tc>
          <w:tcPr>
            <w:tcW w:w="7736" w:type="dxa"/>
          </w:tcPr>
          <w:p w14:paraId="4E2568DF" w14:textId="77777777" w:rsidR="00235C73" w:rsidRDefault="00021E4F" w:rsidP="00915305">
            <w:pPr>
              <w:rPr>
                <w:rFonts w:ascii="Times New Roman" w:hAnsi="Times New Roman"/>
                <w:b/>
                <w:color w:val="000000" w:themeColor="text1"/>
                <w:sz w:val="24"/>
                <w:lang w:val="sk-SK"/>
              </w:rPr>
            </w:pPr>
            <w:r w:rsidRPr="00235C73">
              <w:rPr>
                <w:rFonts w:ascii="Times New Roman" w:hAnsi="Times New Roman"/>
                <w:b/>
                <w:color w:val="000000" w:themeColor="text1"/>
                <w:sz w:val="24"/>
                <w:lang w:val="sk-SK"/>
              </w:rPr>
              <w:t>Vlastné zdroje na účely článku 92a nariadenia (EÚ) č. 575/2013</w:t>
            </w:r>
            <w:r w:rsidR="00235C73">
              <w:rPr>
                <w:rFonts w:ascii="Times New Roman" w:hAnsi="Times New Roman"/>
                <w:b/>
                <w:color w:val="000000" w:themeColor="text1"/>
                <w:sz w:val="24"/>
                <w:lang w:val="sk-SK"/>
              </w:rPr>
              <w:t xml:space="preserve"> a </w:t>
            </w:r>
            <w:r w:rsidRPr="00235C73">
              <w:rPr>
                <w:rFonts w:ascii="Times New Roman" w:hAnsi="Times New Roman"/>
                <w:b/>
                <w:color w:val="000000" w:themeColor="text1"/>
                <w:sz w:val="24"/>
                <w:lang w:val="sk-SK"/>
              </w:rPr>
              <w:t>článku 45 smernice 2014/59/EÚ</w:t>
            </w:r>
          </w:p>
          <w:p w14:paraId="61FB0BF1" w14:textId="4A44D829" w:rsidR="00021E4F" w:rsidRPr="00235C73" w:rsidRDefault="00021E4F" w:rsidP="00503590">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Vlastné zdroje na účely článku 92a nariadenia (EÚ) č. 575/2013</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článku 45 smernice 2014/59/EÚ, ktoré sa vypočítajú ako súčet riadku 1, riadku 2</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riadku 6.</w:t>
            </w:r>
          </w:p>
        </w:tc>
      </w:tr>
      <w:tr w:rsidR="00026FC1" w:rsidRPr="00235C73" w14:paraId="5B3A8911" w14:textId="77777777" w:rsidTr="00E46262">
        <w:tc>
          <w:tcPr>
            <w:tcW w:w="1030" w:type="dxa"/>
          </w:tcPr>
          <w:p w14:paraId="3865D42E" w14:textId="14C5B714" w:rsidR="00021E4F" w:rsidRPr="00235C73" w:rsidRDefault="00D571F6" w:rsidP="00915305">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12</w:t>
            </w:r>
          </w:p>
        </w:tc>
        <w:tc>
          <w:tcPr>
            <w:tcW w:w="7736" w:type="dxa"/>
          </w:tcPr>
          <w:p w14:paraId="5BC74910" w14:textId="5294EDDB" w:rsidR="00BD6570" w:rsidRPr="00235C73" w:rsidRDefault="00021E4F" w:rsidP="00BD6570">
            <w:pPr>
              <w:rPr>
                <w:rFonts w:ascii="Times New Roman" w:hAnsi="Times New Roman" w:cs="Times New Roman"/>
                <w:color w:val="000000" w:themeColor="text1"/>
                <w:sz w:val="24"/>
                <w:szCs w:val="24"/>
                <w:lang w:val="sk-SK"/>
              </w:rPr>
            </w:pPr>
            <w:r w:rsidRPr="00235C73">
              <w:rPr>
                <w:rFonts w:ascii="Times New Roman" w:hAnsi="Times New Roman"/>
                <w:b/>
                <w:color w:val="000000" w:themeColor="text1"/>
                <w:sz w:val="24"/>
                <w:lang w:val="sk-SK"/>
              </w:rPr>
              <w:t>Nástroje oprávnených záväzkov emitované priamo subjektom, ktorého krízová situácia sa rieši, ktoré sú podriadené vylúčeným záväzkom (nezachované</w:t>
            </w:r>
            <w:r w:rsidR="00235C73">
              <w:rPr>
                <w:rFonts w:ascii="Times New Roman" w:hAnsi="Times New Roman"/>
                <w:b/>
                <w:color w:val="000000" w:themeColor="text1"/>
                <w:sz w:val="24"/>
                <w:lang w:val="sk-SK"/>
              </w:rPr>
              <w:t xml:space="preserve"> v </w:t>
            </w:r>
            <w:r w:rsidRPr="00235C73">
              <w:rPr>
                <w:rFonts w:ascii="Times New Roman" w:hAnsi="Times New Roman"/>
                <w:b/>
                <w:color w:val="000000" w:themeColor="text1"/>
                <w:sz w:val="24"/>
                <w:lang w:val="sk-SK"/>
              </w:rPr>
              <w:t>predchádzajúcom stave)</w:t>
            </w:r>
          </w:p>
          <w:p w14:paraId="074ADC7C" w14:textId="77777777" w:rsidR="00BD6570" w:rsidRPr="00235C73" w:rsidRDefault="00BD6570" w:rsidP="00B62DC9">
            <w:pPr>
              <w:pStyle w:val="InstructionsText"/>
              <w:rPr>
                <w:rStyle w:val="FormatvorlageInstructionsTabelleText"/>
                <w:rFonts w:ascii="Times New Roman" w:hAnsi="Times New Roman"/>
                <w:noProof w:val="0"/>
                <w:sz w:val="24"/>
                <w:lang w:val="sk-SK"/>
              </w:rPr>
            </w:pPr>
            <w:r w:rsidRPr="00235C73">
              <w:rPr>
                <w:rStyle w:val="FormatvorlageInstructionsTabelleText"/>
                <w:rFonts w:ascii="Times New Roman" w:hAnsi="Times New Roman"/>
                <w:i/>
                <w:noProof w:val="0"/>
                <w:sz w:val="24"/>
                <w:lang w:val="sk-SK"/>
              </w:rPr>
              <w:t>MREL</w:t>
            </w:r>
          </w:p>
          <w:p w14:paraId="5DF92336" w14:textId="31A78BF4" w:rsidR="00BD6570" w:rsidRPr="00235C73" w:rsidRDefault="00BD6570" w:rsidP="00B62DC9">
            <w:pPr>
              <w:pStyle w:val="InstructionsText"/>
              <w:rPr>
                <w:rStyle w:val="FormatvorlageInstructionsTabelleText"/>
                <w:rFonts w:ascii="Times New Roman" w:hAnsi="Times New Roman"/>
                <w:noProof w:val="0"/>
                <w:sz w:val="24"/>
                <w:lang w:val="sk-SK"/>
              </w:rPr>
            </w:pPr>
            <w:r w:rsidRPr="00235C73">
              <w:rPr>
                <w:rStyle w:val="InstructionsTabelleberschrift"/>
                <w:rFonts w:ascii="Times New Roman" w:hAnsi="Times New Roman"/>
                <w:b w:val="0"/>
                <w:noProof w:val="0"/>
                <w:sz w:val="24"/>
                <w:u w:val="none"/>
                <w:lang w:val="sk-SK"/>
              </w:rPr>
              <w:t>Oprávnené záväzky zahrnuté do</w:t>
            </w:r>
            <w:r w:rsidRPr="00235C73">
              <w:rPr>
                <w:rStyle w:val="FormatvorlageInstructionsTabelleText"/>
                <w:rFonts w:ascii="Times New Roman" w:hAnsi="Times New Roman"/>
                <w:noProof w:val="0"/>
                <w:sz w:val="24"/>
                <w:lang w:val="sk-SK"/>
              </w:rPr>
              <w:t xml:space="preserve"> sumy vlastných zdrojov</w:t>
            </w:r>
            <w:r w:rsidR="00235C73">
              <w:rPr>
                <w:rStyle w:val="FormatvorlageInstructionsTabelleText"/>
                <w:rFonts w:ascii="Times New Roman" w:hAnsi="Times New Roman"/>
                <w:noProof w:val="0"/>
                <w:sz w:val="24"/>
                <w:lang w:val="sk-SK"/>
              </w:rPr>
              <w:t xml:space="preserve"> a </w:t>
            </w:r>
            <w:r w:rsidRPr="00235C73">
              <w:rPr>
                <w:rStyle w:val="FormatvorlageInstructionsTabelleText"/>
                <w:rFonts w:ascii="Times New Roman" w:hAnsi="Times New Roman"/>
                <w:noProof w:val="0"/>
                <w:sz w:val="24"/>
                <w:lang w:val="sk-SK"/>
              </w:rPr>
              <w:t>oprávnených záväzkov podľa článku 45b smernice 2014/59/EÚ, ktoré sú podriadenými oprávnenými nástrojmi</w:t>
            </w:r>
            <w:r w:rsidR="00235C73">
              <w:rPr>
                <w:rStyle w:val="FormatvorlageInstructionsTabelleText"/>
                <w:rFonts w:ascii="Times New Roman" w:hAnsi="Times New Roman"/>
                <w:noProof w:val="0"/>
                <w:sz w:val="24"/>
                <w:lang w:val="sk-SK"/>
              </w:rPr>
              <w:t xml:space="preserve"> v </w:t>
            </w:r>
            <w:r w:rsidRPr="00235C73">
              <w:rPr>
                <w:rStyle w:val="FormatvorlageInstructionsTabelleText"/>
                <w:rFonts w:ascii="Times New Roman" w:hAnsi="Times New Roman"/>
                <w:noProof w:val="0"/>
                <w:sz w:val="24"/>
                <w:lang w:val="sk-SK"/>
              </w:rPr>
              <w:t>zmysle vymedzenia</w:t>
            </w:r>
            <w:r w:rsidR="00235C73">
              <w:rPr>
                <w:rStyle w:val="FormatvorlageInstructionsTabelleText"/>
                <w:rFonts w:ascii="Times New Roman" w:hAnsi="Times New Roman"/>
                <w:noProof w:val="0"/>
                <w:sz w:val="24"/>
                <w:lang w:val="sk-SK"/>
              </w:rPr>
              <w:t xml:space="preserve"> v </w:t>
            </w:r>
            <w:r w:rsidRPr="00235C73">
              <w:rPr>
                <w:rStyle w:val="FormatvorlageInstructionsTabelleText"/>
                <w:rFonts w:ascii="Times New Roman" w:hAnsi="Times New Roman"/>
                <w:noProof w:val="0"/>
                <w:sz w:val="24"/>
                <w:lang w:val="sk-SK"/>
              </w:rPr>
              <w:t>článku 2 ods. 1 bode 71b smernice 2014/59/EÚ</w:t>
            </w:r>
            <w:r w:rsidR="00235C73">
              <w:rPr>
                <w:rStyle w:val="FormatvorlageInstructionsTabelleText"/>
                <w:rFonts w:ascii="Times New Roman" w:hAnsi="Times New Roman"/>
                <w:noProof w:val="0"/>
                <w:sz w:val="24"/>
                <w:lang w:val="sk-SK"/>
              </w:rPr>
              <w:t xml:space="preserve"> a </w:t>
            </w:r>
            <w:r w:rsidRPr="00235C73">
              <w:rPr>
                <w:rStyle w:val="FormatvorlageInstructionsTabelleText"/>
                <w:rFonts w:ascii="Times New Roman" w:hAnsi="Times New Roman"/>
                <w:noProof w:val="0"/>
                <w:sz w:val="24"/>
                <w:lang w:val="sk-SK"/>
              </w:rPr>
              <w:t>ktoré emituje priamo subjekt, ktorého krízová situácia sa rieši.</w:t>
            </w:r>
          </w:p>
          <w:p w14:paraId="26CA1F30" w14:textId="23254951" w:rsidR="00A97842" w:rsidRPr="00235C73" w:rsidRDefault="00A97842" w:rsidP="00B62DC9">
            <w:pPr>
              <w:pStyle w:val="InstructionsText"/>
              <w:rPr>
                <w:rStyle w:val="FormatvorlageInstructionsTabelleText"/>
                <w:rFonts w:ascii="Times New Roman" w:hAnsi="Times New Roman"/>
                <w:i/>
                <w:noProof w:val="0"/>
                <w:sz w:val="24"/>
                <w:lang w:val="sk-SK"/>
              </w:rPr>
            </w:pPr>
            <w:r w:rsidRPr="00235C73">
              <w:rPr>
                <w:rStyle w:val="FormatvorlageInstructionsTabelleText"/>
                <w:rFonts w:ascii="Times New Roman" w:hAnsi="Times New Roman"/>
                <w:noProof w:val="0"/>
                <w:sz w:val="24"/>
                <w:lang w:val="sk-SK"/>
              </w:rPr>
              <w:t>Pri nástrojoch upravených právom tretej krajiny sa nástroj uvádza</w:t>
            </w:r>
            <w:r w:rsidR="00235C73">
              <w:rPr>
                <w:rStyle w:val="FormatvorlageInstructionsTabelleText"/>
                <w:rFonts w:ascii="Times New Roman" w:hAnsi="Times New Roman"/>
                <w:noProof w:val="0"/>
                <w:sz w:val="24"/>
                <w:lang w:val="sk-SK"/>
              </w:rPr>
              <w:t xml:space="preserve"> v </w:t>
            </w:r>
            <w:r w:rsidRPr="00235C73">
              <w:rPr>
                <w:rStyle w:val="FormatvorlageInstructionsTabelleText"/>
                <w:rFonts w:ascii="Times New Roman" w:hAnsi="Times New Roman"/>
                <w:noProof w:val="0"/>
                <w:sz w:val="24"/>
                <w:lang w:val="sk-SK"/>
              </w:rPr>
              <w:t>tomto riadku len vtedy, ak spĺňa požiadavky stanovené</w:t>
            </w:r>
            <w:r w:rsidR="00235C73">
              <w:rPr>
                <w:rStyle w:val="FormatvorlageInstructionsTabelleText"/>
                <w:rFonts w:ascii="Times New Roman" w:hAnsi="Times New Roman"/>
                <w:noProof w:val="0"/>
                <w:sz w:val="24"/>
                <w:lang w:val="sk-SK"/>
              </w:rPr>
              <w:t xml:space="preserve"> v </w:t>
            </w:r>
            <w:r w:rsidRPr="00235C73">
              <w:rPr>
                <w:rStyle w:val="FormatvorlageInstructionsTabelleText"/>
                <w:rFonts w:ascii="Times New Roman" w:hAnsi="Times New Roman"/>
                <w:noProof w:val="0"/>
                <w:sz w:val="24"/>
                <w:lang w:val="sk-SK"/>
              </w:rPr>
              <w:t>článku 55 smernice 2014/59/EÚ.</w:t>
            </w:r>
          </w:p>
          <w:p w14:paraId="39C8C83A" w14:textId="77777777" w:rsidR="00BD6570" w:rsidRPr="00235C73" w:rsidRDefault="00BD6570" w:rsidP="00B62DC9">
            <w:pPr>
              <w:pStyle w:val="InstructionsText"/>
              <w:rPr>
                <w:rStyle w:val="FormatvorlageInstructionsTabelleText"/>
                <w:rFonts w:ascii="Times New Roman" w:hAnsi="Times New Roman"/>
                <w:b/>
                <w:noProof w:val="0"/>
                <w:sz w:val="24"/>
                <w:lang w:val="sk-SK"/>
              </w:rPr>
            </w:pPr>
            <w:r w:rsidRPr="00235C73">
              <w:rPr>
                <w:rStyle w:val="FormatvorlageInstructionsTabelleText"/>
                <w:rFonts w:ascii="Times New Roman" w:hAnsi="Times New Roman"/>
                <w:i/>
                <w:noProof w:val="0"/>
                <w:sz w:val="24"/>
                <w:lang w:val="sk-SK"/>
              </w:rPr>
              <w:lastRenderedPageBreak/>
              <w:t>TLAC</w:t>
            </w:r>
          </w:p>
          <w:p w14:paraId="66B62B57" w14:textId="35B4BCF3" w:rsidR="00BD6570" w:rsidRPr="00235C73" w:rsidRDefault="00BD6570" w:rsidP="00B62DC9">
            <w:pPr>
              <w:pStyle w:val="InstructionsText"/>
              <w:rPr>
                <w:rStyle w:val="FormatvorlageInstructionsTabelleText"/>
                <w:rFonts w:ascii="Times New Roman" w:hAnsi="Times New Roman"/>
                <w:b/>
                <w:noProof w:val="0"/>
                <w:sz w:val="24"/>
                <w:lang w:val="sk-SK"/>
              </w:rPr>
            </w:pPr>
            <w:r w:rsidRPr="00235C73">
              <w:rPr>
                <w:rStyle w:val="FormatvorlageInstructionsTabelleText"/>
                <w:rFonts w:ascii="Times New Roman" w:hAnsi="Times New Roman"/>
                <w:noProof w:val="0"/>
                <w:sz w:val="24"/>
                <w:lang w:val="sk-SK"/>
              </w:rPr>
              <w:t>Oprávnené záväzky, ktoré spĺňajú všetky požiadavky stanovené</w:t>
            </w:r>
            <w:r w:rsidR="00235C73">
              <w:rPr>
                <w:rStyle w:val="FormatvorlageInstructionsTabelleText"/>
                <w:rFonts w:ascii="Times New Roman" w:hAnsi="Times New Roman"/>
                <w:noProof w:val="0"/>
                <w:sz w:val="24"/>
                <w:lang w:val="sk-SK"/>
              </w:rPr>
              <w:t xml:space="preserve"> v </w:t>
            </w:r>
            <w:r w:rsidRPr="00235C73">
              <w:rPr>
                <w:rStyle w:val="FormatvorlageInstructionsTabelleText"/>
                <w:rFonts w:ascii="Times New Roman" w:hAnsi="Times New Roman"/>
                <w:noProof w:val="0"/>
                <w:sz w:val="24"/>
                <w:lang w:val="sk-SK"/>
              </w:rPr>
              <w:t>článkoch 72a až 72d nariadenia (EÚ) č. 575/2013,</w:t>
            </w:r>
            <w:r w:rsidR="00235C73">
              <w:rPr>
                <w:rStyle w:val="FormatvorlageInstructionsTabelleText"/>
                <w:rFonts w:ascii="Times New Roman" w:hAnsi="Times New Roman"/>
                <w:noProof w:val="0"/>
                <w:sz w:val="24"/>
                <w:lang w:val="sk-SK"/>
              </w:rPr>
              <w:t xml:space="preserve"> s </w:t>
            </w:r>
            <w:r w:rsidRPr="00235C73">
              <w:rPr>
                <w:rStyle w:val="FormatvorlageInstructionsTabelleText"/>
                <w:rFonts w:ascii="Times New Roman" w:hAnsi="Times New Roman"/>
                <w:noProof w:val="0"/>
                <w:sz w:val="24"/>
                <w:lang w:val="sk-SK"/>
              </w:rPr>
              <w:t>výnimkou záväzkov, pri ktorých je podľa článku 72b ods. 3 alebo 4 uvedeného nariadenia povolené, aby sa kvalifikovali ako nástroje oprávnených záväzkov,</w:t>
            </w:r>
            <w:r w:rsidR="00235C73">
              <w:rPr>
                <w:rStyle w:val="FormatvorlageInstructionsTabelleText"/>
                <w:rFonts w:ascii="Times New Roman" w:hAnsi="Times New Roman"/>
                <w:noProof w:val="0"/>
                <w:sz w:val="24"/>
                <w:lang w:val="sk-SK"/>
              </w:rPr>
              <w:t xml:space="preserve"> a </w:t>
            </w:r>
            <w:r w:rsidRPr="00235C73">
              <w:rPr>
                <w:rStyle w:val="FormatvorlageInstructionsTabelleText"/>
                <w:rFonts w:ascii="Times New Roman" w:hAnsi="Times New Roman"/>
                <w:noProof w:val="0"/>
                <w:sz w:val="24"/>
                <w:lang w:val="sk-SK"/>
              </w:rPr>
              <w:t>ktoré emituje priamo subjekt, ktorého krízová situácia sa rieši.</w:t>
            </w:r>
          </w:p>
          <w:p w14:paraId="1DC64B11" w14:textId="22AD77DF" w:rsidR="00021E4F" w:rsidRPr="00235C73" w:rsidRDefault="00BD6570" w:rsidP="002A1CB5">
            <w:pPr>
              <w:rPr>
                <w:rFonts w:ascii="Times New Roman" w:hAnsi="Times New Roman" w:cs="Times New Roman"/>
                <w:color w:val="000000" w:themeColor="text1"/>
                <w:sz w:val="24"/>
                <w:szCs w:val="24"/>
                <w:lang w:val="sk-SK"/>
              </w:rPr>
            </w:pPr>
            <w:r w:rsidRPr="00235C73">
              <w:rPr>
                <w:rStyle w:val="FormatvorlageInstructionsTabelleText"/>
                <w:rFonts w:ascii="Times New Roman" w:hAnsi="Times New Roman"/>
                <w:sz w:val="24"/>
                <w:lang w:val="sk-SK"/>
              </w:rPr>
              <w:t>Tento riadok nezahŕňa amortizovanú časť nástrojov kapitálu Tier 2, keď je zostávajúca splatnosť dlhšia než jeden rok [článok 72a ods. 1 písm. b) nariadenia (EÚ) č. 575/2013], ani oprávnené záväzky zachované</w:t>
            </w:r>
            <w:r w:rsidR="00235C73">
              <w:rPr>
                <w:rStyle w:val="FormatvorlageInstructionsTabelleText"/>
                <w:rFonts w:ascii="Times New Roman" w:hAnsi="Times New Roman"/>
                <w:sz w:val="24"/>
                <w:lang w:val="sk-SK"/>
              </w:rPr>
              <w:t xml:space="preserve"> v </w:t>
            </w:r>
            <w:r w:rsidRPr="00235C73">
              <w:rPr>
                <w:rStyle w:val="FormatvorlageInstructionsTabelleText"/>
                <w:rFonts w:ascii="Times New Roman" w:hAnsi="Times New Roman"/>
                <w:sz w:val="24"/>
                <w:lang w:val="sk-SK"/>
              </w:rPr>
              <w:t>predchádzajúcom stave na základe článku 494b nariadenia (EÚ) č. 575/2013.</w:t>
            </w:r>
          </w:p>
        </w:tc>
      </w:tr>
      <w:tr w:rsidR="00026FC1" w:rsidRPr="00235C73" w14:paraId="138E2D9C" w14:textId="77777777" w:rsidTr="00E46262">
        <w:tc>
          <w:tcPr>
            <w:tcW w:w="1030" w:type="dxa"/>
          </w:tcPr>
          <w:p w14:paraId="6FA92C5C" w14:textId="69DE2A40" w:rsidR="00021E4F" w:rsidRPr="00235C73" w:rsidRDefault="00D571F6" w:rsidP="00644B02">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lastRenderedPageBreak/>
              <w:t>EU-12a</w:t>
            </w:r>
          </w:p>
        </w:tc>
        <w:tc>
          <w:tcPr>
            <w:tcW w:w="7736" w:type="dxa"/>
          </w:tcPr>
          <w:p w14:paraId="5358B90C" w14:textId="1027A5C6" w:rsidR="00021E4F" w:rsidRPr="00235C73" w:rsidRDefault="00021E4F" w:rsidP="00915305">
            <w:pPr>
              <w:rPr>
                <w:rFonts w:ascii="Times New Roman" w:hAnsi="Times New Roman" w:cs="Times New Roman"/>
                <w:color w:val="000000" w:themeColor="text1"/>
                <w:sz w:val="24"/>
                <w:szCs w:val="24"/>
                <w:lang w:val="sk-SK"/>
              </w:rPr>
            </w:pPr>
            <w:r w:rsidRPr="00235C73">
              <w:rPr>
                <w:rFonts w:ascii="Times New Roman" w:hAnsi="Times New Roman"/>
                <w:b/>
                <w:color w:val="000000" w:themeColor="text1"/>
                <w:sz w:val="24"/>
                <w:lang w:val="sk-SK"/>
              </w:rPr>
              <w:t>Nástroje oprávnených záväzkov emitované inými subjektmi</w:t>
            </w:r>
            <w:r w:rsidR="00235C73">
              <w:rPr>
                <w:rFonts w:ascii="Times New Roman" w:hAnsi="Times New Roman"/>
                <w:b/>
                <w:color w:val="000000" w:themeColor="text1"/>
                <w:sz w:val="24"/>
                <w:lang w:val="sk-SK"/>
              </w:rPr>
              <w:t xml:space="preserve"> v </w:t>
            </w:r>
            <w:r w:rsidRPr="00235C73">
              <w:rPr>
                <w:rFonts w:ascii="Times New Roman" w:hAnsi="Times New Roman"/>
                <w:b/>
                <w:color w:val="000000" w:themeColor="text1"/>
                <w:sz w:val="24"/>
                <w:lang w:val="sk-SK"/>
              </w:rPr>
              <w:t>rámci skupiny, ktorej krízová situácia sa rieši, ktoré sú podriadené vylúčeným záväzkom (nezachované</w:t>
            </w:r>
            <w:r w:rsidR="00235C73">
              <w:rPr>
                <w:rFonts w:ascii="Times New Roman" w:hAnsi="Times New Roman"/>
                <w:b/>
                <w:color w:val="000000" w:themeColor="text1"/>
                <w:sz w:val="24"/>
                <w:lang w:val="sk-SK"/>
              </w:rPr>
              <w:t xml:space="preserve"> v </w:t>
            </w:r>
            <w:r w:rsidRPr="00235C73">
              <w:rPr>
                <w:rFonts w:ascii="Times New Roman" w:hAnsi="Times New Roman"/>
                <w:b/>
                <w:color w:val="000000" w:themeColor="text1"/>
                <w:sz w:val="24"/>
                <w:lang w:val="sk-SK"/>
              </w:rPr>
              <w:t>predchádzajúcom stave)</w:t>
            </w:r>
          </w:p>
          <w:p w14:paraId="57A6D73A" w14:textId="77777777" w:rsidR="00BD6570" w:rsidRPr="00235C73" w:rsidRDefault="00BD6570" w:rsidP="00B62DC9">
            <w:pPr>
              <w:pStyle w:val="InstructionsText"/>
              <w:rPr>
                <w:rStyle w:val="FormatvorlageInstructionsTabelleText"/>
                <w:rFonts w:ascii="Times New Roman" w:hAnsi="Times New Roman"/>
                <w:i/>
                <w:noProof w:val="0"/>
                <w:sz w:val="24"/>
                <w:lang w:val="sk-SK"/>
              </w:rPr>
            </w:pPr>
            <w:r w:rsidRPr="00235C73">
              <w:rPr>
                <w:rStyle w:val="FormatvorlageInstructionsTabelleText"/>
                <w:rFonts w:ascii="Times New Roman" w:hAnsi="Times New Roman"/>
                <w:i/>
                <w:noProof w:val="0"/>
                <w:sz w:val="24"/>
                <w:lang w:val="sk-SK"/>
              </w:rPr>
              <w:t>MREL</w:t>
            </w:r>
          </w:p>
          <w:p w14:paraId="369BA2B0" w14:textId="022E4CAB" w:rsidR="00BD6570" w:rsidRPr="00235C73" w:rsidRDefault="00BD6570" w:rsidP="00B62DC9">
            <w:pPr>
              <w:pStyle w:val="InstructionsText"/>
              <w:rPr>
                <w:rStyle w:val="FormatvorlageInstructionsTabelleText"/>
                <w:rFonts w:ascii="Times New Roman" w:hAnsi="Times New Roman"/>
                <w:noProof w:val="0"/>
                <w:sz w:val="24"/>
                <w:lang w:val="sk-SK"/>
              </w:rPr>
            </w:pPr>
            <w:r w:rsidRPr="00235C73">
              <w:rPr>
                <w:rStyle w:val="FormatvorlageInstructionsTabelleText"/>
                <w:rFonts w:ascii="Times New Roman" w:hAnsi="Times New Roman"/>
                <w:noProof w:val="0"/>
                <w:sz w:val="24"/>
                <w:lang w:val="sk-SK"/>
              </w:rPr>
              <w:t>Oprávnené záväzky zahrnuté do sumy vlastných zdrojov</w:t>
            </w:r>
            <w:r w:rsidR="00235C73">
              <w:rPr>
                <w:rStyle w:val="FormatvorlageInstructionsTabelleText"/>
                <w:rFonts w:ascii="Times New Roman" w:hAnsi="Times New Roman"/>
                <w:noProof w:val="0"/>
                <w:sz w:val="24"/>
                <w:lang w:val="sk-SK"/>
              </w:rPr>
              <w:t xml:space="preserve"> a </w:t>
            </w:r>
            <w:r w:rsidRPr="00235C73">
              <w:rPr>
                <w:rStyle w:val="FormatvorlageInstructionsTabelleText"/>
                <w:rFonts w:ascii="Times New Roman" w:hAnsi="Times New Roman"/>
                <w:noProof w:val="0"/>
                <w:sz w:val="24"/>
                <w:lang w:val="sk-SK"/>
              </w:rPr>
              <w:t>oprávnených záväzkov podľa článku 45b smernice 2014/59/EÚ, ktoré sú emitované dcérskymi spoločnosťami</w:t>
            </w:r>
            <w:r w:rsidR="00235C73">
              <w:rPr>
                <w:rStyle w:val="FormatvorlageInstructionsTabelleText"/>
                <w:rFonts w:ascii="Times New Roman" w:hAnsi="Times New Roman"/>
                <w:noProof w:val="0"/>
                <w:sz w:val="24"/>
                <w:lang w:val="sk-SK"/>
              </w:rPr>
              <w:t xml:space="preserve"> a </w:t>
            </w:r>
            <w:r w:rsidRPr="00235C73">
              <w:rPr>
                <w:rStyle w:val="FormatvorlageInstructionsTabelleText"/>
                <w:rFonts w:ascii="Times New Roman" w:hAnsi="Times New Roman"/>
                <w:noProof w:val="0"/>
                <w:sz w:val="24"/>
                <w:lang w:val="sk-SK"/>
              </w:rPr>
              <w:t>zahrnuté do MREL</w:t>
            </w:r>
            <w:r w:rsidR="00235C73">
              <w:rPr>
                <w:rStyle w:val="FormatvorlageInstructionsTabelleText"/>
                <w:rFonts w:ascii="Times New Roman" w:hAnsi="Times New Roman"/>
                <w:noProof w:val="0"/>
                <w:sz w:val="24"/>
                <w:lang w:val="sk-SK"/>
              </w:rPr>
              <w:t xml:space="preserve"> v </w:t>
            </w:r>
            <w:r w:rsidRPr="00235C73">
              <w:rPr>
                <w:rStyle w:val="FormatvorlageInstructionsTabelleText"/>
                <w:rFonts w:ascii="Times New Roman" w:hAnsi="Times New Roman"/>
                <w:noProof w:val="0"/>
                <w:sz w:val="24"/>
                <w:lang w:val="sk-SK"/>
              </w:rPr>
              <w:t>súlade</w:t>
            </w:r>
            <w:r w:rsidR="00235C73">
              <w:rPr>
                <w:rStyle w:val="FormatvorlageInstructionsTabelleText"/>
                <w:rFonts w:ascii="Times New Roman" w:hAnsi="Times New Roman"/>
                <w:noProof w:val="0"/>
                <w:sz w:val="24"/>
                <w:lang w:val="sk-SK"/>
              </w:rPr>
              <w:t xml:space="preserve"> s </w:t>
            </w:r>
            <w:r w:rsidRPr="00235C73">
              <w:rPr>
                <w:rStyle w:val="FormatvorlageInstructionsTabelleText"/>
                <w:rFonts w:ascii="Times New Roman" w:hAnsi="Times New Roman"/>
                <w:noProof w:val="0"/>
                <w:sz w:val="24"/>
                <w:lang w:val="sk-SK"/>
              </w:rPr>
              <w:t>článkom 45b ods. 3 uvedenej smernice.</w:t>
            </w:r>
          </w:p>
          <w:p w14:paraId="02BD22DB" w14:textId="32E033D9" w:rsidR="003E4404" w:rsidRPr="00235C73" w:rsidRDefault="003E4404" w:rsidP="00B62DC9">
            <w:pPr>
              <w:pStyle w:val="InstructionsText"/>
              <w:rPr>
                <w:rStyle w:val="FormatvorlageInstructionsTabelleText"/>
                <w:rFonts w:ascii="Times New Roman" w:hAnsi="Times New Roman"/>
                <w:i/>
                <w:noProof w:val="0"/>
                <w:sz w:val="24"/>
                <w:lang w:val="sk-SK"/>
              </w:rPr>
            </w:pPr>
            <w:r w:rsidRPr="00235C73">
              <w:rPr>
                <w:rStyle w:val="FormatvorlageInstructionsTabelleText"/>
                <w:rFonts w:ascii="Times New Roman" w:hAnsi="Times New Roman"/>
                <w:noProof w:val="0"/>
                <w:sz w:val="24"/>
                <w:lang w:val="sk-SK"/>
              </w:rPr>
              <w:t>Pri nástrojoch upravených právom tretej krajiny sa nástroj uvádza</w:t>
            </w:r>
            <w:r w:rsidR="00235C73">
              <w:rPr>
                <w:rStyle w:val="FormatvorlageInstructionsTabelleText"/>
                <w:rFonts w:ascii="Times New Roman" w:hAnsi="Times New Roman"/>
                <w:noProof w:val="0"/>
                <w:sz w:val="24"/>
                <w:lang w:val="sk-SK"/>
              </w:rPr>
              <w:t xml:space="preserve"> v </w:t>
            </w:r>
            <w:r w:rsidRPr="00235C73">
              <w:rPr>
                <w:rStyle w:val="FormatvorlageInstructionsTabelleText"/>
                <w:rFonts w:ascii="Times New Roman" w:hAnsi="Times New Roman"/>
                <w:noProof w:val="0"/>
                <w:sz w:val="24"/>
                <w:lang w:val="sk-SK"/>
              </w:rPr>
              <w:t>tomto riadku len vtedy, ak spĺňa požiadavky stanovené</w:t>
            </w:r>
            <w:r w:rsidR="00235C73">
              <w:rPr>
                <w:rStyle w:val="FormatvorlageInstructionsTabelleText"/>
                <w:rFonts w:ascii="Times New Roman" w:hAnsi="Times New Roman"/>
                <w:noProof w:val="0"/>
                <w:sz w:val="24"/>
                <w:lang w:val="sk-SK"/>
              </w:rPr>
              <w:t xml:space="preserve"> v </w:t>
            </w:r>
            <w:r w:rsidRPr="00235C73">
              <w:rPr>
                <w:rStyle w:val="FormatvorlageInstructionsTabelleText"/>
                <w:rFonts w:ascii="Times New Roman" w:hAnsi="Times New Roman"/>
                <w:noProof w:val="0"/>
                <w:sz w:val="24"/>
                <w:lang w:val="sk-SK"/>
              </w:rPr>
              <w:t>článku 55 smernice 2014/59/EÚ.</w:t>
            </w:r>
          </w:p>
          <w:p w14:paraId="0BBD12E2" w14:textId="7EA7B44E" w:rsidR="00BD6570" w:rsidRPr="00235C73" w:rsidRDefault="00BD6570" w:rsidP="00B62DC9">
            <w:pPr>
              <w:pStyle w:val="InstructionsText"/>
              <w:rPr>
                <w:rStyle w:val="FormatvorlageInstructionsTabelleText"/>
                <w:rFonts w:ascii="Times New Roman" w:hAnsi="Times New Roman"/>
                <w:noProof w:val="0"/>
                <w:sz w:val="24"/>
                <w:lang w:val="sk-SK"/>
              </w:rPr>
            </w:pPr>
            <w:r w:rsidRPr="00235C73">
              <w:rPr>
                <w:rStyle w:val="FormatvorlageInstructionsTabelleText"/>
                <w:rFonts w:ascii="Times New Roman" w:hAnsi="Times New Roman"/>
                <w:i/>
                <w:noProof w:val="0"/>
                <w:sz w:val="24"/>
                <w:lang w:val="sk-SK"/>
              </w:rPr>
              <w:t>TLAC</w:t>
            </w:r>
          </w:p>
          <w:p w14:paraId="6F8A0C84" w14:textId="424781B4" w:rsidR="00BD6570" w:rsidRPr="00235C73" w:rsidRDefault="00BD6570" w:rsidP="00B62DC9">
            <w:pPr>
              <w:pStyle w:val="InstructionsText"/>
              <w:rPr>
                <w:rStyle w:val="FormatvorlageInstructionsTabelleText"/>
                <w:rFonts w:ascii="Times New Roman" w:hAnsi="Times New Roman"/>
                <w:b/>
                <w:noProof w:val="0"/>
                <w:sz w:val="24"/>
                <w:lang w:val="sk-SK"/>
              </w:rPr>
            </w:pPr>
            <w:r w:rsidRPr="00235C73">
              <w:rPr>
                <w:rStyle w:val="FormatvorlageInstructionsTabelleText"/>
                <w:rFonts w:ascii="Times New Roman" w:hAnsi="Times New Roman"/>
                <w:noProof w:val="0"/>
                <w:sz w:val="24"/>
                <w:lang w:val="sk-SK"/>
              </w:rPr>
              <w:t>Oprávnené záväzky, ktoré spĺňajú všetky požiadavky stanovené</w:t>
            </w:r>
            <w:r w:rsidR="00235C73">
              <w:rPr>
                <w:rStyle w:val="FormatvorlageInstructionsTabelleText"/>
                <w:rFonts w:ascii="Times New Roman" w:hAnsi="Times New Roman"/>
                <w:noProof w:val="0"/>
                <w:sz w:val="24"/>
                <w:lang w:val="sk-SK"/>
              </w:rPr>
              <w:t xml:space="preserve"> v </w:t>
            </w:r>
            <w:r w:rsidRPr="00235C73">
              <w:rPr>
                <w:rStyle w:val="FormatvorlageInstructionsTabelleText"/>
                <w:rFonts w:ascii="Times New Roman" w:hAnsi="Times New Roman"/>
                <w:noProof w:val="0"/>
                <w:sz w:val="24"/>
                <w:lang w:val="sk-SK"/>
              </w:rPr>
              <w:t>článkoch 72a až 72d nariadenia (EÚ) č. 575/2013,</w:t>
            </w:r>
            <w:r w:rsidR="00235C73">
              <w:rPr>
                <w:rStyle w:val="FormatvorlageInstructionsTabelleText"/>
                <w:rFonts w:ascii="Times New Roman" w:hAnsi="Times New Roman"/>
                <w:noProof w:val="0"/>
                <w:sz w:val="24"/>
                <w:lang w:val="sk-SK"/>
              </w:rPr>
              <w:t xml:space="preserve"> s </w:t>
            </w:r>
            <w:r w:rsidRPr="00235C73">
              <w:rPr>
                <w:rStyle w:val="FormatvorlageInstructionsTabelleText"/>
                <w:rFonts w:ascii="Times New Roman" w:hAnsi="Times New Roman"/>
                <w:noProof w:val="0"/>
                <w:sz w:val="24"/>
                <w:lang w:val="sk-SK"/>
              </w:rPr>
              <w:t>výnimkou záväzkov, pri ktorých je podľa článku 72b ods. 3 alebo 4 uvedeného nariadenia povolené, aby sa kvalifikovali ako nástroje oprávnených záväzkov, ktoré sú emitované dcérskymi spoločnosťami</w:t>
            </w:r>
            <w:r w:rsidR="00235C73">
              <w:rPr>
                <w:rStyle w:val="FormatvorlageInstructionsTabelleText"/>
                <w:rFonts w:ascii="Times New Roman" w:hAnsi="Times New Roman"/>
                <w:noProof w:val="0"/>
                <w:sz w:val="24"/>
                <w:lang w:val="sk-SK"/>
              </w:rPr>
              <w:t xml:space="preserve"> a </w:t>
            </w:r>
            <w:r w:rsidRPr="00235C73">
              <w:rPr>
                <w:rStyle w:val="FormatvorlageInstructionsTabelleText"/>
                <w:rFonts w:ascii="Times New Roman" w:hAnsi="Times New Roman"/>
                <w:noProof w:val="0"/>
                <w:sz w:val="24"/>
                <w:lang w:val="sk-SK"/>
              </w:rPr>
              <w:t>kvalifikujú sa na zahrnutie medzi nástroje konsolidovaných oprávnených záväzkov subjektu podľa článku 88a uvedeného nariadenia (EÚ) č. 575/2013.</w:t>
            </w:r>
          </w:p>
          <w:p w14:paraId="0DBFD655" w14:textId="4CA78C9B" w:rsidR="00021E4F" w:rsidRPr="00235C73" w:rsidRDefault="00BD6570" w:rsidP="002A1CB5">
            <w:pPr>
              <w:rPr>
                <w:rFonts w:ascii="Times New Roman" w:hAnsi="Times New Roman" w:cs="Times New Roman"/>
                <w:color w:val="000000" w:themeColor="text1"/>
                <w:sz w:val="24"/>
                <w:szCs w:val="24"/>
                <w:lang w:val="sk-SK"/>
              </w:rPr>
            </w:pPr>
            <w:r w:rsidRPr="00235C73">
              <w:rPr>
                <w:rStyle w:val="FormatvorlageInstructionsTabelleText"/>
                <w:rFonts w:ascii="Times New Roman" w:hAnsi="Times New Roman"/>
                <w:sz w:val="24"/>
                <w:lang w:val="sk-SK"/>
              </w:rPr>
              <w:t>Tento riadok nezahŕňa amortizovanú časť nástrojov kapitálu Tier 2, keď je zostávajúca splatnosť dlhšia než jeden rok [článok 72a ods. 1 písm. b) nariadenia (EÚ) č. 575/2013], ani oprávnené záväzky zachované</w:t>
            </w:r>
            <w:r w:rsidR="00235C73">
              <w:rPr>
                <w:rStyle w:val="FormatvorlageInstructionsTabelleText"/>
                <w:rFonts w:ascii="Times New Roman" w:hAnsi="Times New Roman"/>
                <w:sz w:val="24"/>
                <w:lang w:val="sk-SK"/>
              </w:rPr>
              <w:t xml:space="preserve"> v </w:t>
            </w:r>
            <w:r w:rsidRPr="00235C73">
              <w:rPr>
                <w:rStyle w:val="FormatvorlageInstructionsTabelleText"/>
                <w:rFonts w:ascii="Times New Roman" w:hAnsi="Times New Roman"/>
                <w:sz w:val="24"/>
                <w:lang w:val="sk-SK"/>
              </w:rPr>
              <w:t>predchádzajúcom stave na základe článku 494b nariadenia (EÚ) č. 575/2013.</w:t>
            </w:r>
          </w:p>
        </w:tc>
      </w:tr>
      <w:tr w:rsidR="00922937" w:rsidRPr="00235C73" w14:paraId="128E215B" w14:textId="77777777" w:rsidTr="00E46262">
        <w:tc>
          <w:tcPr>
            <w:tcW w:w="1030" w:type="dxa"/>
          </w:tcPr>
          <w:p w14:paraId="59505232" w14:textId="6BA871E1" w:rsidR="00922937" w:rsidRPr="00235C73" w:rsidRDefault="00922937" w:rsidP="00915305">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EU-12b</w:t>
            </w:r>
          </w:p>
        </w:tc>
        <w:tc>
          <w:tcPr>
            <w:tcW w:w="7736" w:type="dxa"/>
          </w:tcPr>
          <w:p w14:paraId="120C20CA" w14:textId="26C1427B" w:rsidR="00922937" w:rsidRPr="00235C73" w:rsidRDefault="00922937" w:rsidP="00915305">
            <w:pPr>
              <w:rPr>
                <w:rFonts w:ascii="Times New Roman" w:hAnsi="Times New Roman" w:cs="Times New Roman"/>
                <w:b/>
                <w:color w:val="000000" w:themeColor="text1"/>
                <w:sz w:val="24"/>
                <w:szCs w:val="24"/>
                <w:lang w:val="sk-SK"/>
              </w:rPr>
            </w:pPr>
            <w:r w:rsidRPr="00235C73">
              <w:rPr>
                <w:rFonts w:ascii="Times New Roman" w:hAnsi="Times New Roman"/>
                <w:b/>
                <w:color w:val="000000" w:themeColor="text1"/>
                <w:sz w:val="24"/>
                <w:lang w:val="sk-SK"/>
              </w:rPr>
              <w:t>Nástroje oprávnených záväzkov, ktoré sú podriadené vylúčeným záväzkom, emitované pred 27. júnom 2019 (podriadené, zachované</w:t>
            </w:r>
            <w:r w:rsidR="00235C73">
              <w:rPr>
                <w:rFonts w:ascii="Times New Roman" w:hAnsi="Times New Roman"/>
                <w:b/>
                <w:color w:val="000000" w:themeColor="text1"/>
                <w:sz w:val="24"/>
                <w:lang w:val="sk-SK"/>
              </w:rPr>
              <w:t xml:space="preserve"> v </w:t>
            </w:r>
            <w:r w:rsidRPr="00235C73">
              <w:rPr>
                <w:rFonts w:ascii="Times New Roman" w:hAnsi="Times New Roman"/>
                <w:b/>
                <w:color w:val="000000" w:themeColor="text1"/>
                <w:sz w:val="24"/>
                <w:lang w:val="sk-SK"/>
              </w:rPr>
              <w:t>predchádzajúcom stave)</w:t>
            </w:r>
          </w:p>
          <w:p w14:paraId="31DC06A4" w14:textId="77777777" w:rsidR="00BD6570" w:rsidRPr="00235C73" w:rsidRDefault="00BD6570" w:rsidP="00B62DC9">
            <w:pPr>
              <w:pStyle w:val="InstructionsText"/>
              <w:rPr>
                <w:rStyle w:val="FormatvorlageInstructionsTabelleText"/>
                <w:rFonts w:ascii="Times New Roman" w:hAnsi="Times New Roman"/>
                <w:i/>
                <w:noProof w:val="0"/>
                <w:sz w:val="24"/>
                <w:lang w:val="sk-SK"/>
              </w:rPr>
            </w:pPr>
            <w:r w:rsidRPr="00235C73">
              <w:rPr>
                <w:rStyle w:val="FormatvorlageInstructionsTabelleText"/>
                <w:rFonts w:ascii="Times New Roman" w:hAnsi="Times New Roman"/>
                <w:i/>
                <w:noProof w:val="0"/>
                <w:sz w:val="24"/>
                <w:lang w:val="sk-SK"/>
              </w:rPr>
              <w:t>MREL</w:t>
            </w:r>
          </w:p>
          <w:p w14:paraId="60F78D8E" w14:textId="77777777" w:rsidR="00BD6570" w:rsidRPr="00235C73" w:rsidRDefault="00BD6570" w:rsidP="00B62DC9">
            <w:pPr>
              <w:pStyle w:val="InstructionsText"/>
              <w:rPr>
                <w:rStyle w:val="InstructionsTabelleberschrift"/>
                <w:rFonts w:ascii="Times New Roman" w:hAnsi="Times New Roman"/>
                <w:b w:val="0"/>
                <w:noProof w:val="0"/>
                <w:sz w:val="24"/>
                <w:u w:val="none"/>
                <w:lang w:val="sk-SK"/>
              </w:rPr>
            </w:pPr>
            <w:r w:rsidRPr="00235C73">
              <w:rPr>
                <w:rStyle w:val="InstructionsTabelleberschrift"/>
                <w:rFonts w:ascii="Times New Roman" w:hAnsi="Times New Roman"/>
                <w:b w:val="0"/>
                <w:noProof w:val="0"/>
                <w:sz w:val="24"/>
                <w:u w:val="none"/>
                <w:lang w:val="sk-SK"/>
              </w:rPr>
              <w:t>Oprávnené záväzky, ktoré spĺňajú tieto podmienky:</w:t>
            </w:r>
          </w:p>
          <w:p w14:paraId="13FE6179" w14:textId="7E1CDD80" w:rsidR="00BD6570" w:rsidRPr="00235C73" w:rsidRDefault="00BD6570" w:rsidP="00B62DC9">
            <w:pPr>
              <w:pStyle w:val="InstructionsText"/>
              <w:numPr>
                <w:ilvl w:val="0"/>
                <w:numId w:val="16"/>
              </w:numPr>
              <w:rPr>
                <w:rStyle w:val="InstructionsTabelleberschrift"/>
                <w:rFonts w:ascii="Times New Roman" w:hAnsi="Times New Roman"/>
                <w:b w:val="0"/>
                <w:noProof w:val="0"/>
                <w:sz w:val="24"/>
                <w:u w:val="none"/>
                <w:lang w:val="sk-SK"/>
              </w:rPr>
            </w:pPr>
            <w:r w:rsidRPr="00235C73">
              <w:rPr>
                <w:rStyle w:val="InstructionsTabelleberschrift"/>
                <w:rFonts w:ascii="Times New Roman" w:hAnsi="Times New Roman"/>
                <w:b w:val="0"/>
                <w:noProof w:val="0"/>
                <w:sz w:val="24"/>
                <w:u w:val="none"/>
                <w:lang w:val="sk-SK"/>
              </w:rPr>
              <w:lastRenderedPageBreak/>
              <w:t>boli emitované pred 27. júnom 2019,</w:t>
            </w:r>
          </w:p>
          <w:p w14:paraId="6F4F5775" w14:textId="707A44D2" w:rsidR="00235C73" w:rsidRDefault="00BD6570" w:rsidP="00B62DC9">
            <w:pPr>
              <w:pStyle w:val="InstructionsText"/>
              <w:numPr>
                <w:ilvl w:val="0"/>
                <w:numId w:val="16"/>
              </w:numPr>
              <w:rPr>
                <w:rStyle w:val="FormatvorlageInstructionsTabelleText"/>
                <w:rFonts w:ascii="Times New Roman" w:hAnsi="Times New Roman"/>
                <w:noProof w:val="0"/>
                <w:sz w:val="24"/>
                <w:lang w:val="sk-SK"/>
              </w:rPr>
            </w:pPr>
            <w:r w:rsidRPr="00235C73">
              <w:rPr>
                <w:rStyle w:val="InstructionsTabelleberschrift"/>
                <w:rFonts w:ascii="Times New Roman" w:hAnsi="Times New Roman"/>
                <w:b w:val="0"/>
                <w:noProof w:val="0"/>
                <w:sz w:val="24"/>
                <w:u w:val="none"/>
                <w:lang w:val="sk-SK"/>
              </w:rPr>
              <w:t>sú</w:t>
            </w:r>
            <w:r w:rsidRPr="00235C73">
              <w:rPr>
                <w:noProof w:val="0"/>
                <w:lang w:val="sk-SK"/>
              </w:rPr>
              <w:t xml:space="preserve"> </w:t>
            </w:r>
            <w:r w:rsidRPr="00235C73">
              <w:rPr>
                <w:rStyle w:val="FormatvorlageInstructionsTabelleText"/>
                <w:rFonts w:ascii="Times New Roman" w:hAnsi="Times New Roman"/>
                <w:noProof w:val="0"/>
                <w:sz w:val="24"/>
                <w:lang w:val="sk-SK"/>
              </w:rPr>
              <w:t>podriadenými oprávnenými nástrojmi</w:t>
            </w:r>
            <w:r w:rsidR="00235C73">
              <w:rPr>
                <w:rStyle w:val="FormatvorlageInstructionsTabelleText"/>
                <w:rFonts w:ascii="Times New Roman" w:hAnsi="Times New Roman"/>
                <w:noProof w:val="0"/>
                <w:sz w:val="24"/>
                <w:lang w:val="sk-SK"/>
              </w:rPr>
              <w:t xml:space="preserve"> v </w:t>
            </w:r>
            <w:r w:rsidRPr="00235C73">
              <w:rPr>
                <w:rStyle w:val="FormatvorlageInstructionsTabelleText"/>
                <w:rFonts w:ascii="Times New Roman" w:hAnsi="Times New Roman"/>
                <w:noProof w:val="0"/>
                <w:sz w:val="24"/>
                <w:lang w:val="sk-SK"/>
              </w:rPr>
              <w:t>zmysle článku 2 ods. 1 bodu 71b smernice 2014/59/EÚ</w:t>
            </w:r>
            <w:r w:rsidR="00235C73">
              <w:rPr>
                <w:rStyle w:val="FormatvorlageInstructionsTabelleText"/>
                <w:rFonts w:ascii="Times New Roman" w:hAnsi="Times New Roman"/>
                <w:noProof w:val="0"/>
                <w:sz w:val="24"/>
                <w:lang w:val="sk-SK"/>
              </w:rPr>
              <w:t>;</w:t>
            </w:r>
          </w:p>
          <w:p w14:paraId="6779E72D" w14:textId="745203D6" w:rsidR="00BD6570" w:rsidRPr="00235C73" w:rsidRDefault="00BD6570" w:rsidP="00B62DC9">
            <w:pPr>
              <w:pStyle w:val="InstructionsText"/>
              <w:numPr>
                <w:ilvl w:val="0"/>
                <w:numId w:val="16"/>
              </w:numPr>
              <w:rPr>
                <w:rStyle w:val="FormatvorlageInstructionsTabelleText"/>
                <w:rFonts w:ascii="Times New Roman" w:hAnsi="Times New Roman"/>
                <w:noProof w:val="0"/>
                <w:sz w:val="24"/>
                <w:lang w:val="sk-SK"/>
              </w:rPr>
            </w:pPr>
            <w:r w:rsidRPr="00235C73">
              <w:rPr>
                <w:rStyle w:val="FormatvorlageInstructionsTabelleText"/>
                <w:rFonts w:ascii="Times New Roman" w:hAnsi="Times New Roman"/>
                <w:noProof w:val="0"/>
                <w:sz w:val="24"/>
                <w:lang w:val="sk-SK"/>
              </w:rPr>
              <w:t>sú zahrnuté do vlastných zdrojov</w:t>
            </w:r>
            <w:r w:rsidR="00235C73">
              <w:rPr>
                <w:rStyle w:val="FormatvorlageInstructionsTabelleText"/>
                <w:rFonts w:ascii="Times New Roman" w:hAnsi="Times New Roman"/>
                <w:noProof w:val="0"/>
                <w:sz w:val="24"/>
                <w:lang w:val="sk-SK"/>
              </w:rPr>
              <w:t xml:space="preserve"> a </w:t>
            </w:r>
            <w:r w:rsidRPr="00235C73">
              <w:rPr>
                <w:rStyle w:val="FormatvorlageInstructionsTabelleText"/>
                <w:rFonts w:ascii="Times New Roman" w:hAnsi="Times New Roman"/>
                <w:noProof w:val="0"/>
                <w:sz w:val="24"/>
                <w:lang w:val="sk-SK"/>
              </w:rPr>
              <w:t>oprávnených záväzkov</w:t>
            </w:r>
            <w:r w:rsidR="00235C73">
              <w:rPr>
                <w:rStyle w:val="FormatvorlageInstructionsTabelleText"/>
                <w:rFonts w:ascii="Times New Roman" w:hAnsi="Times New Roman"/>
                <w:noProof w:val="0"/>
                <w:sz w:val="24"/>
                <w:lang w:val="sk-SK"/>
              </w:rPr>
              <w:t xml:space="preserve"> v </w:t>
            </w:r>
            <w:r w:rsidRPr="00235C73">
              <w:rPr>
                <w:rStyle w:val="FormatvorlageInstructionsTabelleText"/>
                <w:rFonts w:ascii="Times New Roman" w:hAnsi="Times New Roman"/>
                <w:noProof w:val="0"/>
                <w:sz w:val="24"/>
                <w:lang w:val="sk-SK"/>
              </w:rPr>
              <w:t>dôsledku článku 494b ods. 3 nariadenia (EÚ) č. 575/2013.</w:t>
            </w:r>
          </w:p>
          <w:p w14:paraId="3997A101" w14:textId="2C795774" w:rsidR="003E4404" w:rsidRPr="00235C73" w:rsidRDefault="003E4404" w:rsidP="00B62DC9">
            <w:pPr>
              <w:pStyle w:val="InstructionsText"/>
              <w:rPr>
                <w:rStyle w:val="FormatvorlageInstructionsTabelleText"/>
                <w:rFonts w:ascii="Times New Roman" w:hAnsi="Times New Roman"/>
                <w:noProof w:val="0"/>
                <w:sz w:val="24"/>
                <w:lang w:val="sk-SK"/>
              </w:rPr>
            </w:pPr>
            <w:r w:rsidRPr="00235C73">
              <w:rPr>
                <w:rStyle w:val="FormatvorlageInstructionsTabelleText"/>
                <w:rFonts w:ascii="Times New Roman" w:hAnsi="Times New Roman"/>
                <w:noProof w:val="0"/>
                <w:sz w:val="24"/>
                <w:lang w:val="sk-SK"/>
              </w:rPr>
              <w:t>Pri nástrojoch upravených právom tretej krajiny sa nástroj uvádza</w:t>
            </w:r>
            <w:r w:rsidR="00235C73">
              <w:rPr>
                <w:rStyle w:val="FormatvorlageInstructionsTabelleText"/>
                <w:rFonts w:ascii="Times New Roman" w:hAnsi="Times New Roman"/>
                <w:noProof w:val="0"/>
                <w:sz w:val="24"/>
                <w:lang w:val="sk-SK"/>
              </w:rPr>
              <w:t xml:space="preserve"> v </w:t>
            </w:r>
            <w:r w:rsidRPr="00235C73">
              <w:rPr>
                <w:rStyle w:val="FormatvorlageInstructionsTabelleText"/>
                <w:rFonts w:ascii="Times New Roman" w:hAnsi="Times New Roman"/>
                <w:noProof w:val="0"/>
                <w:sz w:val="24"/>
                <w:lang w:val="sk-SK"/>
              </w:rPr>
              <w:t>tomto riadku len vtedy, ak spĺňa požiadavky stanovené</w:t>
            </w:r>
            <w:r w:rsidR="00235C73">
              <w:rPr>
                <w:rStyle w:val="FormatvorlageInstructionsTabelleText"/>
                <w:rFonts w:ascii="Times New Roman" w:hAnsi="Times New Roman"/>
                <w:noProof w:val="0"/>
                <w:sz w:val="24"/>
                <w:lang w:val="sk-SK"/>
              </w:rPr>
              <w:t xml:space="preserve"> v </w:t>
            </w:r>
            <w:r w:rsidRPr="00235C73">
              <w:rPr>
                <w:rStyle w:val="FormatvorlageInstructionsTabelleText"/>
                <w:rFonts w:ascii="Times New Roman" w:hAnsi="Times New Roman"/>
                <w:noProof w:val="0"/>
                <w:sz w:val="24"/>
                <w:lang w:val="sk-SK"/>
              </w:rPr>
              <w:t>článku 55 smernice 2014/59/EÚ.</w:t>
            </w:r>
          </w:p>
          <w:p w14:paraId="4AA69ACA" w14:textId="77777777" w:rsidR="00BD6570" w:rsidRPr="00235C73" w:rsidRDefault="00BD6570" w:rsidP="00B62DC9">
            <w:pPr>
              <w:pStyle w:val="InstructionsText"/>
              <w:rPr>
                <w:rStyle w:val="FormatvorlageInstructionsTabelleText"/>
                <w:rFonts w:ascii="Times New Roman" w:hAnsi="Times New Roman"/>
                <w:i/>
                <w:noProof w:val="0"/>
                <w:sz w:val="24"/>
                <w:lang w:val="sk-SK"/>
              </w:rPr>
            </w:pPr>
            <w:r w:rsidRPr="00235C73">
              <w:rPr>
                <w:rStyle w:val="FormatvorlageInstructionsTabelleText"/>
                <w:rFonts w:ascii="Times New Roman" w:hAnsi="Times New Roman"/>
                <w:i/>
                <w:noProof w:val="0"/>
                <w:sz w:val="24"/>
                <w:lang w:val="sk-SK"/>
              </w:rPr>
              <w:t>TLAC</w:t>
            </w:r>
          </w:p>
          <w:p w14:paraId="748D115E" w14:textId="77777777" w:rsidR="00BD6570" w:rsidRPr="00235C73" w:rsidRDefault="00BD6570" w:rsidP="00B62DC9">
            <w:pPr>
              <w:pStyle w:val="InstructionsText"/>
              <w:rPr>
                <w:rStyle w:val="FormatvorlageInstructionsTabelleText"/>
                <w:rFonts w:ascii="Times New Roman" w:hAnsi="Times New Roman"/>
                <w:noProof w:val="0"/>
                <w:sz w:val="24"/>
                <w:lang w:val="sk-SK"/>
              </w:rPr>
            </w:pPr>
            <w:r w:rsidRPr="00235C73">
              <w:rPr>
                <w:rStyle w:val="FormatvorlageInstructionsTabelleText"/>
                <w:rFonts w:ascii="Times New Roman" w:hAnsi="Times New Roman"/>
                <w:noProof w:val="0"/>
                <w:sz w:val="24"/>
                <w:lang w:val="sk-SK"/>
              </w:rPr>
              <w:t>Záväzky, ktoré spĺňajú tieto podmienky:</w:t>
            </w:r>
          </w:p>
          <w:p w14:paraId="62E0491E" w14:textId="7B8C3AD6" w:rsidR="00BD6570" w:rsidRPr="00235C73" w:rsidRDefault="00BD6570" w:rsidP="00B62DC9">
            <w:pPr>
              <w:pStyle w:val="InstructionsText"/>
              <w:numPr>
                <w:ilvl w:val="0"/>
                <w:numId w:val="16"/>
              </w:numPr>
              <w:rPr>
                <w:rStyle w:val="FormatvorlageInstructionsTabelleText"/>
                <w:rFonts w:ascii="Times New Roman" w:hAnsi="Times New Roman"/>
                <w:b/>
                <w:noProof w:val="0"/>
                <w:sz w:val="24"/>
                <w:lang w:val="sk-SK"/>
              </w:rPr>
            </w:pPr>
            <w:r w:rsidRPr="00235C73">
              <w:rPr>
                <w:rStyle w:val="FormatvorlageInstructionsTabelleText"/>
                <w:rFonts w:ascii="Times New Roman" w:hAnsi="Times New Roman"/>
                <w:noProof w:val="0"/>
                <w:sz w:val="24"/>
                <w:lang w:val="sk-SK"/>
              </w:rPr>
              <w:t>boli emitované pred 27. júnom 2019,</w:t>
            </w:r>
          </w:p>
          <w:p w14:paraId="5161FB69" w14:textId="5998C210" w:rsidR="00BD6570" w:rsidRPr="00235C73" w:rsidRDefault="00BD6570" w:rsidP="00B62DC9">
            <w:pPr>
              <w:pStyle w:val="InstructionsText"/>
              <w:numPr>
                <w:ilvl w:val="0"/>
                <w:numId w:val="16"/>
              </w:numPr>
              <w:rPr>
                <w:rStyle w:val="FormatvorlageInstructionsTabelleText"/>
                <w:rFonts w:ascii="Times New Roman" w:hAnsi="Times New Roman"/>
                <w:b/>
                <w:noProof w:val="0"/>
                <w:sz w:val="24"/>
                <w:lang w:val="sk-SK"/>
              </w:rPr>
            </w:pPr>
            <w:r w:rsidRPr="00235C73">
              <w:rPr>
                <w:rStyle w:val="FormatvorlageInstructionsTabelleText"/>
                <w:rFonts w:ascii="Times New Roman" w:hAnsi="Times New Roman"/>
                <w:noProof w:val="0"/>
                <w:sz w:val="24"/>
                <w:lang w:val="sk-SK"/>
              </w:rPr>
              <w:t>sú</w:t>
            </w:r>
            <w:r w:rsidR="00235C73">
              <w:rPr>
                <w:rStyle w:val="FormatvorlageInstructionsTabelleText"/>
                <w:rFonts w:ascii="Times New Roman" w:hAnsi="Times New Roman"/>
                <w:noProof w:val="0"/>
                <w:sz w:val="24"/>
                <w:lang w:val="sk-SK"/>
              </w:rPr>
              <w:t xml:space="preserve"> v </w:t>
            </w:r>
            <w:r w:rsidRPr="00235C73">
              <w:rPr>
                <w:rStyle w:val="FormatvorlageInstructionsTabelleText"/>
                <w:rFonts w:ascii="Times New Roman" w:hAnsi="Times New Roman"/>
                <w:noProof w:val="0"/>
                <w:sz w:val="24"/>
                <w:lang w:val="sk-SK"/>
              </w:rPr>
              <w:t>súlade</w:t>
            </w:r>
            <w:r w:rsidR="00235C73">
              <w:rPr>
                <w:rStyle w:val="FormatvorlageInstructionsTabelleText"/>
                <w:rFonts w:ascii="Times New Roman" w:hAnsi="Times New Roman"/>
                <w:noProof w:val="0"/>
                <w:sz w:val="24"/>
                <w:lang w:val="sk-SK"/>
              </w:rPr>
              <w:t xml:space="preserve"> s </w:t>
            </w:r>
            <w:r w:rsidRPr="00235C73">
              <w:rPr>
                <w:rStyle w:val="FormatvorlageInstructionsTabelleText"/>
                <w:rFonts w:ascii="Times New Roman" w:hAnsi="Times New Roman"/>
                <w:noProof w:val="0"/>
                <w:sz w:val="24"/>
                <w:lang w:val="sk-SK"/>
              </w:rPr>
              <w:t>článkom 72b ods. 2 písm. d) nariadenia (EÚ) č. 575/2013;</w:t>
            </w:r>
          </w:p>
          <w:p w14:paraId="796E2BAA" w14:textId="6C0672B8" w:rsidR="00922937" w:rsidRPr="00235C73" w:rsidRDefault="00BD6570" w:rsidP="00C4776A">
            <w:pPr>
              <w:pStyle w:val="ListParagraph"/>
              <w:numPr>
                <w:ilvl w:val="0"/>
                <w:numId w:val="16"/>
              </w:numPr>
              <w:rPr>
                <w:rFonts w:ascii="Times New Roman" w:hAnsi="Times New Roman" w:cs="Times New Roman"/>
                <w:b/>
                <w:color w:val="000000" w:themeColor="text1"/>
                <w:sz w:val="24"/>
                <w:szCs w:val="24"/>
                <w:lang w:val="sk-SK"/>
              </w:rPr>
            </w:pPr>
            <w:r w:rsidRPr="00235C73">
              <w:rPr>
                <w:rStyle w:val="FormatvorlageInstructionsTabelleText"/>
                <w:rFonts w:ascii="Times New Roman" w:hAnsi="Times New Roman"/>
                <w:sz w:val="24"/>
                <w:lang w:val="sk-SK"/>
              </w:rPr>
              <w:t>kvalifikujú sa ako oprávnené záväzky</w:t>
            </w:r>
            <w:r w:rsidR="00235C73">
              <w:rPr>
                <w:rStyle w:val="FormatvorlageInstructionsTabelleText"/>
                <w:rFonts w:ascii="Times New Roman" w:hAnsi="Times New Roman"/>
                <w:sz w:val="24"/>
                <w:lang w:val="sk-SK"/>
              </w:rPr>
              <w:t xml:space="preserve"> v </w:t>
            </w:r>
            <w:r w:rsidRPr="00235C73">
              <w:rPr>
                <w:rStyle w:val="FormatvorlageInstructionsTabelleText"/>
                <w:rFonts w:ascii="Times New Roman" w:hAnsi="Times New Roman"/>
                <w:sz w:val="24"/>
                <w:lang w:val="sk-SK"/>
              </w:rPr>
              <w:t>dôsledku zachovania predchádzajúceho stavu stanoveného</w:t>
            </w:r>
            <w:r w:rsidR="00235C73">
              <w:rPr>
                <w:rStyle w:val="FormatvorlageInstructionsTabelleText"/>
                <w:rFonts w:ascii="Times New Roman" w:hAnsi="Times New Roman"/>
                <w:sz w:val="24"/>
                <w:lang w:val="sk-SK"/>
              </w:rPr>
              <w:t xml:space="preserve"> v </w:t>
            </w:r>
            <w:r w:rsidRPr="00235C73">
              <w:rPr>
                <w:rStyle w:val="FormatvorlageInstructionsTabelleText"/>
                <w:rFonts w:ascii="Times New Roman" w:hAnsi="Times New Roman"/>
                <w:sz w:val="24"/>
                <w:lang w:val="sk-SK"/>
              </w:rPr>
              <w:t>článku 494b ods. 3 nariadenia (EÚ) č. 575/2013.</w:t>
            </w:r>
          </w:p>
        </w:tc>
      </w:tr>
      <w:tr w:rsidR="00BA315F" w:rsidRPr="00235C73" w14:paraId="5089A67B" w14:textId="77777777" w:rsidTr="00E46262">
        <w:tc>
          <w:tcPr>
            <w:tcW w:w="1030" w:type="dxa"/>
          </w:tcPr>
          <w:p w14:paraId="4A7EDDF2" w14:textId="7325896B" w:rsidR="00BA315F" w:rsidRPr="00235C73" w:rsidRDefault="00BA315F" w:rsidP="00915305">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lastRenderedPageBreak/>
              <w:t>EU-12c</w:t>
            </w:r>
          </w:p>
        </w:tc>
        <w:tc>
          <w:tcPr>
            <w:tcW w:w="7736" w:type="dxa"/>
          </w:tcPr>
          <w:p w14:paraId="278B1172" w14:textId="77777777" w:rsidR="00BA315F" w:rsidRPr="00235C73" w:rsidRDefault="00BA315F" w:rsidP="00915305">
            <w:pPr>
              <w:rPr>
                <w:rFonts w:ascii="Times New Roman" w:hAnsi="Times New Roman" w:cs="Times New Roman"/>
                <w:b/>
                <w:color w:val="000000" w:themeColor="text1"/>
                <w:sz w:val="24"/>
                <w:szCs w:val="24"/>
                <w:lang w:val="sk-SK"/>
              </w:rPr>
            </w:pPr>
            <w:r w:rsidRPr="00235C73">
              <w:rPr>
                <w:rFonts w:ascii="Times New Roman" w:hAnsi="Times New Roman"/>
                <w:b/>
                <w:color w:val="000000" w:themeColor="text1"/>
                <w:sz w:val="24"/>
                <w:lang w:val="sk-SK"/>
              </w:rPr>
              <w:t>Nástroje kapitálu Tier 2 so zostatkovou splatnosťou najmenej jeden rok, ak sa nekvalifikujú ako položky kapitálu Tier 2</w:t>
            </w:r>
          </w:p>
          <w:p w14:paraId="6F3FB28E" w14:textId="6395E75A" w:rsidR="00334BA5" w:rsidRPr="00235C73" w:rsidRDefault="00334BA5" w:rsidP="00915305">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Amortizovaná časť nástrojov kapitálu Tier 2, ak je zostatková splatnosť dlhšia ako jeden rok [článok 72a ods. 1 písm. b) nariadenia (EÚ) č. 575/2013]</w:t>
            </w:r>
            <w:r w:rsidRPr="00235C73">
              <w:rPr>
                <w:color w:val="000000" w:themeColor="text1"/>
                <w:lang w:val="sk-SK"/>
              </w:rPr>
              <w:t>.</w:t>
            </w:r>
          </w:p>
          <w:p w14:paraId="4FD8D86D" w14:textId="1B1A7DAF" w:rsidR="00BA315F" w:rsidRPr="00235C73" w:rsidRDefault="00BA315F" w:rsidP="006501CC">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V tomto riadku sa uvádza len suma, ktorá nie je vykázaná vo vlastných zdrojoch, ale spĺňa všetky kritériá oprávnenosti stanovené</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článku 72b nariadenia (EÚ) č. 575/2013.</w:t>
            </w:r>
          </w:p>
          <w:p w14:paraId="001569D4" w14:textId="7D6095F6" w:rsidR="003E4404" w:rsidRPr="00235C73" w:rsidRDefault="003E4404" w:rsidP="003E4404">
            <w:pPr>
              <w:rPr>
                <w:rFonts w:ascii="Times New Roman" w:hAnsi="Times New Roman" w:cs="Times New Roman"/>
                <w:b/>
                <w:color w:val="000000" w:themeColor="text1"/>
                <w:sz w:val="24"/>
                <w:szCs w:val="24"/>
                <w:lang w:val="sk-SK"/>
              </w:rPr>
            </w:pPr>
            <w:r w:rsidRPr="00235C73">
              <w:rPr>
                <w:rStyle w:val="FormatvorlageInstructionsTabelleText"/>
                <w:rFonts w:ascii="Times New Roman" w:hAnsi="Times New Roman"/>
                <w:sz w:val="24"/>
                <w:lang w:val="sk-SK"/>
              </w:rPr>
              <w:t>Pri MREL sa nástroje upravené právom tretej krajiny uvádzajú</w:t>
            </w:r>
            <w:r w:rsidR="00235C73">
              <w:rPr>
                <w:rStyle w:val="FormatvorlageInstructionsTabelleText"/>
                <w:rFonts w:ascii="Times New Roman" w:hAnsi="Times New Roman"/>
                <w:sz w:val="24"/>
                <w:lang w:val="sk-SK"/>
              </w:rPr>
              <w:t xml:space="preserve"> v </w:t>
            </w:r>
            <w:r w:rsidRPr="00235C73">
              <w:rPr>
                <w:rStyle w:val="FormatvorlageInstructionsTabelleText"/>
                <w:rFonts w:ascii="Times New Roman" w:hAnsi="Times New Roman"/>
                <w:sz w:val="24"/>
                <w:lang w:val="sk-SK"/>
              </w:rPr>
              <w:t>tomto riadku len vtedy, ak spĺňajú požiadavky stanovené</w:t>
            </w:r>
            <w:r w:rsidR="00235C73">
              <w:rPr>
                <w:rStyle w:val="FormatvorlageInstructionsTabelleText"/>
                <w:rFonts w:ascii="Times New Roman" w:hAnsi="Times New Roman"/>
                <w:sz w:val="24"/>
                <w:lang w:val="sk-SK"/>
              </w:rPr>
              <w:t xml:space="preserve"> v </w:t>
            </w:r>
            <w:r w:rsidRPr="00235C73">
              <w:rPr>
                <w:rStyle w:val="FormatvorlageInstructionsTabelleText"/>
                <w:rFonts w:ascii="Times New Roman" w:hAnsi="Times New Roman"/>
                <w:sz w:val="24"/>
                <w:lang w:val="sk-SK"/>
              </w:rPr>
              <w:t>článku 55 smernice 2014/59/EÚ.</w:t>
            </w:r>
          </w:p>
        </w:tc>
      </w:tr>
      <w:tr w:rsidR="00026FC1" w:rsidRPr="00235C73" w14:paraId="64D6FD96" w14:textId="77777777" w:rsidTr="00E46262">
        <w:tc>
          <w:tcPr>
            <w:tcW w:w="1030" w:type="dxa"/>
          </w:tcPr>
          <w:p w14:paraId="50786C06" w14:textId="52DA5E60" w:rsidR="00021E4F" w:rsidRPr="00235C73" w:rsidRDefault="00D571F6" w:rsidP="00915305">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13</w:t>
            </w:r>
          </w:p>
        </w:tc>
        <w:tc>
          <w:tcPr>
            <w:tcW w:w="7736" w:type="dxa"/>
          </w:tcPr>
          <w:p w14:paraId="5D613CA9" w14:textId="4D2335F1" w:rsidR="009B2422" w:rsidRPr="00235C73" w:rsidRDefault="009B2422" w:rsidP="00E96304">
            <w:pPr>
              <w:rPr>
                <w:rFonts w:ascii="Times New Roman" w:hAnsi="Times New Roman" w:cs="Times New Roman"/>
                <w:b/>
                <w:color w:val="000000" w:themeColor="text1"/>
                <w:sz w:val="24"/>
                <w:szCs w:val="24"/>
                <w:lang w:val="sk-SK"/>
              </w:rPr>
            </w:pPr>
            <w:r w:rsidRPr="00235C73">
              <w:rPr>
                <w:rFonts w:ascii="Times New Roman" w:hAnsi="Times New Roman"/>
                <w:b/>
                <w:color w:val="000000" w:themeColor="text1"/>
                <w:sz w:val="24"/>
                <w:lang w:val="sk-SK"/>
              </w:rPr>
              <w:t>Oprávnené záväzky, ktoré nie sú podriadené vylúčeným záväzkom (nezachované</w:t>
            </w:r>
            <w:r w:rsidR="00235C73">
              <w:rPr>
                <w:rFonts w:ascii="Times New Roman" w:hAnsi="Times New Roman"/>
                <w:b/>
                <w:color w:val="000000" w:themeColor="text1"/>
                <w:sz w:val="24"/>
                <w:lang w:val="sk-SK"/>
              </w:rPr>
              <w:t xml:space="preserve"> v </w:t>
            </w:r>
            <w:r w:rsidRPr="00235C73">
              <w:rPr>
                <w:rFonts w:ascii="Times New Roman" w:hAnsi="Times New Roman"/>
                <w:b/>
                <w:color w:val="000000" w:themeColor="text1"/>
                <w:sz w:val="24"/>
                <w:lang w:val="sk-SK"/>
              </w:rPr>
              <w:t>predchádzajúcom stave, pred uplatnením horného ohraničenia)</w:t>
            </w:r>
          </w:p>
          <w:p w14:paraId="7660F6FC" w14:textId="77777777" w:rsidR="009B2422" w:rsidRPr="00235C73" w:rsidRDefault="009B2422" w:rsidP="00B62DC9">
            <w:pPr>
              <w:pStyle w:val="InstructionsText"/>
              <w:rPr>
                <w:rStyle w:val="FormatvorlageInstructionsTabelleText"/>
                <w:rFonts w:ascii="Times New Roman" w:hAnsi="Times New Roman"/>
                <w:i/>
                <w:noProof w:val="0"/>
                <w:sz w:val="24"/>
                <w:lang w:val="sk-SK"/>
              </w:rPr>
            </w:pPr>
            <w:r w:rsidRPr="00235C73">
              <w:rPr>
                <w:rStyle w:val="FormatvorlageInstructionsTabelleText"/>
                <w:rFonts w:ascii="Times New Roman" w:hAnsi="Times New Roman"/>
                <w:i/>
                <w:noProof w:val="0"/>
                <w:sz w:val="24"/>
                <w:lang w:val="sk-SK"/>
              </w:rPr>
              <w:t>MREL</w:t>
            </w:r>
          </w:p>
          <w:p w14:paraId="00F0085A" w14:textId="4824C413" w:rsidR="009B2422" w:rsidRPr="00235C73" w:rsidRDefault="009B2422" w:rsidP="00B62DC9">
            <w:pPr>
              <w:pStyle w:val="InstructionsText"/>
              <w:rPr>
                <w:rStyle w:val="FormatvorlageInstructionsTabelleText"/>
                <w:rFonts w:ascii="Times New Roman" w:hAnsi="Times New Roman"/>
                <w:noProof w:val="0"/>
                <w:sz w:val="24"/>
                <w:lang w:val="sk-SK"/>
              </w:rPr>
            </w:pPr>
            <w:r w:rsidRPr="00235C73">
              <w:rPr>
                <w:rStyle w:val="FormatvorlageInstructionsTabelleText"/>
                <w:rFonts w:ascii="Times New Roman" w:hAnsi="Times New Roman"/>
                <w:noProof w:val="0"/>
                <w:sz w:val="24"/>
                <w:lang w:val="sk-SK"/>
              </w:rPr>
              <w:t>Záväzky, ktoré spĺňajú podmienky stanovené</w:t>
            </w:r>
            <w:r w:rsidR="00235C73">
              <w:rPr>
                <w:rStyle w:val="FormatvorlageInstructionsTabelleText"/>
                <w:rFonts w:ascii="Times New Roman" w:hAnsi="Times New Roman"/>
                <w:noProof w:val="0"/>
                <w:sz w:val="24"/>
                <w:lang w:val="sk-SK"/>
              </w:rPr>
              <w:t xml:space="preserve"> v </w:t>
            </w:r>
            <w:r w:rsidRPr="00235C73">
              <w:rPr>
                <w:rStyle w:val="FormatvorlageInstructionsTabelleText"/>
                <w:rFonts w:ascii="Times New Roman" w:hAnsi="Times New Roman"/>
                <w:noProof w:val="0"/>
                <w:sz w:val="24"/>
                <w:lang w:val="sk-SK"/>
              </w:rPr>
              <w:t>článku 45b smernice 2014/59/EÚ</w:t>
            </w:r>
            <w:r w:rsidR="00235C73">
              <w:rPr>
                <w:rStyle w:val="FormatvorlageInstructionsTabelleText"/>
                <w:rFonts w:ascii="Times New Roman" w:hAnsi="Times New Roman"/>
                <w:noProof w:val="0"/>
                <w:sz w:val="24"/>
                <w:lang w:val="sk-SK"/>
              </w:rPr>
              <w:t xml:space="preserve"> a </w:t>
            </w:r>
            <w:r w:rsidRPr="00235C73">
              <w:rPr>
                <w:rStyle w:val="FormatvorlageInstructionsTabelleText"/>
                <w:rFonts w:ascii="Times New Roman" w:hAnsi="Times New Roman"/>
                <w:noProof w:val="0"/>
                <w:sz w:val="24"/>
                <w:lang w:val="sk-SK"/>
              </w:rPr>
              <w:t>ktoré nie sú úplne podriadené pohľadávkam vyplývajúcim</w:t>
            </w:r>
            <w:r w:rsidR="00235C73">
              <w:rPr>
                <w:rStyle w:val="FormatvorlageInstructionsTabelleText"/>
                <w:rFonts w:ascii="Times New Roman" w:hAnsi="Times New Roman"/>
                <w:noProof w:val="0"/>
                <w:sz w:val="24"/>
                <w:lang w:val="sk-SK"/>
              </w:rPr>
              <w:t xml:space="preserve"> z </w:t>
            </w:r>
            <w:r w:rsidRPr="00235C73">
              <w:rPr>
                <w:rStyle w:val="FormatvorlageInstructionsTabelleText"/>
                <w:rFonts w:ascii="Times New Roman" w:hAnsi="Times New Roman"/>
                <w:noProof w:val="0"/>
                <w:sz w:val="24"/>
                <w:lang w:val="sk-SK"/>
              </w:rPr>
              <w:t>vylúčených záväzkov uvedených</w:t>
            </w:r>
            <w:r w:rsidR="00235C73">
              <w:rPr>
                <w:rStyle w:val="FormatvorlageInstructionsTabelleText"/>
                <w:rFonts w:ascii="Times New Roman" w:hAnsi="Times New Roman"/>
                <w:noProof w:val="0"/>
                <w:sz w:val="24"/>
                <w:lang w:val="sk-SK"/>
              </w:rPr>
              <w:t xml:space="preserve"> v </w:t>
            </w:r>
            <w:r w:rsidRPr="00235C73">
              <w:rPr>
                <w:rStyle w:val="FormatvorlageInstructionsTabelleText"/>
                <w:rFonts w:ascii="Times New Roman" w:hAnsi="Times New Roman"/>
                <w:noProof w:val="0"/>
                <w:sz w:val="24"/>
                <w:lang w:val="sk-SK"/>
              </w:rPr>
              <w:t>článku 72a ods. 2 nariadenia (EÚ) č. 575/2013.</w:t>
            </w:r>
          </w:p>
          <w:p w14:paraId="2C657BAC" w14:textId="50287738" w:rsidR="003E4404" w:rsidRPr="00235C73" w:rsidRDefault="003E4404" w:rsidP="00B62DC9">
            <w:pPr>
              <w:pStyle w:val="InstructionsText"/>
              <w:rPr>
                <w:rStyle w:val="FormatvorlageInstructionsTabelleText"/>
                <w:rFonts w:ascii="Times New Roman" w:hAnsi="Times New Roman"/>
                <w:noProof w:val="0"/>
                <w:sz w:val="24"/>
                <w:lang w:val="sk-SK"/>
              </w:rPr>
            </w:pPr>
            <w:r w:rsidRPr="00235C73">
              <w:rPr>
                <w:rStyle w:val="FormatvorlageInstructionsTabelleText"/>
                <w:rFonts w:ascii="Times New Roman" w:hAnsi="Times New Roman"/>
                <w:noProof w:val="0"/>
                <w:sz w:val="24"/>
                <w:lang w:val="sk-SK"/>
              </w:rPr>
              <w:t>Pri nástrojoch upravených právom tretej krajiny sa nástroj uvádza</w:t>
            </w:r>
            <w:r w:rsidR="00235C73">
              <w:rPr>
                <w:rStyle w:val="FormatvorlageInstructionsTabelleText"/>
                <w:rFonts w:ascii="Times New Roman" w:hAnsi="Times New Roman"/>
                <w:noProof w:val="0"/>
                <w:sz w:val="24"/>
                <w:lang w:val="sk-SK"/>
              </w:rPr>
              <w:t xml:space="preserve"> v </w:t>
            </w:r>
            <w:r w:rsidRPr="00235C73">
              <w:rPr>
                <w:rStyle w:val="FormatvorlageInstructionsTabelleText"/>
                <w:rFonts w:ascii="Times New Roman" w:hAnsi="Times New Roman"/>
                <w:noProof w:val="0"/>
                <w:sz w:val="24"/>
                <w:lang w:val="sk-SK"/>
              </w:rPr>
              <w:t>tomto riadku len vtedy, ak spĺňa požiadavky stanovené</w:t>
            </w:r>
            <w:r w:rsidR="00235C73">
              <w:rPr>
                <w:rStyle w:val="FormatvorlageInstructionsTabelleText"/>
                <w:rFonts w:ascii="Times New Roman" w:hAnsi="Times New Roman"/>
                <w:noProof w:val="0"/>
                <w:sz w:val="24"/>
                <w:lang w:val="sk-SK"/>
              </w:rPr>
              <w:t xml:space="preserve"> v </w:t>
            </w:r>
            <w:r w:rsidRPr="00235C73">
              <w:rPr>
                <w:rStyle w:val="FormatvorlageInstructionsTabelleText"/>
                <w:rFonts w:ascii="Times New Roman" w:hAnsi="Times New Roman"/>
                <w:noProof w:val="0"/>
                <w:sz w:val="24"/>
                <w:lang w:val="sk-SK"/>
              </w:rPr>
              <w:t>článku 55 smernice 2014/59/EÚ.</w:t>
            </w:r>
          </w:p>
          <w:p w14:paraId="137D2044" w14:textId="77777777" w:rsidR="009B2422" w:rsidRPr="00235C73" w:rsidRDefault="009B2422" w:rsidP="00B62DC9">
            <w:pPr>
              <w:pStyle w:val="InstructionsText"/>
              <w:rPr>
                <w:rStyle w:val="FormatvorlageInstructionsTabelleText"/>
                <w:rFonts w:ascii="Times New Roman" w:hAnsi="Times New Roman"/>
                <w:i/>
                <w:noProof w:val="0"/>
                <w:sz w:val="24"/>
                <w:lang w:val="sk-SK"/>
              </w:rPr>
            </w:pPr>
            <w:r w:rsidRPr="00235C73">
              <w:rPr>
                <w:rStyle w:val="FormatvorlageInstructionsTabelleText"/>
                <w:rFonts w:ascii="Times New Roman" w:hAnsi="Times New Roman"/>
                <w:i/>
                <w:noProof w:val="0"/>
                <w:sz w:val="24"/>
                <w:lang w:val="sk-SK"/>
              </w:rPr>
              <w:t>TLAC</w:t>
            </w:r>
          </w:p>
          <w:p w14:paraId="424B93B1" w14:textId="47A4922C" w:rsidR="009B2422" w:rsidRPr="00235C73" w:rsidRDefault="009B2422" w:rsidP="00B62DC9">
            <w:pPr>
              <w:pStyle w:val="InstructionsText"/>
              <w:rPr>
                <w:rStyle w:val="FormatvorlageInstructionsTabelleText"/>
                <w:rFonts w:ascii="Times New Roman" w:hAnsi="Times New Roman"/>
                <w:noProof w:val="0"/>
                <w:sz w:val="24"/>
                <w:lang w:val="sk-SK"/>
              </w:rPr>
            </w:pPr>
            <w:r w:rsidRPr="00235C73">
              <w:rPr>
                <w:rStyle w:val="FormatvorlageInstructionsTabelleText"/>
                <w:rFonts w:ascii="Times New Roman" w:hAnsi="Times New Roman"/>
                <w:noProof w:val="0"/>
                <w:sz w:val="24"/>
                <w:lang w:val="sk-SK"/>
              </w:rPr>
              <w:lastRenderedPageBreak/>
              <w:t>Oprávnené záväzky, ktoré spĺňajú požiadavky stanovené</w:t>
            </w:r>
            <w:r w:rsidR="00235C73">
              <w:rPr>
                <w:rStyle w:val="FormatvorlageInstructionsTabelleText"/>
                <w:rFonts w:ascii="Times New Roman" w:hAnsi="Times New Roman"/>
                <w:noProof w:val="0"/>
                <w:sz w:val="24"/>
                <w:lang w:val="sk-SK"/>
              </w:rPr>
              <w:t xml:space="preserve"> v </w:t>
            </w:r>
            <w:r w:rsidRPr="00235C73">
              <w:rPr>
                <w:rStyle w:val="FormatvorlageInstructionsTabelleText"/>
                <w:rFonts w:ascii="Times New Roman" w:hAnsi="Times New Roman"/>
                <w:noProof w:val="0"/>
                <w:sz w:val="24"/>
                <w:lang w:val="sk-SK"/>
              </w:rPr>
              <w:t>článkoch 72a až 72d</w:t>
            </w:r>
            <w:r w:rsidRPr="00235C73">
              <w:rPr>
                <w:noProof w:val="0"/>
                <w:color w:val="000000" w:themeColor="text1"/>
                <w:lang w:val="sk-SK"/>
              </w:rPr>
              <w:t xml:space="preserve"> nariadenia (EÚ) č. 575/2013</w:t>
            </w:r>
            <w:r w:rsidR="00235C73">
              <w:rPr>
                <w:rStyle w:val="FormatvorlageInstructionsTabelleText"/>
                <w:rFonts w:ascii="Times New Roman" w:hAnsi="Times New Roman"/>
                <w:noProof w:val="0"/>
                <w:sz w:val="24"/>
                <w:lang w:val="sk-SK"/>
              </w:rPr>
              <w:t xml:space="preserve"> s </w:t>
            </w:r>
            <w:r w:rsidRPr="00235C73">
              <w:rPr>
                <w:rStyle w:val="FormatvorlageInstructionsTabelleText"/>
                <w:rFonts w:ascii="Times New Roman" w:hAnsi="Times New Roman"/>
                <w:noProof w:val="0"/>
                <w:sz w:val="24"/>
                <w:lang w:val="sk-SK"/>
              </w:rPr>
              <w:t>výnimkou článku 72b ods. 2 písm. d) uvedeného nariadenia</w:t>
            </w:r>
            <w:r w:rsidR="00235C73">
              <w:rPr>
                <w:rStyle w:val="FormatvorlageInstructionsTabelleText"/>
                <w:rFonts w:ascii="Times New Roman" w:hAnsi="Times New Roman"/>
                <w:noProof w:val="0"/>
                <w:sz w:val="24"/>
                <w:lang w:val="sk-SK"/>
              </w:rPr>
              <w:t xml:space="preserve"> a </w:t>
            </w:r>
            <w:r w:rsidRPr="00235C73">
              <w:rPr>
                <w:rStyle w:val="FormatvorlageInstructionsTabelleText"/>
                <w:rFonts w:ascii="Times New Roman" w:hAnsi="Times New Roman"/>
                <w:noProof w:val="0"/>
                <w:sz w:val="24"/>
                <w:lang w:val="sk-SK"/>
              </w:rPr>
              <w:t>pri ktorých by sa mohlo podľa článku 72b ods. 3 uvedeného nariadenia povoliť, aby sa kvalifikovali ako nástroje oprávnených záväzkov, alebo ktorým je povolené kvalifikovať sa ako nástroje oprávnených záväzkov</w:t>
            </w:r>
            <w:r w:rsidR="00235C73">
              <w:rPr>
                <w:rStyle w:val="FormatvorlageInstructionsTabelleText"/>
                <w:rFonts w:ascii="Times New Roman" w:hAnsi="Times New Roman"/>
                <w:noProof w:val="0"/>
                <w:sz w:val="24"/>
                <w:lang w:val="sk-SK"/>
              </w:rPr>
              <w:t xml:space="preserve"> v </w:t>
            </w:r>
            <w:r w:rsidRPr="00235C73">
              <w:rPr>
                <w:rStyle w:val="FormatvorlageInstructionsTabelleText"/>
                <w:rFonts w:ascii="Times New Roman" w:hAnsi="Times New Roman"/>
                <w:noProof w:val="0"/>
                <w:sz w:val="24"/>
                <w:lang w:val="sk-SK"/>
              </w:rPr>
              <w:t>súlade</w:t>
            </w:r>
            <w:r w:rsidR="00235C73">
              <w:rPr>
                <w:rStyle w:val="FormatvorlageInstructionsTabelleText"/>
                <w:rFonts w:ascii="Times New Roman" w:hAnsi="Times New Roman"/>
                <w:noProof w:val="0"/>
                <w:sz w:val="24"/>
                <w:lang w:val="sk-SK"/>
              </w:rPr>
              <w:t xml:space="preserve"> s </w:t>
            </w:r>
            <w:r w:rsidRPr="00235C73">
              <w:rPr>
                <w:rStyle w:val="FormatvorlageInstructionsTabelleText"/>
                <w:rFonts w:ascii="Times New Roman" w:hAnsi="Times New Roman"/>
                <w:noProof w:val="0"/>
                <w:sz w:val="24"/>
                <w:lang w:val="sk-SK"/>
              </w:rPr>
              <w:t>článkom 72b ods. 4 uvedeného nariadenia.</w:t>
            </w:r>
          </w:p>
          <w:p w14:paraId="686DBB1D" w14:textId="125D943B" w:rsidR="009B2422" w:rsidRPr="00235C73" w:rsidRDefault="004B3067" w:rsidP="00B62DC9">
            <w:pPr>
              <w:pStyle w:val="InstructionsText"/>
              <w:rPr>
                <w:rStyle w:val="FormatvorlageInstructionsTabelleText"/>
                <w:rFonts w:ascii="Times New Roman" w:hAnsi="Times New Roman"/>
                <w:noProof w:val="0"/>
                <w:sz w:val="24"/>
                <w:lang w:val="sk-SK"/>
              </w:rPr>
            </w:pPr>
            <w:r w:rsidRPr="00235C73">
              <w:rPr>
                <w:rStyle w:val="FormatvorlageInstructionsTabelleText"/>
                <w:rFonts w:ascii="Times New Roman" w:hAnsi="Times New Roman"/>
                <w:noProof w:val="0"/>
                <w:sz w:val="24"/>
                <w:lang w:val="sk-SK"/>
              </w:rPr>
              <w:t>Ak sa uplatňuje článok 72b ods. 3 nariadenia (EÚ) č. 575/2013 alebo článok 494 ods. 2 nariadenia (EÚ) č. 575/2013,</w:t>
            </w:r>
            <w:r w:rsidR="00235C73">
              <w:rPr>
                <w:rStyle w:val="FormatvorlageInstructionsTabelleText"/>
                <w:rFonts w:ascii="Times New Roman" w:hAnsi="Times New Roman"/>
                <w:noProof w:val="0"/>
                <w:sz w:val="24"/>
                <w:lang w:val="sk-SK"/>
              </w:rPr>
              <w:t xml:space="preserve"> v </w:t>
            </w:r>
            <w:r w:rsidRPr="00235C73">
              <w:rPr>
                <w:rStyle w:val="FormatvorlageInstructionsTabelleText"/>
                <w:rFonts w:ascii="Times New Roman" w:hAnsi="Times New Roman"/>
                <w:noProof w:val="0"/>
                <w:sz w:val="24"/>
                <w:lang w:val="sk-SK"/>
              </w:rPr>
              <w:t>tomto riadku sa zverejňuje celá hodnota bez uplatnenia horného ohraničenia vo výške 3,5</w:t>
            </w:r>
            <w:r w:rsidR="00235C73">
              <w:rPr>
                <w:rStyle w:val="FormatvorlageInstructionsTabelleText"/>
                <w:rFonts w:ascii="Times New Roman" w:hAnsi="Times New Roman"/>
                <w:noProof w:val="0"/>
                <w:sz w:val="24"/>
                <w:lang w:val="sk-SK"/>
              </w:rPr>
              <w:t> %</w:t>
            </w:r>
            <w:r w:rsidRPr="00235C73">
              <w:rPr>
                <w:rStyle w:val="FormatvorlageInstructionsTabelleText"/>
                <w:rFonts w:ascii="Times New Roman" w:hAnsi="Times New Roman"/>
                <w:noProof w:val="0"/>
                <w:sz w:val="24"/>
                <w:lang w:val="sk-SK"/>
              </w:rPr>
              <w:t>, resp. 2,5</w:t>
            </w:r>
            <w:r w:rsidR="00235C73">
              <w:rPr>
                <w:rStyle w:val="FormatvorlageInstructionsTabelleText"/>
                <w:rFonts w:ascii="Times New Roman" w:hAnsi="Times New Roman"/>
                <w:noProof w:val="0"/>
                <w:sz w:val="24"/>
                <w:lang w:val="sk-SK"/>
              </w:rPr>
              <w:t> %</w:t>
            </w:r>
            <w:r w:rsidRPr="00235C73">
              <w:rPr>
                <w:rStyle w:val="FormatvorlageInstructionsTabelleText"/>
                <w:rFonts w:ascii="Times New Roman" w:hAnsi="Times New Roman"/>
                <w:noProof w:val="0"/>
                <w:sz w:val="24"/>
                <w:lang w:val="sk-SK"/>
              </w:rPr>
              <w:t>.</w:t>
            </w:r>
          </w:p>
          <w:p w14:paraId="2AE31630" w14:textId="153F1C31" w:rsidR="009B2422" w:rsidRPr="00235C73" w:rsidRDefault="009B2422" w:rsidP="009B2422">
            <w:pPr>
              <w:rPr>
                <w:rFonts w:ascii="Times New Roman" w:hAnsi="Times New Roman" w:cs="Times New Roman"/>
                <w:color w:val="000000" w:themeColor="text1"/>
                <w:sz w:val="24"/>
                <w:szCs w:val="24"/>
                <w:lang w:val="sk-SK"/>
              </w:rPr>
            </w:pPr>
            <w:r w:rsidRPr="00235C73">
              <w:rPr>
                <w:rStyle w:val="FormatvorlageInstructionsTabelleText"/>
                <w:rFonts w:ascii="Times New Roman" w:hAnsi="Times New Roman"/>
                <w:sz w:val="24"/>
                <w:lang w:val="sk-SK"/>
              </w:rPr>
              <w:t>Tento riadok nezahŕňa žiadnu sumu uznateľnú na prechodnom základe</w:t>
            </w:r>
            <w:r w:rsidR="00235C73">
              <w:rPr>
                <w:rStyle w:val="FormatvorlageInstructionsTabelleText"/>
                <w:rFonts w:ascii="Times New Roman" w:hAnsi="Times New Roman"/>
                <w:sz w:val="24"/>
                <w:lang w:val="sk-SK"/>
              </w:rPr>
              <w:t xml:space="preserve"> v </w:t>
            </w:r>
            <w:r w:rsidRPr="00235C73">
              <w:rPr>
                <w:rStyle w:val="FormatvorlageInstructionsTabelleText"/>
                <w:rFonts w:ascii="Times New Roman" w:hAnsi="Times New Roman"/>
                <w:sz w:val="24"/>
                <w:lang w:val="sk-SK"/>
              </w:rPr>
              <w:t>súlade</w:t>
            </w:r>
            <w:r w:rsidR="00235C73">
              <w:rPr>
                <w:rStyle w:val="FormatvorlageInstructionsTabelleText"/>
                <w:rFonts w:ascii="Times New Roman" w:hAnsi="Times New Roman"/>
                <w:sz w:val="24"/>
                <w:lang w:val="sk-SK"/>
              </w:rPr>
              <w:t xml:space="preserve"> s </w:t>
            </w:r>
            <w:r w:rsidRPr="00235C73">
              <w:rPr>
                <w:rStyle w:val="FormatvorlageInstructionsTabelleText"/>
                <w:rFonts w:ascii="Times New Roman" w:hAnsi="Times New Roman"/>
                <w:sz w:val="24"/>
                <w:lang w:val="sk-SK"/>
              </w:rPr>
              <w:t>článkom 494b ods. 3 nariadenia (EÚ) č. 575/2013.</w:t>
            </w:r>
          </w:p>
        </w:tc>
      </w:tr>
      <w:tr w:rsidR="00922937" w:rsidRPr="00235C73" w14:paraId="54947575" w14:textId="77777777" w:rsidTr="00E46262">
        <w:tc>
          <w:tcPr>
            <w:tcW w:w="1030" w:type="dxa"/>
          </w:tcPr>
          <w:p w14:paraId="034E19A1" w14:textId="2AE4D60C" w:rsidR="00922937" w:rsidRPr="00235C73" w:rsidRDefault="00922937" w:rsidP="00915305">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lastRenderedPageBreak/>
              <w:t>EU-13a</w:t>
            </w:r>
          </w:p>
        </w:tc>
        <w:tc>
          <w:tcPr>
            <w:tcW w:w="7736" w:type="dxa"/>
          </w:tcPr>
          <w:p w14:paraId="69BC0D22" w14:textId="6A00E4CF" w:rsidR="00922937" w:rsidRPr="00235C73" w:rsidRDefault="00922937" w:rsidP="00915305">
            <w:pPr>
              <w:rPr>
                <w:rFonts w:ascii="Times New Roman" w:hAnsi="Times New Roman" w:cs="Times New Roman"/>
                <w:b/>
                <w:color w:val="000000" w:themeColor="text1"/>
                <w:sz w:val="24"/>
                <w:szCs w:val="24"/>
                <w:lang w:val="sk-SK"/>
              </w:rPr>
            </w:pPr>
            <w:r w:rsidRPr="00235C73">
              <w:rPr>
                <w:rFonts w:ascii="Times New Roman" w:hAnsi="Times New Roman"/>
                <w:b/>
                <w:color w:val="000000" w:themeColor="text1"/>
                <w:sz w:val="24"/>
                <w:lang w:val="sk-SK"/>
              </w:rPr>
              <w:t>Oprávnené záväzky, ktoré nie sú podriadené vylúčeným záväzkom, emitované pred 27. júnom 2019 (pred uplatnením horného ohraničenia)</w:t>
            </w:r>
          </w:p>
          <w:p w14:paraId="56BE4571" w14:textId="77777777" w:rsidR="009B2422" w:rsidRPr="00235C73" w:rsidRDefault="009B2422" w:rsidP="009B2422">
            <w:pPr>
              <w:rPr>
                <w:rFonts w:ascii="Times New Roman" w:hAnsi="Times New Roman" w:cs="Times New Roman"/>
                <w:i/>
                <w:color w:val="000000" w:themeColor="text1"/>
                <w:sz w:val="24"/>
                <w:szCs w:val="24"/>
                <w:lang w:val="sk-SK"/>
              </w:rPr>
            </w:pPr>
            <w:r w:rsidRPr="00235C73">
              <w:rPr>
                <w:rFonts w:ascii="Times New Roman" w:hAnsi="Times New Roman"/>
                <w:i/>
                <w:color w:val="000000" w:themeColor="text1"/>
                <w:sz w:val="24"/>
                <w:lang w:val="sk-SK"/>
              </w:rPr>
              <w:t>MREL</w:t>
            </w:r>
          </w:p>
          <w:p w14:paraId="5C7AEC52" w14:textId="77777777" w:rsidR="009B2422" w:rsidRPr="00235C73" w:rsidRDefault="009B2422" w:rsidP="009B2422">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Oprávnené záväzky, ktoré spĺňajú tieto podmienky:</w:t>
            </w:r>
          </w:p>
          <w:p w14:paraId="72C8F1AF" w14:textId="72479061" w:rsidR="009B2422" w:rsidRPr="00235C73" w:rsidRDefault="009B2422" w:rsidP="00C4776A">
            <w:pPr>
              <w:pStyle w:val="ListParagraph"/>
              <w:numPr>
                <w:ilvl w:val="0"/>
                <w:numId w:val="16"/>
              </w:num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boli emitované pred 27. júnom 2019,</w:t>
            </w:r>
          </w:p>
          <w:p w14:paraId="21ECB5FF" w14:textId="02E0755F" w:rsidR="009B2422" w:rsidRPr="00235C73" w:rsidRDefault="009B2422" w:rsidP="00C4776A">
            <w:pPr>
              <w:pStyle w:val="ListParagraph"/>
              <w:numPr>
                <w:ilvl w:val="0"/>
                <w:numId w:val="16"/>
              </w:num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spĺňajú podmienky stanovené</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článku 45b smernice 2014/59/EÚ</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nie sú úplne podriadené pohľadávkam vyplývajúcim</w:t>
            </w:r>
            <w:r w:rsidR="00235C73">
              <w:rPr>
                <w:rFonts w:ascii="Times New Roman" w:hAnsi="Times New Roman"/>
                <w:color w:val="000000" w:themeColor="text1"/>
                <w:sz w:val="24"/>
                <w:lang w:val="sk-SK"/>
              </w:rPr>
              <w:t xml:space="preserve"> z </w:t>
            </w:r>
            <w:r w:rsidRPr="00235C73">
              <w:rPr>
                <w:rFonts w:ascii="Times New Roman" w:hAnsi="Times New Roman"/>
                <w:color w:val="000000" w:themeColor="text1"/>
                <w:sz w:val="24"/>
                <w:lang w:val="sk-SK"/>
              </w:rPr>
              <w:t>vylúčených záväzkov uvedených</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článku 72a ods. 2 nariadenia (EÚ) č. 575/2013,</w:t>
            </w:r>
          </w:p>
          <w:p w14:paraId="110EAF03" w14:textId="150F7EB5" w:rsidR="009B2422" w:rsidRPr="00235C73" w:rsidRDefault="009B2422" w:rsidP="00C4776A">
            <w:pPr>
              <w:pStyle w:val="ListParagraph"/>
              <w:numPr>
                <w:ilvl w:val="0"/>
                <w:numId w:val="16"/>
              </w:num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kvalifikujú sa ako oprávnené záväzky</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dôsledku zachovania predchádzajúceho stavu stanoveného</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článku 494b ods. 3 nariadenia (EÚ) č. 575/2013.</w:t>
            </w:r>
          </w:p>
          <w:p w14:paraId="0E373313" w14:textId="6220DEC4" w:rsidR="003E4404" w:rsidRPr="00235C73" w:rsidRDefault="003E4404" w:rsidP="005F391D">
            <w:pPr>
              <w:rPr>
                <w:rFonts w:ascii="Times New Roman" w:hAnsi="Times New Roman" w:cs="Times New Roman"/>
                <w:color w:val="000000" w:themeColor="text1"/>
                <w:sz w:val="24"/>
                <w:szCs w:val="24"/>
                <w:lang w:val="sk-SK"/>
              </w:rPr>
            </w:pPr>
            <w:r w:rsidRPr="00235C73">
              <w:rPr>
                <w:rStyle w:val="FormatvorlageInstructionsTabelleText"/>
                <w:rFonts w:ascii="Times New Roman" w:hAnsi="Times New Roman"/>
                <w:sz w:val="24"/>
                <w:lang w:val="sk-SK"/>
              </w:rPr>
              <w:t>Pri nástrojoch upravených právom tretej krajiny sa nástroj uvádza</w:t>
            </w:r>
            <w:r w:rsidR="00235C73">
              <w:rPr>
                <w:rStyle w:val="FormatvorlageInstructionsTabelleText"/>
                <w:rFonts w:ascii="Times New Roman" w:hAnsi="Times New Roman"/>
                <w:sz w:val="24"/>
                <w:lang w:val="sk-SK"/>
              </w:rPr>
              <w:t xml:space="preserve"> v </w:t>
            </w:r>
            <w:r w:rsidRPr="00235C73">
              <w:rPr>
                <w:rStyle w:val="FormatvorlageInstructionsTabelleText"/>
                <w:rFonts w:ascii="Times New Roman" w:hAnsi="Times New Roman"/>
                <w:sz w:val="24"/>
                <w:lang w:val="sk-SK"/>
              </w:rPr>
              <w:t>tomto riadku len vtedy, ak spĺňa požiadavky stanovené</w:t>
            </w:r>
            <w:r w:rsidR="00235C73">
              <w:rPr>
                <w:rStyle w:val="FormatvorlageInstructionsTabelleText"/>
                <w:rFonts w:ascii="Times New Roman" w:hAnsi="Times New Roman"/>
                <w:sz w:val="24"/>
                <w:lang w:val="sk-SK"/>
              </w:rPr>
              <w:t xml:space="preserve"> v </w:t>
            </w:r>
            <w:r w:rsidRPr="00235C73">
              <w:rPr>
                <w:rStyle w:val="FormatvorlageInstructionsTabelleText"/>
                <w:rFonts w:ascii="Times New Roman" w:hAnsi="Times New Roman"/>
                <w:sz w:val="24"/>
                <w:lang w:val="sk-SK"/>
              </w:rPr>
              <w:t>článku 55 smernice 2014/59/EÚ.</w:t>
            </w:r>
          </w:p>
          <w:p w14:paraId="7B5CC27B" w14:textId="77777777" w:rsidR="009B2422" w:rsidRPr="00235C73" w:rsidRDefault="009B2422" w:rsidP="009B2422">
            <w:pPr>
              <w:rPr>
                <w:rFonts w:ascii="Times New Roman" w:hAnsi="Times New Roman" w:cs="Times New Roman"/>
                <w:i/>
                <w:color w:val="000000" w:themeColor="text1"/>
                <w:sz w:val="24"/>
                <w:szCs w:val="24"/>
                <w:lang w:val="sk-SK"/>
              </w:rPr>
            </w:pPr>
            <w:r w:rsidRPr="00235C73">
              <w:rPr>
                <w:rFonts w:ascii="Times New Roman" w:hAnsi="Times New Roman"/>
                <w:i/>
                <w:color w:val="000000" w:themeColor="text1"/>
                <w:sz w:val="24"/>
                <w:lang w:val="sk-SK"/>
              </w:rPr>
              <w:t>TLAC</w:t>
            </w:r>
          </w:p>
          <w:p w14:paraId="309DD1F6" w14:textId="730AFC17" w:rsidR="009B2422" w:rsidRPr="00235C73" w:rsidRDefault="008E71C3" w:rsidP="009B2422">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Oprávnené záväzky, ktoré spĺňajú tieto podmienky:</w:t>
            </w:r>
          </w:p>
          <w:p w14:paraId="318C85C9" w14:textId="7DED1DBB" w:rsidR="009B2422" w:rsidRPr="00235C73" w:rsidRDefault="009B2422" w:rsidP="00C4776A">
            <w:pPr>
              <w:pStyle w:val="ListParagraph"/>
              <w:numPr>
                <w:ilvl w:val="0"/>
                <w:numId w:val="16"/>
              </w:num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boli emitované pred 27. júnom 2019,</w:t>
            </w:r>
          </w:p>
          <w:p w14:paraId="76F54B6E" w14:textId="35719E56" w:rsidR="009B2422" w:rsidRPr="00235C73" w:rsidRDefault="009B2422" w:rsidP="00C4776A">
            <w:pPr>
              <w:pStyle w:val="ListParagraph"/>
              <w:numPr>
                <w:ilvl w:val="0"/>
                <w:numId w:val="16"/>
              </w:num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spĺňajú požiadavky stanovené</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článkoch 72a až 72d nariadenia (EÚ) č. 575/2013</w:t>
            </w:r>
            <w:r w:rsidR="00235C73">
              <w:rPr>
                <w:rFonts w:ascii="Times New Roman" w:hAnsi="Times New Roman"/>
                <w:color w:val="000000" w:themeColor="text1"/>
                <w:sz w:val="24"/>
                <w:lang w:val="sk-SK"/>
              </w:rPr>
              <w:t xml:space="preserve"> s </w:t>
            </w:r>
            <w:r w:rsidRPr="00235C73">
              <w:rPr>
                <w:rFonts w:ascii="Times New Roman" w:hAnsi="Times New Roman"/>
                <w:color w:val="000000" w:themeColor="text1"/>
                <w:sz w:val="24"/>
                <w:lang w:val="sk-SK"/>
              </w:rPr>
              <w:t>výnimkou článku 72b ods. 2 písm. d) uvedeného nariadenia</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pri ktorých</w:t>
            </w:r>
            <w:r w:rsidRPr="00235C73">
              <w:rPr>
                <w:rStyle w:val="FormatvorlageInstructionsTabelleText"/>
                <w:rFonts w:ascii="Times New Roman" w:hAnsi="Times New Roman"/>
                <w:sz w:val="24"/>
                <w:lang w:val="sk-SK"/>
              </w:rPr>
              <w:t xml:space="preserve"> by sa mohlo podľa článku 72b ods. 3 uvedeného nariadenia povoliť, aby sa kvalifikovali ako nástroje oprávnených záväzkov, alebo ktorým je povolené kvalifikovať sa ako nástroje oprávnených záväzkov</w:t>
            </w:r>
            <w:r w:rsidR="00235C73">
              <w:rPr>
                <w:rStyle w:val="FormatvorlageInstructionsTabelleText"/>
                <w:rFonts w:ascii="Times New Roman" w:hAnsi="Times New Roman"/>
                <w:sz w:val="24"/>
                <w:lang w:val="sk-SK"/>
              </w:rPr>
              <w:t xml:space="preserve"> v </w:t>
            </w:r>
            <w:r w:rsidRPr="00235C73">
              <w:rPr>
                <w:rStyle w:val="FormatvorlageInstructionsTabelleText"/>
                <w:rFonts w:ascii="Times New Roman" w:hAnsi="Times New Roman"/>
                <w:sz w:val="24"/>
                <w:lang w:val="sk-SK"/>
              </w:rPr>
              <w:t>súlade</w:t>
            </w:r>
            <w:r w:rsidR="00235C73">
              <w:rPr>
                <w:rStyle w:val="FormatvorlageInstructionsTabelleText"/>
                <w:rFonts w:ascii="Times New Roman" w:hAnsi="Times New Roman"/>
                <w:sz w:val="24"/>
                <w:lang w:val="sk-SK"/>
              </w:rPr>
              <w:t xml:space="preserve"> s </w:t>
            </w:r>
            <w:r w:rsidRPr="00235C73">
              <w:rPr>
                <w:rStyle w:val="FormatvorlageInstructionsTabelleText"/>
                <w:rFonts w:ascii="Times New Roman" w:hAnsi="Times New Roman"/>
                <w:sz w:val="24"/>
                <w:lang w:val="sk-SK"/>
              </w:rPr>
              <w:t>článkom 72b ods. 4 nariadenia (EÚ) č. 575/2013,</w:t>
            </w:r>
          </w:p>
          <w:p w14:paraId="2DB1E71A" w14:textId="2272AE63" w:rsidR="003312F4" w:rsidRPr="00235C73" w:rsidRDefault="009B2422" w:rsidP="00C4776A">
            <w:pPr>
              <w:pStyle w:val="ListParagraph"/>
              <w:numPr>
                <w:ilvl w:val="0"/>
                <w:numId w:val="16"/>
              </w:num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kvalifikujú sa ako oprávnené záväzky</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dôsledku zachovania predchádzajúceho stavu stanoveného</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článku 494b ods. 3 nariadenia (EÚ) č. 575/2013.</w:t>
            </w:r>
          </w:p>
          <w:p w14:paraId="6639DB06" w14:textId="6422D090" w:rsidR="009B2422" w:rsidRPr="00235C73" w:rsidRDefault="00A150DD" w:rsidP="00A150DD">
            <w:pPr>
              <w:rPr>
                <w:rFonts w:ascii="Times New Roman" w:hAnsi="Times New Roman" w:cs="Times New Roman"/>
                <w:b/>
                <w:color w:val="000000" w:themeColor="text1"/>
                <w:sz w:val="24"/>
                <w:szCs w:val="24"/>
                <w:lang w:val="sk-SK"/>
              </w:rPr>
            </w:pPr>
            <w:r w:rsidRPr="00235C73">
              <w:rPr>
                <w:rStyle w:val="FormatvorlageInstructionsTabelleText"/>
                <w:rFonts w:ascii="Times New Roman" w:hAnsi="Times New Roman"/>
                <w:sz w:val="24"/>
                <w:lang w:val="sk-SK"/>
              </w:rPr>
              <w:lastRenderedPageBreak/>
              <w:t>Ak sa uplatňuje článok 72b ods. 3 nariadenia (EÚ) č. 575/2013 alebo článok 494 ods. 2 nariadenia (EÚ) č. 575/2013,</w:t>
            </w:r>
            <w:r w:rsidR="00235C73">
              <w:rPr>
                <w:rStyle w:val="FormatvorlageInstructionsTabelleText"/>
                <w:rFonts w:ascii="Times New Roman" w:hAnsi="Times New Roman"/>
                <w:sz w:val="24"/>
                <w:lang w:val="sk-SK"/>
              </w:rPr>
              <w:t xml:space="preserve"> v </w:t>
            </w:r>
            <w:r w:rsidRPr="00235C73">
              <w:rPr>
                <w:rStyle w:val="FormatvorlageInstructionsTabelleText"/>
                <w:rFonts w:ascii="Times New Roman" w:hAnsi="Times New Roman"/>
                <w:sz w:val="24"/>
                <w:lang w:val="sk-SK"/>
              </w:rPr>
              <w:t>tomto riadku sa zverejňuje celá hodnota bez uplatnenia horného ohraničenia vo výške 3,5</w:t>
            </w:r>
            <w:r w:rsidR="00235C73">
              <w:rPr>
                <w:rStyle w:val="FormatvorlageInstructionsTabelleText"/>
                <w:rFonts w:ascii="Times New Roman" w:hAnsi="Times New Roman"/>
                <w:sz w:val="24"/>
                <w:lang w:val="sk-SK"/>
              </w:rPr>
              <w:t> %</w:t>
            </w:r>
            <w:r w:rsidRPr="00235C73">
              <w:rPr>
                <w:rStyle w:val="FormatvorlageInstructionsTabelleText"/>
                <w:rFonts w:ascii="Times New Roman" w:hAnsi="Times New Roman"/>
                <w:sz w:val="24"/>
                <w:lang w:val="sk-SK"/>
              </w:rPr>
              <w:t>, resp. 2,5</w:t>
            </w:r>
            <w:r w:rsidR="00235C73">
              <w:rPr>
                <w:rStyle w:val="FormatvorlageInstructionsTabelleText"/>
                <w:rFonts w:ascii="Times New Roman" w:hAnsi="Times New Roman"/>
                <w:sz w:val="24"/>
                <w:lang w:val="sk-SK"/>
              </w:rPr>
              <w:t> %</w:t>
            </w:r>
            <w:r w:rsidRPr="00235C73">
              <w:rPr>
                <w:rStyle w:val="FormatvorlageInstructionsTabelleText"/>
                <w:rFonts w:ascii="Times New Roman" w:hAnsi="Times New Roman"/>
                <w:sz w:val="24"/>
                <w:lang w:val="sk-SK"/>
              </w:rPr>
              <w:t>.</w:t>
            </w:r>
          </w:p>
        </w:tc>
      </w:tr>
      <w:tr w:rsidR="00026FC1" w:rsidRPr="00235C73" w14:paraId="219A8816" w14:textId="77777777" w:rsidTr="00E46262">
        <w:tc>
          <w:tcPr>
            <w:tcW w:w="1030" w:type="dxa"/>
          </w:tcPr>
          <w:p w14:paraId="26CB4EA4" w14:textId="1E635F7F" w:rsidR="00021E4F" w:rsidRPr="00235C73" w:rsidRDefault="00702377" w:rsidP="00915305">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lastRenderedPageBreak/>
              <w:t>14</w:t>
            </w:r>
          </w:p>
        </w:tc>
        <w:tc>
          <w:tcPr>
            <w:tcW w:w="7736" w:type="dxa"/>
          </w:tcPr>
          <w:p w14:paraId="6094B9AD" w14:textId="53C6E214" w:rsidR="00021E4F" w:rsidRPr="00235C73" w:rsidRDefault="00922937" w:rsidP="00915305">
            <w:pPr>
              <w:rPr>
                <w:rFonts w:ascii="Times New Roman" w:hAnsi="Times New Roman" w:cs="Times New Roman"/>
                <w:b/>
                <w:color w:val="000000" w:themeColor="text1"/>
                <w:sz w:val="24"/>
                <w:szCs w:val="24"/>
                <w:lang w:val="sk-SK"/>
              </w:rPr>
            </w:pPr>
            <w:r w:rsidRPr="00235C73">
              <w:rPr>
                <w:rFonts w:ascii="Times New Roman" w:hAnsi="Times New Roman"/>
                <w:b/>
                <w:color w:val="000000" w:themeColor="text1"/>
                <w:sz w:val="24"/>
                <w:lang w:val="sk-SK"/>
              </w:rPr>
              <w:t>Hodnota nástrojov nepodriadených oprávnených záväzkov, ak je to uplatniteľné po uplatnení článku 72b ods. 3 nariadenia (EÚ) č. 575/2013</w:t>
            </w:r>
          </w:p>
          <w:p w14:paraId="78F7998F" w14:textId="77777777" w:rsidR="000C6F8C" w:rsidRPr="00235C73" w:rsidRDefault="000C6F8C" w:rsidP="008E71C3">
            <w:pPr>
              <w:rPr>
                <w:rFonts w:ascii="Times New Roman" w:hAnsi="Times New Roman" w:cs="Times New Roman"/>
                <w:i/>
                <w:color w:val="000000" w:themeColor="text1"/>
                <w:sz w:val="24"/>
                <w:szCs w:val="24"/>
                <w:lang w:val="sk-SK"/>
              </w:rPr>
            </w:pPr>
            <w:r w:rsidRPr="00235C73">
              <w:rPr>
                <w:rFonts w:ascii="Times New Roman" w:hAnsi="Times New Roman"/>
                <w:i/>
                <w:color w:val="000000" w:themeColor="text1"/>
                <w:sz w:val="24"/>
                <w:lang w:val="sk-SK"/>
              </w:rPr>
              <w:t>MREL</w:t>
            </w:r>
          </w:p>
          <w:p w14:paraId="02BBE4C9" w14:textId="00442371" w:rsidR="000C6F8C" w:rsidRPr="00235C73" w:rsidRDefault="000C6F8C" w:rsidP="008E71C3">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Tento riadok sa rovná súčtu riadku 13</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riadku EU-13a.</w:t>
            </w:r>
          </w:p>
          <w:p w14:paraId="03898B83" w14:textId="77777777" w:rsidR="000C6F8C" w:rsidRPr="00235C73" w:rsidRDefault="000C6F8C" w:rsidP="008E71C3">
            <w:pPr>
              <w:rPr>
                <w:rFonts w:ascii="Times New Roman" w:hAnsi="Times New Roman" w:cs="Times New Roman"/>
                <w:i/>
                <w:color w:val="000000" w:themeColor="text1"/>
                <w:sz w:val="24"/>
                <w:szCs w:val="24"/>
                <w:lang w:val="sk-SK"/>
              </w:rPr>
            </w:pPr>
            <w:r w:rsidRPr="00235C73">
              <w:rPr>
                <w:rFonts w:ascii="Times New Roman" w:hAnsi="Times New Roman"/>
                <w:i/>
                <w:color w:val="000000" w:themeColor="text1"/>
                <w:sz w:val="24"/>
                <w:lang w:val="sk-SK"/>
              </w:rPr>
              <w:t>TLAC</w:t>
            </w:r>
          </w:p>
          <w:p w14:paraId="6E41B207" w14:textId="7B13A40A" w:rsidR="00235C73" w:rsidRDefault="003E4404" w:rsidP="008E71C3">
            <w:pPr>
              <w:rPr>
                <w:rFonts w:ascii="Times New Roman" w:hAnsi="Times New Roman"/>
                <w:color w:val="000000" w:themeColor="text1"/>
                <w:sz w:val="24"/>
                <w:lang w:val="sk-SK"/>
              </w:rPr>
            </w:pPr>
            <w:r w:rsidRPr="00235C73">
              <w:rPr>
                <w:rFonts w:ascii="Times New Roman" w:hAnsi="Times New Roman"/>
                <w:color w:val="000000" w:themeColor="text1"/>
                <w:sz w:val="24"/>
                <w:lang w:val="sk-SK"/>
              </w:rPr>
              <w:t>Ak sa uplatňuje článok 72b ods. 3 nariadenia (EÚ) č. 575/2013,</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tomto riadku sa uvádza súčet hodnôt zverejnených</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riadkoch 13</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13a uvedených vyššie po uplatnení článku 72b ods. 3, resp. článku 494 ods. 2 uvedeného nariadenia</w:t>
            </w:r>
            <w:r w:rsidR="00235C73">
              <w:rPr>
                <w:rFonts w:ascii="Times New Roman" w:hAnsi="Times New Roman"/>
                <w:color w:val="000000" w:themeColor="text1"/>
                <w:sz w:val="24"/>
                <w:lang w:val="sk-SK"/>
              </w:rPr>
              <w:t>.</w:t>
            </w:r>
          </w:p>
          <w:p w14:paraId="5A30EA54" w14:textId="167FB6D6" w:rsidR="00021E4F" w:rsidRPr="00235C73" w:rsidRDefault="000C6F8C" w:rsidP="00503590">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Ak sa neuplatňuje článok 72b ods. 3 nariadenia (EÚ) č. 575/2013, ale subjekt využíva výhody vyplývajúce</w:t>
            </w:r>
            <w:r w:rsidR="00235C73">
              <w:rPr>
                <w:rFonts w:ascii="Times New Roman" w:hAnsi="Times New Roman"/>
                <w:color w:val="000000" w:themeColor="text1"/>
                <w:sz w:val="24"/>
                <w:lang w:val="sk-SK"/>
              </w:rPr>
              <w:t xml:space="preserve"> z </w:t>
            </w:r>
            <w:r w:rsidRPr="00235C73">
              <w:rPr>
                <w:rFonts w:ascii="Times New Roman" w:hAnsi="Times New Roman"/>
                <w:color w:val="000000" w:themeColor="text1"/>
                <w:sz w:val="24"/>
                <w:lang w:val="sk-SK"/>
              </w:rPr>
              <w:t>uplatňovania článku 72b ods. 4 nariadenia (EÚ) č. 575/2013, tento riadok sa rovná súčtu riadku 13</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riadku EU-13a.</w:t>
            </w:r>
          </w:p>
        </w:tc>
      </w:tr>
      <w:tr w:rsidR="00026FC1" w:rsidRPr="00235C73" w14:paraId="329EB7E3" w14:textId="77777777" w:rsidTr="00E46262">
        <w:tc>
          <w:tcPr>
            <w:tcW w:w="1030" w:type="dxa"/>
          </w:tcPr>
          <w:p w14:paraId="0D278793" w14:textId="45736042" w:rsidR="00021E4F" w:rsidRPr="00235C73" w:rsidRDefault="00702377" w:rsidP="00915305">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17</w:t>
            </w:r>
          </w:p>
        </w:tc>
        <w:tc>
          <w:tcPr>
            <w:tcW w:w="7736" w:type="dxa"/>
          </w:tcPr>
          <w:p w14:paraId="4088C906" w14:textId="78FD4FAE" w:rsidR="00021E4F" w:rsidRPr="00235C73" w:rsidRDefault="00021E4F" w:rsidP="00915305">
            <w:pPr>
              <w:rPr>
                <w:rFonts w:ascii="Times New Roman" w:hAnsi="Times New Roman" w:cs="Times New Roman"/>
                <w:b/>
                <w:color w:val="000000" w:themeColor="text1"/>
                <w:sz w:val="24"/>
                <w:szCs w:val="24"/>
                <w:lang w:val="sk-SK"/>
              </w:rPr>
            </w:pPr>
            <w:r w:rsidRPr="00235C73">
              <w:rPr>
                <w:rFonts w:ascii="Times New Roman" w:hAnsi="Times New Roman"/>
                <w:b/>
                <w:color w:val="000000" w:themeColor="text1"/>
                <w:sz w:val="24"/>
                <w:lang w:val="sk-SK"/>
              </w:rPr>
              <w:t>Položky oprávnených záväzkov pred úpravami</w:t>
            </w:r>
          </w:p>
          <w:p w14:paraId="22690983" w14:textId="5C51D77D" w:rsidR="00021E4F" w:rsidRPr="00235C73" w:rsidRDefault="00021E4F" w:rsidP="00503590">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Položky oprávnených záväzkov pred úpravami. Vypočítajú sa ako súčet riadku 12, riadku EU-12a, riadku EU-12b, riadku EU-12c</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riadku 14.</w:t>
            </w:r>
          </w:p>
        </w:tc>
      </w:tr>
      <w:tr w:rsidR="00633625" w:rsidRPr="00235C73" w14:paraId="2D0BC40A" w14:textId="77777777" w:rsidTr="00E46262">
        <w:tc>
          <w:tcPr>
            <w:tcW w:w="1030" w:type="dxa"/>
          </w:tcPr>
          <w:p w14:paraId="2FC5E554" w14:textId="764C5877" w:rsidR="00633625" w:rsidRPr="00235C73" w:rsidRDefault="00633625" w:rsidP="00915305">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EU-17a</w:t>
            </w:r>
          </w:p>
        </w:tc>
        <w:tc>
          <w:tcPr>
            <w:tcW w:w="7736" w:type="dxa"/>
          </w:tcPr>
          <w:p w14:paraId="1A128FD1" w14:textId="5A940111" w:rsidR="00633625" w:rsidRPr="00235C73" w:rsidRDefault="00B80F7C" w:rsidP="00915305">
            <w:pPr>
              <w:rPr>
                <w:rFonts w:ascii="Times New Roman" w:hAnsi="Times New Roman" w:cs="Times New Roman"/>
                <w:b/>
                <w:color w:val="000000" w:themeColor="text1"/>
                <w:sz w:val="24"/>
                <w:szCs w:val="24"/>
                <w:lang w:val="sk-SK"/>
              </w:rPr>
            </w:pPr>
            <w:r w:rsidRPr="00235C73">
              <w:rPr>
                <w:rFonts w:ascii="Times New Roman" w:hAnsi="Times New Roman"/>
                <w:b/>
                <w:color w:val="000000" w:themeColor="text1"/>
                <w:sz w:val="24"/>
                <w:lang w:val="sk-SK"/>
              </w:rPr>
              <w:t>Položky oprávnených záväzkov pred úpravami –</w:t>
            </w:r>
            <w:r w:rsidR="00235C73">
              <w:rPr>
                <w:rFonts w:ascii="Times New Roman" w:hAnsi="Times New Roman"/>
                <w:b/>
                <w:color w:val="000000" w:themeColor="text1"/>
                <w:sz w:val="24"/>
                <w:lang w:val="sk-SK"/>
              </w:rPr>
              <w:t xml:space="preserve"> z </w:t>
            </w:r>
            <w:r w:rsidRPr="00235C73">
              <w:rPr>
                <w:rFonts w:ascii="Times New Roman" w:hAnsi="Times New Roman"/>
                <w:b/>
                <w:color w:val="000000" w:themeColor="text1"/>
                <w:sz w:val="24"/>
                <w:lang w:val="sk-SK"/>
              </w:rPr>
              <w:t>čoho položky podriadených záväzkov</w:t>
            </w:r>
          </w:p>
          <w:p w14:paraId="4B5B9304" w14:textId="77777777" w:rsidR="002432DE" w:rsidRPr="00235C73" w:rsidRDefault="002432DE" w:rsidP="00915305">
            <w:pPr>
              <w:rPr>
                <w:rStyle w:val="InstructionsTabelleberschrift"/>
                <w:rFonts w:ascii="Times New Roman" w:hAnsi="Times New Roman"/>
                <w:b w:val="0"/>
                <w:i/>
                <w:sz w:val="24"/>
                <w:szCs w:val="24"/>
                <w:u w:val="none"/>
                <w:lang w:val="sk-SK"/>
              </w:rPr>
            </w:pPr>
            <w:r w:rsidRPr="00235C73">
              <w:rPr>
                <w:rStyle w:val="InstructionsTabelleberschrift"/>
                <w:rFonts w:ascii="Times New Roman" w:hAnsi="Times New Roman"/>
                <w:b w:val="0"/>
                <w:i/>
                <w:sz w:val="24"/>
                <w:u w:val="none"/>
                <w:lang w:val="sk-SK"/>
              </w:rPr>
              <w:t>MREL</w:t>
            </w:r>
          </w:p>
          <w:p w14:paraId="2089EA6F" w14:textId="46B14494" w:rsidR="00DB779A" w:rsidRPr="00235C73" w:rsidRDefault="00DB779A" w:rsidP="00915305">
            <w:pPr>
              <w:rPr>
                <w:rStyle w:val="FormatvorlageInstructionsTabelleText"/>
                <w:rFonts w:ascii="Times New Roman" w:hAnsi="Times New Roman"/>
                <w:sz w:val="24"/>
                <w:szCs w:val="24"/>
                <w:lang w:val="sk-SK"/>
              </w:rPr>
            </w:pPr>
            <w:r w:rsidRPr="00235C73">
              <w:rPr>
                <w:rStyle w:val="InstructionsTabelleberschrift"/>
                <w:rFonts w:ascii="Times New Roman" w:hAnsi="Times New Roman"/>
                <w:b w:val="0"/>
                <w:sz w:val="24"/>
                <w:u w:val="none"/>
                <w:lang w:val="sk-SK"/>
              </w:rPr>
              <w:t xml:space="preserve">Oprávnené záväzky zahrnuté do </w:t>
            </w:r>
            <w:r w:rsidRPr="00235C73">
              <w:rPr>
                <w:rStyle w:val="FormatvorlageInstructionsTabelleText"/>
                <w:rFonts w:ascii="Times New Roman" w:hAnsi="Times New Roman"/>
                <w:sz w:val="24"/>
                <w:lang w:val="sk-SK"/>
              </w:rPr>
              <w:t>sumy vlastných zdrojov</w:t>
            </w:r>
            <w:r w:rsidR="00235C73">
              <w:rPr>
                <w:rStyle w:val="FormatvorlageInstructionsTabelleText"/>
                <w:rFonts w:ascii="Times New Roman" w:hAnsi="Times New Roman"/>
                <w:sz w:val="24"/>
                <w:lang w:val="sk-SK"/>
              </w:rPr>
              <w:t xml:space="preserve"> a </w:t>
            </w:r>
            <w:r w:rsidRPr="00235C73">
              <w:rPr>
                <w:rStyle w:val="FormatvorlageInstructionsTabelleText"/>
                <w:rFonts w:ascii="Times New Roman" w:hAnsi="Times New Roman"/>
                <w:sz w:val="24"/>
                <w:lang w:val="sk-SK"/>
              </w:rPr>
              <w:t>oprávnených záväzkov podľa článku 45b smernice 2014/59/EÚ, ktoré sú podriadenými oprávnenými nástrojmi</w:t>
            </w:r>
            <w:r w:rsidR="00235C73">
              <w:rPr>
                <w:rStyle w:val="FormatvorlageInstructionsTabelleText"/>
                <w:rFonts w:ascii="Times New Roman" w:hAnsi="Times New Roman"/>
                <w:sz w:val="24"/>
                <w:lang w:val="sk-SK"/>
              </w:rPr>
              <w:t xml:space="preserve"> v </w:t>
            </w:r>
            <w:r w:rsidRPr="00235C73">
              <w:rPr>
                <w:rStyle w:val="FormatvorlageInstructionsTabelleText"/>
                <w:rFonts w:ascii="Times New Roman" w:hAnsi="Times New Roman"/>
                <w:sz w:val="24"/>
                <w:lang w:val="sk-SK"/>
              </w:rPr>
              <w:t>zmysle vymedzenia</w:t>
            </w:r>
            <w:r w:rsidR="00235C73">
              <w:rPr>
                <w:rStyle w:val="FormatvorlageInstructionsTabelleText"/>
                <w:rFonts w:ascii="Times New Roman" w:hAnsi="Times New Roman"/>
                <w:sz w:val="24"/>
                <w:lang w:val="sk-SK"/>
              </w:rPr>
              <w:t xml:space="preserve"> v </w:t>
            </w:r>
            <w:r w:rsidRPr="00235C73">
              <w:rPr>
                <w:rStyle w:val="FormatvorlageInstructionsTabelleText"/>
                <w:rFonts w:ascii="Times New Roman" w:hAnsi="Times New Roman"/>
                <w:sz w:val="24"/>
                <w:lang w:val="sk-SK"/>
              </w:rPr>
              <w:t>článku 2 ods. 1 bode 71b uvedenej smernice,</w:t>
            </w:r>
            <w:r w:rsidR="00235C73">
              <w:rPr>
                <w:rStyle w:val="FormatvorlageInstructionsTabelleText"/>
                <w:rFonts w:ascii="Times New Roman" w:hAnsi="Times New Roman"/>
                <w:sz w:val="24"/>
                <w:lang w:val="sk-SK"/>
              </w:rPr>
              <w:t xml:space="preserve"> a </w:t>
            </w:r>
            <w:r w:rsidRPr="00235C73">
              <w:rPr>
                <w:rStyle w:val="FormatvorlageInstructionsTabelleText"/>
                <w:rFonts w:ascii="Times New Roman" w:hAnsi="Times New Roman"/>
                <w:sz w:val="24"/>
                <w:lang w:val="sk-SK"/>
              </w:rPr>
              <w:t>záväzky emitované dcérskymi spoločnosťami, ktoré sú zahrnuté do MREL</w:t>
            </w:r>
            <w:r w:rsidR="00235C73">
              <w:rPr>
                <w:rStyle w:val="FormatvorlageInstructionsTabelleText"/>
                <w:rFonts w:ascii="Times New Roman" w:hAnsi="Times New Roman"/>
                <w:sz w:val="24"/>
                <w:lang w:val="sk-SK"/>
              </w:rPr>
              <w:t xml:space="preserve"> v </w:t>
            </w:r>
            <w:r w:rsidRPr="00235C73">
              <w:rPr>
                <w:rStyle w:val="FormatvorlageInstructionsTabelleText"/>
                <w:rFonts w:ascii="Times New Roman" w:hAnsi="Times New Roman"/>
                <w:sz w:val="24"/>
                <w:lang w:val="sk-SK"/>
              </w:rPr>
              <w:t>súlade</w:t>
            </w:r>
            <w:r w:rsidR="00235C73">
              <w:rPr>
                <w:rStyle w:val="FormatvorlageInstructionsTabelleText"/>
                <w:rFonts w:ascii="Times New Roman" w:hAnsi="Times New Roman"/>
                <w:sz w:val="24"/>
                <w:lang w:val="sk-SK"/>
              </w:rPr>
              <w:t xml:space="preserve"> s </w:t>
            </w:r>
            <w:r w:rsidRPr="00235C73">
              <w:rPr>
                <w:rStyle w:val="FormatvorlageInstructionsTabelleText"/>
                <w:rFonts w:ascii="Times New Roman" w:hAnsi="Times New Roman"/>
                <w:sz w:val="24"/>
                <w:lang w:val="sk-SK"/>
              </w:rPr>
              <w:t>článkom 45b ods. 3 uvedenej smernice.</w:t>
            </w:r>
          </w:p>
          <w:p w14:paraId="69D83FC1" w14:textId="4DAE3E4F" w:rsidR="003E4404" w:rsidRPr="00235C73" w:rsidRDefault="003E4404" w:rsidP="00915305">
            <w:pPr>
              <w:rPr>
                <w:rStyle w:val="FormatvorlageInstructionsTabelleText"/>
                <w:rFonts w:ascii="Times New Roman" w:hAnsi="Times New Roman"/>
                <w:sz w:val="24"/>
                <w:szCs w:val="24"/>
                <w:lang w:val="sk-SK"/>
              </w:rPr>
            </w:pPr>
            <w:r w:rsidRPr="00235C73">
              <w:rPr>
                <w:rStyle w:val="FormatvorlageInstructionsTabelleText"/>
                <w:rFonts w:ascii="Times New Roman" w:hAnsi="Times New Roman"/>
                <w:sz w:val="24"/>
                <w:lang w:val="sk-SK"/>
              </w:rPr>
              <w:t>Pri nástrojoch upravených právom tretej krajiny sa nástroj uvádza</w:t>
            </w:r>
            <w:r w:rsidR="00235C73">
              <w:rPr>
                <w:rStyle w:val="FormatvorlageInstructionsTabelleText"/>
                <w:rFonts w:ascii="Times New Roman" w:hAnsi="Times New Roman"/>
                <w:sz w:val="24"/>
                <w:lang w:val="sk-SK"/>
              </w:rPr>
              <w:t xml:space="preserve"> v </w:t>
            </w:r>
            <w:r w:rsidRPr="00235C73">
              <w:rPr>
                <w:rStyle w:val="FormatvorlageInstructionsTabelleText"/>
                <w:rFonts w:ascii="Times New Roman" w:hAnsi="Times New Roman"/>
                <w:sz w:val="24"/>
                <w:lang w:val="sk-SK"/>
              </w:rPr>
              <w:t>tomto riadku len vtedy, ak spĺňa požiadavky stanovené</w:t>
            </w:r>
            <w:r w:rsidR="00235C73">
              <w:rPr>
                <w:rStyle w:val="FormatvorlageInstructionsTabelleText"/>
                <w:rFonts w:ascii="Times New Roman" w:hAnsi="Times New Roman"/>
                <w:sz w:val="24"/>
                <w:lang w:val="sk-SK"/>
              </w:rPr>
              <w:t xml:space="preserve"> v </w:t>
            </w:r>
            <w:r w:rsidRPr="00235C73">
              <w:rPr>
                <w:rStyle w:val="FormatvorlageInstructionsTabelleText"/>
                <w:rFonts w:ascii="Times New Roman" w:hAnsi="Times New Roman"/>
                <w:sz w:val="24"/>
                <w:lang w:val="sk-SK"/>
              </w:rPr>
              <w:t>článku 55 smernice 2014/59/EÚ.</w:t>
            </w:r>
          </w:p>
          <w:p w14:paraId="740C1237" w14:textId="77777777" w:rsidR="002432DE" w:rsidRPr="00235C73" w:rsidRDefault="002432DE" w:rsidP="00915305">
            <w:pPr>
              <w:rPr>
                <w:rStyle w:val="InstructionsTabelleberschrift"/>
                <w:rFonts w:ascii="Times New Roman" w:hAnsi="Times New Roman"/>
                <w:b w:val="0"/>
                <w:i/>
                <w:sz w:val="24"/>
                <w:szCs w:val="24"/>
                <w:u w:val="none"/>
                <w:lang w:val="sk-SK"/>
              </w:rPr>
            </w:pPr>
            <w:r w:rsidRPr="00235C73">
              <w:rPr>
                <w:rStyle w:val="InstructionsTabelleberschrift"/>
                <w:rFonts w:ascii="Times New Roman" w:hAnsi="Times New Roman"/>
                <w:b w:val="0"/>
                <w:i/>
                <w:sz w:val="24"/>
                <w:u w:val="none"/>
                <w:lang w:val="sk-SK"/>
              </w:rPr>
              <w:t>TLAC</w:t>
            </w:r>
          </w:p>
          <w:p w14:paraId="04429143" w14:textId="01F070BF" w:rsidR="002432DE" w:rsidRPr="00235C73" w:rsidRDefault="002432DE" w:rsidP="00B62DC9">
            <w:pPr>
              <w:pStyle w:val="InstructionsText"/>
              <w:rPr>
                <w:rStyle w:val="FormatvorlageInstructionsTabelleText"/>
                <w:rFonts w:ascii="Times New Roman" w:hAnsi="Times New Roman"/>
                <w:noProof w:val="0"/>
                <w:sz w:val="24"/>
                <w:lang w:val="sk-SK"/>
              </w:rPr>
            </w:pPr>
            <w:r w:rsidRPr="00235C73">
              <w:rPr>
                <w:rStyle w:val="FormatvorlageInstructionsTabelleText"/>
                <w:rFonts w:ascii="Times New Roman" w:hAnsi="Times New Roman"/>
                <w:noProof w:val="0"/>
                <w:sz w:val="24"/>
                <w:lang w:val="sk-SK"/>
              </w:rPr>
              <w:t>Oprávnené záväzky, ktoré spĺňajú všetky požiadavky stanovené</w:t>
            </w:r>
            <w:r w:rsidR="00235C73">
              <w:rPr>
                <w:rStyle w:val="FormatvorlageInstructionsTabelleText"/>
                <w:rFonts w:ascii="Times New Roman" w:hAnsi="Times New Roman"/>
                <w:noProof w:val="0"/>
                <w:sz w:val="24"/>
                <w:lang w:val="sk-SK"/>
              </w:rPr>
              <w:t xml:space="preserve"> v </w:t>
            </w:r>
            <w:r w:rsidRPr="00235C73">
              <w:rPr>
                <w:rStyle w:val="FormatvorlageInstructionsTabelleText"/>
                <w:rFonts w:ascii="Times New Roman" w:hAnsi="Times New Roman"/>
                <w:noProof w:val="0"/>
                <w:sz w:val="24"/>
                <w:lang w:val="sk-SK"/>
              </w:rPr>
              <w:t>článkoch 72a až 72d nariadenia (EÚ) č. 575/2013,</w:t>
            </w:r>
            <w:r w:rsidR="00235C73">
              <w:rPr>
                <w:rStyle w:val="FormatvorlageInstructionsTabelleText"/>
                <w:rFonts w:ascii="Times New Roman" w:hAnsi="Times New Roman"/>
                <w:noProof w:val="0"/>
                <w:sz w:val="24"/>
                <w:lang w:val="sk-SK"/>
              </w:rPr>
              <w:t xml:space="preserve"> s </w:t>
            </w:r>
            <w:r w:rsidRPr="00235C73">
              <w:rPr>
                <w:rStyle w:val="FormatvorlageInstructionsTabelleText"/>
                <w:rFonts w:ascii="Times New Roman" w:hAnsi="Times New Roman"/>
                <w:noProof w:val="0"/>
                <w:sz w:val="24"/>
                <w:lang w:val="sk-SK"/>
              </w:rPr>
              <w:t>výnimkou záväzkov, pri ktorých je podľa článku 72b ods. 3 alebo 4 uvedeného nariadenia povolené, aby sa kvalifikovali ako nástroje oprávnených záväzkov.</w:t>
            </w:r>
          </w:p>
          <w:p w14:paraId="2EEECCE3" w14:textId="43F13602" w:rsidR="002432DE" w:rsidRPr="00235C73" w:rsidRDefault="002432DE" w:rsidP="00B62DC9">
            <w:pPr>
              <w:pStyle w:val="InstructionsText"/>
              <w:rPr>
                <w:rStyle w:val="FormatvorlageInstructionsTabelleText"/>
                <w:rFonts w:ascii="Times New Roman" w:hAnsi="Times New Roman"/>
                <w:noProof w:val="0"/>
                <w:sz w:val="24"/>
                <w:lang w:val="sk-SK"/>
              </w:rPr>
            </w:pPr>
            <w:r w:rsidRPr="00235C73">
              <w:rPr>
                <w:rStyle w:val="FormatvorlageInstructionsTabelleText"/>
                <w:rFonts w:ascii="Times New Roman" w:hAnsi="Times New Roman"/>
                <w:noProof w:val="0"/>
                <w:sz w:val="24"/>
                <w:lang w:val="sk-SK"/>
              </w:rPr>
              <w:t>Tento riadok zahŕňa podriadené záväzky, ktoré sú oprávnené</w:t>
            </w:r>
            <w:r w:rsidR="00235C73">
              <w:rPr>
                <w:rStyle w:val="FormatvorlageInstructionsTabelleText"/>
                <w:rFonts w:ascii="Times New Roman" w:hAnsi="Times New Roman"/>
                <w:noProof w:val="0"/>
                <w:sz w:val="24"/>
                <w:lang w:val="sk-SK"/>
              </w:rPr>
              <w:t xml:space="preserve"> v </w:t>
            </w:r>
            <w:r w:rsidRPr="00235C73">
              <w:rPr>
                <w:rStyle w:val="FormatvorlageInstructionsTabelleText"/>
                <w:rFonts w:ascii="Times New Roman" w:hAnsi="Times New Roman"/>
                <w:noProof w:val="0"/>
                <w:sz w:val="24"/>
                <w:lang w:val="sk-SK"/>
              </w:rPr>
              <w:t>dôsledku zachovania predchádzajúceho stavu</w:t>
            </w:r>
            <w:r w:rsidR="00235C73">
              <w:rPr>
                <w:rStyle w:val="FormatvorlageInstructionsTabelleText"/>
                <w:rFonts w:ascii="Times New Roman" w:hAnsi="Times New Roman"/>
                <w:noProof w:val="0"/>
                <w:sz w:val="24"/>
                <w:lang w:val="sk-SK"/>
              </w:rPr>
              <w:t xml:space="preserve"> v </w:t>
            </w:r>
            <w:r w:rsidRPr="00235C73">
              <w:rPr>
                <w:rStyle w:val="FormatvorlageInstructionsTabelleText"/>
                <w:rFonts w:ascii="Times New Roman" w:hAnsi="Times New Roman"/>
                <w:noProof w:val="0"/>
                <w:sz w:val="24"/>
                <w:lang w:val="sk-SK"/>
              </w:rPr>
              <w:t>súlade</w:t>
            </w:r>
            <w:r w:rsidR="00235C73">
              <w:rPr>
                <w:rStyle w:val="FormatvorlageInstructionsTabelleText"/>
                <w:rFonts w:ascii="Times New Roman" w:hAnsi="Times New Roman"/>
                <w:noProof w:val="0"/>
                <w:sz w:val="24"/>
                <w:lang w:val="sk-SK"/>
              </w:rPr>
              <w:t xml:space="preserve"> s </w:t>
            </w:r>
            <w:r w:rsidRPr="00235C73">
              <w:rPr>
                <w:rStyle w:val="FormatvorlageInstructionsTabelleText"/>
                <w:rFonts w:ascii="Times New Roman" w:hAnsi="Times New Roman"/>
                <w:noProof w:val="0"/>
                <w:sz w:val="24"/>
                <w:lang w:val="sk-SK"/>
              </w:rPr>
              <w:t>článkom 494b nariadenia (EÚ) č. 575/2013,</w:t>
            </w:r>
            <w:r w:rsidR="00235C73">
              <w:rPr>
                <w:rStyle w:val="FormatvorlageInstructionsTabelleText"/>
                <w:rFonts w:ascii="Times New Roman" w:hAnsi="Times New Roman"/>
                <w:noProof w:val="0"/>
                <w:sz w:val="24"/>
                <w:lang w:val="sk-SK"/>
              </w:rPr>
              <w:t xml:space="preserve"> a </w:t>
            </w:r>
            <w:r w:rsidRPr="00235C73">
              <w:rPr>
                <w:rStyle w:val="FormatvorlageInstructionsTabelleText"/>
                <w:rFonts w:ascii="Times New Roman" w:hAnsi="Times New Roman"/>
                <w:noProof w:val="0"/>
                <w:sz w:val="24"/>
                <w:lang w:val="sk-SK"/>
              </w:rPr>
              <w:t xml:space="preserve">amortizovanú časť nástrojov kapitálu Tier 2, ak je zostatková </w:t>
            </w:r>
            <w:r w:rsidRPr="00235C73">
              <w:rPr>
                <w:rStyle w:val="FormatvorlageInstructionsTabelleText"/>
                <w:rFonts w:ascii="Times New Roman" w:hAnsi="Times New Roman"/>
                <w:noProof w:val="0"/>
                <w:sz w:val="24"/>
                <w:lang w:val="sk-SK"/>
              </w:rPr>
              <w:lastRenderedPageBreak/>
              <w:t>splatnosť dlhšia ako jeden rok [článok 72a ods. 1 písm. b) nariadenia (EÚ) č. 575/2013].</w:t>
            </w:r>
          </w:p>
          <w:p w14:paraId="55FB8435" w14:textId="1C558340" w:rsidR="002432DE" w:rsidRPr="00235C73" w:rsidRDefault="002432DE" w:rsidP="00B62DC9">
            <w:pPr>
              <w:pStyle w:val="InstructionsText"/>
              <w:rPr>
                <w:noProof w:val="0"/>
                <w:lang w:val="sk-SK"/>
              </w:rPr>
            </w:pPr>
            <w:r w:rsidRPr="00235C73">
              <w:rPr>
                <w:rStyle w:val="FormatvorlageInstructionsTabelleText"/>
                <w:rFonts w:ascii="Times New Roman" w:hAnsi="Times New Roman"/>
                <w:noProof w:val="0"/>
                <w:sz w:val="24"/>
                <w:lang w:val="sk-SK"/>
              </w:rPr>
              <w:t>Vypočítajú sa ako súčet riadku 12, riadku EU-12a, riadku EU-12b</w:t>
            </w:r>
            <w:r w:rsidR="00235C73">
              <w:rPr>
                <w:rStyle w:val="FormatvorlageInstructionsTabelleText"/>
                <w:rFonts w:ascii="Times New Roman" w:hAnsi="Times New Roman"/>
                <w:noProof w:val="0"/>
                <w:sz w:val="24"/>
                <w:lang w:val="sk-SK"/>
              </w:rPr>
              <w:t xml:space="preserve"> a </w:t>
            </w:r>
            <w:r w:rsidRPr="00235C73">
              <w:rPr>
                <w:rStyle w:val="FormatvorlageInstructionsTabelleText"/>
                <w:rFonts w:ascii="Times New Roman" w:hAnsi="Times New Roman"/>
                <w:noProof w:val="0"/>
                <w:sz w:val="24"/>
                <w:lang w:val="sk-SK"/>
              </w:rPr>
              <w:t>riadku EU-12c.</w:t>
            </w:r>
          </w:p>
        </w:tc>
      </w:tr>
      <w:tr w:rsidR="00026FC1" w:rsidRPr="00235C73" w14:paraId="45424BEE" w14:textId="77777777" w:rsidTr="00E46262">
        <w:tc>
          <w:tcPr>
            <w:tcW w:w="1030" w:type="dxa"/>
          </w:tcPr>
          <w:p w14:paraId="747BC26F" w14:textId="022289A3" w:rsidR="00702377" w:rsidRPr="00235C73" w:rsidRDefault="00702377" w:rsidP="00702377">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lastRenderedPageBreak/>
              <w:t>18</w:t>
            </w:r>
          </w:p>
        </w:tc>
        <w:tc>
          <w:tcPr>
            <w:tcW w:w="7736" w:type="dxa"/>
          </w:tcPr>
          <w:p w14:paraId="4ADF1782" w14:textId="63CCD80E" w:rsidR="00702377" w:rsidRPr="00235C73" w:rsidRDefault="00702377" w:rsidP="00702377">
            <w:pPr>
              <w:rPr>
                <w:rFonts w:ascii="Times New Roman" w:hAnsi="Times New Roman" w:cs="Times New Roman"/>
                <w:b/>
                <w:color w:val="000000" w:themeColor="text1"/>
                <w:sz w:val="24"/>
                <w:szCs w:val="24"/>
                <w:lang w:val="sk-SK"/>
              </w:rPr>
            </w:pPr>
            <w:r w:rsidRPr="00235C73">
              <w:rPr>
                <w:rFonts w:ascii="Times New Roman" w:hAnsi="Times New Roman"/>
                <w:b/>
                <w:color w:val="000000" w:themeColor="text1"/>
                <w:sz w:val="24"/>
                <w:lang w:val="sk-SK"/>
              </w:rPr>
              <w:t>Vlastné zdroje</w:t>
            </w:r>
            <w:r w:rsidR="00235C73">
              <w:rPr>
                <w:rFonts w:ascii="Times New Roman" w:hAnsi="Times New Roman"/>
                <w:b/>
                <w:color w:val="000000" w:themeColor="text1"/>
                <w:sz w:val="24"/>
                <w:lang w:val="sk-SK"/>
              </w:rPr>
              <w:t xml:space="preserve"> a </w:t>
            </w:r>
            <w:r w:rsidRPr="00235C73">
              <w:rPr>
                <w:rFonts w:ascii="Times New Roman" w:hAnsi="Times New Roman"/>
                <w:b/>
                <w:color w:val="000000" w:themeColor="text1"/>
                <w:sz w:val="24"/>
                <w:lang w:val="sk-SK"/>
              </w:rPr>
              <w:t>položky oprávnených záväzkov pred úpravami</w:t>
            </w:r>
          </w:p>
          <w:p w14:paraId="151E44CE" w14:textId="21750800" w:rsidR="00702377" w:rsidRPr="00235C73" w:rsidRDefault="00702377" w:rsidP="00503590">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Vlastné zdroje</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položky oprávnených záväzkov pred úpravami. Vypočítajú sa ako súčet riadku 11</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riadku 17.</w:t>
            </w:r>
          </w:p>
        </w:tc>
      </w:tr>
      <w:tr w:rsidR="00026FC1" w:rsidRPr="00235C73" w14:paraId="74F69B7A" w14:textId="77777777" w:rsidTr="00E46262">
        <w:tc>
          <w:tcPr>
            <w:tcW w:w="1030" w:type="dxa"/>
          </w:tcPr>
          <w:p w14:paraId="1B67D30A" w14:textId="6055FAE6" w:rsidR="00702377" w:rsidRPr="00235C73" w:rsidRDefault="00702377" w:rsidP="00702377">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19</w:t>
            </w:r>
          </w:p>
        </w:tc>
        <w:tc>
          <w:tcPr>
            <w:tcW w:w="7736" w:type="dxa"/>
          </w:tcPr>
          <w:p w14:paraId="7917D77C" w14:textId="37BD1628" w:rsidR="00702377" w:rsidRPr="00235C73" w:rsidRDefault="00D413AD" w:rsidP="00702377">
            <w:pPr>
              <w:rPr>
                <w:rFonts w:ascii="Times New Roman" w:hAnsi="Times New Roman" w:cs="Times New Roman"/>
                <w:b/>
                <w:color w:val="000000" w:themeColor="text1"/>
                <w:sz w:val="24"/>
                <w:szCs w:val="24"/>
                <w:lang w:val="sk-SK"/>
              </w:rPr>
            </w:pPr>
            <w:r w:rsidRPr="00235C73">
              <w:rPr>
                <w:rFonts w:ascii="Times New Roman" w:hAnsi="Times New Roman"/>
                <w:b/>
                <w:color w:val="000000" w:themeColor="text1"/>
                <w:sz w:val="24"/>
                <w:lang w:val="sk-SK"/>
              </w:rPr>
              <w:t>[Odpočet expozícií medzi skupinami, ktorých krízová situácia sa rieši vo viacerých okamihoch (MPE)]</w:t>
            </w:r>
          </w:p>
          <w:p w14:paraId="36A58FE6" w14:textId="45D80DF4" w:rsidR="00A9426B" w:rsidRPr="00235C73" w:rsidRDefault="00A9426B" w:rsidP="00702377">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Záporná hodnota</w:t>
            </w:r>
          </w:p>
          <w:p w14:paraId="0D579B89" w14:textId="088619EB" w:rsidR="00702377" w:rsidRPr="00235C73" w:rsidRDefault="00702377" w:rsidP="00480FBC">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Odpočty expozícií medzi skupinami G-SII, ktorých krízová situácia sa rieši vo viacerých okamihoch, zodpovedajúce priamym, nepriamym alebo syntetickým podielom vo forme nástrojov vlastných zdrojov alebo nástrojov oprávnených záväzkov jednej alebo viacerých dcérskych spoločností, ktoré nepatria do tej istej skupiny, ktorej krízová situácia sa rieši, ako subjekt, ktorého krízová situácia sa rieši,</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súlade</w:t>
            </w:r>
            <w:r w:rsidR="00235C73">
              <w:rPr>
                <w:rFonts w:ascii="Times New Roman" w:hAnsi="Times New Roman"/>
                <w:color w:val="000000" w:themeColor="text1"/>
                <w:sz w:val="24"/>
                <w:lang w:val="sk-SK"/>
              </w:rPr>
              <w:t xml:space="preserve"> s </w:t>
            </w:r>
            <w:r w:rsidRPr="00235C73">
              <w:rPr>
                <w:rFonts w:ascii="Times New Roman" w:hAnsi="Times New Roman"/>
                <w:color w:val="000000" w:themeColor="text1"/>
                <w:sz w:val="24"/>
                <w:lang w:val="sk-SK"/>
              </w:rPr>
              <w:t>článkom 72e ods. 4 nariadenia (EÚ) č. 575/2013.</w:t>
            </w:r>
          </w:p>
        </w:tc>
      </w:tr>
      <w:tr w:rsidR="00026FC1" w:rsidRPr="00235C73" w14:paraId="34D251D0" w14:textId="77777777" w:rsidTr="00E46262">
        <w:tc>
          <w:tcPr>
            <w:tcW w:w="1030" w:type="dxa"/>
          </w:tcPr>
          <w:p w14:paraId="33B786D1" w14:textId="62F68C2B" w:rsidR="00702377" w:rsidRPr="00235C73" w:rsidRDefault="00D571F6" w:rsidP="00702377">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20</w:t>
            </w:r>
          </w:p>
        </w:tc>
        <w:tc>
          <w:tcPr>
            <w:tcW w:w="7736" w:type="dxa"/>
          </w:tcPr>
          <w:p w14:paraId="22BBBE31" w14:textId="44D9E160" w:rsidR="00702377" w:rsidRPr="00235C73" w:rsidRDefault="00D413AD" w:rsidP="00702377">
            <w:pPr>
              <w:rPr>
                <w:rFonts w:ascii="Times New Roman" w:hAnsi="Times New Roman" w:cs="Times New Roman"/>
                <w:b/>
                <w:color w:val="000000" w:themeColor="text1"/>
                <w:sz w:val="24"/>
                <w:szCs w:val="24"/>
                <w:lang w:val="sk-SK"/>
              </w:rPr>
            </w:pPr>
            <w:r w:rsidRPr="00235C73">
              <w:rPr>
                <w:rFonts w:ascii="Times New Roman" w:hAnsi="Times New Roman"/>
                <w:b/>
                <w:color w:val="000000" w:themeColor="text1"/>
                <w:sz w:val="24"/>
                <w:lang w:val="sk-SK"/>
              </w:rPr>
              <w:t>(Odpočet investícií do iných nástrojov oprávnených záväzkov)</w:t>
            </w:r>
          </w:p>
          <w:p w14:paraId="36E83D5C" w14:textId="77777777" w:rsidR="00A9426B" w:rsidRPr="00235C73" w:rsidRDefault="00A9426B" w:rsidP="00A9426B">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Záporná hodnota</w:t>
            </w:r>
          </w:p>
          <w:p w14:paraId="5109AFDE" w14:textId="3A888804" w:rsidR="00D36DC6" w:rsidRPr="00235C73" w:rsidRDefault="00D36DC6" w:rsidP="00B24DB1">
            <w:pPr>
              <w:rPr>
                <w:rFonts w:ascii="Times New Roman" w:hAnsi="Times New Roman" w:cs="Times New Roman"/>
                <w:i/>
                <w:iCs/>
                <w:color w:val="000000" w:themeColor="text1"/>
                <w:sz w:val="24"/>
                <w:szCs w:val="24"/>
                <w:lang w:val="sk-SK"/>
              </w:rPr>
            </w:pPr>
            <w:r w:rsidRPr="00235C73">
              <w:rPr>
                <w:rFonts w:ascii="Times New Roman" w:hAnsi="Times New Roman"/>
                <w:i/>
                <w:color w:val="000000" w:themeColor="text1"/>
                <w:sz w:val="24"/>
                <w:lang w:val="sk-SK"/>
              </w:rPr>
              <w:t>TLAC</w:t>
            </w:r>
          </w:p>
          <w:p w14:paraId="160C4AD3" w14:textId="1308A7D9" w:rsidR="00702377" w:rsidRPr="00235C73" w:rsidRDefault="00702377" w:rsidP="00B24DB1">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Odpočty investícií do iných nástrojov oprávnených záväzkov</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súlade</w:t>
            </w:r>
            <w:r w:rsidR="00235C73">
              <w:rPr>
                <w:rFonts w:ascii="Times New Roman" w:hAnsi="Times New Roman"/>
                <w:color w:val="000000" w:themeColor="text1"/>
                <w:sz w:val="24"/>
                <w:lang w:val="sk-SK"/>
              </w:rPr>
              <w:t xml:space="preserve"> s </w:t>
            </w:r>
            <w:r w:rsidRPr="00235C73">
              <w:rPr>
                <w:rFonts w:ascii="Times New Roman" w:hAnsi="Times New Roman"/>
                <w:color w:val="000000" w:themeColor="text1"/>
                <w:sz w:val="24"/>
                <w:lang w:val="sk-SK"/>
              </w:rPr>
              <w:t>článkom 72e ods. 1, 2</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3</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článkami 72f až 72j nariadenia (EÚ) č. 575/2013. Suma, ktorá sa má odpočítať od položiek oprávnených záväzkov</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súlade</w:t>
            </w:r>
            <w:r w:rsidR="00235C73">
              <w:rPr>
                <w:rFonts w:ascii="Times New Roman" w:hAnsi="Times New Roman"/>
                <w:color w:val="000000" w:themeColor="text1"/>
                <w:sz w:val="24"/>
                <w:lang w:val="sk-SK"/>
              </w:rPr>
              <w:t xml:space="preserve"> s </w:t>
            </w:r>
            <w:r w:rsidRPr="00235C73">
              <w:rPr>
                <w:rFonts w:ascii="Times New Roman" w:hAnsi="Times New Roman"/>
                <w:color w:val="000000" w:themeColor="text1"/>
                <w:sz w:val="24"/>
                <w:lang w:val="sk-SK"/>
              </w:rPr>
              <w:t>druhou časťou hlavou I kapitolou 5a oddielom 2 nariadenia (EÚ) č. 575/2013.</w:t>
            </w:r>
          </w:p>
          <w:p w14:paraId="58A38F14" w14:textId="1DBE4CF4" w:rsidR="00D36DC6" w:rsidRPr="00235C73" w:rsidRDefault="00D36DC6" w:rsidP="00B24DB1">
            <w:pPr>
              <w:rPr>
                <w:rFonts w:ascii="Times New Roman" w:hAnsi="Times New Roman" w:cs="Times New Roman"/>
                <w:i/>
                <w:iCs/>
                <w:color w:val="000000" w:themeColor="text1"/>
                <w:sz w:val="24"/>
                <w:szCs w:val="24"/>
                <w:lang w:val="sk-SK"/>
              </w:rPr>
            </w:pPr>
            <w:r w:rsidRPr="00235C73">
              <w:rPr>
                <w:rFonts w:ascii="Times New Roman" w:hAnsi="Times New Roman"/>
                <w:i/>
                <w:color w:val="000000" w:themeColor="text1"/>
                <w:sz w:val="24"/>
                <w:lang w:val="sk-SK"/>
              </w:rPr>
              <w:t>MREL</w:t>
            </w:r>
            <w:r w:rsidR="00235C73">
              <w:rPr>
                <w:rFonts w:ascii="Times New Roman" w:hAnsi="Times New Roman"/>
                <w:i/>
                <w:color w:val="000000" w:themeColor="text1"/>
                <w:sz w:val="24"/>
                <w:lang w:val="sk-SK"/>
              </w:rPr>
              <w:t xml:space="preserve"> a </w:t>
            </w:r>
            <w:r w:rsidRPr="00235C73">
              <w:rPr>
                <w:rFonts w:ascii="Times New Roman" w:hAnsi="Times New Roman"/>
                <w:i/>
                <w:color w:val="000000" w:themeColor="text1"/>
                <w:sz w:val="24"/>
                <w:lang w:val="sk-SK"/>
              </w:rPr>
              <w:t>TLAC</w:t>
            </w:r>
          </w:p>
          <w:p w14:paraId="131C0401" w14:textId="0E43A1F4" w:rsidR="00BF16DB" w:rsidRPr="00235C73" w:rsidRDefault="00BF16DB" w:rsidP="00B24DB1">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Tento riadok zahŕňa aj sumy, na ktoré sa vzťahuje povolenie na uplatnenie kúpnej opcie, umorenie, splatenie alebo spätné odkúpenie nástrojov oprávnených záväzkov</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súlade</w:t>
            </w:r>
            <w:r w:rsidR="00235C73">
              <w:rPr>
                <w:rFonts w:ascii="Times New Roman" w:hAnsi="Times New Roman"/>
                <w:color w:val="000000" w:themeColor="text1"/>
                <w:sz w:val="24"/>
                <w:lang w:val="sk-SK"/>
              </w:rPr>
              <w:t xml:space="preserve"> s </w:t>
            </w:r>
            <w:r w:rsidRPr="00235C73">
              <w:rPr>
                <w:rFonts w:ascii="Times New Roman" w:hAnsi="Times New Roman"/>
                <w:color w:val="000000" w:themeColor="text1"/>
                <w:sz w:val="24"/>
                <w:lang w:val="sk-SK"/>
              </w:rPr>
              <w:t>článkom 78a nariadenia (EÚ) č. 575/2013, pokiaľ vykazujúci subjekt túto sumu ešte nevyčerpal na uplatnenie kúpnej opcie, umorenie, splatenie alebo spätné odkúpenie nástrojov.</w:t>
            </w:r>
          </w:p>
        </w:tc>
      </w:tr>
      <w:tr w:rsidR="00026FC1" w:rsidRPr="00235C73" w14:paraId="739A1A6D" w14:textId="77777777" w:rsidTr="00E46262">
        <w:tc>
          <w:tcPr>
            <w:tcW w:w="1030" w:type="dxa"/>
          </w:tcPr>
          <w:p w14:paraId="03995BED" w14:textId="59572D69" w:rsidR="00702377" w:rsidRPr="00235C73" w:rsidRDefault="00D571F6" w:rsidP="00702377">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22</w:t>
            </w:r>
          </w:p>
        </w:tc>
        <w:tc>
          <w:tcPr>
            <w:tcW w:w="7736" w:type="dxa"/>
          </w:tcPr>
          <w:p w14:paraId="2D6851E4" w14:textId="5A1E7EDA" w:rsidR="00702377" w:rsidRPr="00235C73" w:rsidRDefault="000B4D72" w:rsidP="00702377">
            <w:pPr>
              <w:rPr>
                <w:rFonts w:ascii="Times New Roman" w:hAnsi="Times New Roman" w:cs="Times New Roman"/>
                <w:b/>
                <w:color w:val="000000" w:themeColor="text1"/>
                <w:sz w:val="24"/>
                <w:szCs w:val="24"/>
                <w:lang w:val="sk-SK"/>
              </w:rPr>
            </w:pPr>
            <w:r w:rsidRPr="00235C73">
              <w:rPr>
                <w:rFonts w:ascii="Times New Roman" w:hAnsi="Times New Roman"/>
                <w:b/>
                <w:color w:val="000000" w:themeColor="text1"/>
                <w:sz w:val="24"/>
                <w:lang w:val="sk-SK"/>
              </w:rPr>
              <w:t>Vlastné zdroje</w:t>
            </w:r>
            <w:r w:rsidR="00235C73">
              <w:rPr>
                <w:rFonts w:ascii="Times New Roman" w:hAnsi="Times New Roman"/>
                <w:b/>
                <w:color w:val="000000" w:themeColor="text1"/>
                <w:sz w:val="24"/>
                <w:lang w:val="sk-SK"/>
              </w:rPr>
              <w:t xml:space="preserve"> a </w:t>
            </w:r>
            <w:r w:rsidRPr="00235C73">
              <w:rPr>
                <w:rFonts w:ascii="Times New Roman" w:hAnsi="Times New Roman"/>
                <w:b/>
                <w:color w:val="000000" w:themeColor="text1"/>
                <w:sz w:val="24"/>
                <w:lang w:val="sk-SK"/>
              </w:rPr>
              <w:t>oprávnené záväzky po úpravách</w:t>
            </w:r>
          </w:p>
          <w:p w14:paraId="69BED263" w14:textId="627146F5" w:rsidR="00702377" w:rsidRPr="00235C73" w:rsidRDefault="00702377" w:rsidP="00A9426B">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Vlastné zdroje</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oprávnené záväzky</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zmysle vymedzenia</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článku 72l nariadenia (EÚ) č. 575/2013. Vypočítajú sa ako súčet riadku 18, riadku 19</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riadku 20.</w:t>
            </w:r>
          </w:p>
          <w:p w14:paraId="5794043B" w14:textId="1C4A8682" w:rsidR="003E4404" w:rsidRPr="00235C73" w:rsidRDefault="003E4404" w:rsidP="00A9426B">
            <w:pPr>
              <w:rPr>
                <w:rFonts w:ascii="Times New Roman" w:hAnsi="Times New Roman" w:cs="Times New Roman"/>
                <w:i/>
                <w:color w:val="000000" w:themeColor="text1"/>
                <w:sz w:val="24"/>
                <w:szCs w:val="24"/>
                <w:lang w:val="sk-SK"/>
              </w:rPr>
            </w:pPr>
            <w:r w:rsidRPr="00235C73">
              <w:rPr>
                <w:rFonts w:ascii="Times New Roman" w:hAnsi="Times New Roman"/>
                <w:i/>
                <w:color w:val="000000" w:themeColor="text1"/>
                <w:sz w:val="24"/>
                <w:lang w:val="sk-SK"/>
              </w:rPr>
              <w:t>MREL</w:t>
            </w:r>
          </w:p>
          <w:p w14:paraId="0DCEFD91" w14:textId="02315C56" w:rsidR="005B765F" w:rsidRPr="00235C73" w:rsidRDefault="005B765F" w:rsidP="005B765F">
            <w:pPr>
              <w:rPr>
                <w:rStyle w:val="FormatvorlageInstructionsTabelleText"/>
                <w:rFonts w:ascii="Times New Roman" w:hAnsi="Times New Roman"/>
                <w:sz w:val="24"/>
                <w:lang w:val="sk-SK"/>
              </w:rPr>
            </w:pPr>
            <w:r w:rsidRPr="00235C73">
              <w:rPr>
                <w:rStyle w:val="FormatvorlageInstructionsTabelleText"/>
                <w:rFonts w:ascii="Times New Roman" w:hAnsi="Times New Roman"/>
                <w:sz w:val="24"/>
                <w:lang w:val="sk-SK"/>
              </w:rPr>
              <w:lastRenderedPageBreak/>
              <w:t>Suma vlastných zdrojov</w:t>
            </w:r>
            <w:r w:rsidR="00235C73">
              <w:rPr>
                <w:rStyle w:val="FormatvorlageInstructionsTabelleText"/>
                <w:rFonts w:ascii="Times New Roman" w:hAnsi="Times New Roman"/>
                <w:sz w:val="24"/>
                <w:lang w:val="sk-SK"/>
              </w:rPr>
              <w:t xml:space="preserve"> a </w:t>
            </w:r>
            <w:r w:rsidRPr="00235C73">
              <w:rPr>
                <w:rStyle w:val="FormatvorlageInstructionsTabelleText"/>
                <w:rFonts w:ascii="Times New Roman" w:hAnsi="Times New Roman"/>
                <w:sz w:val="24"/>
                <w:lang w:val="sk-SK"/>
              </w:rPr>
              <w:t>oprávnených záväzkov, ktoré sa započítavajú do MREL, sa zverejňuje ako súčet:</w:t>
            </w:r>
          </w:p>
          <w:p w14:paraId="5DF2F423" w14:textId="0D3A0076" w:rsidR="00235C73" w:rsidRDefault="005B765F" w:rsidP="00C4776A">
            <w:pPr>
              <w:pStyle w:val="ListParagraph"/>
              <w:numPr>
                <w:ilvl w:val="0"/>
                <w:numId w:val="10"/>
              </w:numPr>
              <w:spacing w:before="120" w:after="120" w:line="240" w:lineRule="auto"/>
              <w:contextualSpacing w:val="0"/>
              <w:jc w:val="both"/>
              <w:rPr>
                <w:rStyle w:val="FormatvorlageInstructionsTabelleText"/>
                <w:rFonts w:ascii="Times New Roman" w:hAnsi="Times New Roman"/>
                <w:sz w:val="24"/>
                <w:lang w:val="sk-SK"/>
              </w:rPr>
            </w:pPr>
            <w:r w:rsidRPr="00235C73">
              <w:rPr>
                <w:rStyle w:val="FormatvorlageInstructionsTabelleText"/>
                <w:rFonts w:ascii="Times New Roman" w:hAnsi="Times New Roman"/>
                <w:sz w:val="24"/>
                <w:lang w:val="sk-SK"/>
              </w:rPr>
              <w:t>vlastných zdrojov stanovených</w:t>
            </w:r>
            <w:r w:rsidR="00235C73">
              <w:rPr>
                <w:rStyle w:val="FormatvorlageInstructionsTabelleText"/>
                <w:rFonts w:ascii="Times New Roman" w:hAnsi="Times New Roman"/>
                <w:sz w:val="24"/>
                <w:lang w:val="sk-SK"/>
              </w:rPr>
              <w:t xml:space="preserve"> v </w:t>
            </w:r>
            <w:r w:rsidRPr="00235C73">
              <w:rPr>
                <w:rStyle w:val="FormatvorlageInstructionsTabelleText"/>
                <w:rFonts w:ascii="Times New Roman" w:hAnsi="Times New Roman"/>
                <w:sz w:val="24"/>
                <w:lang w:val="sk-SK"/>
              </w:rPr>
              <w:t>článku 4 ods. 1 bodu 118</w:t>
            </w:r>
            <w:r w:rsidR="00235C73">
              <w:rPr>
                <w:rStyle w:val="FormatvorlageInstructionsTabelleText"/>
                <w:rFonts w:ascii="Times New Roman" w:hAnsi="Times New Roman"/>
                <w:sz w:val="24"/>
                <w:lang w:val="sk-SK"/>
              </w:rPr>
              <w:t xml:space="preserve"> a </w:t>
            </w:r>
            <w:r w:rsidRPr="00235C73">
              <w:rPr>
                <w:rStyle w:val="FormatvorlageInstructionsTabelleText"/>
                <w:rFonts w:ascii="Times New Roman" w:hAnsi="Times New Roman"/>
                <w:sz w:val="24"/>
                <w:lang w:val="sk-SK"/>
              </w:rPr>
              <w:t>článku 72 nariadenia (EÚ) č. 575/2013</w:t>
            </w:r>
            <w:r w:rsidR="00235C73">
              <w:rPr>
                <w:rStyle w:val="FormatvorlageInstructionsTabelleText"/>
                <w:rFonts w:ascii="Times New Roman" w:hAnsi="Times New Roman"/>
                <w:sz w:val="24"/>
                <w:lang w:val="sk-SK"/>
              </w:rPr>
              <w:t>;</w:t>
            </w:r>
          </w:p>
          <w:p w14:paraId="7D33907A" w14:textId="03D33290" w:rsidR="005B765F" w:rsidRPr="00235C73" w:rsidRDefault="005B765F" w:rsidP="00C4776A">
            <w:pPr>
              <w:pStyle w:val="ListParagraph"/>
              <w:numPr>
                <w:ilvl w:val="0"/>
                <w:numId w:val="10"/>
              </w:numPr>
              <w:spacing w:before="120" w:after="120" w:line="240" w:lineRule="auto"/>
              <w:contextualSpacing w:val="0"/>
              <w:jc w:val="both"/>
              <w:rPr>
                <w:rStyle w:val="FormatvorlageInstructionsTabelleText"/>
                <w:rFonts w:ascii="Times New Roman" w:hAnsi="Times New Roman"/>
                <w:sz w:val="24"/>
                <w:lang w:val="sk-SK"/>
              </w:rPr>
            </w:pPr>
            <w:r w:rsidRPr="00235C73">
              <w:rPr>
                <w:rStyle w:val="FormatvorlageInstructionsTabelleText"/>
                <w:rFonts w:ascii="Times New Roman" w:hAnsi="Times New Roman"/>
                <w:sz w:val="24"/>
                <w:lang w:val="sk-SK"/>
              </w:rPr>
              <w:t>oprávnených záväzkov</w:t>
            </w:r>
            <w:r w:rsidR="00235C73">
              <w:rPr>
                <w:rStyle w:val="FormatvorlageInstructionsTabelleText"/>
                <w:rFonts w:ascii="Times New Roman" w:hAnsi="Times New Roman"/>
                <w:sz w:val="24"/>
                <w:lang w:val="sk-SK"/>
              </w:rPr>
              <w:t xml:space="preserve"> v </w:t>
            </w:r>
            <w:r w:rsidRPr="00235C73">
              <w:rPr>
                <w:rStyle w:val="FormatvorlageInstructionsTabelleText"/>
                <w:rFonts w:ascii="Times New Roman" w:hAnsi="Times New Roman"/>
                <w:sz w:val="24"/>
                <w:lang w:val="sk-SK"/>
              </w:rPr>
              <w:t>zmysle článku 2 ods. 1 bodu 71a smernice 2014/59/EÚ.</w:t>
            </w:r>
          </w:p>
          <w:p w14:paraId="38858668" w14:textId="0833FAD6" w:rsidR="003E4404" w:rsidRPr="00235C73" w:rsidRDefault="003E4404" w:rsidP="005F391D">
            <w:pPr>
              <w:spacing w:before="120" w:after="120" w:line="240" w:lineRule="auto"/>
              <w:jc w:val="both"/>
              <w:rPr>
                <w:rStyle w:val="FormatvorlageInstructionsTabelleText"/>
                <w:rFonts w:ascii="Times New Roman" w:hAnsi="Times New Roman"/>
                <w:sz w:val="24"/>
                <w:lang w:val="sk-SK"/>
              </w:rPr>
            </w:pPr>
            <w:r w:rsidRPr="00235C73">
              <w:rPr>
                <w:rStyle w:val="FormatvorlageInstructionsTabelleText"/>
                <w:rFonts w:ascii="Times New Roman" w:hAnsi="Times New Roman"/>
                <w:sz w:val="24"/>
                <w:lang w:val="sk-SK"/>
              </w:rPr>
              <w:t>Pri nástrojoch upravených právom tretej krajiny sa nástroj uvádza</w:t>
            </w:r>
            <w:r w:rsidR="00235C73">
              <w:rPr>
                <w:rStyle w:val="FormatvorlageInstructionsTabelleText"/>
                <w:rFonts w:ascii="Times New Roman" w:hAnsi="Times New Roman"/>
                <w:sz w:val="24"/>
                <w:lang w:val="sk-SK"/>
              </w:rPr>
              <w:t xml:space="preserve"> v </w:t>
            </w:r>
            <w:r w:rsidRPr="00235C73">
              <w:rPr>
                <w:rStyle w:val="FormatvorlageInstructionsTabelleText"/>
                <w:rFonts w:ascii="Times New Roman" w:hAnsi="Times New Roman"/>
                <w:sz w:val="24"/>
                <w:lang w:val="sk-SK"/>
              </w:rPr>
              <w:t>tomto riadku len vtedy, ak spĺňa požiadavky stanovené</w:t>
            </w:r>
            <w:r w:rsidR="00235C73">
              <w:rPr>
                <w:rStyle w:val="FormatvorlageInstructionsTabelleText"/>
                <w:rFonts w:ascii="Times New Roman" w:hAnsi="Times New Roman"/>
                <w:sz w:val="24"/>
                <w:lang w:val="sk-SK"/>
              </w:rPr>
              <w:t xml:space="preserve"> v </w:t>
            </w:r>
            <w:r w:rsidRPr="00235C73">
              <w:rPr>
                <w:rStyle w:val="FormatvorlageInstructionsTabelleText"/>
                <w:rFonts w:ascii="Times New Roman" w:hAnsi="Times New Roman"/>
                <w:sz w:val="24"/>
                <w:lang w:val="sk-SK"/>
              </w:rPr>
              <w:t>článku 55 smernice 2014/59/EÚ.</w:t>
            </w:r>
          </w:p>
          <w:p w14:paraId="7E3B34F5" w14:textId="546FE87E" w:rsidR="003E4404" w:rsidRPr="00235C73" w:rsidRDefault="003E4404" w:rsidP="005F391D">
            <w:pPr>
              <w:spacing w:before="120" w:after="120" w:line="240" w:lineRule="auto"/>
              <w:jc w:val="both"/>
              <w:rPr>
                <w:rStyle w:val="FormatvorlageInstructionsTabelleText"/>
                <w:rFonts w:ascii="Times New Roman" w:hAnsi="Times New Roman"/>
                <w:i/>
                <w:sz w:val="24"/>
                <w:lang w:val="sk-SK"/>
              </w:rPr>
            </w:pPr>
            <w:r w:rsidRPr="00235C73">
              <w:rPr>
                <w:rStyle w:val="FormatvorlageInstructionsTabelleText"/>
                <w:rFonts w:ascii="Times New Roman" w:hAnsi="Times New Roman"/>
                <w:i/>
                <w:sz w:val="24"/>
                <w:lang w:val="sk-SK"/>
              </w:rPr>
              <w:t>TLAC</w:t>
            </w:r>
          </w:p>
          <w:p w14:paraId="3E3A8B56" w14:textId="2D5ECE73" w:rsidR="005B765F" w:rsidRPr="00235C73" w:rsidRDefault="005B765F" w:rsidP="005B765F">
            <w:pPr>
              <w:rPr>
                <w:rStyle w:val="FormatvorlageInstructionsTabelleText"/>
                <w:rFonts w:ascii="Times New Roman" w:hAnsi="Times New Roman"/>
                <w:sz w:val="24"/>
                <w:lang w:val="sk-SK"/>
              </w:rPr>
            </w:pPr>
            <w:r w:rsidRPr="00235C73">
              <w:rPr>
                <w:rStyle w:val="FormatvorlageInstructionsTabelleText"/>
                <w:rFonts w:ascii="Times New Roman" w:hAnsi="Times New Roman"/>
                <w:sz w:val="24"/>
                <w:lang w:val="sk-SK"/>
              </w:rPr>
              <w:t>Suma vlastných zdrojov</w:t>
            </w:r>
            <w:r w:rsidR="00235C73">
              <w:rPr>
                <w:rStyle w:val="FormatvorlageInstructionsTabelleText"/>
                <w:rFonts w:ascii="Times New Roman" w:hAnsi="Times New Roman"/>
                <w:sz w:val="24"/>
                <w:lang w:val="sk-SK"/>
              </w:rPr>
              <w:t xml:space="preserve"> a </w:t>
            </w:r>
            <w:r w:rsidRPr="00235C73">
              <w:rPr>
                <w:rStyle w:val="FormatvorlageInstructionsTabelleText"/>
                <w:rFonts w:ascii="Times New Roman" w:hAnsi="Times New Roman"/>
                <w:sz w:val="24"/>
                <w:lang w:val="sk-SK"/>
              </w:rPr>
              <w:t>oprávnených záväzkov, ktoré sa započítavajú do TLAC, je hodnota uvedená</w:t>
            </w:r>
            <w:r w:rsidR="00235C73">
              <w:rPr>
                <w:rStyle w:val="FormatvorlageInstructionsTabelleText"/>
                <w:rFonts w:ascii="Times New Roman" w:hAnsi="Times New Roman"/>
                <w:sz w:val="24"/>
                <w:lang w:val="sk-SK"/>
              </w:rPr>
              <w:t xml:space="preserve"> v </w:t>
            </w:r>
            <w:r w:rsidRPr="00235C73">
              <w:rPr>
                <w:rStyle w:val="FormatvorlageInstructionsTabelleText"/>
                <w:rFonts w:ascii="Times New Roman" w:hAnsi="Times New Roman"/>
                <w:sz w:val="24"/>
                <w:lang w:val="sk-SK"/>
              </w:rPr>
              <w:t>článku 72l nariadenia (EÚ) č. 575/2013, ktorá pozostáva z:</w:t>
            </w:r>
          </w:p>
          <w:p w14:paraId="1CDBC2DF" w14:textId="3BE3DC00" w:rsidR="00DB779A" w:rsidRPr="00235C73" w:rsidRDefault="005B765F" w:rsidP="003D0BF6">
            <w:pPr>
              <w:pStyle w:val="ListParagraph"/>
              <w:numPr>
                <w:ilvl w:val="0"/>
                <w:numId w:val="22"/>
              </w:numPr>
              <w:spacing w:before="120" w:after="120" w:line="240" w:lineRule="auto"/>
              <w:contextualSpacing w:val="0"/>
              <w:jc w:val="both"/>
              <w:rPr>
                <w:rStyle w:val="FormatvorlageInstructionsTabelleText"/>
                <w:rFonts w:ascii="Times New Roman" w:hAnsi="Times New Roman"/>
                <w:sz w:val="24"/>
                <w:lang w:val="sk-SK"/>
              </w:rPr>
            </w:pPr>
            <w:r w:rsidRPr="00235C73">
              <w:rPr>
                <w:rStyle w:val="FormatvorlageInstructionsTabelleText"/>
                <w:rFonts w:ascii="Times New Roman" w:hAnsi="Times New Roman"/>
                <w:sz w:val="24"/>
                <w:lang w:val="sk-SK"/>
              </w:rPr>
              <w:t>vlastných zdrojov stanovených</w:t>
            </w:r>
            <w:r w:rsidR="00235C73">
              <w:rPr>
                <w:rStyle w:val="FormatvorlageInstructionsTabelleText"/>
                <w:rFonts w:ascii="Times New Roman" w:hAnsi="Times New Roman"/>
                <w:sz w:val="24"/>
                <w:lang w:val="sk-SK"/>
              </w:rPr>
              <w:t xml:space="preserve"> v </w:t>
            </w:r>
            <w:r w:rsidRPr="00235C73">
              <w:rPr>
                <w:rStyle w:val="FormatvorlageInstructionsTabelleText"/>
                <w:rFonts w:ascii="Times New Roman" w:hAnsi="Times New Roman"/>
                <w:sz w:val="24"/>
                <w:lang w:val="sk-SK"/>
              </w:rPr>
              <w:t>článku 4 ods. 1 bodu 118</w:t>
            </w:r>
            <w:r w:rsidR="00235C73">
              <w:rPr>
                <w:rStyle w:val="FormatvorlageInstructionsTabelleText"/>
                <w:rFonts w:ascii="Times New Roman" w:hAnsi="Times New Roman"/>
                <w:sz w:val="24"/>
                <w:lang w:val="sk-SK"/>
              </w:rPr>
              <w:t xml:space="preserve"> a </w:t>
            </w:r>
            <w:r w:rsidRPr="00235C73">
              <w:rPr>
                <w:rStyle w:val="FormatvorlageInstructionsTabelleText"/>
                <w:rFonts w:ascii="Times New Roman" w:hAnsi="Times New Roman"/>
                <w:sz w:val="24"/>
                <w:lang w:val="sk-SK"/>
              </w:rPr>
              <w:t>článku 72 nariadenia (EÚ) č. 575/2013;</w:t>
            </w:r>
          </w:p>
          <w:p w14:paraId="3185C317" w14:textId="415C9732" w:rsidR="005B765F" w:rsidRPr="00235C73" w:rsidRDefault="005B765F" w:rsidP="005B627B">
            <w:pPr>
              <w:pStyle w:val="ListParagraph"/>
              <w:numPr>
                <w:ilvl w:val="0"/>
                <w:numId w:val="22"/>
              </w:numPr>
              <w:spacing w:before="120" w:after="120" w:line="240" w:lineRule="auto"/>
              <w:contextualSpacing w:val="0"/>
              <w:jc w:val="both"/>
              <w:rPr>
                <w:rFonts w:ascii="Times New Roman" w:hAnsi="Times New Roman" w:cs="Times New Roman"/>
                <w:color w:val="000000" w:themeColor="text1"/>
                <w:sz w:val="24"/>
                <w:szCs w:val="24"/>
                <w:lang w:val="sk-SK"/>
              </w:rPr>
            </w:pPr>
            <w:r w:rsidRPr="00235C73">
              <w:rPr>
                <w:rStyle w:val="FormatvorlageInstructionsTabelleText"/>
                <w:rFonts w:ascii="Times New Roman" w:hAnsi="Times New Roman"/>
                <w:sz w:val="24"/>
                <w:lang w:val="sk-SK"/>
              </w:rPr>
              <w:t>oprávnených záväzkov uvedených</w:t>
            </w:r>
            <w:r w:rsidR="00235C73">
              <w:rPr>
                <w:rStyle w:val="FormatvorlageInstructionsTabelleText"/>
                <w:rFonts w:ascii="Times New Roman" w:hAnsi="Times New Roman"/>
                <w:sz w:val="24"/>
                <w:lang w:val="sk-SK"/>
              </w:rPr>
              <w:t xml:space="preserve"> v </w:t>
            </w:r>
            <w:r w:rsidRPr="00235C73">
              <w:rPr>
                <w:rStyle w:val="FormatvorlageInstructionsTabelleText"/>
                <w:rFonts w:ascii="Times New Roman" w:hAnsi="Times New Roman"/>
                <w:sz w:val="24"/>
                <w:lang w:val="sk-SK"/>
              </w:rPr>
              <w:t>článku 72k nariadenia (EÚ) č. 575/2013.</w:t>
            </w:r>
          </w:p>
        </w:tc>
      </w:tr>
      <w:tr w:rsidR="00633625" w:rsidRPr="00235C73" w14:paraId="3C365839" w14:textId="77777777" w:rsidTr="00E46262">
        <w:tc>
          <w:tcPr>
            <w:tcW w:w="1030" w:type="dxa"/>
          </w:tcPr>
          <w:p w14:paraId="13AA7EE3" w14:textId="302E8B20" w:rsidR="00633625" w:rsidRPr="00235C73" w:rsidRDefault="00633625" w:rsidP="00702377">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lastRenderedPageBreak/>
              <w:t>EU-22a</w:t>
            </w:r>
          </w:p>
        </w:tc>
        <w:tc>
          <w:tcPr>
            <w:tcW w:w="7736" w:type="dxa"/>
          </w:tcPr>
          <w:p w14:paraId="05DA41C9" w14:textId="3BEE48EE" w:rsidR="00633625" w:rsidRPr="00235C73" w:rsidRDefault="00633625" w:rsidP="00702377">
            <w:pPr>
              <w:rPr>
                <w:rFonts w:ascii="Times New Roman" w:hAnsi="Times New Roman" w:cs="Times New Roman"/>
                <w:b/>
                <w:color w:val="000000" w:themeColor="text1"/>
                <w:sz w:val="24"/>
                <w:szCs w:val="24"/>
                <w:lang w:val="sk-SK"/>
              </w:rPr>
            </w:pPr>
            <w:r w:rsidRPr="00235C73">
              <w:rPr>
                <w:rFonts w:ascii="Times New Roman" w:hAnsi="Times New Roman"/>
                <w:b/>
                <w:color w:val="000000" w:themeColor="text1"/>
                <w:sz w:val="24"/>
                <w:lang w:val="sk-SK"/>
              </w:rPr>
              <w:t>Z čoho: vlastné zdroje</w:t>
            </w:r>
            <w:r w:rsidR="00235C73">
              <w:rPr>
                <w:rFonts w:ascii="Times New Roman" w:hAnsi="Times New Roman"/>
                <w:b/>
                <w:color w:val="000000" w:themeColor="text1"/>
                <w:sz w:val="24"/>
                <w:lang w:val="sk-SK"/>
              </w:rPr>
              <w:t xml:space="preserve"> a </w:t>
            </w:r>
            <w:r w:rsidRPr="00235C73">
              <w:rPr>
                <w:rFonts w:ascii="Times New Roman" w:hAnsi="Times New Roman"/>
                <w:b/>
                <w:color w:val="000000" w:themeColor="text1"/>
                <w:sz w:val="24"/>
                <w:lang w:val="sk-SK"/>
              </w:rPr>
              <w:t>podriadené záväzky</w:t>
            </w:r>
          </w:p>
          <w:p w14:paraId="0ED27DF2" w14:textId="6FFED043" w:rsidR="00DB779A" w:rsidRPr="00235C73" w:rsidRDefault="00DB779A" w:rsidP="00E06D47">
            <w:pPr>
              <w:rPr>
                <w:rFonts w:ascii="Times New Roman" w:hAnsi="Times New Roman" w:cs="Times New Roman"/>
                <w:b/>
                <w:color w:val="000000" w:themeColor="text1"/>
                <w:sz w:val="24"/>
                <w:szCs w:val="24"/>
                <w:lang w:val="sk-SK"/>
              </w:rPr>
            </w:pPr>
            <w:r w:rsidRPr="00235C73">
              <w:rPr>
                <w:rFonts w:ascii="Times New Roman" w:hAnsi="Times New Roman"/>
                <w:color w:val="000000" w:themeColor="text1"/>
                <w:sz w:val="24"/>
                <w:lang w:val="sk-SK"/>
              </w:rPr>
              <w:t>Vlastné zdroje</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 xml:space="preserve">oprávnené záväzky </w:t>
            </w:r>
            <w:r w:rsidRPr="00235C73">
              <w:rPr>
                <w:rStyle w:val="InstructionsTabelleberschrift"/>
                <w:rFonts w:ascii="Times New Roman" w:hAnsi="Times New Roman"/>
                <w:b w:val="0"/>
                <w:sz w:val="24"/>
                <w:u w:val="none"/>
                <w:lang w:val="sk-SK"/>
              </w:rPr>
              <w:t xml:space="preserve">zahrnuté do </w:t>
            </w:r>
            <w:r w:rsidRPr="00235C73">
              <w:rPr>
                <w:rFonts w:ascii="Times New Roman" w:hAnsi="Times New Roman"/>
                <w:sz w:val="24"/>
                <w:lang w:val="sk-SK"/>
              </w:rPr>
              <w:t>sumy vlastných zdrojov</w:t>
            </w:r>
            <w:r w:rsidR="00235C73">
              <w:rPr>
                <w:rFonts w:ascii="Times New Roman" w:hAnsi="Times New Roman"/>
                <w:sz w:val="24"/>
                <w:lang w:val="sk-SK"/>
              </w:rPr>
              <w:t xml:space="preserve"> a </w:t>
            </w:r>
            <w:r w:rsidRPr="00235C73">
              <w:rPr>
                <w:rFonts w:ascii="Times New Roman" w:hAnsi="Times New Roman"/>
                <w:sz w:val="24"/>
                <w:lang w:val="sk-SK"/>
              </w:rPr>
              <w:t>oprávnených záväzkov podľa článku 45b smernice 2014/59/EÚ, ktoré sú podriadenými oprávnenými nástrojmi</w:t>
            </w:r>
            <w:r w:rsidR="00235C73">
              <w:rPr>
                <w:rFonts w:ascii="Times New Roman" w:hAnsi="Times New Roman"/>
                <w:sz w:val="24"/>
                <w:lang w:val="sk-SK"/>
              </w:rPr>
              <w:t xml:space="preserve"> v </w:t>
            </w:r>
            <w:r w:rsidRPr="00235C73">
              <w:rPr>
                <w:rFonts w:ascii="Times New Roman" w:hAnsi="Times New Roman"/>
                <w:sz w:val="24"/>
                <w:lang w:val="sk-SK"/>
              </w:rPr>
              <w:t>zmysle vymedzenia</w:t>
            </w:r>
            <w:r w:rsidR="00235C73">
              <w:rPr>
                <w:rFonts w:ascii="Times New Roman" w:hAnsi="Times New Roman"/>
                <w:sz w:val="24"/>
                <w:lang w:val="sk-SK"/>
              </w:rPr>
              <w:t xml:space="preserve"> v </w:t>
            </w:r>
            <w:r w:rsidRPr="00235C73">
              <w:rPr>
                <w:rFonts w:ascii="Times New Roman" w:hAnsi="Times New Roman"/>
                <w:sz w:val="24"/>
                <w:lang w:val="sk-SK"/>
              </w:rPr>
              <w:t>článku 2 ods. 1 bode 71b uvedenej smernice,</w:t>
            </w:r>
            <w:r w:rsidR="00235C73">
              <w:rPr>
                <w:rFonts w:ascii="Times New Roman" w:hAnsi="Times New Roman"/>
                <w:sz w:val="24"/>
                <w:lang w:val="sk-SK"/>
              </w:rPr>
              <w:t xml:space="preserve"> a </w:t>
            </w:r>
            <w:r w:rsidRPr="00235C73">
              <w:rPr>
                <w:rFonts w:ascii="Times New Roman" w:hAnsi="Times New Roman"/>
                <w:sz w:val="24"/>
                <w:lang w:val="sk-SK"/>
              </w:rPr>
              <w:t>záväzky</w:t>
            </w:r>
            <w:r w:rsidRPr="00235C73">
              <w:rPr>
                <w:rStyle w:val="FormatvorlageInstructionsTabelleText"/>
                <w:rFonts w:ascii="Times New Roman" w:hAnsi="Times New Roman"/>
                <w:sz w:val="24"/>
                <w:lang w:val="sk-SK"/>
              </w:rPr>
              <w:t xml:space="preserve"> zahrnuté do sumy vlastných zdrojov</w:t>
            </w:r>
            <w:r w:rsidR="00235C73">
              <w:rPr>
                <w:rStyle w:val="FormatvorlageInstructionsTabelleText"/>
                <w:rFonts w:ascii="Times New Roman" w:hAnsi="Times New Roman"/>
                <w:sz w:val="24"/>
                <w:lang w:val="sk-SK"/>
              </w:rPr>
              <w:t xml:space="preserve"> a </w:t>
            </w:r>
            <w:r w:rsidRPr="00235C73">
              <w:rPr>
                <w:rStyle w:val="FormatvorlageInstructionsTabelleText"/>
                <w:rFonts w:ascii="Times New Roman" w:hAnsi="Times New Roman"/>
                <w:sz w:val="24"/>
                <w:lang w:val="sk-SK"/>
              </w:rPr>
              <w:t>oprávnených záväzkov podľa článku 45b ods. 3 smernice 2014/59/EÚ.</w:t>
            </w:r>
          </w:p>
        </w:tc>
      </w:tr>
      <w:tr w:rsidR="00026FC1" w:rsidRPr="00235C73" w14:paraId="129D2D8D" w14:textId="77777777" w:rsidTr="00E46262">
        <w:tc>
          <w:tcPr>
            <w:tcW w:w="1030" w:type="dxa"/>
          </w:tcPr>
          <w:p w14:paraId="1B5B041C" w14:textId="4E1F9AEC" w:rsidR="00702377" w:rsidRPr="00235C73" w:rsidRDefault="00D571F6" w:rsidP="00CE0D4E">
            <w:pPr>
              <w:keepNext/>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23</w:t>
            </w:r>
          </w:p>
        </w:tc>
        <w:tc>
          <w:tcPr>
            <w:tcW w:w="7736" w:type="dxa"/>
          </w:tcPr>
          <w:p w14:paraId="0DB96856" w14:textId="3D3296F4" w:rsidR="00702377" w:rsidRPr="00235C73" w:rsidRDefault="00702377" w:rsidP="00702377">
            <w:pPr>
              <w:rPr>
                <w:rFonts w:ascii="Times New Roman" w:hAnsi="Times New Roman" w:cs="Times New Roman"/>
                <w:b/>
                <w:color w:val="000000" w:themeColor="text1"/>
                <w:sz w:val="24"/>
                <w:szCs w:val="24"/>
                <w:lang w:val="sk-SK"/>
              </w:rPr>
            </w:pPr>
            <w:r w:rsidRPr="00235C73">
              <w:rPr>
                <w:rFonts w:ascii="Times New Roman" w:hAnsi="Times New Roman"/>
                <w:b/>
                <w:color w:val="000000" w:themeColor="text1"/>
                <w:sz w:val="24"/>
                <w:lang w:val="sk-SK"/>
              </w:rPr>
              <w:t>Celková hodnota rizikovej expozície (TREA)</w:t>
            </w:r>
          </w:p>
          <w:p w14:paraId="58889E7E" w14:textId="072AF72D" w:rsidR="008149F0" w:rsidRPr="00235C73" w:rsidRDefault="00702377" w:rsidP="007E12BA">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Celková hodnota rizikovej expozície skupiny, ktorej krízová situácia sa rieši,</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súlade</w:t>
            </w:r>
            <w:r w:rsidR="00235C73">
              <w:rPr>
                <w:rFonts w:ascii="Times New Roman" w:hAnsi="Times New Roman"/>
                <w:color w:val="000000" w:themeColor="text1"/>
                <w:sz w:val="24"/>
                <w:lang w:val="sk-SK"/>
              </w:rPr>
              <w:t xml:space="preserve"> s </w:t>
            </w:r>
            <w:r w:rsidRPr="00235C73">
              <w:rPr>
                <w:rFonts w:ascii="Times New Roman" w:hAnsi="Times New Roman"/>
                <w:color w:val="000000" w:themeColor="text1"/>
                <w:sz w:val="24"/>
                <w:lang w:val="sk-SK"/>
              </w:rPr>
              <w:t>článkom 18 ods. 1 druhým pododsekom nariadenia (EÚ) č. 575/2013.</w:t>
            </w:r>
          </w:p>
          <w:p w14:paraId="1B151396" w14:textId="7324AEFC" w:rsidR="00702377" w:rsidRPr="00235C73" w:rsidRDefault="008149F0" w:rsidP="00E54D7F">
            <w:pPr>
              <w:rPr>
                <w:rFonts w:ascii="Times New Roman" w:hAnsi="Times New Roman" w:cs="Times New Roman"/>
                <w:color w:val="000000" w:themeColor="text1"/>
                <w:sz w:val="24"/>
                <w:szCs w:val="24"/>
                <w:lang w:val="sk-SK"/>
              </w:rPr>
            </w:pPr>
            <w:r w:rsidRPr="00235C73">
              <w:rPr>
                <w:rStyle w:val="FormatvorlageInstructionsTabelleText"/>
                <w:rFonts w:ascii="Times New Roman" w:hAnsi="Times New Roman"/>
                <w:sz w:val="24"/>
                <w:lang w:val="sk-SK"/>
              </w:rPr>
              <w:t>V tomto riadku sa zverejňuje celková hodnota rizikovej expozície, ktorá je základom pre súlad</w:t>
            </w:r>
            <w:r w:rsidR="00235C73">
              <w:rPr>
                <w:rStyle w:val="FormatvorlageInstructionsTabelleText"/>
                <w:rFonts w:ascii="Times New Roman" w:hAnsi="Times New Roman"/>
                <w:sz w:val="24"/>
                <w:lang w:val="sk-SK"/>
              </w:rPr>
              <w:t xml:space="preserve"> s </w:t>
            </w:r>
            <w:r w:rsidRPr="00235C73">
              <w:rPr>
                <w:rStyle w:val="FormatvorlageInstructionsTabelleText"/>
                <w:rFonts w:ascii="Times New Roman" w:hAnsi="Times New Roman"/>
                <w:sz w:val="24"/>
                <w:lang w:val="sk-SK"/>
              </w:rPr>
              <w:t>požiadavkami stanovenými</w:t>
            </w:r>
            <w:r w:rsidR="00235C73">
              <w:rPr>
                <w:rStyle w:val="FormatvorlageInstructionsTabelleText"/>
                <w:rFonts w:ascii="Times New Roman" w:hAnsi="Times New Roman"/>
                <w:sz w:val="24"/>
                <w:lang w:val="sk-SK"/>
              </w:rPr>
              <w:t xml:space="preserve"> v </w:t>
            </w:r>
            <w:r w:rsidRPr="00235C73">
              <w:rPr>
                <w:rStyle w:val="FormatvorlageInstructionsTabelleText"/>
                <w:rFonts w:ascii="Times New Roman" w:hAnsi="Times New Roman"/>
                <w:sz w:val="24"/>
                <w:lang w:val="sk-SK"/>
              </w:rPr>
              <w:t>článku 45 smernice 2014/59/EÚ alebo prípadne</w:t>
            </w:r>
            <w:r w:rsidR="00235C73">
              <w:rPr>
                <w:rStyle w:val="FormatvorlageInstructionsTabelleText"/>
                <w:rFonts w:ascii="Times New Roman" w:hAnsi="Times New Roman"/>
                <w:sz w:val="24"/>
                <w:lang w:val="sk-SK"/>
              </w:rPr>
              <w:t xml:space="preserve"> v </w:t>
            </w:r>
            <w:r w:rsidRPr="00235C73">
              <w:rPr>
                <w:rStyle w:val="FormatvorlageInstructionsTabelleText"/>
                <w:rFonts w:ascii="Times New Roman" w:hAnsi="Times New Roman"/>
                <w:sz w:val="24"/>
                <w:lang w:val="sk-SK"/>
              </w:rPr>
              <w:t>článku 92a nariadenia (EÚ) č. 575/2013.</w:t>
            </w:r>
          </w:p>
        </w:tc>
      </w:tr>
      <w:tr w:rsidR="00026FC1" w:rsidRPr="00235C73" w14:paraId="28440368" w14:textId="77777777" w:rsidTr="00E46262">
        <w:tc>
          <w:tcPr>
            <w:tcW w:w="1030" w:type="dxa"/>
          </w:tcPr>
          <w:p w14:paraId="32E92C5A" w14:textId="7CF5EC98" w:rsidR="00702377" w:rsidRPr="00235C73" w:rsidRDefault="00D571F6" w:rsidP="00702377">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24</w:t>
            </w:r>
          </w:p>
        </w:tc>
        <w:tc>
          <w:tcPr>
            <w:tcW w:w="7736" w:type="dxa"/>
          </w:tcPr>
          <w:p w14:paraId="36574007" w14:textId="1B8A459D" w:rsidR="00702377" w:rsidRPr="00235C73" w:rsidRDefault="00516561" w:rsidP="00702377">
            <w:pPr>
              <w:rPr>
                <w:rFonts w:ascii="Times New Roman" w:hAnsi="Times New Roman" w:cs="Times New Roman"/>
                <w:b/>
                <w:color w:val="000000" w:themeColor="text1"/>
                <w:sz w:val="24"/>
                <w:szCs w:val="24"/>
                <w:lang w:val="sk-SK"/>
              </w:rPr>
            </w:pPr>
            <w:r w:rsidRPr="00235C73">
              <w:rPr>
                <w:rFonts w:ascii="Times New Roman" w:hAnsi="Times New Roman"/>
                <w:b/>
                <w:color w:val="000000" w:themeColor="text1"/>
                <w:sz w:val="24"/>
                <w:lang w:val="sk-SK"/>
              </w:rPr>
              <w:t>Veľkosť celkovej expozície (TEM)</w:t>
            </w:r>
          </w:p>
          <w:p w14:paraId="778066F0" w14:textId="189E4649" w:rsidR="00702377" w:rsidRPr="00235C73" w:rsidRDefault="00DB779A" w:rsidP="003D0BF6">
            <w:pPr>
              <w:rPr>
                <w:rFonts w:ascii="Times New Roman" w:hAnsi="Times New Roman" w:cs="Times New Roman"/>
                <w:sz w:val="24"/>
                <w:szCs w:val="24"/>
                <w:lang w:val="sk-SK"/>
              </w:rPr>
            </w:pPr>
            <w:r w:rsidRPr="00235C73">
              <w:rPr>
                <w:rFonts w:ascii="Times New Roman" w:hAnsi="Times New Roman"/>
                <w:sz w:val="24"/>
                <w:lang w:val="sk-SK"/>
              </w:rPr>
              <w:t>Podľa článku 45 ods. 2 písm. b) smernice 2014/59/EÚ veľkosť celkovej expozície vypočítaná</w:t>
            </w:r>
            <w:r w:rsidR="00235C73">
              <w:rPr>
                <w:rFonts w:ascii="Times New Roman" w:hAnsi="Times New Roman"/>
                <w:sz w:val="24"/>
                <w:lang w:val="sk-SK"/>
              </w:rPr>
              <w:t xml:space="preserve"> v </w:t>
            </w:r>
            <w:r w:rsidRPr="00235C73">
              <w:rPr>
                <w:rFonts w:ascii="Times New Roman" w:hAnsi="Times New Roman"/>
                <w:sz w:val="24"/>
                <w:lang w:val="sk-SK"/>
              </w:rPr>
              <w:t>súlade</w:t>
            </w:r>
            <w:r w:rsidR="00235C73">
              <w:rPr>
                <w:rFonts w:ascii="Times New Roman" w:hAnsi="Times New Roman"/>
                <w:sz w:val="24"/>
                <w:lang w:val="sk-SK"/>
              </w:rPr>
              <w:t xml:space="preserve"> s </w:t>
            </w:r>
            <w:r w:rsidRPr="00235C73">
              <w:rPr>
                <w:rFonts w:ascii="Times New Roman" w:hAnsi="Times New Roman"/>
                <w:sz w:val="24"/>
                <w:lang w:val="sk-SK"/>
              </w:rPr>
              <w:t>článkom 429 ods. 4</w:t>
            </w:r>
            <w:r w:rsidR="00235C73">
              <w:rPr>
                <w:rFonts w:ascii="Times New Roman" w:hAnsi="Times New Roman"/>
                <w:sz w:val="24"/>
                <w:lang w:val="sk-SK"/>
              </w:rPr>
              <w:t xml:space="preserve"> a </w:t>
            </w:r>
            <w:r w:rsidRPr="00235C73">
              <w:rPr>
                <w:rFonts w:ascii="Times New Roman" w:hAnsi="Times New Roman"/>
                <w:sz w:val="24"/>
                <w:lang w:val="sk-SK"/>
              </w:rPr>
              <w:t>článkom 429a nariadenia (EÚ) č. 575/2013.</w:t>
            </w:r>
          </w:p>
          <w:p w14:paraId="62A67E31" w14:textId="01B57608" w:rsidR="008149F0" w:rsidRPr="00235C73" w:rsidRDefault="008149F0" w:rsidP="00E54D7F">
            <w:pPr>
              <w:rPr>
                <w:rFonts w:ascii="Times New Roman" w:hAnsi="Times New Roman" w:cs="Times New Roman"/>
                <w:color w:val="000000" w:themeColor="text1"/>
                <w:sz w:val="24"/>
                <w:szCs w:val="24"/>
                <w:lang w:val="sk-SK"/>
              </w:rPr>
            </w:pPr>
            <w:r w:rsidRPr="00235C73">
              <w:rPr>
                <w:rStyle w:val="FormatvorlageInstructionsTabelleText"/>
                <w:rFonts w:ascii="Times New Roman" w:hAnsi="Times New Roman"/>
                <w:sz w:val="24"/>
                <w:lang w:val="sk-SK"/>
              </w:rPr>
              <w:t>V tomto riadku sa vykazuje veľkosť celkovej expozície, ktorá je základom pre súlad</w:t>
            </w:r>
            <w:r w:rsidR="00235C73">
              <w:rPr>
                <w:rStyle w:val="FormatvorlageInstructionsTabelleText"/>
                <w:rFonts w:ascii="Times New Roman" w:hAnsi="Times New Roman"/>
                <w:sz w:val="24"/>
                <w:lang w:val="sk-SK"/>
              </w:rPr>
              <w:t xml:space="preserve"> s </w:t>
            </w:r>
            <w:r w:rsidRPr="00235C73">
              <w:rPr>
                <w:rStyle w:val="FormatvorlageInstructionsTabelleText"/>
                <w:rFonts w:ascii="Times New Roman" w:hAnsi="Times New Roman"/>
                <w:sz w:val="24"/>
                <w:lang w:val="sk-SK"/>
              </w:rPr>
              <w:t>požiadavkami článku 45 smernice 2014/59/EÚ alebo prípadne článku 92a nariadenia (EÚ) č. 575/2013.</w:t>
            </w:r>
          </w:p>
        </w:tc>
      </w:tr>
      <w:tr w:rsidR="00D571F6" w:rsidRPr="00235C73" w14:paraId="13300665" w14:textId="77777777" w:rsidTr="00E46262">
        <w:tc>
          <w:tcPr>
            <w:tcW w:w="1030" w:type="dxa"/>
            <w:vAlign w:val="top"/>
          </w:tcPr>
          <w:p w14:paraId="0F988C86" w14:textId="06ED1881" w:rsidR="00D571F6" w:rsidRPr="00235C73" w:rsidRDefault="00D571F6" w:rsidP="00D571F6">
            <w:pPr>
              <w:rPr>
                <w:rFonts w:ascii="Times New Roman" w:hAnsi="Times New Roman" w:cs="Times New Roman"/>
                <w:color w:val="000000" w:themeColor="text1"/>
                <w:sz w:val="24"/>
                <w:szCs w:val="24"/>
                <w:lang w:val="sk-SK"/>
              </w:rPr>
            </w:pPr>
            <w:r w:rsidRPr="00235C73">
              <w:rPr>
                <w:rFonts w:ascii="Times New Roman" w:hAnsi="Times New Roman"/>
                <w:sz w:val="24"/>
                <w:lang w:val="sk-SK"/>
              </w:rPr>
              <w:lastRenderedPageBreak/>
              <w:t>25</w:t>
            </w:r>
          </w:p>
        </w:tc>
        <w:tc>
          <w:tcPr>
            <w:tcW w:w="7736" w:type="dxa"/>
          </w:tcPr>
          <w:p w14:paraId="2C833139" w14:textId="5F4CBA05" w:rsidR="00D77E54" w:rsidRPr="00235C73" w:rsidRDefault="00D571F6" w:rsidP="00DB779A">
            <w:pPr>
              <w:rPr>
                <w:rFonts w:ascii="Times New Roman" w:hAnsi="Times New Roman" w:cs="Times New Roman"/>
                <w:b/>
                <w:color w:val="000000" w:themeColor="text1"/>
                <w:sz w:val="24"/>
                <w:szCs w:val="24"/>
                <w:lang w:val="sk-SK"/>
              </w:rPr>
            </w:pPr>
            <w:r w:rsidRPr="00235C73">
              <w:rPr>
                <w:rFonts w:ascii="Times New Roman" w:hAnsi="Times New Roman"/>
                <w:b/>
                <w:color w:val="000000" w:themeColor="text1"/>
                <w:sz w:val="24"/>
                <w:lang w:val="sk-SK"/>
              </w:rPr>
              <w:t>Vlastné zdroje</w:t>
            </w:r>
            <w:r w:rsidR="00235C73">
              <w:rPr>
                <w:rFonts w:ascii="Times New Roman" w:hAnsi="Times New Roman"/>
                <w:b/>
                <w:color w:val="000000" w:themeColor="text1"/>
                <w:sz w:val="24"/>
                <w:lang w:val="sk-SK"/>
              </w:rPr>
              <w:t xml:space="preserve"> a </w:t>
            </w:r>
            <w:r w:rsidRPr="00235C73">
              <w:rPr>
                <w:rFonts w:ascii="Times New Roman" w:hAnsi="Times New Roman"/>
                <w:b/>
                <w:color w:val="000000" w:themeColor="text1"/>
                <w:sz w:val="24"/>
                <w:lang w:val="sk-SK"/>
              </w:rPr>
              <w:t>oprávnené záväzky ako percentuálny podiel TREA</w:t>
            </w:r>
          </w:p>
          <w:p w14:paraId="7AB95F7A" w14:textId="0F9E0757" w:rsidR="00DB779A" w:rsidRPr="00235C73" w:rsidRDefault="00DB779A" w:rsidP="00DB779A">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Na účely tohto riadku sa</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súlade</w:t>
            </w:r>
            <w:r w:rsidR="00235C73">
              <w:rPr>
                <w:rFonts w:ascii="Times New Roman" w:hAnsi="Times New Roman"/>
                <w:color w:val="000000" w:themeColor="text1"/>
                <w:sz w:val="24"/>
                <w:lang w:val="sk-SK"/>
              </w:rPr>
              <w:t xml:space="preserve"> s </w:t>
            </w:r>
            <w:r w:rsidRPr="00235C73">
              <w:rPr>
                <w:rFonts w:ascii="Times New Roman" w:hAnsi="Times New Roman"/>
                <w:color w:val="000000" w:themeColor="text1"/>
                <w:sz w:val="24"/>
                <w:lang w:val="sk-SK"/>
              </w:rPr>
              <w:t>článkom 45 ods. 2 písm. a) smernice 2014/59/EÚ</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článkom 92a nariadenia (EÚ) č. 575/2013 suma vlastných zdrojov</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oprávnených záväzkov, ktoré sa započítavajú do MREL alebo prípadne TLAC, vyjadruje ako percentuálny podiel celkovej hodnoty rizikovej expozície vypočítanej</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súlade</w:t>
            </w:r>
            <w:r w:rsidR="00235C73">
              <w:rPr>
                <w:rFonts w:ascii="Times New Roman" w:hAnsi="Times New Roman"/>
                <w:color w:val="000000" w:themeColor="text1"/>
                <w:sz w:val="24"/>
                <w:lang w:val="sk-SK"/>
              </w:rPr>
              <w:t xml:space="preserve"> s </w:t>
            </w:r>
            <w:r w:rsidRPr="00235C73">
              <w:rPr>
                <w:rFonts w:ascii="Times New Roman" w:hAnsi="Times New Roman"/>
                <w:color w:val="000000" w:themeColor="text1"/>
                <w:sz w:val="24"/>
                <w:lang w:val="sk-SK"/>
              </w:rPr>
              <w:t>článkom 92 ods. 3 nariadenia (EÚ) č. 575/2013.</w:t>
            </w:r>
          </w:p>
          <w:p w14:paraId="7EB8D0D2" w14:textId="458D8C7A" w:rsidR="00D571F6" w:rsidRPr="00235C73" w:rsidRDefault="00E06D47" w:rsidP="00E06D47">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Vypočítajú sa ako riadok 22 vydelený riadkom 23.</w:t>
            </w:r>
          </w:p>
        </w:tc>
      </w:tr>
      <w:tr w:rsidR="00DD64EE" w:rsidRPr="00235C73" w14:paraId="344FACA7" w14:textId="77777777" w:rsidTr="00E46262">
        <w:tc>
          <w:tcPr>
            <w:tcW w:w="1030" w:type="dxa"/>
            <w:vAlign w:val="top"/>
          </w:tcPr>
          <w:p w14:paraId="79C19FE6" w14:textId="5B9A3D69" w:rsidR="00DD64EE" w:rsidRPr="00235C73" w:rsidRDefault="00DD64EE" w:rsidP="00DD64EE">
            <w:pPr>
              <w:rPr>
                <w:rFonts w:ascii="Times New Roman" w:hAnsi="Times New Roman" w:cs="Times New Roman"/>
                <w:sz w:val="24"/>
                <w:szCs w:val="24"/>
                <w:lang w:val="sk-SK"/>
              </w:rPr>
            </w:pPr>
            <w:r w:rsidRPr="00235C73">
              <w:rPr>
                <w:rFonts w:ascii="Times New Roman" w:hAnsi="Times New Roman"/>
                <w:sz w:val="24"/>
                <w:lang w:val="sk-SK"/>
              </w:rPr>
              <w:t>EU-25a</w:t>
            </w:r>
          </w:p>
        </w:tc>
        <w:tc>
          <w:tcPr>
            <w:tcW w:w="7736" w:type="dxa"/>
            <w:vAlign w:val="top"/>
          </w:tcPr>
          <w:p w14:paraId="29460D13" w14:textId="6F81DF19" w:rsidR="00DD64EE" w:rsidRPr="00235C73" w:rsidRDefault="00DD64EE" w:rsidP="00DD64EE">
            <w:pPr>
              <w:rPr>
                <w:rFonts w:ascii="Times New Roman" w:hAnsi="Times New Roman" w:cs="Times New Roman"/>
                <w:b/>
                <w:sz w:val="24"/>
                <w:szCs w:val="24"/>
                <w:lang w:val="sk-SK"/>
              </w:rPr>
            </w:pPr>
            <w:r w:rsidRPr="00235C73">
              <w:rPr>
                <w:rFonts w:ascii="Times New Roman" w:hAnsi="Times New Roman"/>
                <w:b/>
                <w:sz w:val="24"/>
                <w:lang w:val="sk-SK"/>
              </w:rPr>
              <w:t>Z čoho: vlastné zdroje</w:t>
            </w:r>
            <w:r w:rsidR="00235C73">
              <w:rPr>
                <w:rFonts w:ascii="Times New Roman" w:hAnsi="Times New Roman"/>
                <w:b/>
                <w:sz w:val="24"/>
                <w:lang w:val="sk-SK"/>
              </w:rPr>
              <w:t xml:space="preserve"> a </w:t>
            </w:r>
            <w:r w:rsidRPr="00235C73">
              <w:rPr>
                <w:rFonts w:ascii="Times New Roman" w:hAnsi="Times New Roman"/>
                <w:b/>
                <w:sz w:val="24"/>
                <w:lang w:val="sk-SK"/>
              </w:rPr>
              <w:t>podriadené záväzky</w:t>
            </w:r>
          </w:p>
          <w:p w14:paraId="3177CD5E" w14:textId="37C40EA6" w:rsidR="00282ED2" w:rsidRPr="00235C73" w:rsidRDefault="00DD64EE" w:rsidP="00DD64EE">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Na účely tohto riadku sa suma vlastných zdrojov</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podriadených oprávnených záväzkov, ktoré sa započítavajú do MREL, vyjadruje ako percentuálny podiel celkovej hodnoty rizikovej expozície vypočítanej</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súlade</w:t>
            </w:r>
            <w:r w:rsidR="00235C73">
              <w:rPr>
                <w:rFonts w:ascii="Times New Roman" w:hAnsi="Times New Roman"/>
                <w:color w:val="000000" w:themeColor="text1"/>
                <w:sz w:val="24"/>
                <w:lang w:val="sk-SK"/>
              </w:rPr>
              <w:t xml:space="preserve"> s </w:t>
            </w:r>
            <w:r w:rsidRPr="00235C73">
              <w:rPr>
                <w:rFonts w:ascii="Times New Roman" w:hAnsi="Times New Roman"/>
                <w:color w:val="000000" w:themeColor="text1"/>
                <w:sz w:val="24"/>
                <w:lang w:val="sk-SK"/>
              </w:rPr>
              <w:t>článkom 92 ods. 3 nariadenia (EÚ) č. 575/2013.</w:t>
            </w:r>
          </w:p>
          <w:p w14:paraId="1420404E" w14:textId="486A4F7A" w:rsidR="00DD64EE" w:rsidRPr="00235C73" w:rsidRDefault="00633625" w:rsidP="00DD64EE">
            <w:pPr>
              <w:rPr>
                <w:rFonts w:ascii="Times New Roman" w:hAnsi="Times New Roman" w:cs="Times New Roman"/>
                <w:b/>
                <w:sz w:val="24"/>
                <w:szCs w:val="24"/>
                <w:lang w:val="sk-SK"/>
              </w:rPr>
            </w:pPr>
            <w:r w:rsidRPr="00235C73">
              <w:rPr>
                <w:rFonts w:ascii="Times New Roman" w:hAnsi="Times New Roman"/>
                <w:color w:val="000000" w:themeColor="text1"/>
                <w:sz w:val="24"/>
                <w:lang w:val="sk-SK"/>
              </w:rPr>
              <w:t>Vypočítajú sa ako riadok 22a vydelený riadkom 23.</w:t>
            </w:r>
          </w:p>
        </w:tc>
      </w:tr>
      <w:tr w:rsidR="00D571F6" w:rsidRPr="00235C73" w14:paraId="36017B22" w14:textId="77777777" w:rsidTr="00E46262">
        <w:tc>
          <w:tcPr>
            <w:tcW w:w="1030" w:type="dxa"/>
            <w:vAlign w:val="top"/>
          </w:tcPr>
          <w:p w14:paraId="34721F24" w14:textId="1ACC2AE8" w:rsidR="00D571F6" w:rsidRPr="00235C73" w:rsidRDefault="00D571F6" w:rsidP="00D571F6">
            <w:pPr>
              <w:rPr>
                <w:rFonts w:ascii="Times New Roman" w:hAnsi="Times New Roman" w:cs="Times New Roman"/>
                <w:color w:val="000000" w:themeColor="text1"/>
                <w:sz w:val="24"/>
                <w:szCs w:val="24"/>
                <w:lang w:val="sk-SK"/>
              </w:rPr>
            </w:pPr>
            <w:r w:rsidRPr="00235C73">
              <w:rPr>
                <w:rFonts w:ascii="Times New Roman" w:hAnsi="Times New Roman"/>
                <w:sz w:val="24"/>
                <w:lang w:val="sk-SK"/>
              </w:rPr>
              <w:t>26</w:t>
            </w:r>
          </w:p>
        </w:tc>
        <w:tc>
          <w:tcPr>
            <w:tcW w:w="7736" w:type="dxa"/>
          </w:tcPr>
          <w:p w14:paraId="36877A46" w14:textId="0B7403EF" w:rsidR="00D571F6" w:rsidRPr="00235C73" w:rsidRDefault="00D571F6" w:rsidP="00D571F6">
            <w:pPr>
              <w:rPr>
                <w:rFonts w:ascii="Times New Roman" w:hAnsi="Times New Roman" w:cs="Times New Roman"/>
                <w:b/>
                <w:color w:val="000000" w:themeColor="text1"/>
                <w:sz w:val="24"/>
                <w:szCs w:val="24"/>
                <w:lang w:val="sk-SK"/>
              </w:rPr>
            </w:pPr>
            <w:r w:rsidRPr="00235C73">
              <w:rPr>
                <w:rFonts w:ascii="Times New Roman" w:hAnsi="Times New Roman"/>
                <w:b/>
                <w:color w:val="000000" w:themeColor="text1"/>
                <w:sz w:val="24"/>
                <w:lang w:val="sk-SK"/>
              </w:rPr>
              <w:t>Vlastné zdroje</w:t>
            </w:r>
            <w:r w:rsidR="00235C73">
              <w:rPr>
                <w:rFonts w:ascii="Times New Roman" w:hAnsi="Times New Roman"/>
                <w:b/>
                <w:color w:val="000000" w:themeColor="text1"/>
                <w:sz w:val="24"/>
                <w:lang w:val="sk-SK"/>
              </w:rPr>
              <w:t xml:space="preserve"> a </w:t>
            </w:r>
            <w:r w:rsidRPr="00235C73">
              <w:rPr>
                <w:rFonts w:ascii="Times New Roman" w:hAnsi="Times New Roman"/>
                <w:b/>
                <w:color w:val="000000" w:themeColor="text1"/>
                <w:sz w:val="24"/>
                <w:lang w:val="sk-SK"/>
              </w:rPr>
              <w:t>oprávnené záväzky ako percentuálny podiel TEM</w:t>
            </w:r>
          </w:p>
          <w:p w14:paraId="00EB744D" w14:textId="2DD5E3E4" w:rsidR="00F31CFB" w:rsidRPr="00235C73" w:rsidRDefault="00F31CFB" w:rsidP="00D571F6">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Na účely tohto riadku sa</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súlade</w:t>
            </w:r>
            <w:r w:rsidR="00235C73">
              <w:rPr>
                <w:rFonts w:ascii="Times New Roman" w:hAnsi="Times New Roman"/>
                <w:color w:val="000000" w:themeColor="text1"/>
                <w:sz w:val="24"/>
                <w:lang w:val="sk-SK"/>
              </w:rPr>
              <w:t xml:space="preserve"> s </w:t>
            </w:r>
            <w:r w:rsidRPr="00235C73">
              <w:rPr>
                <w:rFonts w:ascii="Times New Roman" w:hAnsi="Times New Roman"/>
                <w:color w:val="000000" w:themeColor="text1"/>
                <w:sz w:val="24"/>
                <w:lang w:val="sk-SK"/>
              </w:rPr>
              <w:t>článkom 45 ods. 2 písm. b) smernice 2014/59/EÚ</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článkom 92a nariadenia (EÚ) č. 575/2013 suma vlastných zdrojov</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oprávnených záväzkov, ktoré sa započítavajú do MREL alebo prípadne TLAC, vyjadruje ako percentuálny podiel veľkosti celkovej expozície vypočítanej</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súlade</w:t>
            </w:r>
            <w:r w:rsidR="00235C73">
              <w:rPr>
                <w:rFonts w:ascii="Times New Roman" w:hAnsi="Times New Roman"/>
                <w:color w:val="000000" w:themeColor="text1"/>
                <w:sz w:val="24"/>
                <w:lang w:val="sk-SK"/>
              </w:rPr>
              <w:t xml:space="preserve"> s </w:t>
            </w:r>
            <w:r w:rsidRPr="00235C73">
              <w:rPr>
                <w:rFonts w:ascii="Times New Roman" w:hAnsi="Times New Roman"/>
                <w:color w:val="000000" w:themeColor="text1"/>
                <w:sz w:val="24"/>
                <w:lang w:val="sk-SK"/>
              </w:rPr>
              <w:t>článkom 429 ods. 4</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článkom 429a nariadenia (EÚ) č. 575/2013.</w:t>
            </w:r>
          </w:p>
          <w:p w14:paraId="4625DFA4" w14:textId="11EAD745" w:rsidR="00D571F6" w:rsidRPr="00235C73" w:rsidRDefault="00F31CFB" w:rsidP="00F31CFB">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Vypočítajú sa ako riadok 22 vydelený riadkom 24.</w:t>
            </w:r>
          </w:p>
        </w:tc>
      </w:tr>
      <w:tr w:rsidR="00DD64EE" w:rsidRPr="00235C73" w14:paraId="6226AC49" w14:textId="77777777" w:rsidTr="00E46262">
        <w:tc>
          <w:tcPr>
            <w:tcW w:w="1030" w:type="dxa"/>
          </w:tcPr>
          <w:p w14:paraId="0551FE26" w14:textId="5A7C8577" w:rsidR="00DD64EE" w:rsidRPr="00235C73" w:rsidRDefault="00DD64EE" w:rsidP="00DD64EE">
            <w:pPr>
              <w:rPr>
                <w:rFonts w:ascii="Times New Roman" w:hAnsi="Times New Roman" w:cs="Times New Roman"/>
                <w:sz w:val="24"/>
                <w:szCs w:val="24"/>
                <w:lang w:val="sk-SK"/>
              </w:rPr>
            </w:pPr>
            <w:r w:rsidRPr="00235C73">
              <w:rPr>
                <w:rFonts w:ascii="Times New Roman" w:hAnsi="Times New Roman"/>
                <w:sz w:val="24"/>
                <w:lang w:val="sk-SK"/>
              </w:rPr>
              <w:t>EU-26a</w:t>
            </w:r>
          </w:p>
        </w:tc>
        <w:tc>
          <w:tcPr>
            <w:tcW w:w="7736" w:type="dxa"/>
          </w:tcPr>
          <w:p w14:paraId="20A52E81" w14:textId="3420516C" w:rsidR="00DD64EE" w:rsidRPr="00235C73" w:rsidRDefault="00DD64EE" w:rsidP="00DD64EE">
            <w:pPr>
              <w:rPr>
                <w:rFonts w:ascii="Times New Roman" w:hAnsi="Times New Roman" w:cs="Times New Roman"/>
                <w:b/>
                <w:sz w:val="24"/>
                <w:szCs w:val="24"/>
                <w:lang w:val="sk-SK"/>
              </w:rPr>
            </w:pPr>
            <w:r w:rsidRPr="00235C73">
              <w:rPr>
                <w:rFonts w:ascii="Times New Roman" w:hAnsi="Times New Roman"/>
                <w:b/>
                <w:sz w:val="24"/>
                <w:lang w:val="sk-SK"/>
              </w:rPr>
              <w:t>Z čoho: vlastné zdroje</w:t>
            </w:r>
            <w:r w:rsidR="00235C73">
              <w:rPr>
                <w:rFonts w:ascii="Times New Roman" w:hAnsi="Times New Roman"/>
                <w:b/>
                <w:sz w:val="24"/>
                <w:lang w:val="sk-SK"/>
              </w:rPr>
              <w:t xml:space="preserve"> a </w:t>
            </w:r>
            <w:r w:rsidRPr="00235C73">
              <w:rPr>
                <w:rFonts w:ascii="Times New Roman" w:hAnsi="Times New Roman"/>
                <w:b/>
                <w:sz w:val="24"/>
                <w:lang w:val="sk-SK"/>
              </w:rPr>
              <w:t>podriadené záväzky</w:t>
            </w:r>
          </w:p>
          <w:p w14:paraId="45B16E43" w14:textId="20E2CFED" w:rsidR="00CF449E" w:rsidRPr="00235C73" w:rsidRDefault="00CF449E" w:rsidP="001B5DB5">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Na účely tohto riadku sa suma vlastných zdrojov</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podriadených oprávnených záväzkov, ktoré sa započítavajú do MREL, vyjadruje ako percentuálny podiel veľkosti celkovej expozície vypočítanej</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súlade</w:t>
            </w:r>
            <w:r w:rsidR="00235C73">
              <w:rPr>
                <w:rFonts w:ascii="Times New Roman" w:hAnsi="Times New Roman"/>
                <w:color w:val="000000" w:themeColor="text1"/>
                <w:sz w:val="24"/>
                <w:lang w:val="sk-SK"/>
              </w:rPr>
              <w:t xml:space="preserve"> s </w:t>
            </w:r>
            <w:r w:rsidRPr="00235C73">
              <w:rPr>
                <w:rFonts w:ascii="Times New Roman" w:hAnsi="Times New Roman"/>
                <w:color w:val="000000" w:themeColor="text1"/>
                <w:sz w:val="24"/>
                <w:lang w:val="sk-SK"/>
              </w:rPr>
              <w:t>článkom 429 ods. 4</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článkom 429a nariadenia (EÚ) č. 575/2013.</w:t>
            </w:r>
          </w:p>
          <w:p w14:paraId="358FA12B" w14:textId="445A7C3B" w:rsidR="00633625" w:rsidRPr="00235C73" w:rsidRDefault="00633625" w:rsidP="001B5DB5">
            <w:pPr>
              <w:rPr>
                <w:rFonts w:ascii="Times New Roman" w:hAnsi="Times New Roman" w:cs="Times New Roman"/>
                <w:b/>
                <w:sz w:val="24"/>
                <w:szCs w:val="24"/>
                <w:lang w:val="sk-SK"/>
              </w:rPr>
            </w:pPr>
            <w:r w:rsidRPr="00235C73">
              <w:rPr>
                <w:rFonts w:ascii="Times New Roman" w:hAnsi="Times New Roman"/>
                <w:color w:val="000000" w:themeColor="text1"/>
                <w:sz w:val="24"/>
                <w:lang w:val="sk-SK"/>
              </w:rPr>
              <w:t>Vypočítajú sa ako riadok 22a vydelený riadkom 24.</w:t>
            </w:r>
          </w:p>
        </w:tc>
      </w:tr>
      <w:tr w:rsidR="00D571F6" w:rsidRPr="00235C73" w14:paraId="097C48C9" w14:textId="77777777" w:rsidTr="00E46262">
        <w:tc>
          <w:tcPr>
            <w:tcW w:w="1030" w:type="dxa"/>
            <w:vAlign w:val="top"/>
          </w:tcPr>
          <w:p w14:paraId="71DD980C" w14:textId="7575C305" w:rsidR="00D571F6" w:rsidRPr="00235C73" w:rsidRDefault="00D571F6" w:rsidP="00D571F6">
            <w:pPr>
              <w:rPr>
                <w:rFonts w:ascii="Times New Roman" w:hAnsi="Times New Roman" w:cs="Times New Roman"/>
                <w:color w:val="000000" w:themeColor="text1"/>
                <w:sz w:val="24"/>
                <w:szCs w:val="24"/>
                <w:lang w:val="sk-SK"/>
              </w:rPr>
            </w:pPr>
            <w:r w:rsidRPr="00235C73">
              <w:rPr>
                <w:rFonts w:ascii="Times New Roman" w:hAnsi="Times New Roman"/>
                <w:sz w:val="24"/>
                <w:lang w:val="sk-SK"/>
              </w:rPr>
              <w:t>27</w:t>
            </w:r>
          </w:p>
        </w:tc>
        <w:tc>
          <w:tcPr>
            <w:tcW w:w="7736" w:type="dxa"/>
          </w:tcPr>
          <w:p w14:paraId="5D1EF640" w14:textId="01C37C4A" w:rsidR="00D571F6" w:rsidRPr="00235C73" w:rsidRDefault="00D571F6" w:rsidP="00D571F6">
            <w:pPr>
              <w:rPr>
                <w:rFonts w:ascii="Times New Roman" w:hAnsi="Times New Roman" w:cs="Times New Roman"/>
                <w:b/>
                <w:color w:val="000000" w:themeColor="text1"/>
                <w:sz w:val="24"/>
                <w:szCs w:val="24"/>
                <w:lang w:val="sk-SK"/>
              </w:rPr>
            </w:pPr>
            <w:r w:rsidRPr="00235C73">
              <w:rPr>
                <w:rFonts w:ascii="Times New Roman" w:hAnsi="Times New Roman"/>
                <w:b/>
                <w:color w:val="000000" w:themeColor="text1"/>
                <w:sz w:val="24"/>
                <w:lang w:val="sk-SK"/>
              </w:rPr>
              <w:t>CET1 (ako percentuálny podiel TREA) dostupný po splnení požiadaviek skupiny, ktorej krízová situácia sa rieši</w:t>
            </w:r>
          </w:p>
          <w:p w14:paraId="0227909F" w14:textId="4BD0B169" w:rsidR="00A47BCD" w:rsidRPr="00235C73" w:rsidRDefault="00A47BCD" w:rsidP="00B62DC9">
            <w:pPr>
              <w:pStyle w:val="InstructionsText"/>
              <w:rPr>
                <w:rFonts w:eastAsiaTheme="minorEastAsia"/>
                <w:noProof w:val="0"/>
                <w:lang w:val="sk-SK"/>
              </w:rPr>
            </w:pPr>
            <w:r w:rsidRPr="00235C73">
              <w:rPr>
                <w:noProof w:val="0"/>
                <w:lang w:val="sk-SK"/>
              </w:rPr>
              <w:t>Suma CET1 vyjadrená ako percentuálny podiel celkovej hodnoty rizikovej expozície, ktorá sa rovná nule alebo je kladná, dostupná po splnení každej</w:t>
            </w:r>
            <w:r w:rsidR="00235C73">
              <w:rPr>
                <w:noProof w:val="0"/>
                <w:lang w:val="sk-SK"/>
              </w:rPr>
              <w:t xml:space="preserve"> z </w:t>
            </w:r>
            <w:r w:rsidRPr="00235C73">
              <w:rPr>
                <w:noProof w:val="0"/>
                <w:lang w:val="sk-SK"/>
              </w:rPr>
              <w:t>požiadaviek uvedených</w:t>
            </w:r>
            <w:r w:rsidR="00235C73">
              <w:rPr>
                <w:noProof w:val="0"/>
                <w:lang w:val="sk-SK"/>
              </w:rPr>
              <w:t xml:space="preserve"> v </w:t>
            </w:r>
            <w:r w:rsidRPr="00235C73">
              <w:rPr>
                <w:noProof w:val="0"/>
                <w:lang w:val="sk-SK"/>
              </w:rPr>
              <w:t>článku 141a písm. a), b)</w:t>
            </w:r>
            <w:r w:rsidR="00235C73">
              <w:rPr>
                <w:noProof w:val="0"/>
                <w:lang w:val="sk-SK"/>
              </w:rPr>
              <w:t xml:space="preserve"> a </w:t>
            </w:r>
            <w:r w:rsidRPr="00235C73">
              <w:rPr>
                <w:noProof w:val="0"/>
                <w:lang w:val="sk-SK"/>
              </w:rPr>
              <w:t>c) smernice 2013/36/EÚ</w:t>
            </w:r>
            <w:r w:rsidR="00235C73">
              <w:rPr>
                <w:noProof w:val="0"/>
                <w:lang w:val="sk-SK"/>
              </w:rPr>
              <w:t xml:space="preserve"> a </w:t>
            </w:r>
            <w:r w:rsidRPr="00235C73">
              <w:rPr>
                <w:noProof w:val="0"/>
                <w:lang w:val="sk-SK"/>
              </w:rPr>
              <w:t>vyššej</w:t>
            </w:r>
            <w:r w:rsidR="00235C73">
              <w:rPr>
                <w:noProof w:val="0"/>
                <w:lang w:val="sk-SK"/>
              </w:rPr>
              <w:t xml:space="preserve"> z </w:t>
            </w:r>
            <w:r w:rsidRPr="00235C73">
              <w:rPr>
                <w:noProof w:val="0"/>
                <w:lang w:val="sk-SK"/>
              </w:rPr>
              <w:t>týchto požiadaviek:</w:t>
            </w:r>
          </w:p>
          <w:p w14:paraId="6B490CB5" w14:textId="77777777" w:rsidR="00235C73" w:rsidRDefault="00A47BCD" w:rsidP="00B62DC9">
            <w:pPr>
              <w:pStyle w:val="InstructionsText"/>
              <w:rPr>
                <w:noProof w:val="0"/>
                <w:lang w:val="sk-SK"/>
              </w:rPr>
            </w:pPr>
            <w:r w:rsidRPr="00235C73">
              <w:rPr>
                <w:noProof w:val="0"/>
                <w:lang w:val="sk-SK"/>
              </w:rPr>
              <w:t>a) ak je to relevantné, požiadavky pre G-SII na vlastné zdroje</w:t>
            </w:r>
            <w:r w:rsidR="00235C73">
              <w:rPr>
                <w:noProof w:val="0"/>
                <w:lang w:val="sk-SK"/>
              </w:rPr>
              <w:t xml:space="preserve"> a </w:t>
            </w:r>
            <w:r w:rsidRPr="00235C73">
              <w:rPr>
                <w:noProof w:val="0"/>
                <w:lang w:val="sk-SK"/>
              </w:rPr>
              <w:t>oprávnené záväzky stanovenej</w:t>
            </w:r>
            <w:r w:rsidR="00235C73">
              <w:rPr>
                <w:noProof w:val="0"/>
                <w:lang w:val="sk-SK"/>
              </w:rPr>
              <w:t xml:space="preserve"> v </w:t>
            </w:r>
            <w:r w:rsidRPr="00235C73">
              <w:rPr>
                <w:noProof w:val="0"/>
                <w:lang w:val="sk-SK"/>
              </w:rPr>
              <w:t>článku 92a nariadenia (EÚ) č. 575/2013, keď sa vypočítava</w:t>
            </w:r>
            <w:r w:rsidR="00235C73">
              <w:rPr>
                <w:noProof w:val="0"/>
                <w:lang w:val="sk-SK"/>
              </w:rPr>
              <w:t xml:space="preserve"> v </w:t>
            </w:r>
            <w:r w:rsidRPr="00235C73">
              <w:rPr>
                <w:noProof w:val="0"/>
                <w:lang w:val="sk-SK"/>
              </w:rPr>
              <w:t>súlade</w:t>
            </w:r>
            <w:r w:rsidR="00235C73">
              <w:rPr>
                <w:noProof w:val="0"/>
                <w:lang w:val="sk-SK"/>
              </w:rPr>
              <w:t xml:space="preserve"> s </w:t>
            </w:r>
            <w:r w:rsidRPr="00235C73">
              <w:rPr>
                <w:noProof w:val="0"/>
                <w:lang w:val="sk-SK"/>
              </w:rPr>
              <w:t>odsekom 1 písm. a) uvedeného článku;</w:t>
            </w:r>
            <w:r w:rsidR="00235C73">
              <w:rPr>
                <w:noProof w:val="0"/>
                <w:lang w:val="sk-SK"/>
              </w:rPr>
              <w:t xml:space="preserve"> a</w:t>
            </w:r>
          </w:p>
          <w:p w14:paraId="396BF4D8" w14:textId="0C3513E6" w:rsidR="00A47BCD" w:rsidRPr="00235C73" w:rsidRDefault="00A47BCD" w:rsidP="00B62DC9">
            <w:pPr>
              <w:pStyle w:val="InstructionsText"/>
              <w:rPr>
                <w:rFonts w:eastAsiaTheme="minorEastAsia"/>
                <w:noProof w:val="0"/>
                <w:lang w:val="sk-SK"/>
              </w:rPr>
            </w:pPr>
            <w:r w:rsidRPr="00235C73">
              <w:rPr>
                <w:noProof w:val="0"/>
                <w:lang w:val="sk-SK"/>
              </w:rPr>
              <w:lastRenderedPageBreak/>
              <w:t>b) minimálnej požiadavky na vlastné zdroje</w:t>
            </w:r>
            <w:r w:rsidR="00235C73">
              <w:rPr>
                <w:noProof w:val="0"/>
                <w:lang w:val="sk-SK"/>
              </w:rPr>
              <w:t xml:space="preserve"> a </w:t>
            </w:r>
            <w:r w:rsidRPr="00235C73">
              <w:rPr>
                <w:noProof w:val="0"/>
                <w:lang w:val="sk-SK"/>
              </w:rPr>
              <w:t>oprávnené záväzky stanovenej</w:t>
            </w:r>
            <w:r w:rsidR="00235C73">
              <w:rPr>
                <w:noProof w:val="0"/>
                <w:lang w:val="sk-SK"/>
              </w:rPr>
              <w:t xml:space="preserve"> v </w:t>
            </w:r>
            <w:r w:rsidRPr="00235C73">
              <w:rPr>
                <w:noProof w:val="0"/>
                <w:lang w:val="sk-SK"/>
              </w:rPr>
              <w:t>článku 45 smernice 2014/59/EÚ, keď sa vypočítava</w:t>
            </w:r>
            <w:r w:rsidR="00235C73">
              <w:rPr>
                <w:noProof w:val="0"/>
                <w:lang w:val="sk-SK"/>
              </w:rPr>
              <w:t xml:space="preserve"> v </w:t>
            </w:r>
            <w:r w:rsidRPr="00235C73">
              <w:rPr>
                <w:noProof w:val="0"/>
                <w:lang w:val="sk-SK"/>
              </w:rPr>
              <w:t>súlade</w:t>
            </w:r>
            <w:r w:rsidR="00235C73">
              <w:rPr>
                <w:noProof w:val="0"/>
                <w:lang w:val="sk-SK"/>
              </w:rPr>
              <w:t xml:space="preserve"> s </w:t>
            </w:r>
            <w:r w:rsidRPr="00235C73">
              <w:rPr>
                <w:noProof w:val="0"/>
                <w:lang w:val="sk-SK"/>
              </w:rPr>
              <w:t>odsekom 2 písm. a) uvedeného článku.</w:t>
            </w:r>
          </w:p>
          <w:p w14:paraId="7D9CD928" w14:textId="77777777" w:rsidR="00A47BCD" w:rsidRPr="00235C73" w:rsidRDefault="00A47BCD" w:rsidP="00B62DC9">
            <w:pPr>
              <w:pStyle w:val="InstructionsText"/>
              <w:rPr>
                <w:rFonts w:eastAsiaTheme="minorEastAsia"/>
                <w:noProof w:val="0"/>
                <w:lang w:val="sk-SK"/>
              </w:rPr>
            </w:pPr>
          </w:p>
          <w:p w14:paraId="0543D9CF" w14:textId="3F45D7CB" w:rsidR="00A47BCD" w:rsidRPr="00235C73" w:rsidRDefault="00A47BCD" w:rsidP="00B62DC9">
            <w:pPr>
              <w:pStyle w:val="InstructionsText"/>
              <w:rPr>
                <w:rFonts w:eastAsiaTheme="minorEastAsia"/>
                <w:noProof w:val="0"/>
                <w:lang w:val="sk-SK"/>
              </w:rPr>
            </w:pPr>
            <w:r w:rsidRPr="00235C73">
              <w:rPr>
                <w:noProof w:val="0"/>
                <w:lang w:val="sk-SK"/>
              </w:rPr>
              <w:t>Zverejňovaný údaj musí byť rovnaký</w:t>
            </w:r>
            <w:r w:rsidR="00235C73">
              <w:rPr>
                <w:noProof w:val="0"/>
                <w:lang w:val="sk-SK"/>
              </w:rPr>
              <w:t xml:space="preserve"> v </w:t>
            </w:r>
            <w:r w:rsidRPr="00235C73">
              <w:rPr>
                <w:noProof w:val="0"/>
                <w:lang w:val="sk-SK"/>
              </w:rPr>
              <w:t>stĺpci MREL aj</w:t>
            </w:r>
            <w:r w:rsidR="00235C73">
              <w:rPr>
                <w:noProof w:val="0"/>
                <w:lang w:val="sk-SK"/>
              </w:rPr>
              <w:t xml:space="preserve"> v </w:t>
            </w:r>
            <w:r w:rsidRPr="00235C73">
              <w:rPr>
                <w:noProof w:val="0"/>
                <w:lang w:val="sk-SK"/>
              </w:rPr>
              <w:t>stĺpci TLAC.</w:t>
            </w:r>
          </w:p>
          <w:p w14:paraId="7018FBAF" w14:textId="3AD190EC" w:rsidR="00D571F6" w:rsidRPr="00235C73" w:rsidRDefault="00A47BCD" w:rsidP="00940D58">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Zohľadňuje sa</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ňom vplyv prechodných ustanovení na vlastné zdroje</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oprávnené záväzky, celková hodnota rizikovej expozície</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samotné požiadavky. Nezohľadňujú sa usmernenia týkajúce sa dodatočných vlastných zdrojov, ako sa uvádza</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článku 104b smernice 2013/36/EÚ, ani požiadavka na kombinovaný vankúš uvedená</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článku 128 prvom odseku bode 6 uvedenej smernice.</w:t>
            </w:r>
          </w:p>
        </w:tc>
      </w:tr>
      <w:tr w:rsidR="00D571F6" w:rsidRPr="00235C73" w14:paraId="015114DE" w14:textId="77777777" w:rsidTr="00E46262">
        <w:tc>
          <w:tcPr>
            <w:tcW w:w="1030" w:type="dxa"/>
            <w:vAlign w:val="top"/>
          </w:tcPr>
          <w:p w14:paraId="67C0B6E2" w14:textId="23ADC5ED" w:rsidR="00D571F6" w:rsidRPr="00235C73" w:rsidRDefault="00D571F6" w:rsidP="00D571F6">
            <w:pPr>
              <w:rPr>
                <w:rFonts w:ascii="Times New Roman" w:hAnsi="Times New Roman" w:cs="Times New Roman"/>
                <w:color w:val="000000" w:themeColor="text1"/>
                <w:sz w:val="24"/>
                <w:szCs w:val="24"/>
                <w:lang w:val="sk-SK"/>
              </w:rPr>
            </w:pPr>
            <w:r w:rsidRPr="00235C73">
              <w:rPr>
                <w:rFonts w:ascii="Times New Roman" w:hAnsi="Times New Roman"/>
                <w:sz w:val="24"/>
                <w:lang w:val="sk-SK"/>
              </w:rPr>
              <w:lastRenderedPageBreak/>
              <w:t>28</w:t>
            </w:r>
          </w:p>
        </w:tc>
        <w:tc>
          <w:tcPr>
            <w:tcW w:w="7736" w:type="dxa"/>
          </w:tcPr>
          <w:p w14:paraId="0AF43EFF" w14:textId="77777777" w:rsidR="00235C73" w:rsidRDefault="00D571F6" w:rsidP="00D571F6">
            <w:pPr>
              <w:rPr>
                <w:rFonts w:ascii="Times New Roman" w:hAnsi="Times New Roman"/>
                <w:b/>
                <w:color w:val="000000" w:themeColor="text1"/>
                <w:sz w:val="24"/>
                <w:lang w:val="sk-SK"/>
              </w:rPr>
            </w:pPr>
            <w:r w:rsidRPr="00235C73">
              <w:rPr>
                <w:rFonts w:ascii="Times New Roman" w:hAnsi="Times New Roman"/>
                <w:b/>
                <w:color w:val="000000" w:themeColor="text1"/>
                <w:sz w:val="24"/>
                <w:lang w:val="sk-SK"/>
              </w:rPr>
              <w:t>Požiadavka na kombinovaný vankúš špecifický pre inštitúciu</w:t>
            </w:r>
          </w:p>
          <w:p w14:paraId="4829A94F" w14:textId="6C7977C2" w:rsidR="00D571F6" w:rsidRPr="00235C73" w:rsidRDefault="00D571F6" w:rsidP="00940D58">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Požiadavka na kombinovaný vankúš špecifický pre inštitúciu</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zmysle vymedzenia</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článku 128 prvom pododseku bode 6 smernice 2013/36/EÚ, vyjadrená ako percentuálny podiel celkovej hodnoty rizikovej expozície</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uplatniteľná na skupinu, ktorej krízová situácia sa rieši,</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súlade</w:t>
            </w:r>
            <w:r w:rsidR="00235C73">
              <w:rPr>
                <w:rFonts w:ascii="Times New Roman" w:hAnsi="Times New Roman"/>
                <w:color w:val="000000" w:themeColor="text1"/>
                <w:sz w:val="24"/>
                <w:lang w:val="sk-SK"/>
              </w:rPr>
              <w:t xml:space="preserve"> s </w:t>
            </w:r>
            <w:r w:rsidRPr="00235C73">
              <w:rPr>
                <w:rFonts w:ascii="Times New Roman" w:hAnsi="Times New Roman"/>
                <w:color w:val="000000" w:themeColor="text1"/>
                <w:sz w:val="24"/>
                <w:lang w:val="sk-SK"/>
              </w:rPr>
              <w:t>prvým pododsekom bodom 6 uvedeného článku.</w:t>
            </w:r>
          </w:p>
        </w:tc>
      </w:tr>
      <w:tr w:rsidR="00D571F6" w:rsidRPr="00235C73" w14:paraId="0D814418" w14:textId="77777777" w:rsidTr="00E46262">
        <w:tc>
          <w:tcPr>
            <w:tcW w:w="1030" w:type="dxa"/>
            <w:vAlign w:val="top"/>
          </w:tcPr>
          <w:p w14:paraId="2D747295" w14:textId="712C6D78" w:rsidR="00D571F6" w:rsidRPr="00235C73" w:rsidRDefault="00D571F6" w:rsidP="00D571F6">
            <w:pPr>
              <w:rPr>
                <w:rFonts w:ascii="Times New Roman" w:hAnsi="Times New Roman" w:cs="Times New Roman"/>
                <w:color w:val="000000" w:themeColor="text1"/>
                <w:sz w:val="24"/>
                <w:szCs w:val="24"/>
                <w:lang w:val="sk-SK"/>
              </w:rPr>
            </w:pPr>
            <w:r w:rsidRPr="00235C73">
              <w:rPr>
                <w:rFonts w:ascii="Times New Roman" w:hAnsi="Times New Roman"/>
                <w:sz w:val="24"/>
                <w:lang w:val="sk-SK"/>
              </w:rPr>
              <w:t>29</w:t>
            </w:r>
          </w:p>
        </w:tc>
        <w:tc>
          <w:tcPr>
            <w:tcW w:w="7736" w:type="dxa"/>
            <w:vAlign w:val="top"/>
          </w:tcPr>
          <w:p w14:paraId="39EACDCB" w14:textId="77777777" w:rsidR="00235C73" w:rsidRDefault="00B80F7C" w:rsidP="00D571F6">
            <w:pPr>
              <w:rPr>
                <w:rFonts w:ascii="Times New Roman" w:hAnsi="Times New Roman"/>
                <w:b/>
                <w:color w:val="000000" w:themeColor="text1"/>
                <w:sz w:val="24"/>
                <w:lang w:val="sk-SK"/>
              </w:rPr>
            </w:pPr>
            <w:r w:rsidRPr="00235C73">
              <w:rPr>
                <w:rFonts w:ascii="Times New Roman" w:hAnsi="Times New Roman"/>
                <w:b/>
                <w:color w:val="000000" w:themeColor="text1"/>
                <w:sz w:val="24"/>
                <w:lang w:val="sk-SK"/>
              </w:rPr>
              <w:t>Požiadavka na kombinovaný vankúš špecifický pre inštitúciu –</w:t>
            </w:r>
            <w:r w:rsidR="00235C73">
              <w:rPr>
                <w:rFonts w:ascii="Times New Roman" w:hAnsi="Times New Roman"/>
                <w:b/>
                <w:color w:val="000000" w:themeColor="text1"/>
                <w:sz w:val="24"/>
                <w:lang w:val="sk-SK"/>
              </w:rPr>
              <w:t xml:space="preserve"> z </w:t>
            </w:r>
            <w:r w:rsidRPr="00235C73">
              <w:rPr>
                <w:rFonts w:ascii="Times New Roman" w:hAnsi="Times New Roman"/>
                <w:b/>
                <w:color w:val="000000" w:themeColor="text1"/>
                <w:sz w:val="24"/>
                <w:lang w:val="sk-SK"/>
              </w:rPr>
              <w:t>čoho požiadavka na vankúš na zachovanie kapitálu</w:t>
            </w:r>
          </w:p>
          <w:p w14:paraId="5C784879" w14:textId="5721774E" w:rsidR="00D571F6" w:rsidRPr="00235C73" w:rsidRDefault="00D571F6" w:rsidP="009B2422">
            <w:pPr>
              <w:rPr>
                <w:rFonts w:ascii="Times New Roman" w:hAnsi="Times New Roman" w:cs="Times New Roman"/>
                <w:color w:val="000000" w:themeColor="text1"/>
                <w:sz w:val="24"/>
                <w:szCs w:val="24"/>
                <w:lang w:val="sk-SK"/>
              </w:rPr>
            </w:pPr>
            <w:r w:rsidRPr="00235C73">
              <w:rPr>
                <w:rFonts w:ascii="Times New Roman" w:hAnsi="Times New Roman"/>
                <w:sz w:val="24"/>
                <w:lang w:val="sk-SK"/>
              </w:rPr>
              <w:t>Hodnota kombinovaného vankúša špecifického pre inštitúciu (vyjadrená ako percentuálny podiel celkovej hodnoty rizikovej expozície), ktorá súvisí</w:t>
            </w:r>
            <w:r w:rsidR="00235C73">
              <w:rPr>
                <w:rFonts w:ascii="Times New Roman" w:hAnsi="Times New Roman"/>
                <w:sz w:val="24"/>
                <w:lang w:val="sk-SK"/>
              </w:rPr>
              <w:t xml:space="preserve"> s </w:t>
            </w:r>
            <w:r w:rsidRPr="00235C73">
              <w:rPr>
                <w:rFonts w:ascii="Times New Roman" w:hAnsi="Times New Roman"/>
                <w:sz w:val="24"/>
                <w:lang w:val="sk-SK"/>
              </w:rPr>
              <w:t>požiadavkou na vankúš na zachovanie kapitálu.</w:t>
            </w:r>
          </w:p>
        </w:tc>
      </w:tr>
      <w:tr w:rsidR="00D571F6" w:rsidRPr="00235C73" w14:paraId="63B8627F" w14:textId="77777777" w:rsidTr="00E46262">
        <w:tc>
          <w:tcPr>
            <w:tcW w:w="1030" w:type="dxa"/>
            <w:vAlign w:val="top"/>
          </w:tcPr>
          <w:p w14:paraId="68373BD4" w14:textId="0AC3FF61" w:rsidR="00D571F6" w:rsidRPr="00235C73" w:rsidRDefault="00D571F6" w:rsidP="00D571F6">
            <w:pPr>
              <w:rPr>
                <w:rFonts w:ascii="Times New Roman" w:hAnsi="Times New Roman" w:cs="Times New Roman"/>
                <w:color w:val="000000" w:themeColor="text1"/>
                <w:sz w:val="24"/>
                <w:szCs w:val="24"/>
                <w:lang w:val="sk-SK"/>
              </w:rPr>
            </w:pPr>
            <w:r w:rsidRPr="00235C73">
              <w:rPr>
                <w:rFonts w:ascii="Times New Roman" w:hAnsi="Times New Roman"/>
                <w:sz w:val="24"/>
                <w:lang w:val="sk-SK"/>
              </w:rPr>
              <w:t>30</w:t>
            </w:r>
          </w:p>
        </w:tc>
        <w:tc>
          <w:tcPr>
            <w:tcW w:w="7736" w:type="dxa"/>
            <w:vAlign w:val="top"/>
          </w:tcPr>
          <w:p w14:paraId="29F027A2" w14:textId="77777777" w:rsidR="00235C73" w:rsidRDefault="00B80F7C" w:rsidP="00D571F6">
            <w:pPr>
              <w:rPr>
                <w:rFonts w:ascii="Times New Roman" w:hAnsi="Times New Roman"/>
                <w:b/>
                <w:color w:val="000000" w:themeColor="text1"/>
                <w:sz w:val="24"/>
                <w:lang w:val="sk-SK"/>
              </w:rPr>
            </w:pPr>
            <w:r w:rsidRPr="00235C73">
              <w:rPr>
                <w:rFonts w:ascii="Times New Roman" w:hAnsi="Times New Roman"/>
                <w:b/>
                <w:color w:val="000000" w:themeColor="text1"/>
                <w:sz w:val="24"/>
                <w:lang w:val="sk-SK"/>
              </w:rPr>
              <w:t>Požiadavka na kombinovaný vankúš špecifický pre inštitúciu –</w:t>
            </w:r>
            <w:r w:rsidR="00235C73">
              <w:rPr>
                <w:rFonts w:ascii="Times New Roman" w:hAnsi="Times New Roman"/>
                <w:b/>
                <w:color w:val="000000" w:themeColor="text1"/>
                <w:sz w:val="24"/>
                <w:lang w:val="sk-SK"/>
              </w:rPr>
              <w:t xml:space="preserve"> z </w:t>
            </w:r>
            <w:r w:rsidRPr="00235C73">
              <w:rPr>
                <w:rFonts w:ascii="Times New Roman" w:hAnsi="Times New Roman"/>
                <w:b/>
                <w:color w:val="000000" w:themeColor="text1"/>
                <w:sz w:val="24"/>
                <w:lang w:val="sk-SK"/>
              </w:rPr>
              <w:t>čoho požiadavka na proticyklický vankúš</w:t>
            </w:r>
          </w:p>
          <w:p w14:paraId="6E30DDC3" w14:textId="7FE5B225" w:rsidR="00D571F6" w:rsidRPr="00235C73" w:rsidRDefault="00D571F6" w:rsidP="00D571F6">
            <w:pPr>
              <w:rPr>
                <w:rFonts w:ascii="Times New Roman" w:hAnsi="Times New Roman" w:cs="Times New Roman"/>
                <w:color w:val="000000" w:themeColor="text1"/>
                <w:sz w:val="24"/>
                <w:szCs w:val="24"/>
                <w:lang w:val="sk-SK"/>
              </w:rPr>
            </w:pPr>
            <w:r w:rsidRPr="00235C73">
              <w:rPr>
                <w:rFonts w:ascii="Times New Roman" w:hAnsi="Times New Roman"/>
                <w:sz w:val="24"/>
                <w:lang w:val="sk-SK"/>
              </w:rPr>
              <w:t>Hodnota kombinovaného vankúša špecifického pre inštitúciu (vyjadrená ako percentuálny podiel celkovej hodnoty rizikovej expozície), ktorá súvisí</w:t>
            </w:r>
            <w:r w:rsidR="00235C73">
              <w:rPr>
                <w:rFonts w:ascii="Times New Roman" w:hAnsi="Times New Roman"/>
                <w:sz w:val="24"/>
                <w:lang w:val="sk-SK"/>
              </w:rPr>
              <w:t xml:space="preserve"> s </w:t>
            </w:r>
            <w:r w:rsidRPr="00235C73">
              <w:rPr>
                <w:rFonts w:ascii="Times New Roman" w:hAnsi="Times New Roman"/>
                <w:sz w:val="24"/>
                <w:lang w:val="sk-SK"/>
              </w:rPr>
              <w:t>požiadavkou na proticyklický vankúš.</w:t>
            </w:r>
          </w:p>
        </w:tc>
      </w:tr>
      <w:tr w:rsidR="00D571F6" w:rsidRPr="00235C73" w14:paraId="780D8179" w14:textId="77777777" w:rsidTr="00E46262">
        <w:tc>
          <w:tcPr>
            <w:tcW w:w="1030" w:type="dxa"/>
            <w:vAlign w:val="top"/>
          </w:tcPr>
          <w:p w14:paraId="4011938A" w14:textId="6723E0C3" w:rsidR="00D571F6" w:rsidRPr="00235C73" w:rsidRDefault="00D571F6" w:rsidP="00D571F6">
            <w:pPr>
              <w:rPr>
                <w:rFonts w:ascii="Times New Roman" w:hAnsi="Times New Roman" w:cs="Times New Roman"/>
                <w:color w:val="000000" w:themeColor="text1"/>
                <w:sz w:val="24"/>
                <w:szCs w:val="24"/>
                <w:lang w:val="sk-SK"/>
              </w:rPr>
            </w:pPr>
            <w:r w:rsidRPr="00235C73">
              <w:rPr>
                <w:rFonts w:ascii="Times New Roman" w:hAnsi="Times New Roman"/>
                <w:sz w:val="24"/>
                <w:lang w:val="sk-SK"/>
              </w:rPr>
              <w:t>31</w:t>
            </w:r>
          </w:p>
        </w:tc>
        <w:tc>
          <w:tcPr>
            <w:tcW w:w="7736" w:type="dxa"/>
            <w:vAlign w:val="top"/>
          </w:tcPr>
          <w:p w14:paraId="4CB522DF" w14:textId="77777777" w:rsidR="00235C73" w:rsidRDefault="00B80F7C" w:rsidP="00D571F6">
            <w:pPr>
              <w:rPr>
                <w:rFonts w:ascii="Times New Roman" w:hAnsi="Times New Roman"/>
                <w:b/>
                <w:color w:val="000000" w:themeColor="text1"/>
                <w:sz w:val="24"/>
                <w:lang w:val="sk-SK"/>
              </w:rPr>
            </w:pPr>
            <w:r w:rsidRPr="00235C73">
              <w:rPr>
                <w:rFonts w:ascii="Times New Roman" w:hAnsi="Times New Roman"/>
                <w:b/>
                <w:color w:val="000000" w:themeColor="text1"/>
                <w:sz w:val="24"/>
                <w:lang w:val="sk-SK"/>
              </w:rPr>
              <w:t>Požiadavka na kombinovaný vankúš špecifický pre inštitúciu –</w:t>
            </w:r>
            <w:r w:rsidR="00235C73">
              <w:rPr>
                <w:rFonts w:ascii="Times New Roman" w:hAnsi="Times New Roman"/>
                <w:b/>
                <w:color w:val="000000" w:themeColor="text1"/>
                <w:sz w:val="24"/>
                <w:lang w:val="sk-SK"/>
              </w:rPr>
              <w:t xml:space="preserve"> z </w:t>
            </w:r>
            <w:r w:rsidRPr="00235C73">
              <w:rPr>
                <w:rFonts w:ascii="Times New Roman" w:hAnsi="Times New Roman"/>
                <w:b/>
                <w:color w:val="000000" w:themeColor="text1"/>
                <w:sz w:val="24"/>
                <w:lang w:val="sk-SK"/>
              </w:rPr>
              <w:t>čoho požiadavka na vankúš na krytie systémového rizika</w:t>
            </w:r>
          </w:p>
          <w:p w14:paraId="2538331C" w14:textId="7D2D44CB" w:rsidR="00D571F6" w:rsidRPr="00235C73" w:rsidRDefault="00D571F6" w:rsidP="009B2422">
            <w:pPr>
              <w:rPr>
                <w:rFonts w:ascii="Times New Roman" w:hAnsi="Times New Roman" w:cs="Times New Roman"/>
                <w:sz w:val="24"/>
                <w:szCs w:val="24"/>
                <w:lang w:val="sk-SK"/>
              </w:rPr>
            </w:pPr>
            <w:r w:rsidRPr="00235C73">
              <w:rPr>
                <w:rFonts w:ascii="Times New Roman" w:hAnsi="Times New Roman"/>
                <w:sz w:val="24"/>
                <w:lang w:val="sk-SK"/>
              </w:rPr>
              <w:t>Hodnota kombinovaného vankúša špecifického pre inštitúciu (vyjadrená ako percentuálny podiel celkovej hodnoty rizikovej expozície), ktorá súvisí</w:t>
            </w:r>
            <w:r w:rsidR="00235C73">
              <w:rPr>
                <w:rFonts w:ascii="Times New Roman" w:hAnsi="Times New Roman"/>
                <w:sz w:val="24"/>
                <w:lang w:val="sk-SK"/>
              </w:rPr>
              <w:t xml:space="preserve"> s </w:t>
            </w:r>
            <w:r w:rsidRPr="00235C73">
              <w:rPr>
                <w:rFonts w:ascii="Times New Roman" w:hAnsi="Times New Roman"/>
                <w:sz w:val="24"/>
                <w:lang w:val="sk-SK"/>
              </w:rPr>
              <w:t>požiadavkou na vankúš na krytie systémového rizika.</w:t>
            </w:r>
          </w:p>
        </w:tc>
      </w:tr>
      <w:tr w:rsidR="00D571F6" w:rsidRPr="00235C73" w14:paraId="2321A559" w14:textId="77777777" w:rsidTr="00E46262">
        <w:tc>
          <w:tcPr>
            <w:tcW w:w="1030" w:type="dxa"/>
            <w:vAlign w:val="top"/>
          </w:tcPr>
          <w:p w14:paraId="5B6DF329" w14:textId="537A82C8" w:rsidR="00D571F6" w:rsidRPr="00235C73" w:rsidRDefault="00D571F6" w:rsidP="00D571F6">
            <w:pPr>
              <w:rPr>
                <w:rFonts w:ascii="Times New Roman" w:hAnsi="Times New Roman" w:cs="Times New Roman"/>
                <w:color w:val="000000" w:themeColor="text1"/>
                <w:sz w:val="24"/>
                <w:szCs w:val="24"/>
                <w:lang w:val="sk-SK"/>
              </w:rPr>
            </w:pPr>
            <w:r w:rsidRPr="00235C73">
              <w:rPr>
                <w:rFonts w:ascii="Times New Roman" w:hAnsi="Times New Roman"/>
                <w:sz w:val="24"/>
                <w:lang w:val="sk-SK"/>
              </w:rPr>
              <w:t>EU-31a</w:t>
            </w:r>
          </w:p>
        </w:tc>
        <w:tc>
          <w:tcPr>
            <w:tcW w:w="7736" w:type="dxa"/>
            <w:vAlign w:val="top"/>
          </w:tcPr>
          <w:p w14:paraId="2ACB2A11" w14:textId="69BA2B64" w:rsidR="00D571F6" w:rsidRPr="00235C73" w:rsidRDefault="00B80F7C" w:rsidP="00D571F6">
            <w:pPr>
              <w:rPr>
                <w:rFonts w:ascii="Times New Roman" w:hAnsi="Times New Roman" w:cs="Times New Roman"/>
                <w:b/>
                <w:color w:val="000000" w:themeColor="text1"/>
                <w:sz w:val="24"/>
                <w:szCs w:val="24"/>
                <w:lang w:val="sk-SK"/>
              </w:rPr>
            </w:pPr>
            <w:r w:rsidRPr="00235C73">
              <w:rPr>
                <w:rFonts w:ascii="Times New Roman" w:hAnsi="Times New Roman"/>
                <w:b/>
                <w:color w:val="000000" w:themeColor="text1"/>
                <w:sz w:val="24"/>
                <w:lang w:val="sk-SK"/>
              </w:rPr>
              <w:t>Požiadavka na kombinovaný vankúš špecifický pre inštitúciu –</w:t>
            </w:r>
            <w:r w:rsidR="00235C73">
              <w:rPr>
                <w:rFonts w:ascii="Times New Roman" w:hAnsi="Times New Roman"/>
                <w:b/>
                <w:color w:val="000000" w:themeColor="text1"/>
                <w:sz w:val="24"/>
                <w:lang w:val="sk-SK"/>
              </w:rPr>
              <w:t xml:space="preserve"> z </w:t>
            </w:r>
            <w:r w:rsidRPr="00235C73">
              <w:rPr>
                <w:rFonts w:ascii="Times New Roman" w:hAnsi="Times New Roman"/>
                <w:b/>
                <w:color w:val="000000" w:themeColor="text1"/>
                <w:sz w:val="24"/>
                <w:lang w:val="sk-SK"/>
              </w:rPr>
              <w:t>čoho vankúš pre globálnu systémovo významnú inštitúciu (G-SII) alebo inak systémovo významnú inštitúciu (O-SII)</w:t>
            </w:r>
          </w:p>
          <w:p w14:paraId="6700C20F" w14:textId="4794221B" w:rsidR="00D571F6" w:rsidRPr="00235C73" w:rsidRDefault="00D571F6" w:rsidP="00563C8D">
            <w:pPr>
              <w:rPr>
                <w:rFonts w:ascii="Times New Roman" w:hAnsi="Times New Roman" w:cs="Times New Roman"/>
                <w:color w:val="000000" w:themeColor="text1"/>
                <w:sz w:val="24"/>
                <w:szCs w:val="24"/>
                <w:lang w:val="sk-SK"/>
              </w:rPr>
            </w:pPr>
            <w:r w:rsidRPr="00235C73">
              <w:rPr>
                <w:rFonts w:ascii="Times New Roman" w:hAnsi="Times New Roman"/>
                <w:sz w:val="24"/>
                <w:lang w:val="sk-SK"/>
              </w:rPr>
              <w:t>Hodnota kombinovaného vankúša špecifického pre inštitúciu (vyjadrená ako percentuálny podiel celkovej hodnoty rizikovej expozície), ktorá súvisí</w:t>
            </w:r>
            <w:r w:rsidR="00235C73">
              <w:rPr>
                <w:rFonts w:ascii="Times New Roman" w:hAnsi="Times New Roman"/>
                <w:sz w:val="24"/>
                <w:lang w:val="sk-SK"/>
              </w:rPr>
              <w:t xml:space="preserve"> s </w:t>
            </w:r>
            <w:r w:rsidRPr="00235C73">
              <w:rPr>
                <w:rFonts w:ascii="Times New Roman" w:hAnsi="Times New Roman"/>
                <w:sz w:val="24"/>
                <w:lang w:val="sk-SK"/>
              </w:rPr>
              <w:t>požiadavkou na vankúš pre G-SII alebo O-SII</w:t>
            </w:r>
          </w:p>
        </w:tc>
      </w:tr>
      <w:tr w:rsidR="0023278E" w:rsidRPr="00235C73" w14:paraId="08100425" w14:textId="77777777" w:rsidTr="00E46262">
        <w:tc>
          <w:tcPr>
            <w:tcW w:w="1030" w:type="dxa"/>
            <w:vAlign w:val="top"/>
          </w:tcPr>
          <w:p w14:paraId="6C04F598" w14:textId="5E33E643" w:rsidR="0023278E" w:rsidRPr="00235C73" w:rsidRDefault="0023278E" w:rsidP="0023278E">
            <w:pPr>
              <w:rPr>
                <w:rFonts w:ascii="Times New Roman" w:hAnsi="Times New Roman" w:cs="Times New Roman"/>
                <w:sz w:val="24"/>
                <w:szCs w:val="24"/>
                <w:lang w:val="sk-SK"/>
              </w:rPr>
            </w:pPr>
            <w:r w:rsidRPr="00235C73">
              <w:rPr>
                <w:rFonts w:ascii="Times New Roman" w:hAnsi="Times New Roman"/>
                <w:sz w:val="24"/>
                <w:lang w:val="sk-SK"/>
              </w:rPr>
              <w:lastRenderedPageBreak/>
              <w:t>EU-32</w:t>
            </w:r>
          </w:p>
        </w:tc>
        <w:tc>
          <w:tcPr>
            <w:tcW w:w="7736" w:type="dxa"/>
            <w:vAlign w:val="top"/>
          </w:tcPr>
          <w:p w14:paraId="154EB8B0" w14:textId="18F788F1" w:rsidR="0023278E" w:rsidRPr="00235C73" w:rsidRDefault="0023278E" w:rsidP="0023278E">
            <w:pPr>
              <w:rPr>
                <w:rFonts w:ascii="Times New Roman" w:hAnsi="Times New Roman" w:cs="Times New Roman"/>
                <w:b/>
                <w:color w:val="000000" w:themeColor="text1"/>
                <w:sz w:val="24"/>
                <w:szCs w:val="24"/>
                <w:lang w:val="sk-SK"/>
              </w:rPr>
            </w:pPr>
            <w:r w:rsidRPr="00235C73">
              <w:rPr>
                <w:rFonts w:ascii="Times New Roman" w:hAnsi="Times New Roman"/>
                <w:b/>
                <w:color w:val="000000" w:themeColor="text1"/>
                <w:sz w:val="24"/>
                <w:lang w:val="sk-SK"/>
              </w:rPr>
              <w:t>Celková hodnota vylúčených záväzkov uvedených</w:t>
            </w:r>
            <w:r w:rsidR="00235C73">
              <w:rPr>
                <w:rFonts w:ascii="Times New Roman" w:hAnsi="Times New Roman"/>
                <w:b/>
                <w:color w:val="000000" w:themeColor="text1"/>
                <w:sz w:val="24"/>
                <w:lang w:val="sk-SK"/>
              </w:rPr>
              <w:t xml:space="preserve"> v </w:t>
            </w:r>
            <w:r w:rsidRPr="00235C73">
              <w:rPr>
                <w:rFonts w:ascii="Times New Roman" w:hAnsi="Times New Roman"/>
                <w:b/>
                <w:color w:val="000000" w:themeColor="text1"/>
                <w:sz w:val="24"/>
                <w:lang w:val="sk-SK"/>
              </w:rPr>
              <w:t>článku 72a ods. 2 nariadenia (EÚ) č. 575/2013</w:t>
            </w:r>
          </w:p>
        </w:tc>
      </w:tr>
    </w:tbl>
    <w:p w14:paraId="79FEC8BB" w14:textId="4681F7F9" w:rsidR="005C7641" w:rsidRPr="00235C73"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188" w:name="_Toc14769121"/>
      <w:bookmarkStart w:id="189" w:name="_Toc14769395"/>
      <w:bookmarkStart w:id="190" w:name="_Toc14769942"/>
      <w:bookmarkStart w:id="191" w:name="_Toc14770212"/>
      <w:bookmarkStart w:id="192" w:name="_Toc14771101"/>
      <w:bookmarkStart w:id="193" w:name="_Toc14771761"/>
      <w:bookmarkStart w:id="194" w:name="_Toc14769169"/>
      <w:bookmarkStart w:id="195" w:name="_Toc14769443"/>
      <w:bookmarkStart w:id="196" w:name="_Toc14769990"/>
      <w:bookmarkStart w:id="197" w:name="_Toc14770260"/>
      <w:bookmarkStart w:id="198" w:name="_Toc14771149"/>
      <w:bookmarkStart w:id="199" w:name="_Toc14771809"/>
      <w:bookmarkStart w:id="200" w:name="_Toc14769201"/>
      <w:bookmarkStart w:id="201" w:name="_Toc14769475"/>
      <w:bookmarkStart w:id="202" w:name="_Toc14770022"/>
      <w:bookmarkStart w:id="203" w:name="_Toc14770292"/>
      <w:bookmarkStart w:id="204" w:name="_Toc14771181"/>
      <w:bookmarkStart w:id="205" w:name="_Toc14771841"/>
      <w:bookmarkStart w:id="206" w:name="_Toc14770784"/>
      <w:bookmarkStart w:id="207" w:name="_Toc45266928"/>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235C73">
        <w:rPr>
          <w:rFonts w:ascii="Times New Roman" w:hAnsi="Times New Roman"/>
          <w:color w:val="auto"/>
          <w:sz w:val="24"/>
        </w:rPr>
        <w:t>4.</w:t>
      </w:r>
      <w:r w:rsidRPr="00235C73">
        <w:rPr>
          <w:rFonts w:ascii="Times New Roman" w:hAnsi="Times New Roman"/>
          <w:color w:val="auto"/>
          <w:sz w:val="24"/>
        </w:rPr>
        <w:tab/>
        <w:t>EU iLAC: interná kapacita na absorpciu strát: interná MREL</w:t>
      </w:r>
      <w:r w:rsidR="00235C73">
        <w:rPr>
          <w:rFonts w:ascii="Times New Roman" w:hAnsi="Times New Roman"/>
          <w:color w:val="auto"/>
          <w:sz w:val="24"/>
        </w:rPr>
        <w:t xml:space="preserve"> a </w:t>
      </w:r>
      <w:r w:rsidRPr="00235C73">
        <w:rPr>
          <w:rFonts w:ascii="Times New Roman" w:hAnsi="Times New Roman"/>
          <w:color w:val="auto"/>
          <w:sz w:val="24"/>
        </w:rPr>
        <w:t>prípadne požiadavka na vlastné zdroje</w:t>
      </w:r>
      <w:r w:rsidR="00235C73">
        <w:rPr>
          <w:rFonts w:ascii="Times New Roman" w:hAnsi="Times New Roman"/>
          <w:color w:val="auto"/>
          <w:sz w:val="24"/>
        </w:rPr>
        <w:t xml:space="preserve"> a </w:t>
      </w:r>
      <w:r w:rsidRPr="00235C73">
        <w:rPr>
          <w:rFonts w:ascii="Times New Roman" w:hAnsi="Times New Roman"/>
          <w:color w:val="auto"/>
          <w:sz w:val="24"/>
        </w:rPr>
        <w:t>oprávnené záväzky pre G-SII mimo EÚ</w:t>
      </w:r>
      <w:bookmarkStart w:id="208" w:name="_Toc14770785"/>
      <w:bookmarkEnd w:id="206"/>
      <w:bookmarkEnd w:id="208"/>
      <w:r w:rsidRPr="00235C73">
        <w:rPr>
          <w:rFonts w:ascii="Times New Roman" w:hAnsi="Times New Roman"/>
          <w:color w:val="auto"/>
          <w:sz w:val="24"/>
        </w:rPr>
        <w:t xml:space="preserve"> (interná TLAC)</w:t>
      </w:r>
      <w:r w:rsidRPr="00235C73">
        <w:t>.</w:t>
      </w:r>
      <w:bookmarkEnd w:id="207"/>
    </w:p>
    <w:p w14:paraId="4B755467" w14:textId="10210578" w:rsidR="00413CCD" w:rsidRPr="00235C73" w:rsidRDefault="00413CCD" w:rsidP="00B62DC9">
      <w:pPr>
        <w:pStyle w:val="InstructionsText2"/>
        <w:numPr>
          <w:ilvl w:val="0"/>
          <w:numId w:val="12"/>
        </w:numPr>
        <w:rPr>
          <w:noProof w:val="0"/>
        </w:rPr>
      </w:pPr>
      <w:r w:rsidRPr="00235C73">
        <w:rPr>
          <w:noProof w:val="0"/>
        </w:rPr>
        <w:t>V tomto vzore sa zverejňujú vlastné zdroje</w:t>
      </w:r>
      <w:r w:rsidR="00235C73">
        <w:rPr>
          <w:noProof w:val="0"/>
        </w:rPr>
        <w:t xml:space="preserve"> a </w:t>
      </w:r>
      <w:r w:rsidRPr="00235C73">
        <w:rPr>
          <w:noProof w:val="0"/>
        </w:rPr>
        <w:t>oprávnené záväzky subjektov, ktoré nie sú samy subjektmi, ktorých krízová situácia sa rieši, na účely požiadavky na vlastné zdroje</w:t>
      </w:r>
      <w:r w:rsidR="00235C73">
        <w:rPr>
          <w:noProof w:val="0"/>
        </w:rPr>
        <w:t xml:space="preserve"> a </w:t>
      </w:r>
      <w:r w:rsidRPr="00235C73">
        <w:rPr>
          <w:noProof w:val="0"/>
        </w:rPr>
        <w:t>oprávnené záväzky stanovenej</w:t>
      </w:r>
      <w:r w:rsidR="00235C73">
        <w:rPr>
          <w:noProof w:val="0"/>
        </w:rPr>
        <w:t xml:space="preserve"> v </w:t>
      </w:r>
      <w:r w:rsidRPr="00235C73">
        <w:rPr>
          <w:noProof w:val="0"/>
        </w:rPr>
        <w:t>článku 45f smernice 2014/59/EÚ (interná MREL), ako aj požiadavky na vlastné zdroje</w:t>
      </w:r>
      <w:r w:rsidR="00235C73">
        <w:rPr>
          <w:noProof w:val="0"/>
        </w:rPr>
        <w:t xml:space="preserve"> a </w:t>
      </w:r>
      <w:r w:rsidRPr="00235C73">
        <w:rPr>
          <w:noProof w:val="0"/>
        </w:rPr>
        <w:t>oprávnené záväzky pre G-SII mimo EÚ uplatniteľnej na významné dcérske spoločnosti G-SII</w:t>
      </w:r>
      <w:r w:rsidR="00235C73">
        <w:rPr>
          <w:noProof w:val="0"/>
        </w:rPr>
        <w:t xml:space="preserve"> z </w:t>
      </w:r>
      <w:r w:rsidRPr="00235C73">
        <w:rPr>
          <w:noProof w:val="0"/>
        </w:rPr>
        <w:t>tretích krajín stanovenej</w:t>
      </w:r>
      <w:r w:rsidR="00235C73">
        <w:rPr>
          <w:noProof w:val="0"/>
        </w:rPr>
        <w:t xml:space="preserve"> v </w:t>
      </w:r>
      <w:r w:rsidRPr="00235C73">
        <w:rPr>
          <w:noProof w:val="0"/>
        </w:rPr>
        <w:t>článku 92b nariadenia (EÚ) č. 575/2013 (interná TLAC).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FF6326" w:rsidRPr="00235C73" w14:paraId="4BB456DC" w14:textId="77777777" w:rsidTr="00F42DCD">
        <w:trPr>
          <w:trHeight w:val="238"/>
        </w:trPr>
        <w:tc>
          <w:tcPr>
            <w:tcW w:w="1384" w:type="dxa"/>
            <w:shd w:val="clear" w:color="auto" w:fill="D9D9D9" w:themeFill="background1" w:themeFillShade="D9"/>
          </w:tcPr>
          <w:p w14:paraId="0BD997C3" w14:textId="77777777" w:rsidR="00FF6326" w:rsidRPr="00235C73" w:rsidRDefault="00FF6326" w:rsidP="00F42DCD">
            <w:pPr>
              <w:autoSpaceDE w:val="0"/>
              <w:autoSpaceDN w:val="0"/>
              <w:adjustRightInd w:val="0"/>
              <w:rPr>
                <w:rFonts w:ascii="Times New Roman" w:hAnsi="Times New Roman" w:cs="Times New Roman"/>
                <w:b/>
                <w:color w:val="000000" w:themeColor="text1"/>
                <w:sz w:val="24"/>
                <w:szCs w:val="24"/>
              </w:rPr>
            </w:pPr>
            <w:r w:rsidRPr="00235C73">
              <w:rPr>
                <w:rFonts w:ascii="Times New Roman" w:hAnsi="Times New Roman"/>
                <w:b/>
                <w:color w:val="000000" w:themeColor="text1"/>
                <w:sz w:val="24"/>
              </w:rPr>
              <w:t>Stĺpce</w:t>
            </w:r>
          </w:p>
        </w:tc>
        <w:tc>
          <w:tcPr>
            <w:tcW w:w="7655" w:type="dxa"/>
            <w:shd w:val="clear" w:color="auto" w:fill="D9D9D9" w:themeFill="background1" w:themeFillShade="D9"/>
          </w:tcPr>
          <w:p w14:paraId="359FBA21" w14:textId="46FE3908" w:rsidR="00FF6326" w:rsidRPr="00235C73" w:rsidRDefault="00E46262" w:rsidP="00F42DCD">
            <w:pPr>
              <w:autoSpaceDE w:val="0"/>
              <w:autoSpaceDN w:val="0"/>
              <w:adjustRightInd w:val="0"/>
              <w:rPr>
                <w:rFonts w:ascii="Times New Roman" w:hAnsi="Times New Roman" w:cs="Times New Roman"/>
                <w:b/>
                <w:color w:val="000000" w:themeColor="text1"/>
                <w:sz w:val="24"/>
                <w:szCs w:val="24"/>
              </w:rPr>
            </w:pPr>
            <w:r w:rsidRPr="00235C73">
              <w:rPr>
                <w:rFonts w:ascii="Times New Roman" w:hAnsi="Times New Roman"/>
                <w:b/>
                <w:color w:val="000000" w:themeColor="text1"/>
                <w:sz w:val="24"/>
              </w:rPr>
              <w:t>Odkazy na právne predpisy</w:t>
            </w:r>
            <w:r w:rsidR="00235C73">
              <w:rPr>
                <w:rFonts w:ascii="Times New Roman" w:hAnsi="Times New Roman"/>
                <w:b/>
                <w:color w:val="000000" w:themeColor="text1"/>
                <w:sz w:val="24"/>
              </w:rPr>
              <w:t xml:space="preserve"> a </w:t>
            </w:r>
            <w:r w:rsidRPr="00235C73">
              <w:rPr>
                <w:rFonts w:ascii="Times New Roman" w:hAnsi="Times New Roman"/>
                <w:b/>
                <w:color w:val="000000" w:themeColor="text1"/>
                <w:sz w:val="24"/>
              </w:rPr>
              <w:t>pokyny</w:t>
            </w:r>
          </w:p>
        </w:tc>
      </w:tr>
      <w:tr w:rsidR="00FF6326" w:rsidRPr="00235C73" w14:paraId="4D038DE2" w14:textId="77777777" w:rsidTr="00F42DCD">
        <w:trPr>
          <w:trHeight w:val="637"/>
        </w:trPr>
        <w:tc>
          <w:tcPr>
            <w:tcW w:w="1384" w:type="dxa"/>
          </w:tcPr>
          <w:p w14:paraId="60750BB7" w14:textId="77777777" w:rsidR="00FF6326" w:rsidRPr="00235C73" w:rsidDel="00DE6BC1" w:rsidRDefault="00FF6326" w:rsidP="00F42DCD">
            <w:pPr>
              <w:pStyle w:val="Applicationdirecte"/>
              <w:spacing w:before="120"/>
              <w:jc w:val="center"/>
              <w:rPr>
                <w:color w:val="000000" w:themeColor="text1"/>
                <w:szCs w:val="24"/>
              </w:rPr>
            </w:pPr>
            <w:r w:rsidRPr="00235C73">
              <w:rPr>
                <w:color w:val="000000" w:themeColor="text1"/>
              </w:rPr>
              <w:t>a</w:t>
            </w:r>
          </w:p>
        </w:tc>
        <w:tc>
          <w:tcPr>
            <w:tcW w:w="7655" w:type="dxa"/>
          </w:tcPr>
          <w:p w14:paraId="054F4480" w14:textId="7B5C5B4E" w:rsidR="00FF6326" w:rsidRPr="00235C73" w:rsidRDefault="00CB1021" w:rsidP="00F90B2E">
            <w:pPr>
              <w:autoSpaceDE w:val="0"/>
              <w:autoSpaceDN w:val="0"/>
              <w:adjustRightInd w:val="0"/>
              <w:spacing w:before="120" w:after="120"/>
              <w:rPr>
                <w:rFonts w:ascii="Times New Roman" w:hAnsi="Times New Roman" w:cs="Times New Roman"/>
                <w:color w:val="000000" w:themeColor="text1"/>
                <w:sz w:val="24"/>
                <w:szCs w:val="24"/>
              </w:rPr>
            </w:pPr>
            <w:r w:rsidRPr="00235C73">
              <w:rPr>
                <w:rFonts w:ascii="Times New Roman" w:hAnsi="Times New Roman"/>
                <w:color w:val="000000" w:themeColor="text1"/>
                <w:sz w:val="24"/>
              </w:rPr>
              <w:t>Subjekty zverejňujú</w:t>
            </w:r>
            <w:r w:rsidR="00235C73">
              <w:rPr>
                <w:rFonts w:ascii="Times New Roman" w:hAnsi="Times New Roman"/>
                <w:color w:val="000000" w:themeColor="text1"/>
                <w:sz w:val="24"/>
              </w:rPr>
              <w:t xml:space="preserve"> v </w:t>
            </w:r>
            <w:r w:rsidRPr="00235C73">
              <w:rPr>
                <w:rFonts w:ascii="Times New Roman" w:hAnsi="Times New Roman"/>
                <w:color w:val="000000" w:themeColor="text1"/>
                <w:sz w:val="24"/>
              </w:rPr>
              <w:t>tomto stĺpci príslušné informácie</w:t>
            </w:r>
            <w:r w:rsidR="00235C73">
              <w:rPr>
                <w:rFonts w:ascii="Times New Roman" w:hAnsi="Times New Roman"/>
                <w:color w:val="000000" w:themeColor="text1"/>
                <w:sz w:val="24"/>
              </w:rPr>
              <w:t xml:space="preserve"> o </w:t>
            </w:r>
            <w:r w:rsidRPr="00235C73">
              <w:rPr>
                <w:rFonts w:ascii="Times New Roman" w:hAnsi="Times New Roman"/>
                <w:color w:val="000000" w:themeColor="text1"/>
                <w:sz w:val="24"/>
              </w:rPr>
              <w:t>internej MREL</w:t>
            </w:r>
            <w:r w:rsidR="00235C73">
              <w:rPr>
                <w:rFonts w:ascii="Times New Roman" w:hAnsi="Times New Roman"/>
                <w:color w:val="000000" w:themeColor="text1"/>
                <w:sz w:val="24"/>
              </w:rPr>
              <w:t xml:space="preserve"> v </w:t>
            </w:r>
            <w:r w:rsidRPr="00235C73">
              <w:rPr>
                <w:rFonts w:ascii="Times New Roman" w:hAnsi="Times New Roman"/>
                <w:color w:val="000000" w:themeColor="text1"/>
                <w:sz w:val="24"/>
              </w:rPr>
              <w:t>súlade</w:t>
            </w:r>
            <w:r w:rsidR="00235C73">
              <w:rPr>
                <w:rFonts w:ascii="Times New Roman" w:hAnsi="Times New Roman"/>
                <w:color w:val="000000" w:themeColor="text1"/>
                <w:sz w:val="24"/>
              </w:rPr>
              <w:t xml:space="preserve"> s </w:t>
            </w:r>
            <w:r w:rsidRPr="00235C73">
              <w:rPr>
                <w:rFonts w:ascii="Times New Roman" w:hAnsi="Times New Roman"/>
                <w:color w:val="000000" w:themeColor="text1"/>
                <w:sz w:val="24"/>
              </w:rPr>
              <w:t>článkami 45</w:t>
            </w:r>
            <w:r w:rsidR="00235C73">
              <w:rPr>
                <w:rFonts w:ascii="Times New Roman" w:hAnsi="Times New Roman"/>
                <w:color w:val="000000" w:themeColor="text1"/>
                <w:sz w:val="24"/>
              </w:rPr>
              <w:t xml:space="preserve"> a </w:t>
            </w:r>
            <w:r w:rsidRPr="00235C73">
              <w:rPr>
                <w:rFonts w:ascii="Times New Roman" w:hAnsi="Times New Roman"/>
                <w:color w:val="000000" w:themeColor="text1"/>
                <w:sz w:val="24"/>
              </w:rPr>
              <w:t>45f smernice 2014/59/EÚ.</w:t>
            </w:r>
          </w:p>
        </w:tc>
      </w:tr>
      <w:tr w:rsidR="00FF6326" w:rsidRPr="00235C73" w14:paraId="1546A396" w14:textId="77777777" w:rsidTr="00F42DCD">
        <w:trPr>
          <w:trHeight w:val="637"/>
        </w:trPr>
        <w:tc>
          <w:tcPr>
            <w:tcW w:w="1384" w:type="dxa"/>
          </w:tcPr>
          <w:p w14:paraId="1C66F776" w14:textId="7AB435E5" w:rsidR="00FF6326" w:rsidRPr="00235C73" w:rsidDel="00DE6BC1" w:rsidRDefault="00F90B2E" w:rsidP="00F90B2E">
            <w:pPr>
              <w:pStyle w:val="Applicationdirecte"/>
              <w:spacing w:before="120"/>
              <w:jc w:val="center"/>
              <w:rPr>
                <w:color w:val="000000" w:themeColor="text1"/>
                <w:szCs w:val="24"/>
              </w:rPr>
            </w:pPr>
            <w:r w:rsidRPr="00235C73">
              <w:rPr>
                <w:color w:val="000000" w:themeColor="text1"/>
              </w:rPr>
              <w:t>b</w:t>
            </w:r>
          </w:p>
        </w:tc>
        <w:tc>
          <w:tcPr>
            <w:tcW w:w="7655" w:type="dxa"/>
          </w:tcPr>
          <w:p w14:paraId="353033F9" w14:textId="505011EC" w:rsidR="00FF6326" w:rsidRPr="00235C73" w:rsidRDefault="00CB1021" w:rsidP="00F90B2E">
            <w:pPr>
              <w:autoSpaceDE w:val="0"/>
              <w:autoSpaceDN w:val="0"/>
              <w:adjustRightInd w:val="0"/>
              <w:spacing w:before="120" w:after="120"/>
              <w:rPr>
                <w:rFonts w:ascii="Times New Roman" w:hAnsi="Times New Roman" w:cs="Times New Roman"/>
                <w:b/>
                <w:color w:val="000000" w:themeColor="text1"/>
                <w:sz w:val="24"/>
                <w:szCs w:val="24"/>
              </w:rPr>
            </w:pPr>
            <w:r w:rsidRPr="00235C73">
              <w:rPr>
                <w:rFonts w:ascii="Times New Roman" w:hAnsi="Times New Roman"/>
                <w:color w:val="000000" w:themeColor="text1"/>
                <w:sz w:val="24"/>
              </w:rPr>
              <w:t>Subjekty, ktoré sú významnými dcérskymi spoločnosťami G-SII mimo EÚ podľa článku 92b nariadenia (EÚ) č. 575/2013, zverejňujú</w:t>
            </w:r>
            <w:r w:rsidR="00235C73">
              <w:rPr>
                <w:rFonts w:ascii="Times New Roman" w:hAnsi="Times New Roman"/>
                <w:color w:val="000000" w:themeColor="text1"/>
                <w:sz w:val="24"/>
              </w:rPr>
              <w:t xml:space="preserve"> v </w:t>
            </w:r>
            <w:r w:rsidRPr="00235C73">
              <w:rPr>
                <w:rFonts w:ascii="Times New Roman" w:hAnsi="Times New Roman"/>
                <w:color w:val="000000" w:themeColor="text1"/>
                <w:sz w:val="24"/>
              </w:rPr>
              <w:t>tomto stĺpci príslušné informácie</w:t>
            </w:r>
            <w:r w:rsidR="00235C73">
              <w:rPr>
                <w:rFonts w:ascii="Times New Roman" w:hAnsi="Times New Roman"/>
                <w:color w:val="000000" w:themeColor="text1"/>
                <w:sz w:val="24"/>
              </w:rPr>
              <w:t xml:space="preserve"> o </w:t>
            </w:r>
            <w:r w:rsidRPr="00235C73">
              <w:rPr>
                <w:rFonts w:ascii="Times New Roman" w:hAnsi="Times New Roman"/>
                <w:color w:val="000000" w:themeColor="text1"/>
                <w:sz w:val="24"/>
              </w:rPr>
              <w:t>internej TLAC</w:t>
            </w:r>
            <w:r w:rsidR="00235C73">
              <w:rPr>
                <w:rFonts w:ascii="Times New Roman" w:hAnsi="Times New Roman"/>
                <w:color w:val="000000" w:themeColor="text1"/>
                <w:sz w:val="24"/>
              </w:rPr>
              <w:t xml:space="preserve"> v </w:t>
            </w:r>
            <w:r w:rsidRPr="00235C73">
              <w:rPr>
                <w:rFonts w:ascii="Times New Roman" w:hAnsi="Times New Roman"/>
                <w:color w:val="000000" w:themeColor="text1"/>
                <w:sz w:val="24"/>
              </w:rPr>
              <w:t>súlade</w:t>
            </w:r>
            <w:r w:rsidR="00235C73">
              <w:rPr>
                <w:rFonts w:ascii="Times New Roman" w:hAnsi="Times New Roman"/>
                <w:color w:val="000000" w:themeColor="text1"/>
                <w:sz w:val="24"/>
              </w:rPr>
              <w:t xml:space="preserve"> s </w:t>
            </w:r>
            <w:r w:rsidRPr="00235C73">
              <w:rPr>
                <w:rFonts w:ascii="Times New Roman" w:hAnsi="Times New Roman"/>
                <w:color w:val="000000" w:themeColor="text1"/>
                <w:sz w:val="24"/>
              </w:rPr>
              <w:t xml:space="preserve">článkom 92b nariadenia (EÚ) č. 575/2013. </w:t>
            </w:r>
          </w:p>
        </w:tc>
      </w:tr>
      <w:tr w:rsidR="00FF6326" w:rsidRPr="00235C73" w14:paraId="22E6AD38" w14:textId="77777777" w:rsidTr="00F42DCD">
        <w:trPr>
          <w:trHeight w:val="637"/>
        </w:trPr>
        <w:tc>
          <w:tcPr>
            <w:tcW w:w="1384" w:type="dxa"/>
          </w:tcPr>
          <w:p w14:paraId="51FE79F2" w14:textId="77777777" w:rsidR="00FF6326" w:rsidRPr="00235C73" w:rsidDel="00DE6BC1" w:rsidRDefault="00FF6326" w:rsidP="00F42DCD">
            <w:pPr>
              <w:pStyle w:val="Applicationdirecte"/>
              <w:spacing w:before="120"/>
              <w:jc w:val="center"/>
              <w:rPr>
                <w:color w:val="000000" w:themeColor="text1"/>
                <w:szCs w:val="24"/>
              </w:rPr>
            </w:pPr>
            <w:r w:rsidRPr="00235C73">
              <w:rPr>
                <w:color w:val="000000" w:themeColor="text1"/>
              </w:rPr>
              <w:t>c</w:t>
            </w:r>
          </w:p>
        </w:tc>
        <w:tc>
          <w:tcPr>
            <w:tcW w:w="7655" w:type="dxa"/>
          </w:tcPr>
          <w:p w14:paraId="5128BCFA" w14:textId="098AA9E3" w:rsidR="00FF6326" w:rsidRPr="00235C73" w:rsidRDefault="00560736" w:rsidP="00BF6482">
            <w:pPr>
              <w:autoSpaceDE w:val="0"/>
              <w:autoSpaceDN w:val="0"/>
              <w:adjustRightInd w:val="0"/>
              <w:spacing w:before="120" w:after="120"/>
              <w:rPr>
                <w:sz w:val="24"/>
                <w:szCs w:val="24"/>
              </w:rPr>
            </w:pPr>
            <w:r w:rsidRPr="00235C73">
              <w:rPr>
                <w:rFonts w:ascii="Times New Roman" w:hAnsi="Times New Roman"/>
                <w:color w:val="000000" w:themeColor="text1"/>
                <w:sz w:val="24"/>
              </w:rPr>
              <w:t>Kvalitatívne informácie</w:t>
            </w:r>
            <w:r w:rsidRPr="00235C73">
              <w:rPr>
                <w:sz w:val="24"/>
              </w:rPr>
              <w:t xml:space="preserve"> </w:t>
            </w:r>
            <w:r w:rsidRPr="00235C73">
              <w:rPr>
                <w:rFonts w:ascii="Times New Roman" w:hAnsi="Times New Roman"/>
                <w:color w:val="000000" w:themeColor="text1"/>
                <w:sz w:val="24"/>
              </w:rPr>
              <w:t>týkajúce sa uplatniteľnej požiadavky</w:t>
            </w:r>
            <w:r w:rsidR="00235C73">
              <w:rPr>
                <w:rFonts w:ascii="Times New Roman" w:hAnsi="Times New Roman"/>
                <w:color w:val="000000" w:themeColor="text1"/>
                <w:sz w:val="24"/>
              </w:rPr>
              <w:t xml:space="preserve"> a </w:t>
            </w:r>
            <w:r w:rsidRPr="00235C73">
              <w:rPr>
                <w:rFonts w:ascii="Times New Roman" w:hAnsi="Times New Roman"/>
                <w:color w:val="000000" w:themeColor="text1"/>
                <w:sz w:val="24"/>
              </w:rPr>
              <w:t>úrovne uplatňovania.</w:t>
            </w:r>
          </w:p>
        </w:tc>
      </w:tr>
    </w:tbl>
    <w:p w14:paraId="11222185" w14:textId="77777777" w:rsidR="00FF6326" w:rsidRPr="00235C73" w:rsidRDefault="00FF6326" w:rsidP="00FF6326">
      <w:pPr>
        <w:jc w:val="both"/>
        <w:rPr>
          <w:rFonts w:ascii="Times New Roman" w:hAnsi="Times New Roman" w:cs="Times New Roman"/>
          <w:bCs/>
          <w:color w:val="000000" w:themeColor="text1"/>
          <w:sz w:val="24"/>
          <w:szCs w:val="24"/>
        </w:rPr>
      </w:pPr>
    </w:p>
    <w:p w14:paraId="607A36F9" w14:textId="7120601E" w:rsidR="0082003D" w:rsidRPr="00235C73" w:rsidRDefault="0082003D" w:rsidP="005C7641">
      <w:pPr>
        <w:jc w:val="both"/>
        <w:rPr>
          <w:rFonts w:ascii="Times New Roman" w:hAnsi="Times New Roman" w:cs="Times New Roman"/>
          <w:bCs/>
          <w:i/>
          <w:color w:val="000000" w:themeColor="text1"/>
          <w:sz w:val="24"/>
          <w:szCs w:val="24"/>
        </w:rPr>
      </w:pPr>
    </w:p>
    <w:tbl>
      <w:tblPr>
        <w:tblStyle w:val="TableGrid"/>
        <w:tblW w:w="0" w:type="auto"/>
        <w:tblInd w:w="10"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119"/>
        <w:gridCol w:w="7642"/>
      </w:tblGrid>
      <w:tr w:rsidR="00026FC1" w:rsidRPr="00235C73" w14:paraId="0EE47F56" w14:textId="77777777" w:rsidTr="002A065A">
        <w:trPr>
          <w:cnfStyle w:val="100000000000" w:firstRow="1" w:lastRow="0" w:firstColumn="0" w:lastColumn="0" w:oddVBand="0" w:evenVBand="0" w:oddHBand="0" w:evenHBand="0" w:firstRowFirstColumn="0" w:firstRowLastColumn="0" w:lastRowFirstColumn="0" w:lastRowLastColumn="0"/>
        </w:trPr>
        <w:tc>
          <w:tcPr>
            <w:tcW w:w="1109" w:type="dxa"/>
            <w:tcBorders>
              <w:top w:val="single" w:sz="4" w:space="0" w:color="auto"/>
              <w:left w:val="single" w:sz="4" w:space="0" w:color="auto"/>
              <w:right w:val="single" w:sz="4" w:space="0" w:color="auto"/>
            </w:tcBorders>
            <w:shd w:val="clear" w:color="auto" w:fill="D9D9D9" w:themeFill="background1" w:themeFillShade="D9"/>
          </w:tcPr>
          <w:p w14:paraId="46A7BCFB" w14:textId="77777777" w:rsidR="0067351E" w:rsidRPr="00235C73" w:rsidRDefault="0067351E" w:rsidP="00EF47A4">
            <w:pPr>
              <w:autoSpaceDE w:val="0"/>
              <w:autoSpaceDN w:val="0"/>
              <w:adjustRightInd w:val="0"/>
              <w:rPr>
                <w:rFonts w:ascii="Times New Roman" w:hAnsi="Times New Roman" w:cs="Times New Roman"/>
                <w:b/>
                <w:color w:val="000000" w:themeColor="text1"/>
                <w:sz w:val="24"/>
                <w:szCs w:val="24"/>
                <w:lang w:val="sk-SK"/>
              </w:rPr>
            </w:pPr>
            <w:r w:rsidRPr="00235C73">
              <w:rPr>
                <w:rFonts w:ascii="Times New Roman" w:hAnsi="Times New Roman"/>
                <w:b/>
                <w:color w:val="000000" w:themeColor="text1"/>
                <w:sz w:val="24"/>
                <w:lang w:val="sk-SK"/>
              </w:rPr>
              <w:t xml:space="preserve">Riadok </w:t>
            </w:r>
          </w:p>
        </w:tc>
        <w:tc>
          <w:tcPr>
            <w:tcW w:w="7642" w:type="dxa"/>
            <w:tcBorders>
              <w:top w:val="single" w:sz="4" w:space="0" w:color="auto"/>
              <w:left w:val="single" w:sz="4" w:space="0" w:color="auto"/>
              <w:right w:val="single" w:sz="4" w:space="0" w:color="auto"/>
            </w:tcBorders>
            <w:shd w:val="clear" w:color="auto" w:fill="D9D9D9" w:themeFill="background1" w:themeFillShade="D9"/>
          </w:tcPr>
          <w:p w14:paraId="2C09CC04" w14:textId="5C28500B" w:rsidR="0067351E" w:rsidRPr="00235C73" w:rsidRDefault="00E46262" w:rsidP="00EF47A4">
            <w:pPr>
              <w:autoSpaceDE w:val="0"/>
              <w:autoSpaceDN w:val="0"/>
              <w:adjustRightInd w:val="0"/>
              <w:rPr>
                <w:rFonts w:ascii="Times New Roman" w:hAnsi="Times New Roman" w:cs="Times New Roman"/>
                <w:b/>
                <w:color w:val="000000" w:themeColor="text1"/>
                <w:sz w:val="24"/>
                <w:szCs w:val="24"/>
                <w:lang w:val="sk-SK"/>
              </w:rPr>
            </w:pPr>
            <w:r w:rsidRPr="00235C73">
              <w:rPr>
                <w:rFonts w:ascii="Times New Roman" w:hAnsi="Times New Roman"/>
                <w:b/>
                <w:color w:val="000000" w:themeColor="text1"/>
                <w:sz w:val="24"/>
                <w:lang w:val="sk-SK"/>
              </w:rPr>
              <w:t>Odkazy na právne predpisy</w:t>
            </w:r>
            <w:r w:rsidR="00235C73">
              <w:rPr>
                <w:rFonts w:ascii="Times New Roman" w:hAnsi="Times New Roman"/>
                <w:b/>
                <w:color w:val="000000" w:themeColor="text1"/>
                <w:sz w:val="24"/>
                <w:lang w:val="sk-SK"/>
              </w:rPr>
              <w:t xml:space="preserve"> a </w:t>
            </w:r>
            <w:r w:rsidRPr="00235C73">
              <w:rPr>
                <w:rFonts w:ascii="Times New Roman" w:hAnsi="Times New Roman"/>
                <w:b/>
                <w:color w:val="000000" w:themeColor="text1"/>
                <w:sz w:val="24"/>
                <w:lang w:val="sk-SK"/>
              </w:rPr>
              <w:t>pokyny</w:t>
            </w:r>
          </w:p>
        </w:tc>
      </w:tr>
      <w:tr w:rsidR="005D18F8" w:rsidRPr="00235C73" w14:paraId="4273A8E3" w14:textId="77777777" w:rsidTr="002A065A">
        <w:tc>
          <w:tcPr>
            <w:tcW w:w="1109" w:type="dxa"/>
            <w:vAlign w:val="top"/>
          </w:tcPr>
          <w:p w14:paraId="6FB9A622" w14:textId="17181A2D" w:rsidR="005D18F8" w:rsidRPr="00235C73" w:rsidRDefault="005D18F8" w:rsidP="00644B02">
            <w:pPr>
              <w:rPr>
                <w:rFonts w:ascii="Times New Roman" w:hAnsi="Times New Roman" w:cs="Times New Roman"/>
                <w:color w:val="000000" w:themeColor="text1"/>
                <w:sz w:val="24"/>
                <w:szCs w:val="24"/>
                <w:lang w:val="sk-SK"/>
              </w:rPr>
            </w:pPr>
            <w:r w:rsidRPr="00235C73">
              <w:rPr>
                <w:rFonts w:ascii="Times New Roman" w:hAnsi="Times New Roman"/>
                <w:sz w:val="24"/>
                <w:lang w:val="sk-SK"/>
              </w:rPr>
              <w:t>EU-1</w:t>
            </w:r>
          </w:p>
        </w:tc>
        <w:tc>
          <w:tcPr>
            <w:tcW w:w="7642" w:type="dxa"/>
          </w:tcPr>
          <w:p w14:paraId="33FA642D" w14:textId="66A2A3A9" w:rsidR="005D18F8" w:rsidRPr="00235C73" w:rsidRDefault="005D18F8" w:rsidP="005D18F8">
            <w:pPr>
              <w:rPr>
                <w:rFonts w:ascii="Times New Roman" w:hAnsi="Times New Roman" w:cs="Times New Roman"/>
                <w:b/>
                <w:color w:val="000000" w:themeColor="text1"/>
                <w:sz w:val="24"/>
                <w:szCs w:val="24"/>
                <w:lang w:val="sk-SK"/>
              </w:rPr>
            </w:pPr>
            <w:r w:rsidRPr="00235C73">
              <w:rPr>
                <w:rFonts w:ascii="Times New Roman" w:hAnsi="Times New Roman"/>
                <w:b/>
                <w:color w:val="000000" w:themeColor="text1"/>
                <w:sz w:val="24"/>
                <w:lang w:val="sk-SK"/>
              </w:rPr>
              <w:t>Vzťahuje sa na subjekt požiadavka na vlastné zdroje</w:t>
            </w:r>
            <w:r w:rsidR="00235C73">
              <w:rPr>
                <w:rFonts w:ascii="Times New Roman" w:hAnsi="Times New Roman"/>
                <w:b/>
                <w:color w:val="000000" w:themeColor="text1"/>
                <w:sz w:val="24"/>
                <w:lang w:val="sk-SK"/>
              </w:rPr>
              <w:t xml:space="preserve"> a </w:t>
            </w:r>
            <w:r w:rsidRPr="00235C73">
              <w:rPr>
                <w:rFonts w:ascii="Times New Roman" w:hAnsi="Times New Roman"/>
                <w:b/>
                <w:color w:val="000000" w:themeColor="text1"/>
                <w:sz w:val="24"/>
                <w:lang w:val="sk-SK"/>
              </w:rPr>
              <w:t>oprávnené záväzky pre G-SII mimo EÚ? (ÁNO/NIE)</w:t>
            </w:r>
          </w:p>
          <w:p w14:paraId="402765A8" w14:textId="18BBC101" w:rsidR="005D18F8" w:rsidRPr="00235C73" w:rsidRDefault="005D18F8" w:rsidP="00F90B2E">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Údaj</w:t>
            </w:r>
            <w:r w:rsidR="00235C73">
              <w:rPr>
                <w:rFonts w:ascii="Times New Roman" w:hAnsi="Times New Roman"/>
                <w:color w:val="000000" w:themeColor="text1"/>
                <w:sz w:val="24"/>
                <w:lang w:val="sk-SK"/>
              </w:rPr>
              <w:t xml:space="preserve"> o </w:t>
            </w:r>
            <w:r w:rsidRPr="00235C73">
              <w:rPr>
                <w:rFonts w:ascii="Times New Roman" w:hAnsi="Times New Roman"/>
                <w:color w:val="000000" w:themeColor="text1"/>
                <w:sz w:val="24"/>
                <w:lang w:val="sk-SK"/>
              </w:rPr>
              <w:t>tom, či sa na subjekt vzťahuje požiadavka na internú TLAC podľa článku 92b nariadenia (EÚ) č. 575/2013.</w:t>
            </w:r>
          </w:p>
        </w:tc>
      </w:tr>
      <w:tr w:rsidR="005D18F8" w:rsidRPr="00235C73" w14:paraId="753D9E0C" w14:textId="77777777" w:rsidTr="002A065A">
        <w:tc>
          <w:tcPr>
            <w:tcW w:w="1109" w:type="dxa"/>
            <w:vAlign w:val="top"/>
          </w:tcPr>
          <w:p w14:paraId="4D6276FA" w14:textId="29D2C84A" w:rsidR="005D18F8" w:rsidRPr="00235C73" w:rsidRDefault="005D18F8" w:rsidP="00644B02">
            <w:pPr>
              <w:rPr>
                <w:rFonts w:ascii="Times New Roman" w:hAnsi="Times New Roman" w:cs="Times New Roman"/>
                <w:color w:val="000000" w:themeColor="text1"/>
                <w:sz w:val="24"/>
                <w:szCs w:val="24"/>
                <w:lang w:val="sk-SK"/>
              </w:rPr>
            </w:pPr>
            <w:r w:rsidRPr="00235C73">
              <w:rPr>
                <w:rFonts w:ascii="Times New Roman" w:hAnsi="Times New Roman"/>
                <w:sz w:val="24"/>
                <w:lang w:val="sk-SK"/>
              </w:rPr>
              <w:t>EU-2</w:t>
            </w:r>
          </w:p>
        </w:tc>
        <w:tc>
          <w:tcPr>
            <w:tcW w:w="7642" w:type="dxa"/>
          </w:tcPr>
          <w:p w14:paraId="5580A119" w14:textId="7D46D810" w:rsidR="005D18F8" w:rsidRPr="00235C73" w:rsidRDefault="005D18F8" w:rsidP="005D18F8">
            <w:pPr>
              <w:rPr>
                <w:rFonts w:ascii="Times New Roman" w:hAnsi="Times New Roman" w:cs="Times New Roman"/>
                <w:b/>
                <w:color w:val="000000" w:themeColor="text1"/>
                <w:sz w:val="24"/>
                <w:szCs w:val="24"/>
                <w:lang w:val="sk-SK"/>
              </w:rPr>
            </w:pPr>
            <w:r w:rsidRPr="00235C73">
              <w:rPr>
                <w:rFonts w:ascii="Times New Roman" w:hAnsi="Times New Roman"/>
                <w:b/>
                <w:color w:val="000000" w:themeColor="text1"/>
                <w:sz w:val="24"/>
                <w:lang w:val="sk-SK"/>
              </w:rPr>
              <w:t>Ak je</w:t>
            </w:r>
            <w:r w:rsidR="00235C73">
              <w:rPr>
                <w:rFonts w:ascii="Times New Roman" w:hAnsi="Times New Roman"/>
                <w:b/>
                <w:color w:val="000000" w:themeColor="text1"/>
                <w:sz w:val="24"/>
                <w:lang w:val="sk-SK"/>
              </w:rPr>
              <w:t xml:space="preserve"> v </w:t>
            </w:r>
            <w:r w:rsidRPr="00235C73">
              <w:rPr>
                <w:rFonts w:ascii="Times New Roman" w:hAnsi="Times New Roman"/>
                <w:b/>
                <w:color w:val="000000" w:themeColor="text1"/>
                <w:sz w:val="24"/>
                <w:lang w:val="sk-SK"/>
              </w:rPr>
              <w:t>riadku EU-1 uvedená odpoveď „áno“, je požiadavka uplatniteľná na konsolidovanom alebo individuálnom základe? (K/I)</w:t>
            </w:r>
          </w:p>
          <w:p w14:paraId="16349591" w14:textId="6345361D" w:rsidR="005D18F8" w:rsidRPr="00235C73" w:rsidRDefault="005D18F8" w:rsidP="005D18F8">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Údaj</w:t>
            </w:r>
            <w:r w:rsidR="00235C73">
              <w:rPr>
                <w:rFonts w:ascii="Times New Roman" w:hAnsi="Times New Roman"/>
                <w:color w:val="000000" w:themeColor="text1"/>
                <w:sz w:val="24"/>
                <w:lang w:val="sk-SK"/>
              </w:rPr>
              <w:t xml:space="preserve"> o </w:t>
            </w:r>
            <w:r w:rsidRPr="00235C73">
              <w:rPr>
                <w:rFonts w:ascii="Times New Roman" w:hAnsi="Times New Roman"/>
                <w:color w:val="000000" w:themeColor="text1"/>
                <w:sz w:val="24"/>
                <w:lang w:val="sk-SK"/>
              </w:rPr>
              <w:t>tom, či sa podľa článku 18 nariadenia (EÚ) č. 575/2013 na subjekt vzťahuje požiadavka na internú TLAC na konsolidovanom alebo individuálnom základe.</w:t>
            </w:r>
          </w:p>
          <w:p w14:paraId="557B461D" w14:textId="56401367" w:rsidR="005D18F8" w:rsidRPr="00235C73" w:rsidRDefault="005D18F8" w:rsidP="00282ED2">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lastRenderedPageBreak/>
              <w:t>Ak ide</w:t>
            </w:r>
            <w:r w:rsidR="00235C73">
              <w:rPr>
                <w:rFonts w:ascii="Times New Roman" w:hAnsi="Times New Roman"/>
                <w:color w:val="000000" w:themeColor="text1"/>
                <w:sz w:val="24"/>
                <w:lang w:val="sk-SK"/>
              </w:rPr>
              <w:t xml:space="preserve"> o </w:t>
            </w:r>
            <w:r w:rsidRPr="00235C73">
              <w:rPr>
                <w:rFonts w:ascii="Times New Roman" w:hAnsi="Times New Roman"/>
                <w:color w:val="000000" w:themeColor="text1"/>
                <w:sz w:val="24"/>
                <w:lang w:val="sk-SK"/>
              </w:rPr>
              <w:t>požiadavku na konsolidovanom základe, celý tento vzor sa vypĺňa na konsolidovanom základe. Vo všetkých ostatných prípadoch sa tento vzor vypĺňa na individuálnom základe.</w:t>
            </w:r>
          </w:p>
        </w:tc>
      </w:tr>
      <w:tr w:rsidR="005C4469" w:rsidRPr="00235C73" w14:paraId="3EFBB389" w14:textId="77777777" w:rsidTr="002A065A">
        <w:tc>
          <w:tcPr>
            <w:tcW w:w="1109" w:type="dxa"/>
            <w:vAlign w:val="top"/>
          </w:tcPr>
          <w:p w14:paraId="5EB99A90" w14:textId="2812B763" w:rsidR="005C4469" w:rsidRPr="00235C73" w:rsidRDefault="005C4469" w:rsidP="00644B02">
            <w:pPr>
              <w:rPr>
                <w:rFonts w:ascii="Times New Roman" w:hAnsi="Times New Roman" w:cs="Times New Roman"/>
                <w:color w:val="000000" w:themeColor="text1"/>
                <w:sz w:val="24"/>
                <w:szCs w:val="24"/>
                <w:lang w:val="sk-SK"/>
              </w:rPr>
            </w:pPr>
            <w:r w:rsidRPr="00235C73">
              <w:rPr>
                <w:rFonts w:ascii="Times New Roman" w:hAnsi="Times New Roman"/>
                <w:sz w:val="24"/>
                <w:lang w:val="sk-SK"/>
              </w:rPr>
              <w:lastRenderedPageBreak/>
              <w:t>EU-2a</w:t>
            </w:r>
          </w:p>
        </w:tc>
        <w:tc>
          <w:tcPr>
            <w:tcW w:w="7642" w:type="dxa"/>
          </w:tcPr>
          <w:p w14:paraId="116B6FE4" w14:textId="5D78B194" w:rsidR="005C4469" w:rsidRPr="00235C73" w:rsidRDefault="005C4469" w:rsidP="0067299C">
            <w:pPr>
              <w:rPr>
                <w:rFonts w:ascii="Times New Roman" w:hAnsi="Times New Roman" w:cs="Times New Roman"/>
                <w:b/>
                <w:color w:val="000000" w:themeColor="text1"/>
                <w:sz w:val="24"/>
                <w:szCs w:val="24"/>
                <w:lang w:val="sk-SK"/>
              </w:rPr>
            </w:pPr>
            <w:r w:rsidRPr="00235C73">
              <w:rPr>
                <w:rFonts w:ascii="Times New Roman" w:hAnsi="Times New Roman"/>
                <w:b/>
                <w:color w:val="000000" w:themeColor="text1"/>
                <w:sz w:val="24"/>
                <w:lang w:val="sk-SK"/>
              </w:rPr>
              <w:t>Vzťahuje sa na subjekt interná MREL? (ÁNO/NIE)</w:t>
            </w:r>
          </w:p>
          <w:p w14:paraId="61B02EAE" w14:textId="6A09A82E" w:rsidR="005C4469" w:rsidRPr="00235C73" w:rsidRDefault="005C4469" w:rsidP="00B24DB1">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Údaj</w:t>
            </w:r>
            <w:r w:rsidR="00235C73">
              <w:rPr>
                <w:rFonts w:ascii="Times New Roman" w:hAnsi="Times New Roman"/>
                <w:color w:val="000000" w:themeColor="text1"/>
                <w:sz w:val="24"/>
                <w:lang w:val="sk-SK"/>
              </w:rPr>
              <w:t xml:space="preserve"> o </w:t>
            </w:r>
            <w:r w:rsidRPr="00235C73">
              <w:rPr>
                <w:rFonts w:ascii="Times New Roman" w:hAnsi="Times New Roman"/>
                <w:color w:val="000000" w:themeColor="text1"/>
                <w:sz w:val="24"/>
                <w:lang w:val="sk-SK"/>
              </w:rPr>
              <w:t>tom, či sa na subjekt vzťahuje MREL podľa článku 45</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článku 45f smernice 2014/59/EÚ.</w:t>
            </w:r>
          </w:p>
        </w:tc>
      </w:tr>
      <w:tr w:rsidR="005C4469" w:rsidRPr="00235C73" w14:paraId="1E79865E" w14:textId="77777777" w:rsidTr="002A065A">
        <w:tc>
          <w:tcPr>
            <w:tcW w:w="1109" w:type="dxa"/>
            <w:vAlign w:val="top"/>
          </w:tcPr>
          <w:p w14:paraId="59235EF1" w14:textId="1C47DD13" w:rsidR="005C4469" w:rsidRPr="00235C73" w:rsidRDefault="005C4469" w:rsidP="00644B02">
            <w:pPr>
              <w:rPr>
                <w:rFonts w:ascii="Times New Roman" w:hAnsi="Times New Roman" w:cs="Times New Roman"/>
                <w:color w:val="000000" w:themeColor="text1"/>
                <w:sz w:val="24"/>
                <w:szCs w:val="24"/>
                <w:lang w:val="sk-SK"/>
              </w:rPr>
            </w:pPr>
            <w:r w:rsidRPr="00235C73">
              <w:rPr>
                <w:rFonts w:ascii="Times New Roman" w:hAnsi="Times New Roman"/>
                <w:sz w:val="24"/>
                <w:lang w:val="sk-SK"/>
              </w:rPr>
              <w:t>EU-2b</w:t>
            </w:r>
          </w:p>
        </w:tc>
        <w:tc>
          <w:tcPr>
            <w:tcW w:w="7642" w:type="dxa"/>
          </w:tcPr>
          <w:p w14:paraId="3CFE2B07" w14:textId="0B90693D" w:rsidR="005C4469" w:rsidRPr="00235C73" w:rsidRDefault="005C4469" w:rsidP="0067299C">
            <w:pPr>
              <w:rPr>
                <w:rFonts w:ascii="Times New Roman" w:hAnsi="Times New Roman" w:cs="Times New Roman"/>
                <w:b/>
                <w:color w:val="000000" w:themeColor="text1"/>
                <w:sz w:val="24"/>
                <w:szCs w:val="24"/>
                <w:lang w:val="sk-SK"/>
              </w:rPr>
            </w:pPr>
            <w:r w:rsidRPr="00235C73">
              <w:rPr>
                <w:rFonts w:ascii="Times New Roman" w:hAnsi="Times New Roman"/>
                <w:b/>
                <w:color w:val="000000" w:themeColor="text1"/>
                <w:sz w:val="24"/>
                <w:lang w:val="sk-SK"/>
              </w:rPr>
              <w:t>Ak je</w:t>
            </w:r>
            <w:r w:rsidR="00235C73">
              <w:rPr>
                <w:rFonts w:ascii="Times New Roman" w:hAnsi="Times New Roman"/>
                <w:b/>
                <w:color w:val="000000" w:themeColor="text1"/>
                <w:sz w:val="24"/>
                <w:lang w:val="sk-SK"/>
              </w:rPr>
              <w:t xml:space="preserve"> v </w:t>
            </w:r>
            <w:r w:rsidRPr="00235C73">
              <w:rPr>
                <w:rFonts w:ascii="Times New Roman" w:hAnsi="Times New Roman"/>
                <w:b/>
                <w:color w:val="000000" w:themeColor="text1"/>
                <w:sz w:val="24"/>
                <w:lang w:val="sk-SK"/>
              </w:rPr>
              <w:t>riadku EU-2a uvedená odpoveď „áno“, je požiadavka uplatniteľná na konsolidovanom alebo individuálnom základe? (K/I)</w:t>
            </w:r>
          </w:p>
          <w:p w14:paraId="7DC57F76" w14:textId="24920E7A" w:rsidR="005C4469" w:rsidRPr="00235C73" w:rsidRDefault="005C4469" w:rsidP="0067299C">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Údaj</w:t>
            </w:r>
            <w:r w:rsidR="00235C73">
              <w:rPr>
                <w:rFonts w:ascii="Times New Roman" w:hAnsi="Times New Roman"/>
                <w:color w:val="000000" w:themeColor="text1"/>
                <w:sz w:val="24"/>
                <w:lang w:val="sk-SK"/>
              </w:rPr>
              <w:t xml:space="preserve"> o </w:t>
            </w:r>
            <w:r w:rsidRPr="00235C73">
              <w:rPr>
                <w:rFonts w:ascii="Times New Roman" w:hAnsi="Times New Roman"/>
                <w:color w:val="000000" w:themeColor="text1"/>
                <w:sz w:val="24"/>
                <w:lang w:val="sk-SK"/>
              </w:rPr>
              <w:t>tom, či sa na subjekt vzťahuje interná MREL na konsolidovanom alebo individuálnom základe.</w:t>
            </w:r>
          </w:p>
          <w:p w14:paraId="4FC6F388" w14:textId="0DA5BA48" w:rsidR="005C4469" w:rsidRPr="00235C73" w:rsidRDefault="005C4469" w:rsidP="0067299C">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Ak ide</w:t>
            </w:r>
            <w:r w:rsidR="00235C73">
              <w:rPr>
                <w:rFonts w:ascii="Times New Roman" w:hAnsi="Times New Roman"/>
                <w:color w:val="000000" w:themeColor="text1"/>
                <w:sz w:val="24"/>
                <w:lang w:val="sk-SK"/>
              </w:rPr>
              <w:t xml:space="preserve"> o </w:t>
            </w:r>
            <w:r w:rsidRPr="00235C73">
              <w:rPr>
                <w:rFonts w:ascii="Times New Roman" w:hAnsi="Times New Roman"/>
                <w:color w:val="000000" w:themeColor="text1"/>
                <w:sz w:val="24"/>
                <w:lang w:val="sk-SK"/>
              </w:rPr>
              <w:t>požiadavku na konsolidovanom základe, celý tento vzor sa vypĺňa na konsolidovanom základe. Vo všetkých ostatných prípadoch sa tento vzor vypĺňa na individuálnom základe.</w:t>
            </w:r>
          </w:p>
        </w:tc>
      </w:tr>
      <w:tr w:rsidR="005D18F8" w:rsidRPr="00235C73" w14:paraId="4F5D32F0" w14:textId="77777777" w:rsidTr="002A065A">
        <w:tc>
          <w:tcPr>
            <w:tcW w:w="1109" w:type="dxa"/>
            <w:vAlign w:val="top"/>
          </w:tcPr>
          <w:p w14:paraId="6EF5BD76" w14:textId="64835762" w:rsidR="005D18F8" w:rsidRPr="00235C73" w:rsidRDefault="005D18F8" w:rsidP="00644B02">
            <w:pPr>
              <w:rPr>
                <w:rFonts w:ascii="Times New Roman" w:hAnsi="Times New Roman" w:cs="Times New Roman"/>
                <w:color w:val="000000" w:themeColor="text1"/>
                <w:sz w:val="24"/>
                <w:szCs w:val="24"/>
                <w:lang w:val="sk-SK"/>
              </w:rPr>
            </w:pPr>
            <w:r w:rsidRPr="00235C73">
              <w:rPr>
                <w:rFonts w:ascii="Times New Roman" w:hAnsi="Times New Roman"/>
                <w:sz w:val="24"/>
                <w:lang w:val="sk-SK"/>
              </w:rPr>
              <w:t>EU-3</w:t>
            </w:r>
          </w:p>
        </w:tc>
        <w:tc>
          <w:tcPr>
            <w:tcW w:w="7642" w:type="dxa"/>
          </w:tcPr>
          <w:p w14:paraId="6472530C" w14:textId="5849D3C6" w:rsidR="005D18F8" w:rsidRPr="00235C73" w:rsidRDefault="005D18F8" w:rsidP="005D18F8">
            <w:pPr>
              <w:rPr>
                <w:rFonts w:ascii="Times New Roman" w:hAnsi="Times New Roman" w:cs="Times New Roman"/>
                <w:b/>
                <w:color w:val="000000" w:themeColor="text1"/>
                <w:sz w:val="24"/>
                <w:szCs w:val="24"/>
                <w:lang w:val="sk-SK"/>
              </w:rPr>
            </w:pPr>
            <w:r w:rsidRPr="00235C73">
              <w:rPr>
                <w:rFonts w:ascii="Times New Roman" w:hAnsi="Times New Roman"/>
                <w:b/>
                <w:color w:val="000000" w:themeColor="text1"/>
                <w:sz w:val="24"/>
                <w:lang w:val="sk-SK"/>
              </w:rPr>
              <w:t>Vlastný kapitál TIER 1 (CET1)</w:t>
            </w:r>
          </w:p>
          <w:p w14:paraId="071B676A" w14:textId="2ECC0EBE" w:rsidR="005D18F8" w:rsidRPr="00235C73" w:rsidRDefault="003D0BF6" w:rsidP="005D18F8">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Článok 50 nariadenia (EÚ) č. 575/2013</w:t>
            </w:r>
          </w:p>
          <w:p w14:paraId="224515AC" w14:textId="3B66CE0C" w:rsidR="005D18F8" w:rsidRPr="00235C73" w:rsidRDefault="005D18F8" w:rsidP="00FF6326">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Kapitál CET1 na individuálnom alebo prípadne konsolidovanom základe</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súlade</w:t>
            </w:r>
            <w:r w:rsidR="00235C73">
              <w:rPr>
                <w:rFonts w:ascii="Times New Roman" w:hAnsi="Times New Roman"/>
                <w:color w:val="000000" w:themeColor="text1"/>
                <w:sz w:val="24"/>
                <w:lang w:val="sk-SK"/>
              </w:rPr>
              <w:t xml:space="preserve"> s </w:t>
            </w:r>
            <w:r w:rsidRPr="00235C73">
              <w:rPr>
                <w:rFonts w:ascii="Times New Roman" w:hAnsi="Times New Roman"/>
                <w:color w:val="000000" w:themeColor="text1"/>
                <w:sz w:val="24"/>
                <w:lang w:val="sk-SK"/>
              </w:rPr>
              <w:t>článkom 50 nariadenia (EÚ) č. 575/2013.</w:t>
            </w:r>
          </w:p>
        </w:tc>
      </w:tr>
      <w:tr w:rsidR="005D18F8" w:rsidRPr="00235C73" w14:paraId="65D6A57F" w14:textId="77777777" w:rsidTr="002A065A">
        <w:tc>
          <w:tcPr>
            <w:tcW w:w="1109" w:type="dxa"/>
            <w:vAlign w:val="top"/>
          </w:tcPr>
          <w:p w14:paraId="77011BCF" w14:textId="1DBC2D36" w:rsidR="005D18F8" w:rsidRPr="00235C73" w:rsidRDefault="005D18F8" w:rsidP="006A52ED">
            <w:pPr>
              <w:rPr>
                <w:rFonts w:ascii="Times New Roman" w:hAnsi="Times New Roman" w:cs="Times New Roman"/>
                <w:color w:val="000000" w:themeColor="text1"/>
                <w:sz w:val="24"/>
                <w:szCs w:val="24"/>
                <w:lang w:val="sk-SK"/>
              </w:rPr>
            </w:pPr>
            <w:r w:rsidRPr="00235C73">
              <w:rPr>
                <w:rFonts w:ascii="Times New Roman" w:hAnsi="Times New Roman"/>
                <w:sz w:val="24"/>
                <w:lang w:val="sk-SK"/>
              </w:rPr>
              <w:t>EU-4</w:t>
            </w:r>
          </w:p>
        </w:tc>
        <w:tc>
          <w:tcPr>
            <w:tcW w:w="7642" w:type="dxa"/>
          </w:tcPr>
          <w:p w14:paraId="2AADEB25" w14:textId="77777777" w:rsidR="00235C73" w:rsidRDefault="008A0AF3" w:rsidP="005D18F8">
            <w:pPr>
              <w:rPr>
                <w:rFonts w:ascii="Times New Roman" w:hAnsi="Times New Roman"/>
                <w:b/>
                <w:color w:val="000000" w:themeColor="text1"/>
                <w:sz w:val="24"/>
                <w:lang w:val="sk-SK"/>
              </w:rPr>
            </w:pPr>
            <w:r w:rsidRPr="00235C73">
              <w:rPr>
                <w:rFonts w:ascii="Times New Roman" w:hAnsi="Times New Roman"/>
                <w:b/>
                <w:color w:val="000000" w:themeColor="text1"/>
                <w:sz w:val="24"/>
                <w:lang w:val="sk-SK"/>
              </w:rPr>
              <w:t>Oprávnený dodatočný kapitál Tier 1</w:t>
            </w:r>
          </w:p>
          <w:p w14:paraId="0249C867" w14:textId="5C079A0E" w:rsidR="00563C8D" w:rsidRPr="00235C73" w:rsidRDefault="003D0BF6" w:rsidP="00510C0E">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Článok 61 nariadenia (EÚ) č. 575/2013</w:t>
            </w:r>
          </w:p>
          <w:p w14:paraId="5A71C48F" w14:textId="1BF92B8F" w:rsidR="005D18F8" w:rsidRPr="00235C73" w:rsidRDefault="00FF6326" w:rsidP="00282ED2">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Nástroje dodatočného kapitálu Tier 1</w:t>
            </w:r>
            <w:r w:rsidRPr="00235C73">
              <w:rPr>
                <w:rStyle w:val="FormatvorlageInstructionsTabelleText"/>
                <w:rFonts w:ascii="Times New Roman" w:hAnsi="Times New Roman"/>
                <w:sz w:val="24"/>
                <w:lang w:val="sk-SK"/>
              </w:rPr>
              <w:t xml:space="preserve"> sa zohľadňujú len vtedy, ak spĺňajú kritériá</w:t>
            </w:r>
            <w:r w:rsidRPr="00235C73">
              <w:rPr>
                <w:rFonts w:ascii="Times New Roman" w:hAnsi="Times New Roman"/>
                <w:color w:val="000000" w:themeColor="text1"/>
                <w:sz w:val="24"/>
                <w:lang w:val="sk-SK"/>
              </w:rPr>
              <w:t xml:space="preserve"> stanovené</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článku 92b nariadenia (EÚ) č. 575/2013</w:t>
            </w:r>
            <w:r w:rsidR="00235C73">
              <w:rPr>
                <w:rFonts w:ascii="Times New Roman" w:hAnsi="Times New Roman"/>
                <w:color w:val="000000" w:themeColor="text1"/>
                <w:sz w:val="24"/>
                <w:lang w:val="sk-SK"/>
              </w:rPr>
              <w:t xml:space="preserve"> a v </w:t>
            </w:r>
            <w:r w:rsidRPr="00235C73">
              <w:rPr>
                <w:rFonts w:ascii="Times New Roman" w:hAnsi="Times New Roman"/>
                <w:color w:val="000000" w:themeColor="text1"/>
                <w:sz w:val="24"/>
                <w:lang w:val="sk-SK"/>
              </w:rPr>
              <w:t>článku 45f ods. 2 písm. b) bode ii) smernice 2014/59/EÚ.</w:t>
            </w:r>
          </w:p>
          <w:p w14:paraId="0094C1AC" w14:textId="61E0F1E4" w:rsidR="007600E9" w:rsidRPr="00235C73" w:rsidRDefault="007600E9" w:rsidP="00D950BA">
            <w:pPr>
              <w:rPr>
                <w:rFonts w:ascii="Times New Roman" w:hAnsi="Times New Roman" w:cs="Times New Roman"/>
                <w:b/>
                <w:color w:val="000000" w:themeColor="text1"/>
                <w:sz w:val="24"/>
                <w:szCs w:val="24"/>
                <w:lang w:val="sk-SK"/>
              </w:rPr>
            </w:pPr>
            <w:r w:rsidRPr="00235C73">
              <w:rPr>
                <w:rStyle w:val="FormatvorlageInstructionsTabelleText"/>
                <w:rFonts w:ascii="Times New Roman" w:hAnsi="Times New Roman"/>
                <w:sz w:val="24"/>
                <w:lang w:val="sk-SK"/>
              </w:rPr>
              <w:t>V prípade internej MREL sa zahŕňajú nástroje uvedené</w:t>
            </w:r>
            <w:r w:rsidR="00235C73">
              <w:rPr>
                <w:rStyle w:val="FormatvorlageInstructionsTabelleText"/>
                <w:rFonts w:ascii="Times New Roman" w:hAnsi="Times New Roman"/>
                <w:sz w:val="24"/>
                <w:lang w:val="sk-SK"/>
              </w:rPr>
              <w:t xml:space="preserve"> v </w:t>
            </w:r>
            <w:r w:rsidRPr="00235C73">
              <w:rPr>
                <w:rStyle w:val="FormatvorlageInstructionsTabelleText"/>
                <w:rFonts w:ascii="Times New Roman" w:hAnsi="Times New Roman"/>
                <w:sz w:val="24"/>
                <w:lang w:val="sk-SK"/>
              </w:rPr>
              <w:t>článku 89 ods. 2 štvrtom pododseku smernice 2014/59/EÚ, ak sa uplatňuje uvedený odsek. Nástroje upravené právom tretej krajiny sa zahŕňajú len vtedy, ak spĺňajú požiadavky stanovené</w:t>
            </w:r>
            <w:r w:rsidR="00235C73">
              <w:rPr>
                <w:rStyle w:val="FormatvorlageInstructionsTabelleText"/>
                <w:rFonts w:ascii="Times New Roman" w:hAnsi="Times New Roman"/>
                <w:sz w:val="24"/>
                <w:lang w:val="sk-SK"/>
              </w:rPr>
              <w:t xml:space="preserve"> v </w:t>
            </w:r>
            <w:r w:rsidRPr="00235C73">
              <w:rPr>
                <w:rStyle w:val="FormatvorlageInstructionsTabelleText"/>
                <w:rFonts w:ascii="Times New Roman" w:hAnsi="Times New Roman"/>
                <w:sz w:val="24"/>
                <w:lang w:val="sk-SK"/>
              </w:rPr>
              <w:t>článku 55 smernice 2014/59/EÚ.</w:t>
            </w:r>
          </w:p>
        </w:tc>
      </w:tr>
      <w:tr w:rsidR="005D18F8" w:rsidRPr="00235C73" w14:paraId="26CF63CA" w14:textId="77777777" w:rsidTr="002A065A">
        <w:tc>
          <w:tcPr>
            <w:tcW w:w="1109" w:type="dxa"/>
          </w:tcPr>
          <w:p w14:paraId="7590CA0F" w14:textId="3E55E188" w:rsidR="005D18F8" w:rsidRPr="00235C73" w:rsidRDefault="006A52ED" w:rsidP="005D18F8">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EU-5</w:t>
            </w:r>
          </w:p>
        </w:tc>
        <w:tc>
          <w:tcPr>
            <w:tcW w:w="7642" w:type="dxa"/>
          </w:tcPr>
          <w:p w14:paraId="1D3C1105" w14:textId="5B6AF4D8" w:rsidR="005D18F8" w:rsidRPr="00235C73" w:rsidRDefault="008A0AF3" w:rsidP="005D18F8">
            <w:pPr>
              <w:rPr>
                <w:rFonts w:ascii="Times New Roman" w:hAnsi="Times New Roman" w:cs="Times New Roman"/>
                <w:b/>
                <w:color w:val="000000" w:themeColor="text1"/>
                <w:sz w:val="24"/>
                <w:szCs w:val="24"/>
                <w:lang w:val="sk-SK"/>
              </w:rPr>
            </w:pPr>
            <w:r w:rsidRPr="00235C73">
              <w:rPr>
                <w:rFonts w:ascii="Times New Roman" w:hAnsi="Times New Roman"/>
                <w:b/>
                <w:color w:val="000000" w:themeColor="text1"/>
                <w:sz w:val="24"/>
                <w:lang w:val="sk-SK"/>
              </w:rPr>
              <w:t>Oprávnený kapitál Tier 2</w:t>
            </w:r>
          </w:p>
          <w:p w14:paraId="690798E1" w14:textId="77777777" w:rsidR="00235C73" w:rsidRDefault="003D0BF6" w:rsidP="00282ED2">
            <w:pPr>
              <w:rPr>
                <w:rFonts w:ascii="Times New Roman" w:hAnsi="Times New Roman"/>
                <w:color w:val="000000" w:themeColor="text1"/>
                <w:sz w:val="24"/>
                <w:lang w:val="sk-SK"/>
              </w:rPr>
            </w:pPr>
            <w:r w:rsidRPr="00235C73">
              <w:rPr>
                <w:rFonts w:ascii="Times New Roman" w:hAnsi="Times New Roman"/>
                <w:color w:val="000000" w:themeColor="text1"/>
                <w:sz w:val="24"/>
                <w:lang w:val="sk-SK"/>
              </w:rPr>
              <w:t>Článok 71 nariadenia (EÚ) č. 575/2013</w:t>
            </w:r>
          </w:p>
          <w:p w14:paraId="3807E78A" w14:textId="6D22BF08" w:rsidR="005D18F8" w:rsidRPr="00235C73" w:rsidRDefault="002924A2" w:rsidP="00282ED2">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Nástroje kapitálu Tier 2</w:t>
            </w:r>
            <w:r w:rsidRPr="00235C73">
              <w:rPr>
                <w:rStyle w:val="FormatvorlageInstructionsTabelleText"/>
                <w:rFonts w:ascii="Times New Roman" w:hAnsi="Times New Roman"/>
                <w:sz w:val="24"/>
                <w:lang w:val="sk-SK"/>
              </w:rPr>
              <w:t xml:space="preserve"> sa zohľadňujú len vtedy, ak spĺňajú kritériá</w:t>
            </w:r>
            <w:r w:rsidRPr="00235C73">
              <w:rPr>
                <w:rFonts w:ascii="Times New Roman" w:hAnsi="Times New Roman"/>
                <w:color w:val="000000" w:themeColor="text1"/>
                <w:sz w:val="24"/>
                <w:lang w:val="sk-SK"/>
              </w:rPr>
              <w:t xml:space="preserve"> stanovené</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článku 92b nariadenia (EÚ) č. 575/2013</w:t>
            </w:r>
            <w:r w:rsidR="00235C73">
              <w:rPr>
                <w:rFonts w:ascii="Times New Roman" w:hAnsi="Times New Roman"/>
                <w:color w:val="000000" w:themeColor="text1"/>
                <w:sz w:val="24"/>
                <w:lang w:val="sk-SK"/>
              </w:rPr>
              <w:t xml:space="preserve"> a v </w:t>
            </w:r>
            <w:r w:rsidRPr="00235C73">
              <w:rPr>
                <w:rFonts w:ascii="Times New Roman" w:hAnsi="Times New Roman"/>
                <w:color w:val="000000" w:themeColor="text1"/>
                <w:sz w:val="24"/>
                <w:lang w:val="sk-SK"/>
              </w:rPr>
              <w:t>článku 45f ods. 2 písm. b) bode ii) smernice 2014/59/EÚ.</w:t>
            </w:r>
          </w:p>
          <w:p w14:paraId="6CBCECA5" w14:textId="6B6A5388" w:rsidR="007600E9" w:rsidRPr="00235C73" w:rsidRDefault="007600E9" w:rsidP="00282ED2">
            <w:pPr>
              <w:rPr>
                <w:rFonts w:ascii="Times New Roman" w:hAnsi="Times New Roman" w:cs="Times New Roman"/>
                <w:color w:val="000000" w:themeColor="text1"/>
                <w:sz w:val="24"/>
                <w:szCs w:val="24"/>
                <w:lang w:val="sk-SK"/>
              </w:rPr>
            </w:pPr>
            <w:r w:rsidRPr="00235C73">
              <w:rPr>
                <w:rStyle w:val="FormatvorlageInstructionsTabelleText"/>
                <w:rFonts w:ascii="Times New Roman" w:hAnsi="Times New Roman"/>
                <w:sz w:val="24"/>
                <w:lang w:val="sk-SK"/>
              </w:rPr>
              <w:t>V prípade internej MREL sa zahŕňajú nástroje uvedené</w:t>
            </w:r>
            <w:r w:rsidR="00235C73">
              <w:rPr>
                <w:rStyle w:val="FormatvorlageInstructionsTabelleText"/>
                <w:rFonts w:ascii="Times New Roman" w:hAnsi="Times New Roman"/>
                <w:sz w:val="24"/>
                <w:lang w:val="sk-SK"/>
              </w:rPr>
              <w:t xml:space="preserve"> v </w:t>
            </w:r>
            <w:r w:rsidRPr="00235C73">
              <w:rPr>
                <w:rStyle w:val="FormatvorlageInstructionsTabelleText"/>
                <w:rFonts w:ascii="Times New Roman" w:hAnsi="Times New Roman"/>
                <w:sz w:val="24"/>
                <w:lang w:val="sk-SK"/>
              </w:rPr>
              <w:t>článku 89 ods. 2 štvrtom pododseku smernice 2014/59/EÚ, ak sa uplatňuje uvedený odsek. Nástroje upravené právom tretej krajiny sa zahŕňajú len vtedy, ak spĺňajú požiadavky stanovené</w:t>
            </w:r>
            <w:r w:rsidR="00235C73">
              <w:rPr>
                <w:rStyle w:val="FormatvorlageInstructionsTabelleText"/>
                <w:rFonts w:ascii="Times New Roman" w:hAnsi="Times New Roman"/>
                <w:sz w:val="24"/>
                <w:lang w:val="sk-SK"/>
              </w:rPr>
              <w:t xml:space="preserve"> v </w:t>
            </w:r>
            <w:r w:rsidRPr="00235C73">
              <w:rPr>
                <w:rStyle w:val="FormatvorlageInstructionsTabelleText"/>
                <w:rFonts w:ascii="Times New Roman" w:hAnsi="Times New Roman"/>
                <w:sz w:val="24"/>
                <w:lang w:val="sk-SK"/>
              </w:rPr>
              <w:t>článku 55 smernice 2014/59/EÚ.</w:t>
            </w:r>
          </w:p>
        </w:tc>
      </w:tr>
      <w:tr w:rsidR="00026FC1" w:rsidRPr="00235C73" w14:paraId="2919AE1B" w14:textId="77777777" w:rsidTr="002A065A">
        <w:tc>
          <w:tcPr>
            <w:tcW w:w="1109" w:type="dxa"/>
          </w:tcPr>
          <w:p w14:paraId="251A5712" w14:textId="4B2177BA" w:rsidR="00B907A2" w:rsidRPr="00235C73" w:rsidRDefault="006A52ED" w:rsidP="00B907A2">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lastRenderedPageBreak/>
              <w:t>EU-6</w:t>
            </w:r>
          </w:p>
        </w:tc>
        <w:tc>
          <w:tcPr>
            <w:tcW w:w="7642" w:type="dxa"/>
          </w:tcPr>
          <w:p w14:paraId="37F48E22" w14:textId="01DDD07A" w:rsidR="00B907A2" w:rsidRPr="00235C73" w:rsidRDefault="00310603">
            <w:pPr>
              <w:rPr>
                <w:rFonts w:ascii="Times New Roman" w:hAnsi="Times New Roman" w:cs="Times New Roman"/>
                <w:b/>
                <w:color w:val="000000" w:themeColor="text1"/>
                <w:sz w:val="24"/>
                <w:szCs w:val="24"/>
                <w:lang w:val="sk-SK"/>
              </w:rPr>
            </w:pPr>
            <w:r w:rsidRPr="00235C73">
              <w:rPr>
                <w:rFonts w:ascii="Times New Roman" w:hAnsi="Times New Roman"/>
                <w:b/>
                <w:color w:val="000000" w:themeColor="text1"/>
                <w:sz w:val="24"/>
                <w:lang w:val="sk-SK"/>
              </w:rPr>
              <w:t>Oprávnené vlastné zdroje</w:t>
            </w:r>
          </w:p>
          <w:p w14:paraId="02484207" w14:textId="64C3711A" w:rsidR="00B907A2" w:rsidRPr="00235C73" w:rsidRDefault="00F42DCD" w:rsidP="00AB7C15">
            <w:pPr>
              <w:rPr>
                <w:rFonts w:ascii="Times New Roman" w:hAnsi="Times New Roman" w:cs="Times New Roman"/>
                <w:color w:val="000000" w:themeColor="text1"/>
                <w:sz w:val="24"/>
                <w:szCs w:val="24"/>
                <w:lang w:val="sk-SK"/>
              </w:rPr>
            </w:pPr>
            <w:r w:rsidRPr="00235C73">
              <w:rPr>
                <w:rStyle w:val="FormatvorlageInstructionsTabelleText"/>
                <w:rFonts w:ascii="Times New Roman" w:hAnsi="Times New Roman"/>
                <w:sz w:val="24"/>
                <w:lang w:val="sk-SK"/>
              </w:rPr>
              <w:t>Súčet kapitálu CET1, oprávneného dodatočného kapitálu Tier 1</w:t>
            </w:r>
            <w:r w:rsidR="00235C73">
              <w:rPr>
                <w:rStyle w:val="FormatvorlageInstructionsTabelleText"/>
                <w:rFonts w:ascii="Times New Roman" w:hAnsi="Times New Roman"/>
                <w:sz w:val="24"/>
                <w:lang w:val="sk-SK"/>
              </w:rPr>
              <w:t xml:space="preserve"> a </w:t>
            </w:r>
            <w:r w:rsidRPr="00235C73">
              <w:rPr>
                <w:rStyle w:val="FormatvorlageInstructionsTabelleText"/>
                <w:rFonts w:ascii="Times New Roman" w:hAnsi="Times New Roman"/>
                <w:sz w:val="24"/>
                <w:lang w:val="sk-SK"/>
              </w:rPr>
              <w:t>oprávneného kapitálu Tier 2.</w:t>
            </w:r>
          </w:p>
        </w:tc>
      </w:tr>
      <w:tr w:rsidR="00026FC1" w:rsidRPr="00235C73" w14:paraId="30D7B21F" w14:textId="77777777" w:rsidTr="002A065A">
        <w:tc>
          <w:tcPr>
            <w:tcW w:w="1109" w:type="dxa"/>
          </w:tcPr>
          <w:p w14:paraId="5D54FF19" w14:textId="5DFAFBC0" w:rsidR="006A383B" w:rsidRPr="00235C73" w:rsidRDefault="00F42DCD" w:rsidP="006A383B">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EU-7</w:t>
            </w:r>
          </w:p>
        </w:tc>
        <w:tc>
          <w:tcPr>
            <w:tcW w:w="7642" w:type="dxa"/>
          </w:tcPr>
          <w:p w14:paraId="61AD62D0" w14:textId="77777777" w:rsidR="00235C73" w:rsidRDefault="006A383B" w:rsidP="006A383B">
            <w:pPr>
              <w:rPr>
                <w:rFonts w:ascii="Times New Roman" w:hAnsi="Times New Roman"/>
                <w:b/>
                <w:color w:val="000000" w:themeColor="text1"/>
                <w:sz w:val="24"/>
                <w:lang w:val="sk-SK"/>
              </w:rPr>
            </w:pPr>
            <w:r w:rsidRPr="00235C73">
              <w:rPr>
                <w:rFonts w:ascii="Times New Roman" w:hAnsi="Times New Roman"/>
                <w:b/>
                <w:color w:val="000000" w:themeColor="text1"/>
                <w:sz w:val="24"/>
                <w:lang w:val="sk-SK"/>
              </w:rPr>
              <w:t>Oprávnené záväzky</w:t>
            </w:r>
          </w:p>
          <w:p w14:paraId="63CA9295" w14:textId="6380DD0F" w:rsidR="00547B2E" w:rsidRPr="00235C73" w:rsidRDefault="00547B2E" w:rsidP="00F42DCD">
            <w:pPr>
              <w:rPr>
                <w:rFonts w:ascii="Times New Roman" w:hAnsi="Times New Roman" w:cs="Times New Roman"/>
                <w:i/>
                <w:color w:val="000000" w:themeColor="text1"/>
                <w:sz w:val="24"/>
                <w:szCs w:val="24"/>
                <w:lang w:val="sk-SK"/>
              </w:rPr>
            </w:pPr>
            <w:r w:rsidRPr="00235C73">
              <w:rPr>
                <w:rFonts w:ascii="Times New Roman" w:hAnsi="Times New Roman"/>
                <w:i/>
                <w:color w:val="000000" w:themeColor="text1"/>
                <w:sz w:val="24"/>
                <w:lang w:val="sk-SK"/>
              </w:rPr>
              <w:t>Interná MREL</w:t>
            </w:r>
          </w:p>
          <w:p w14:paraId="17E7EEB4" w14:textId="2C24E92A" w:rsidR="00F42DCD" w:rsidRPr="00235C73" w:rsidRDefault="00CC7310" w:rsidP="00F42DCD">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Oprávnené záväzky, ktoré spĺňajú podmienky stanovené</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článku 45f ods. 2 smernice 2014/59/EÚ,</w:t>
            </w:r>
            <w:r w:rsidRPr="00235C73">
              <w:rPr>
                <w:rStyle w:val="InstructionsTabelleberschrift"/>
                <w:rFonts w:ascii="Times New Roman" w:hAnsi="Times New Roman"/>
                <w:b w:val="0"/>
                <w:sz w:val="24"/>
                <w:u w:val="none"/>
                <w:lang w:val="sk-SK"/>
              </w:rPr>
              <w:t xml:space="preserve"> prípadne aj so zreteľom na článok 89 ods. 2</w:t>
            </w:r>
            <w:r w:rsidRPr="00235C73">
              <w:rPr>
                <w:rStyle w:val="FormatvorlageInstructionsTabelleText"/>
                <w:rFonts w:ascii="Times New Roman" w:hAnsi="Times New Roman"/>
                <w:sz w:val="24"/>
                <w:lang w:val="sk-SK"/>
              </w:rPr>
              <w:t xml:space="preserve"> štvrtý pododsek</w:t>
            </w:r>
            <w:r w:rsidRPr="00235C73">
              <w:rPr>
                <w:rStyle w:val="InstructionsTabelleberschrift"/>
                <w:rFonts w:ascii="Times New Roman" w:hAnsi="Times New Roman"/>
                <w:b w:val="0"/>
                <w:sz w:val="24"/>
                <w:u w:val="none"/>
                <w:lang w:val="sk-SK"/>
              </w:rPr>
              <w:t xml:space="preserve"> uvedenej smernice.</w:t>
            </w:r>
          </w:p>
          <w:p w14:paraId="63956C24" w14:textId="3BE30976" w:rsidR="00547B2E" w:rsidRPr="00235C73" w:rsidRDefault="00547B2E" w:rsidP="00F42DCD">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Pri nástrojoch upravených právom tretej krajiny sa nástroj uvádza</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tomto riadku len vtedy, ak spĺňa požiadavky stanovené</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článku 55 smernice 2014/59/EÚ.</w:t>
            </w:r>
          </w:p>
          <w:p w14:paraId="5C695D4E" w14:textId="24C96E49" w:rsidR="00547B2E" w:rsidRPr="00235C73" w:rsidRDefault="00CC7310" w:rsidP="00F42DCD">
            <w:pPr>
              <w:rPr>
                <w:rFonts w:ascii="Times New Roman" w:hAnsi="Times New Roman" w:cs="Times New Roman"/>
                <w:i/>
                <w:color w:val="000000" w:themeColor="text1"/>
                <w:sz w:val="24"/>
                <w:szCs w:val="24"/>
                <w:lang w:val="sk-SK"/>
              </w:rPr>
            </w:pPr>
            <w:r w:rsidRPr="00235C73">
              <w:rPr>
                <w:rStyle w:val="FormatvorlageInstructionsTabelleText"/>
                <w:rFonts w:ascii="Times New Roman" w:hAnsi="Times New Roman"/>
                <w:sz w:val="24"/>
                <w:lang w:val="sk-SK"/>
              </w:rPr>
              <w:t>Ak orgán pre riešenie krízových situácií dcérskej spoločnosti povolí subjektu splniť internú MREL zárukami, do tohto riadku sa zahŕňa aj suma záruk, ktoré poskytuje subjekt, ktorého krízová situácia sa rieši,</w:t>
            </w:r>
            <w:r w:rsidR="00235C73">
              <w:rPr>
                <w:rStyle w:val="FormatvorlageInstructionsTabelleText"/>
                <w:rFonts w:ascii="Times New Roman" w:hAnsi="Times New Roman"/>
                <w:sz w:val="24"/>
                <w:lang w:val="sk-SK"/>
              </w:rPr>
              <w:t xml:space="preserve"> a </w:t>
            </w:r>
            <w:r w:rsidRPr="00235C73">
              <w:rPr>
                <w:rStyle w:val="FormatvorlageInstructionsTabelleText"/>
                <w:rFonts w:ascii="Times New Roman" w:hAnsi="Times New Roman"/>
                <w:sz w:val="24"/>
                <w:lang w:val="sk-SK"/>
              </w:rPr>
              <w:t>ktoré spĺňajú všetky podmienky stanovené</w:t>
            </w:r>
            <w:r w:rsidR="00235C73">
              <w:rPr>
                <w:rStyle w:val="FormatvorlageInstructionsTabelleText"/>
                <w:rFonts w:ascii="Times New Roman" w:hAnsi="Times New Roman"/>
                <w:sz w:val="24"/>
                <w:lang w:val="sk-SK"/>
              </w:rPr>
              <w:t xml:space="preserve"> v </w:t>
            </w:r>
            <w:r w:rsidRPr="00235C73">
              <w:rPr>
                <w:rStyle w:val="FormatvorlageInstructionsTabelleText"/>
                <w:rFonts w:ascii="Times New Roman" w:hAnsi="Times New Roman"/>
                <w:sz w:val="24"/>
                <w:lang w:val="sk-SK"/>
              </w:rPr>
              <w:t>článku 45f ods. 5 smernice 2014/59/EÚ.</w:t>
            </w:r>
            <w:r w:rsidR="000B4EDC" w:rsidRPr="00235C73">
              <w:rPr>
                <w:rStyle w:val="FormatvorlageInstructionsTabelleText"/>
                <w:rFonts w:ascii="Times New Roman" w:hAnsi="Times New Roman"/>
                <w:sz w:val="24"/>
                <w:lang w:val="sk-SK"/>
              </w:rPr>
              <w:t xml:space="preserve"> </w:t>
            </w:r>
            <w:r w:rsidRPr="00235C73">
              <w:rPr>
                <w:rFonts w:ascii="Times New Roman" w:hAnsi="Times New Roman"/>
                <w:i/>
                <w:color w:val="000000" w:themeColor="text1"/>
                <w:sz w:val="24"/>
                <w:lang w:val="sk-SK"/>
              </w:rPr>
              <w:t>Interná TLAC</w:t>
            </w:r>
          </w:p>
          <w:p w14:paraId="20CB430B" w14:textId="5AE808BC" w:rsidR="00766271" w:rsidRPr="00235C73" w:rsidRDefault="00CC7310" w:rsidP="00CC7310">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Suma oprávnených záväzkov sa vypočítava</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súlade</w:t>
            </w:r>
            <w:r w:rsidR="00235C73">
              <w:rPr>
                <w:rFonts w:ascii="Times New Roman" w:hAnsi="Times New Roman"/>
                <w:color w:val="000000" w:themeColor="text1"/>
                <w:sz w:val="24"/>
                <w:lang w:val="sk-SK"/>
              </w:rPr>
              <w:t xml:space="preserve"> s </w:t>
            </w:r>
            <w:r w:rsidRPr="00235C73">
              <w:rPr>
                <w:rFonts w:ascii="Times New Roman" w:hAnsi="Times New Roman"/>
                <w:color w:val="000000" w:themeColor="text1"/>
                <w:sz w:val="24"/>
                <w:lang w:val="sk-SK"/>
              </w:rPr>
              <w:t>článkom 72k nariadenia (EÚ) č. 575/2013, ak uvedené záväzky spĺňajú podmienky stanovené</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článku 92b ods. 2 uvedeného nariadenia.</w:t>
            </w:r>
          </w:p>
        </w:tc>
      </w:tr>
      <w:tr w:rsidR="007600E9" w:rsidRPr="00235C73" w14:paraId="4E845D10" w14:textId="77777777" w:rsidTr="002A065A">
        <w:tc>
          <w:tcPr>
            <w:tcW w:w="1109" w:type="dxa"/>
          </w:tcPr>
          <w:p w14:paraId="153A7C48" w14:textId="5CC7BD86" w:rsidR="007600E9" w:rsidRPr="00235C73" w:rsidRDefault="007600E9" w:rsidP="007600E9">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EU-8</w:t>
            </w:r>
          </w:p>
        </w:tc>
        <w:tc>
          <w:tcPr>
            <w:tcW w:w="7642" w:type="dxa"/>
          </w:tcPr>
          <w:p w14:paraId="49C42D32" w14:textId="1C07E19C" w:rsidR="007600E9" w:rsidRPr="00235C73" w:rsidRDefault="00FF5E0F" w:rsidP="007600E9">
            <w:pPr>
              <w:rPr>
                <w:rFonts w:ascii="Times New Roman" w:hAnsi="Times New Roman" w:cs="Times New Roman"/>
                <w:b/>
                <w:color w:val="000000" w:themeColor="text1"/>
                <w:sz w:val="24"/>
                <w:szCs w:val="24"/>
                <w:lang w:val="sk-SK"/>
              </w:rPr>
            </w:pPr>
            <w:r w:rsidRPr="00235C73">
              <w:rPr>
                <w:rFonts w:ascii="Times New Roman" w:hAnsi="Times New Roman"/>
                <w:b/>
                <w:color w:val="000000" w:themeColor="text1"/>
                <w:sz w:val="24"/>
                <w:lang w:val="sk-SK"/>
              </w:rPr>
              <w:t>Oprávnené záväzky –</w:t>
            </w:r>
            <w:r w:rsidR="00235C73">
              <w:rPr>
                <w:rFonts w:ascii="Times New Roman" w:hAnsi="Times New Roman"/>
                <w:b/>
                <w:color w:val="000000" w:themeColor="text1"/>
                <w:sz w:val="24"/>
                <w:lang w:val="sk-SK"/>
              </w:rPr>
              <w:t xml:space="preserve"> z </w:t>
            </w:r>
            <w:r w:rsidRPr="00235C73">
              <w:rPr>
                <w:rFonts w:ascii="Times New Roman" w:hAnsi="Times New Roman"/>
                <w:b/>
                <w:color w:val="000000" w:themeColor="text1"/>
                <w:sz w:val="24"/>
                <w:lang w:val="sk-SK"/>
              </w:rPr>
              <w:t>čoho povolené záruky</w:t>
            </w:r>
          </w:p>
          <w:p w14:paraId="7FBE9C6F" w14:textId="23CDC9F8" w:rsidR="007600E9" w:rsidRPr="00235C73" w:rsidRDefault="009C121A" w:rsidP="009C121A">
            <w:pPr>
              <w:rPr>
                <w:rFonts w:ascii="Times New Roman" w:hAnsi="Times New Roman" w:cs="Times New Roman"/>
                <w:b/>
                <w:color w:val="000000" w:themeColor="text1"/>
                <w:sz w:val="24"/>
                <w:szCs w:val="24"/>
                <w:lang w:val="sk-SK"/>
              </w:rPr>
            </w:pPr>
            <w:r w:rsidRPr="00235C73">
              <w:rPr>
                <w:rStyle w:val="FormatvorlageInstructionsTabelleText"/>
                <w:rFonts w:ascii="Times New Roman" w:hAnsi="Times New Roman"/>
                <w:sz w:val="24"/>
                <w:lang w:val="sk-SK"/>
              </w:rPr>
              <w:t>Ak orgán pre riešenie krízových situácií dcérskej spoločnosti povolí subjektu splniť internú MREL zárukami, suma záruk, ktoré poskytuje subjekt, ktorého krízová situácia sa rieši,</w:t>
            </w:r>
            <w:r w:rsidR="00235C73">
              <w:rPr>
                <w:rStyle w:val="FormatvorlageInstructionsTabelleText"/>
                <w:rFonts w:ascii="Times New Roman" w:hAnsi="Times New Roman"/>
                <w:sz w:val="24"/>
                <w:lang w:val="sk-SK"/>
              </w:rPr>
              <w:t xml:space="preserve"> a </w:t>
            </w:r>
            <w:r w:rsidRPr="00235C73">
              <w:rPr>
                <w:rStyle w:val="FormatvorlageInstructionsTabelleText"/>
                <w:rFonts w:ascii="Times New Roman" w:hAnsi="Times New Roman"/>
                <w:sz w:val="24"/>
                <w:lang w:val="sk-SK"/>
              </w:rPr>
              <w:t>ktoré spĺňajú všetky podmienky stanovené</w:t>
            </w:r>
            <w:r w:rsidR="00235C73">
              <w:rPr>
                <w:rStyle w:val="FormatvorlageInstructionsTabelleText"/>
                <w:rFonts w:ascii="Times New Roman" w:hAnsi="Times New Roman"/>
                <w:sz w:val="24"/>
                <w:lang w:val="sk-SK"/>
              </w:rPr>
              <w:t xml:space="preserve"> v </w:t>
            </w:r>
            <w:r w:rsidRPr="00235C73">
              <w:rPr>
                <w:rStyle w:val="FormatvorlageInstructionsTabelleText"/>
                <w:rFonts w:ascii="Times New Roman" w:hAnsi="Times New Roman"/>
                <w:sz w:val="24"/>
                <w:lang w:val="sk-SK"/>
              </w:rPr>
              <w:t>článku 45f ods. 5 smernice 2014/59/EÚ.</w:t>
            </w:r>
          </w:p>
        </w:tc>
      </w:tr>
      <w:tr w:rsidR="00547B2E" w:rsidRPr="00235C73" w14:paraId="352876D4" w14:textId="77777777" w:rsidTr="002A065A">
        <w:tc>
          <w:tcPr>
            <w:tcW w:w="1109" w:type="dxa"/>
          </w:tcPr>
          <w:p w14:paraId="6DCACB84" w14:textId="766ADF9F" w:rsidR="00547B2E" w:rsidRPr="00235C73" w:rsidRDefault="00644B02" w:rsidP="007600E9">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EU-9 a</w:t>
            </w:r>
          </w:p>
        </w:tc>
        <w:tc>
          <w:tcPr>
            <w:tcW w:w="7642" w:type="dxa"/>
          </w:tcPr>
          <w:p w14:paraId="32608FA7" w14:textId="7D99477C" w:rsidR="00547B2E" w:rsidRPr="00235C73" w:rsidRDefault="00547B2E" w:rsidP="007600E9">
            <w:pPr>
              <w:rPr>
                <w:rFonts w:ascii="Times New Roman" w:hAnsi="Times New Roman" w:cs="Times New Roman"/>
                <w:b/>
                <w:color w:val="000000" w:themeColor="text1"/>
                <w:sz w:val="24"/>
                <w:szCs w:val="24"/>
                <w:lang w:val="sk-SK"/>
              </w:rPr>
            </w:pPr>
            <w:r w:rsidRPr="00235C73">
              <w:rPr>
                <w:rFonts w:ascii="Times New Roman" w:hAnsi="Times New Roman"/>
                <w:b/>
                <w:color w:val="000000" w:themeColor="text1"/>
                <w:sz w:val="24"/>
                <w:lang w:val="sk-SK"/>
              </w:rPr>
              <w:t>(Úpravy)</w:t>
            </w:r>
          </w:p>
          <w:p w14:paraId="716CE6EE" w14:textId="77777777" w:rsidR="00547B2E" w:rsidRPr="00235C73" w:rsidRDefault="00547B2E" w:rsidP="007600E9">
            <w:pPr>
              <w:rPr>
                <w:rStyle w:val="FormatvorlageInstructionsTabelleText"/>
                <w:rFonts w:ascii="Times New Roman" w:hAnsi="Times New Roman"/>
                <w:sz w:val="24"/>
                <w:lang w:val="sk-SK"/>
              </w:rPr>
            </w:pPr>
            <w:r w:rsidRPr="00235C73">
              <w:rPr>
                <w:rStyle w:val="FormatvorlageInstructionsTabelleText"/>
                <w:rFonts w:ascii="Times New Roman" w:hAnsi="Times New Roman"/>
                <w:sz w:val="24"/>
                <w:lang w:val="sk-SK"/>
              </w:rPr>
              <w:t>Záporná hodnota</w:t>
            </w:r>
          </w:p>
          <w:p w14:paraId="53DD0B4C" w14:textId="77777777" w:rsidR="00CB3841" w:rsidRPr="00235C73" w:rsidRDefault="00CB3841" w:rsidP="00CB3841">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V tomto riadku sa zverejňujú tieto úpravy:</w:t>
            </w:r>
          </w:p>
          <w:p w14:paraId="61271E0C" w14:textId="65FCD614" w:rsidR="00766271" w:rsidRPr="00235C73" w:rsidRDefault="00766271" w:rsidP="00766271">
            <w:pPr>
              <w:pStyle w:val="ListParagraph"/>
              <w:numPr>
                <w:ilvl w:val="0"/>
                <w:numId w:val="16"/>
              </w:numPr>
              <w:rPr>
                <w:rFonts w:ascii="Times New Roman" w:hAnsi="Times New Roman" w:cs="Times New Roman"/>
                <w:b/>
                <w:color w:val="000000" w:themeColor="text1"/>
                <w:sz w:val="24"/>
                <w:szCs w:val="24"/>
                <w:lang w:val="sk-SK"/>
              </w:rPr>
            </w:pPr>
            <w:r w:rsidRPr="00235C73">
              <w:rPr>
                <w:rFonts w:ascii="Times New Roman" w:hAnsi="Times New Roman"/>
                <w:color w:val="000000" w:themeColor="text1"/>
                <w:sz w:val="24"/>
                <w:lang w:val="sk-SK"/>
              </w:rPr>
              <w:t>Podiely vo forme nástrojov vlastných zdrojov</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nástrojov oprávnených záväzkov, ktoré sa majú odpočítať</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súlade</w:t>
            </w:r>
            <w:r w:rsidR="00235C73">
              <w:rPr>
                <w:rFonts w:ascii="Times New Roman" w:hAnsi="Times New Roman"/>
                <w:color w:val="000000" w:themeColor="text1"/>
                <w:sz w:val="24"/>
                <w:lang w:val="sk-SK"/>
              </w:rPr>
              <w:t xml:space="preserve"> s </w:t>
            </w:r>
            <w:r w:rsidRPr="00235C73">
              <w:rPr>
                <w:rFonts w:ascii="Times New Roman" w:hAnsi="Times New Roman"/>
                <w:color w:val="000000" w:themeColor="text1"/>
                <w:sz w:val="24"/>
                <w:lang w:val="sk-SK"/>
              </w:rPr>
              <w:t>článkom 72e ods. 5 nariadenia (EÚ) č. 575/2013</w:t>
            </w:r>
            <w:r w:rsidRPr="00235C73">
              <w:rPr>
                <w:rFonts w:ascii="Times New Roman" w:hAnsi="Times New Roman"/>
                <w:sz w:val="24"/>
                <w:lang w:val="sk-SK"/>
              </w:rPr>
              <w:t xml:space="preserve"> alebo článkom 45c ods. 2a piatym pododsekom smernice 2014/59/EÚ.</w:t>
            </w:r>
          </w:p>
          <w:p w14:paraId="17EE89C8" w14:textId="1EBDF385" w:rsidR="00547B2E" w:rsidRPr="00235C73" w:rsidRDefault="00766271" w:rsidP="00CB3841">
            <w:pPr>
              <w:pStyle w:val="ListParagraph"/>
              <w:numPr>
                <w:ilvl w:val="0"/>
                <w:numId w:val="16"/>
              </w:numPr>
              <w:rPr>
                <w:rFonts w:ascii="Times New Roman" w:hAnsi="Times New Roman" w:cs="Times New Roman"/>
                <w:b/>
                <w:color w:val="000000" w:themeColor="text1"/>
                <w:sz w:val="24"/>
                <w:szCs w:val="24"/>
                <w:lang w:val="sk-SK"/>
              </w:rPr>
            </w:pPr>
            <w:r w:rsidRPr="00235C73">
              <w:rPr>
                <w:rFonts w:ascii="Times New Roman" w:hAnsi="Times New Roman"/>
                <w:color w:val="000000" w:themeColor="text1"/>
                <w:sz w:val="24"/>
                <w:lang w:val="sk-SK"/>
              </w:rPr>
              <w:t>Sumy, na ktoré sa vzťahuje povolenie na uplatnenie kúpnej opcie, umorenie, splatenie alebo spätné odkúpenie nástrojov oprávnených záväzkov</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súlade</w:t>
            </w:r>
            <w:r w:rsidR="00235C73">
              <w:rPr>
                <w:rFonts w:ascii="Times New Roman" w:hAnsi="Times New Roman"/>
                <w:color w:val="000000" w:themeColor="text1"/>
                <w:sz w:val="24"/>
                <w:lang w:val="sk-SK"/>
              </w:rPr>
              <w:t xml:space="preserve"> s </w:t>
            </w:r>
            <w:r w:rsidRPr="00235C73">
              <w:rPr>
                <w:rFonts w:ascii="Times New Roman" w:hAnsi="Times New Roman"/>
                <w:color w:val="000000" w:themeColor="text1"/>
                <w:sz w:val="24"/>
                <w:lang w:val="sk-SK"/>
              </w:rPr>
              <w:t>článkom 78a nariadenia (EÚ) č. 575/2013, pokiaľ vykazujúci subjekt túto sumu ešte nevyčerpal na uplatnenie kúpnej opcie, umorenie, splatenie alebo spätné odkúpenie nástrojov („nevyužité sumy predchádzajúceho povolenia“).</w:t>
            </w:r>
          </w:p>
        </w:tc>
      </w:tr>
      <w:tr w:rsidR="00026FC1" w:rsidRPr="00235C73" w14:paraId="79FC726E" w14:textId="77777777" w:rsidTr="002A065A">
        <w:tc>
          <w:tcPr>
            <w:tcW w:w="1109" w:type="dxa"/>
            <w:tcBorders>
              <w:top w:val="single" w:sz="4" w:space="0" w:color="auto"/>
              <w:left w:val="single" w:sz="4" w:space="0" w:color="auto"/>
              <w:right w:val="single" w:sz="4" w:space="0" w:color="auto"/>
            </w:tcBorders>
          </w:tcPr>
          <w:p w14:paraId="4D0F161A" w14:textId="75BE9513" w:rsidR="00A9215E" w:rsidRPr="00235C73" w:rsidRDefault="00F42DCD" w:rsidP="008C1523">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lastRenderedPageBreak/>
              <w:t>EU-9b</w:t>
            </w:r>
          </w:p>
        </w:tc>
        <w:tc>
          <w:tcPr>
            <w:tcW w:w="7642" w:type="dxa"/>
            <w:tcBorders>
              <w:top w:val="single" w:sz="4" w:space="0" w:color="auto"/>
              <w:left w:val="single" w:sz="4" w:space="0" w:color="auto"/>
              <w:right w:val="single" w:sz="4" w:space="0" w:color="auto"/>
            </w:tcBorders>
          </w:tcPr>
          <w:p w14:paraId="4188FCBD" w14:textId="32A18BF0" w:rsidR="006475ED" w:rsidRPr="00235C73" w:rsidRDefault="00A9215E" w:rsidP="006475ED">
            <w:pPr>
              <w:rPr>
                <w:rFonts w:ascii="Times New Roman" w:hAnsi="Times New Roman" w:cs="Times New Roman"/>
                <w:color w:val="000000" w:themeColor="text1"/>
                <w:sz w:val="24"/>
                <w:szCs w:val="24"/>
                <w:lang w:val="sk-SK"/>
              </w:rPr>
            </w:pPr>
            <w:r w:rsidRPr="00235C73">
              <w:rPr>
                <w:rFonts w:ascii="Times New Roman" w:hAnsi="Times New Roman"/>
                <w:b/>
                <w:color w:val="000000" w:themeColor="text1"/>
                <w:sz w:val="24"/>
                <w:lang w:val="sk-SK"/>
              </w:rPr>
              <w:t>Vlastné zdroje</w:t>
            </w:r>
            <w:r w:rsidR="00235C73">
              <w:rPr>
                <w:rFonts w:ascii="Times New Roman" w:hAnsi="Times New Roman"/>
                <w:b/>
                <w:color w:val="000000" w:themeColor="text1"/>
                <w:sz w:val="24"/>
                <w:lang w:val="sk-SK"/>
              </w:rPr>
              <w:t xml:space="preserve"> a </w:t>
            </w:r>
            <w:r w:rsidRPr="00235C73">
              <w:rPr>
                <w:rFonts w:ascii="Times New Roman" w:hAnsi="Times New Roman"/>
                <w:b/>
                <w:color w:val="000000" w:themeColor="text1"/>
                <w:sz w:val="24"/>
                <w:lang w:val="sk-SK"/>
              </w:rPr>
              <w:t>položky oprávnených záväzkov po úpravách</w:t>
            </w:r>
          </w:p>
          <w:p w14:paraId="6DB0E5C7" w14:textId="7B912E87" w:rsidR="00547B2E" w:rsidRPr="00235C73" w:rsidRDefault="00547B2E" w:rsidP="00F42DCD">
            <w:pPr>
              <w:rPr>
                <w:rStyle w:val="FormatvorlageInstructionsTabelleText"/>
                <w:rFonts w:ascii="Times New Roman" w:hAnsi="Times New Roman"/>
                <w:i/>
                <w:sz w:val="24"/>
                <w:lang w:val="sk-SK"/>
              </w:rPr>
            </w:pPr>
            <w:r w:rsidRPr="00235C73">
              <w:rPr>
                <w:rStyle w:val="FormatvorlageInstructionsTabelleText"/>
                <w:rFonts w:ascii="Times New Roman" w:hAnsi="Times New Roman"/>
                <w:i/>
                <w:sz w:val="24"/>
                <w:lang w:val="sk-SK"/>
              </w:rPr>
              <w:t>Interná MREL</w:t>
            </w:r>
          </w:p>
          <w:p w14:paraId="4FED8305" w14:textId="71C9AACB" w:rsidR="00547B2E" w:rsidRPr="00235C73" w:rsidRDefault="00F42DCD" w:rsidP="00F42DCD">
            <w:pPr>
              <w:rPr>
                <w:rStyle w:val="InstructionsTabelleberschrift"/>
                <w:rFonts w:ascii="Times New Roman" w:hAnsi="Times New Roman"/>
                <w:b w:val="0"/>
                <w:sz w:val="24"/>
                <w:u w:val="none"/>
                <w:lang w:val="sk-SK"/>
              </w:rPr>
            </w:pPr>
            <w:r w:rsidRPr="00235C73">
              <w:rPr>
                <w:rStyle w:val="FormatvorlageInstructionsTabelleText"/>
                <w:rFonts w:ascii="Times New Roman" w:hAnsi="Times New Roman"/>
                <w:sz w:val="24"/>
                <w:lang w:val="sk-SK"/>
              </w:rPr>
              <w:t>Sumy oprávnených vlastných zdrojov</w:t>
            </w:r>
            <w:r w:rsidR="00235C73">
              <w:rPr>
                <w:rStyle w:val="FormatvorlageInstructionsTabelleText"/>
                <w:rFonts w:ascii="Times New Roman" w:hAnsi="Times New Roman"/>
                <w:sz w:val="24"/>
                <w:lang w:val="sk-SK"/>
              </w:rPr>
              <w:t xml:space="preserve"> a </w:t>
            </w:r>
            <w:r w:rsidRPr="00235C73">
              <w:rPr>
                <w:rStyle w:val="FormatvorlageInstructionsTabelleText"/>
                <w:rFonts w:ascii="Times New Roman" w:hAnsi="Times New Roman"/>
                <w:sz w:val="24"/>
                <w:lang w:val="sk-SK"/>
              </w:rPr>
              <w:t>oprávnených záväzkov subjektu, po odpočítaní úprav, započítaných do internej MREL, ako sa stanovuje</w:t>
            </w:r>
            <w:r w:rsidR="00235C73">
              <w:rPr>
                <w:rStyle w:val="FormatvorlageInstructionsTabelleText"/>
                <w:rFonts w:ascii="Times New Roman" w:hAnsi="Times New Roman"/>
                <w:sz w:val="24"/>
                <w:lang w:val="sk-SK"/>
              </w:rPr>
              <w:t xml:space="preserve"> v </w:t>
            </w:r>
            <w:r w:rsidRPr="00235C73">
              <w:rPr>
                <w:rStyle w:val="FormatvorlageInstructionsTabelleText"/>
                <w:rFonts w:ascii="Times New Roman" w:hAnsi="Times New Roman"/>
                <w:sz w:val="24"/>
                <w:lang w:val="sk-SK"/>
              </w:rPr>
              <w:t>článku 45f ods. 2 smernice 2014/59/EÚ</w:t>
            </w:r>
            <w:r w:rsidRPr="00235C73">
              <w:rPr>
                <w:rStyle w:val="InstructionsTabelleberschrift"/>
                <w:rFonts w:ascii="Times New Roman" w:hAnsi="Times New Roman"/>
                <w:b w:val="0"/>
                <w:sz w:val="24"/>
                <w:u w:val="none"/>
                <w:lang w:val="sk-SK"/>
              </w:rPr>
              <w:t>, prípadne aj so zreteľom na článok 89 ods. 2 štvrtý pododsek uvedenej smernice. Pri nástrojoch upravených právom tretej krajiny sa nástroj uvádza</w:t>
            </w:r>
            <w:r w:rsidR="00235C73">
              <w:rPr>
                <w:rStyle w:val="InstructionsTabelleberschrift"/>
                <w:rFonts w:ascii="Times New Roman" w:hAnsi="Times New Roman"/>
                <w:b w:val="0"/>
                <w:sz w:val="24"/>
                <w:u w:val="none"/>
                <w:lang w:val="sk-SK"/>
              </w:rPr>
              <w:t xml:space="preserve"> v </w:t>
            </w:r>
            <w:r w:rsidRPr="00235C73">
              <w:rPr>
                <w:rStyle w:val="InstructionsTabelleberschrift"/>
                <w:rFonts w:ascii="Times New Roman" w:hAnsi="Times New Roman"/>
                <w:b w:val="0"/>
                <w:sz w:val="24"/>
                <w:u w:val="none"/>
                <w:lang w:val="sk-SK"/>
              </w:rPr>
              <w:t>tomto riadku len vtedy, ak spĺňa požiadavky stanovené</w:t>
            </w:r>
            <w:r w:rsidR="00235C73">
              <w:rPr>
                <w:rStyle w:val="InstructionsTabelleberschrift"/>
                <w:rFonts w:ascii="Times New Roman" w:hAnsi="Times New Roman"/>
                <w:b w:val="0"/>
                <w:sz w:val="24"/>
                <w:u w:val="none"/>
                <w:lang w:val="sk-SK"/>
              </w:rPr>
              <w:t xml:space="preserve"> v </w:t>
            </w:r>
            <w:r w:rsidRPr="00235C73">
              <w:rPr>
                <w:rStyle w:val="InstructionsTabelleberschrift"/>
                <w:rFonts w:ascii="Times New Roman" w:hAnsi="Times New Roman"/>
                <w:b w:val="0"/>
                <w:sz w:val="24"/>
                <w:u w:val="none"/>
                <w:lang w:val="sk-SK"/>
              </w:rPr>
              <w:t>článku 55 smernice 2014/59/EÚ.</w:t>
            </w:r>
          </w:p>
          <w:p w14:paraId="2C1B0641" w14:textId="7A24E6DE" w:rsidR="00547B2E" w:rsidRPr="00235C73" w:rsidRDefault="00547B2E" w:rsidP="00F42DCD">
            <w:pPr>
              <w:rPr>
                <w:rStyle w:val="InstructionsTabelleberschrift"/>
                <w:rFonts w:ascii="Times New Roman" w:hAnsi="Times New Roman"/>
                <w:b w:val="0"/>
                <w:sz w:val="24"/>
                <w:u w:val="none"/>
                <w:lang w:val="sk-SK"/>
              </w:rPr>
            </w:pPr>
            <w:r w:rsidRPr="00235C73">
              <w:rPr>
                <w:rFonts w:ascii="Times New Roman" w:hAnsi="Times New Roman"/>
                <w:color w:val="000000" w:themeColor="text1"/>
                <w:sz w:val="24"/>
                <w:lang w:val="sk-SK"/>
              </w:rPr>
              <w:t>Vypočítajú sa ako súčet riadku EU-6, riadku EU-7</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riadku EU-9a.</w:t>
            </w:r>
          </w:p>
          <w:p w14:paraId="2538ACE7" w14:textId="7B547E87" w:rsidR="00547B2E" w:rsidRPr="00235C73" w:rsidRDefault="00547B2E" w:rsidP="00F42DCD">
            <w:pPr>
              <w:rPr>
                <w:rStyle w:val="FormatvorlageInstructionsTabelleText"/>
                <w:rFonts w:ascii="Times New Roman" w:hAnsi="Times New Roman"/>
                <w:i/>
                <w:sz w:val="24"/>
                <w:lang w:val="sk-SK"/>
              </w:rPr>
            </w:pPr>
            <w:r w:rsidRPr="00235C73">
              <w:rPr>
                <w:rStyle w:val="FormatvorlageInstructionsTabelleText"/>
                <w:rFonts w:ascii="Times New Roman" w:hAnsi="Times New Roman"/>
                <w:i/>
                <w:sz w:val="24"/>
                <w:lang w:val="sk-SK"/>
              </w:rPr>
              <w:t>Interná TLAC</w:t>
            </w:r>
          </w:p>
          <w:p w14:paraId="56CFB916" w14:textId="3887880D" w:rsidR="006475ED" w:rsidRPr="00235C73" w:rsidRDefault="00547B2E" w:rsidP="00503590">
            <w:pPr>
              <w:rPr>
                <w:rFonts w:ascii="Times New Roman" w:hAnsi="Times New Roman" w:cs="Times New Roman"/>
                <w:b/>
                <w:color w:val="000000" w:themeColor="text1"/>
                <w:sz w:val="24"/>
                <w:szCs w:val="24"/>
                <w:lang w:val="sk-SK"/>
              </w:rPr>
            </w:pPr>
            <w:r w:rsidRPr="00235C73">
              <w:rPr>
                <w:rStyle w:val="FormatvorlageInstructionsTabelleText"/>
                <w:rFonts w:ascii="Times New Roman" w:hAnsi="Times New Roman"/>
                <w:sz w:val="24"/>
                <w:lang w:val="sk-SK"/>
              </w:rPr>
              <w:t>Oprávnené vlastné zdroje</w:t>
            </w:r>
            <w:r w:rsidR="00235C73">
              <w:rPr>
                <w:rStyle w:val="FormatvorlageInstructionsTabelleText"/>
                <w:rFonts w:ascii="Times New Roman" w:hAnsi="Times New Roman"/>
                <w:sz w:val="24"/>
                <w:lang w:val="sk-SK"/>
              </w:rPr>
              <w:t xml:space="preserve"> a </w:t>
            </w:r>
            <w:r w:rsidRPr="00235C73">
              <w:rPr>
                <w:rStyle w:val="FormatvorlageInstructionsTabelleText"/>
                <w:rFonts w:ascii="Times New Roman" w:hAnsi="Times New Roman"/>
                <w:sz w:val="24"/>
                <w:lang w:val="sk-SK"/>
              </w:rPr>
              <w:t>oprávnené záväzky, ktoré sa započítavajú do požiadavky na vlastné zdroje</w:t>
            </w:r>
            <w:r w:rsidR="00235C73">
              <w:rPr>
                <w:rStyle w:val="FormatvorlageInstructionsTabelleText"/>
                <w:rFonts w:ascii="Times New Roman" w:hAnsi="Times New Roman"/>
                <w:sz w:val="24"/>
                <w:lang w:val="sk-SK"/>
              </w:rPr>
              <w:t xml:space="preserve"> a </w:t>
            </w:r>
            <w:r w:rsidRPr="00235C73">
              <w:rPr>
                <w:rStyle w:val="FormatvorlageInstructionsTabelleText"/>
                <w:rFonts w:ascii="Times New Roman" w:hAnsi="Times New Roman"/>
                <w:sz w:val="24"/>
                <w:lang w:val="sk-SK"/>
              </w:rPr>
              <w:t>oprávnené záväzky pre G-SII mimo EÚ, ako sa stanovuje</w:t>
            </w:r>
            <w:r w:rsidR="00235C73">
              <w:rPr>
                <w:rStyle w:val="FormatvorlageInstructionsTabelleText"/>
                <w:rFonts w:ascii="Times New Roman" w:hAnsi="Times New Roman"/>
                <w:sz w:val="24"/>
                <w:lang w:val="sk-SK"/>
              </w:rPr>
              <w:t xml:space="preserve"> v </w:t>
            </w:r>
            <w:r w:rsidRPr="00235C73">
              <w:rPr>
                <w:rStyle w:val="FormatvorlageInstructionsTabelleText"/>
                <w:rFonts w:ascii="Times New Roman" w:hAnsi="Times New Roman"/>
                <w:sz w:val="24"/>
                <w:lang w:val="sk-SK"/>
              </w:rPr>
              <w:t>článku 92b ods. 2 nariadenia (EÚ) č. 575/2013</w:t>
            </w:r>
            <w:r w:rsidRPr="00235C73">
              <w:rPr>
                <w:rFonts w:ascii="Times New Roman" w:hAnsi="Times New Roman"/>
                <w:color w:val="000000" w:themeColor="text1"/>
                <w:sz w:val="24"/>
                <w:lang w:val="sk-SK"/>
              </w:rPr>
              <w:t>. Vypočíta sa ako súčet riadku EU-6</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riadku EU-7.</w:t>
            </w:r>
          </w:p>
        </w:tc>
      </w:tr>
      <w:tr w:rsidR="00026FC1" w:rsidRPr="00235C73" w14:paraId="2CEBF3B0" w14:textId="77777777" w:rsidTr="002A065A">
        <w:tc>
          <w:tcPr>
            <w:tcW w:w="1109" w:type="dxa"/>
          </w:tcPr>
          <w:p w14:paraId="43BF2529" w14:textId="36FBE66E" w:rsidR="000C5255" w:rsidRPr="00235C73" w:rsidDel="00FF3133" w:rsidRDefault="007F6136" w:rsidP="00F42177">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EU-10</w:t>
            </w:r>
          </w:p>
        </w:tc>
        <w:tc>
          <w:tcPr>
            <w:tcW w:w="7642" w:type="dxa"/>
          </w:tcPr>
          <w:p w14:paraId="09DCE834" w14:textId="5F82E219" w:rsidR="007F6136" w:rsidRPr="00235C73" w:rsidRDefault="007F6136" w:rsidP="00C07CCC">
            <w:pPr>
              <w:rPr>
                <w:rFonts w:ascii="Times New Roman" w:hAnsi="Times New Roman" w:cs="Times New Roman"/>
                <w:color w:val="000000" w:themeColor="text1"/>
                <w:sz w:val="24"/>
                <w:szCs w:val="24"/>
                <w:lang w:val="sk-SK"/>
              </w:rPr>
            </w:pPr>
            <w:r w:rsidRPr="00235C73">
              <w:rPr>
                <w:rFonts w:ascii="Times New Roman" w:hAnsi="Times New Roman"/>
                <w:b/>
                <w:color w:val="000000" w:themeColor="text1"/>
                <w:sz w:val="24"/>
                <w:lang w:val="sk-SK"/>
              </w:rPr>
              <w:t>Celková hodnota rizikovej expozície (TREA)</w:t>
            </w:r>
          </w:p>
          <w:p w14:paraId="5B78340F" w14:textId="5B7E272C" w:rsidR="000C5255" w:rsidRPr="00235C73" w:rsidRDefault="000C5255">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Celková hodnota rizikovej expozície individuálneho subjektu alebo prípadne konsolidovanej skupiny, na úrovni ktorých boli požiadavky stanovené,</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súlade</w:t>
            </w:r>
            <w:r w:rsidR="00235C73">
              <w:rPr>
                <w:rFonts w:ascii="Times New Roman" w:hAnsi="Times New Roman"/>
                <w:color w:val="000000" w:themeColor="text1"/>
                <w:sz w:val="24"/>
                <w:lang w:val="sk-SK"/>
              </w:rPr>
              <w:t xml:space="preserve"> s </w:t>
            </w:r>
            <w:r w:rsidRPr="00235C73">
              <w:rPr>
                <w:rFonts w:ascii="Times New Roman" w:hAnsi="Times New Roman"/>
                <w:color w:val="000000" w:themeColor="text1"/>
                <w:sz w:val="24"/>
                <w:lang w:val="sk-SK"/>
              </w:rPr>
              <w:t>článkom 18 ods. 1 druhým pododsekom nariadenia (EÚ) č. 575/2013.</w:t>
            </w:r>
          </w:p>
          <w:p w14:paraId="17016E2A" w14:textId="65BB1446" w:rsidR="008149F0" w:rsidRPr="00235C73" w:rsidRDefault="008149F0" w:rsidP="00B7091D">
            <w:pPr>
              <w:rPr>
                <w:rFonts w:ascii="Times New Roman" w:hAnsi="Times New Roman" w:cs="Times New Roman"/>
                <w:b/>
                <w:color w:val="000000" w:themeColor="text1"/>
                <w:sz w:val="24"/>
                <w:szCs w:val="24"/>
                <w:lang w:val="sk-SK"/>
              </w:rPr>
            </w:pPr>
            <w:r w:rsidRPr="00235C73">
              <w:rPr>
                <w:rStyle w:val="FormatvorlageInstructionsTabelleText"/>
                <w:rFonts w:ascii="Times New Roman" w:hAnsi="Times New Roman"/>
                <w:sz w:val="24"/>
                <w:lang w:val="sk-SK"/>
              </w:rPr>
              <w:t>V tomto riadku sa vykazuje celková hodnota rizikovej expozície, ktorá je základom pre súlad</w:t>
            </w:r>
            <w:r w:rsidR="00235C73">
              <w:rPr>
                <w:rStyle w:val="FormatvorlageInstructionsTabelleText"/>
                <w:rFonts w:ascii="Times New Roman" w:hAnsi="Times New Roman"/>
                <w:sz w:val="24"/>
                <w:lang w:val="sk-SK"/>
              </w:rPr>
              <w:t xml:space="preserve"> s </w:t>
            </w:r>
            <w:r w:rsidRPr="00235C73">
              <w:rPr>
                <w:rStyle w:val="FormatvorlageInstructionsTabelleText"/>
                <w:rFonts w:ascii="Times New Roman" w:hAnsi="Times New Roman"/>
                <w:sz w:val="24"/>
                <w:lang w:val="sk-SK"/>
              </w:rPr>
              <w:t>požiadavkami článku 45 smernice 2014/59/EÚ alebo prípadne článku 92b nariadenia (EÚ) č. 575/2013.</w:t>
            </w:r>
          </w:p>
        </w:tc>
      </w:tr>
      <w:tr w:rsidR="00026FC1" w:rsidRPr="00235C73" w14:paraId="09EE5A03" w14:textId="77777777" w:rsidTr="002A065A">
        <w:tc>
          <w:tcPr>
            <w:tcW w:w="1109" w:type="dxa"/>
          </w:tcPr>
          <w:p w14:paraId="5D0897E5" w14:textId="78C3CD2B" w:rsidR="000C5255" w:rsidRPr="00235C73" w:rsidDel="00FF3133" w:rsidRDefault="007F6136" w:rsidP="00644B02">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EU-11</w:t>
            </w:r>
          </w:p>
        </w:tc>
        <w:tc>
          <w:tcPr>
            <w:tcW w:w="7642" w:type="dxa"/>
          </w:tcPr>
          <w:p w14:paraId="3D1B444A" w14:textId="48056C18" w:rsidR="000C5255" w:rsidRPr="00235C73" w:rsidRDefault="00D156A3" w:rsidP="000C5255">
            <w:pPr>
              <w:rPr>
                <w:rFonts w:ascii="Times New Roman" w:hAnsi="Times New Roman" w:cs="Times New Roman"/>
                <w:b/>
                <w:color w:val="000000" w:themeColor="text1"/>
                <w:sz w:val="24"/>
                <w:szCs w:val="24"/>
                <w:lang w:val="sk-SK"/>
              </w:rPr>
            </w:pPr>
            <w:r w:rsidRPr="00235C73">
              <w:rPr>
                <w:rFonts w:ascii="Times New Roman" w:hAnsi="Times New Roman"/>
                <w:b/>
                <w:color w:val="000000" w:themeColor="text1"/>
                <w:sz w:val="24"/>
                <w:lang w:val="sk-SK"/>
              </w:rPr>
              <w:t>Veľkosť celkovej expozície (TEM)</w:t>
            </w:r>
          </w:p>
          <w:p w14:paraId="53B11114" w14:textId="0A0F9BD6" w:rsidR="000C5255" w:rsidRPr="00235C73" w:rsidRDefault="006501CC" w:rsidP="00282ED2">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Veľkosť celkovej expozície (menovateľ ukazovateľa finančnej páky) individuálneho subjektu alebo prípadne konsolidovanej skupiny, na úrovni ktorých boli požiadavky stanovené,</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súlade</w:t>
            </w:r>
            <w:r w:rsidR="00235C73">
              <w:rPr>
                <w:rFonts w:ascii="Times New Roman" w:hAnsi="Times New Roman"/>
                <w:color w:val="000000" w:themeColor="text1"/>
                <w:sz w:val="24"/>
                <w:lang w:val="sk-SK"/>
              </w:rPr>
              <w:t xml:space="preserve"> s </w:t>
            </w:r>
            <w:r w:rsidRPr="00235C73">
              <w:rPr>
                <w:rFonts w:ascii="Times New Roman" w:hAnsi="Times New Roman"/>
                <w:color w:val="000000" w:themeColor="text1"/>
                <w:sz w:val="24"/>
                <w:lang w:val="sk-SK"/>
              </w:rPr>
              <w:t>článkom 429 ods. 4</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článkom 429a nariadenia (EÚ) č. 575/2013.</w:t>
            </w:r>
          </w:p>
          <w:p w14:paraId="2DB81445" w14:textId="63CB1490" w:rsidR="008149F0" w:rsidRPr="00235C73" w:rsidRDefault="008149F0" w:rsidP="00B7091D">
            <w:pPr>
              <w:rPr>
                <w:rFonts w:ascii="Times New Roman" w:hAnsi="Times New Roman" w:cs="Times New Roman"/>
                <w:b/>
                <w:color w:val="000000" w:themeColor="text1"/>
                <w:sz w:val="24"/>
                <w:szCs w:val="24"/>
                <w:lang w:val="sk-SK"/>
              </w:rPr>
            </w:pPr>
            <w:r w:rsidRPr="00235C73">
              <w:rPr>
                <w:rStyle w:val="FormatvorlageInstructionsTabelleText"/>
                <w:rFonts w:ascii="Times New Roman" w:hAnsi="Times New Roman"/>
                <w:sz w:val="24"/>
                <w:lang w:val="sk-SK"/>
              </w:rPr>
              <w:t>V tomto riadku sa vykazuje veľkosť celkovej expozície, ktorá je základom pre súlad</w:t>
            </w:r>
            <w:r w:rsidR="00235C73">
              <w:rPr>
                <w:rStyle w:val="FormatvorlageInstructionsTabelleText"/>
                <w:rFonts w:ascii="Times New Roman" w:hAnsi="Times New Roman"/>
                <w:sz w:val="24"/>
                <w:lang w:val="sk-SK"/>
              </w:rPr>
              <w:t xml:space="preserve"> s </w:t>
            </w:r>
            <w:r w:rsidRPr="00235C73">
              <w:rPr>
                <w:rStyle w:val="FormatvorlageInstructionsTabelleText"/>
                <w:rFonts w:ascii="Times New Roman" w:hAnsi="Times New Roman"/>
                <w:sz w:val="24"/>
                <w:lang w:val="sk-SK"/>
              </w:rPr>
              <w:t>požiadavkami stanovenými</w:t>
            </w:r>
            <w:r w:rsidR="00235C73">
              <w:rPr>
                <w:rStyle w:val="FormatvorlageInstructionsTabelleText"/>
                <w:rFonts w:ascii="Times New Roman" w:hAnsi="Times New Roman"/>
                <w:sz w:val="24"/>
                <w:lang w:val="sk-SK"/>
              </w:rPr>
              <w:t xml:space="preserve"> v </w:t>
            </w:r>
            <w:r w:rsidRPr="00235C73">
              <w:rPr>
                <w:rStyle w:val="FormatvorlageInstructionsTabelleText"/>
                <w:rFonts w:ascii="Times New Roman" w:hAnsi="Times New Roman"/>
                <w:sz w:val="24"/>
                <w:lang w:val="sk-SK"/>
              </w:rPr>
              <w:t>článku 45 smernice 2014/59/EÚ, prípadne</w:t>
            </w:r>
            <w:r w:rsidR="00235C73">
              <w:rPr>
                <w:rStyle w:val="FormatvorlageInstructionsTabelleText"/>
                <w:rFonts w:ascii="Times New Roman" w:hAnsi="Times New Roman"/>
                <w:sz w:val="24"/>
                <w:lang w:val="sk-SK"/>
              </w:rPr>
              <w:t xml:space="preserve"> v </w:t>
            </w:r>
            <w:r w:rsidRPr="00235C73">
              <w:rPr>
                <w:rStyle w:val="FormatvorlageInstructionsTabelleText"/>
                <w:rFonts w:ascii="Times New Roman" w:hAnsi="Times New Roman"/>
                <w:sz w:val="24"/>
                <w:lang w:val="sk-SK"/>
              </w:rPr>
              <w:t>článku 92b nariadenia (EÚ) č. 575/2013.</w:t>
            </w:r>
          </w:p>
        </w:tc>
      </w:tr>
      <w:tr w:rsidR="00026FC1" w:rsidRPr="00235C73" w14:paraId="3F7E48D5" w14:textId="77777777" w:rsidTr="002A065A">
        <w:tc>
          <w:tcPr>
            <w:tcW w:w="1109" w:type="dxa"/>
          </w:tcPr>
          <w:p w14:paraId="068C68E0" w14:textId="4F4AB2A0" w:rsidR="000C5255" w:rsidRPr="00235C73" w:rsidRDefault="007F6136" w:rsidP="00644B02">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EU-12</w:t>
            </w:r>
          </w:p>
        </w:tc>
        <w:tc>
          <w:tcPr>
            <w:tcW w:w="7642" w:type="dxa"/>
          </w:tcPr>
          <w:p w14:paraId="4D8D9DC8" w14:textId="2F32866F" w:rsidR="000C5255" w:rsidRPr="00235C73" w:rsidRDefault="000C5255" w:rsidP="000C5255">
            <w:pPr>
              <w:rPr>
                <w:rFonts w:ascii="Times New Roman" w:hAnsi="Times New Roman" w:cs="Times New Roman"/>
                <w:color w:val="000000" w:themeColor="text1"/>
                <w:sz w:val="24"/>
                <w:szCs w:val="24"/>
                <w:lang w:val="sk-SK"/>
              </w:rPr>
            </w:pPr>
            <w:r w:rsidRPr="00235C73">
              <w:rPr>
                <w:rFonts w:ascii="Times New Roman" w:hAnsi="Times New Roman"/>
                <w:b/>
                <w:color w:val="000000" w:themeColor="text1"/>
                <w:sz w:val="24"/>
                <w:lang w:val="sk-SK"/>
              </w:rPr>
              <w:t>Vlastné zdroje</w:t>
            </w:r>
            <w:r w:rsidR="00235C73">
              <w:rPr>
                <w:rFonts w:ascii="Times New Roman" w:hAnsi="Times New Roman"/>
                <w:b/>
                <w:color w:val="000000" w:themeColor="text1"/>
                <w:sz w:val="24"/>
                <w:lang w:val="sk-SK"/>
              </w:rPr>
              <w:t xml:space="preserve"> a </w:t>
            </w:r>
            <w:r w:rsidRPr="00235C73">
              <w:rPr>
                <w:rFonts w:ascii="Times New Roman" w:hAnsi="Times New Roman"/>
                <w:b/>
                <w:color w:val="000000" w:themeColor="text1"/>
                <w:sz w:val="24"/>
                <w:lang w:val="sk-SK"/>
              </w:rPr>
              <w:t>oprávnené záväzky ako percentuálny podiel TREA</w:t>
            </w:r>
          </w:p>
          <w:p w14:paraId="745451FA" w14:textId="26C54D3B" w:rsidR="000C5255" w:rsidRPr="00235C73" w:rsidRDefault="000C5255" w:rsidP="007F6136">
            <w:pPr>
              <w:rPr>
                <w:rFonts w:ascii="Times New Roman" w:hAnsi="Times New Roman" w:cs="Times New Roman"/>
                <w:bCs/>
                <w:color w:val="000000" w:themeColor="text1"/>
                <w:sz w:val="24"/>
                <w:szCs w:val="24"/>
                <w:lang w:val="sk-SK"/>
              </w:rPr>
            </w:pPr>
            <w:r w:rsidRPr="00235C73">
              <w:rPr>
                <w:rFonts w:ascii="Times New Roman" w:hAnsi="Times New Roman"/>
                <w:color w:val="000000" w:themeColor="text1"/>
                <w:sz w:val="24"/>
                <w:lang w:val="sk-SK"/>
              </w:rPr>
              <w:t>Pomer vlastných zdrojov</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oprávnených záväzkov vyjadrený ako percentuálny podiel celkovej hodnoty rizikovej expozície.</w:t>
            </w:r>
          </w:p>
          <w:p w14:paraId="53A01624" w14:textId="53B31A41" w:rsidR="00DB779A" w:rsidRPr="00235C73" w:rsidRDefault="00DB779A" w:rsidP="00AB7A3C">
            <w:pPr>
              <w:rPr>
                <w:rFonts w:ascii="Times New Roman" w:hAnsi="Times New Roman" w:cs="Times New Roman"/>
                <w:b/>
                <w:color w:val="000000" w:themeColor="text1"/>
                <w:sz w:val="24"/>
                <w:szCs w:val="24"/>
                <w:lang w:val="sk-SK"/>
              </w:rPr>
            </w:pPr>
            <w:r w:rsidRPr="00235C73">
              <w:rPr>
                <w:rFonts w:ascii="Times New Roman" w:hAnsi="Times New Roman"/>
                <w:color w:val="000000" w:themeColor="text1"/>
                <w:sz w:val="24"/>
                <w:lang w:val="sk-SK"/>
              </w:rPr>
              <w:t>Vypočíta sa ako riadok EU-9b vydelený riadkom EU-10.</w:t>
            </w:r>
          </w:p>
        </w:tc>
      </w:tr>
      <w:tr w:rsidR="000F5992" w:rsidRPr="00235C73" w14:paraId="05A06C82" w14:textId="77777777" w:rsidTr="002A065A">
        <w:tc>
          <w:tcPr>
            <w:tcW w:w="1109" w:type="dxa"/>
          </w:tcPr>
          <w:p w14:paraId="3717A45E" w14:textId="2311289F" w:rsidR="000F5992" w:rsidRPr="00235C73" w:rsidDel="00F42177" w:rsidRDefault="000F5992" w:rsidP="00644B02">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EU-13</w:t>
            </w:r>
          </w:p>
        </w:tc>
        <w:tc>
          <w:tcPr>
            <w:tcW w:w="7642" w:type="dxa"/>
          </w:tcPr>
          <w:p w14:paraId="4B61594C" w14:textId="34D0B5D5" w:rsidR="000F5992" w:rsidRPr="00235C73" w:rsidRDefault="00FF5E0F" w:rsidP="000C5255">
            <w:pPr>
              <w:rPr>
                <w:rFonts w:ascii="Times New Roman" w:hAnsi="Times New Roman" w:cs="Times New Roman"/>
                <w:b/>
                <w:color w:val="000000" w:themeColor="text1"/>
                <w:sz w:val="24"/>
                <w:szCs w:val="24"/>
                <w:lang w:val="sk-SK"/>
              </w:rPr>
            </w:pPr>
            <w:r w:rsidRPr="00235C73">
              <w:rPr>
                <w:rFonts w:ascii="Times New Roman" w:hAnsi="Times New Roman"/>
                <w:b/>
                <w:color w:val="000000" w:themeColor="text1"/>
                <w:sz w:val="24"/>
                <w:lang w:val="sk-SK"/>
              </w:rPr>
              <w:t>Vlastné zdroje</w:t>
            </w:r>
            <w:r w:rsidR="00235C73">
              <w:rPr>
                <w:rFonts w:ascii="Times New Roman" w:hAnsi="Times New Roman"/>
                <w:b/>
                <w:color w:val="000000" w:themeColor="text1"/>
                <w:sz w:val="24"/>
                <w:lang w:val="sk-SK"/>
              </w:rPr>
              <w:t xml:space="preserve"> a </w:t>
            </w:r>
            <w:r w:rsidRPr="00235C73">
              <w:rPr>
                <w:rFonts w:ascii="Times New Roman" w:hAnsi="Times New Roman"/>
                <w:b/>
                <w:color w:val="000000" w:themeColor="text1"/>
                <w:sz w:val="24"/>
                <w:lang w:val="sk-SK"/>
              </w:rPr>
              <w:t>oprávnené záväzky ako percentuálny podiel TREA –</w:t>
            </w:r>
            <w:r w:rsidR="00235C73">
              <w:rPr>
                <w:rFonts w:ascii="Times New Roman" w:hAnsi="Times New Roman"/>
                <w:b/>
                <w:color w:val="000000" w:themeColor="text1"/>
                <w:sz w:val="24"/>
                <w:lang w:val="sk-SK"/>
              </w:rPr>
              <w:t xml:space="preserve"> z </w:t>
            </w:r>
            <w:r w:rsidRPr="00235C73">
              <w:rPr>
                <w:rFonts w:ascii="Times New Roman" w:hAnsi="Times New Roman"/>
                <w:b/>
                <w:color w:val="000000" w:themeColor="text1"/>
                <w:sz w:val="24"/>
                <w:lang w:val="sk-SK"/>
              </w:rPr>
              <w:t>čoho povolené záruky</w:t>
            </w:r>
          </w:p>
          <w:p w14:paraId="3E66E9D6" w14:textId="35360520" w:rsidR="000F5992" w:rsidRPr="00235C73" w:rsidRDefault="00B24DB1" w:rsidP="00A96376">
            <w:pPr>
              <w:rPr>
                <w:rFonts w:ascii="Times New Roman" w:hAnsi="Times New Roman" w:cs="Times New Roman"/>
                <w:color w:val="000000" w:themeColor="text1"/>
                <w:sz w:val="24"/>
                <w:szCs w:val="24"/>
                <w:lang w:val="sk-SK"/>
              </w:rPr>
            </w:pPr>
            <w:r w:rsidRPr="00235C73">
              <w:rPr>
                <w:rStyle w:val="FormatvorlageInstructionsTabelleText"/>
                <w:rFonts w:ascii="Times New Roman" w:hAnsi="Times New Roman"/>
                <w:sz w:val="24"/>
                <w:lang w:val="sk-SK"/>
              </w:rPr>
              <w:lastRenderedPageBreak/>
              <w:t xml:space="preserve">Ak orgán pre riešenie krízových situácií dcérskej spoločnosti povolí subjektu splniť internú MREL zárukami, suma </w:t>
            </w:r>
            <w:r w:rsidRPr="00235C73">
              <w:rPr>
                <w:rFonts w:ascii="Times New Roman" w:hAnsi="Times New Roman"/>
                <w:color w:val="000000" w:themeColor="text1"/>
                <w:sz w:val="24"/>
                <w:lang w:val="sk-SK"/>
              </w:rPr>
              <w:t>záruk, ktoré poskytuje subjekt, ktorého krízová situácia sa rieši,</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ktoré spĺňajú podmienky stanovené</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článku 45f ods. 5 smernice 2014/59/EÚ, vyjadrená ako percentuálny podiel celkovej hodnoty rizikovej expozície.</w:t>
            </w:r>
          </w:p>
          <w:p w14:paraId="21098783" w14:textId="24721D46" w:rsidR="00B24DB1" w:rsidRPr="00235C73" w:rsidRDefault="00B07EB6" w:rsidP="00AA0676">
            <w:pPr>
              <w:rPr>
                <w:rFonts w:ascii="Times New Roman" w:hAnsi="Times New Roman" w:cs="Times New Roman"/>
                <w:b/>
                <w:color w:val="000000" w:themeColor="text1"/>
                <w:sz w:val="24"/>
                <w:szCs w:val="24"/>
                <w:lang w:val="sk-SK"/>
              </w:rPr>
            </w:pPr>
            <w:r w:rsidRPr="00235C73">
              <w:rPr>
                <w:rFonts w:ascii="Times New Roman" w:hAnsi="Times New Roman"/>
                <w:color w:val="000000" w:themeColor="text1"/>
                <w:sz w:val="24"/>
                <w:lang w:val="sk-SK"/>
              </w:rPr>
              <w:t>Vypočíta sa ako riadok EU-8 vydelený riadkom EU-10.</w:t>
            </w:r>
          </w:p>
        </w:tc>
      </w:tr>
      <w:tr w:rsidR="00026FC1" w:rsidRPr="00235C73" w14:paraId="1BE5C236" w14:textId="77777777" w:rsidTr="002A065A">
        <w:tc>
          <w:tcPr>
            <w:tcW w:w="1109" w:type="dxa"/>
          </w:tcPr>
          <w:p w14:paraId="6389E44B" w14:textId="64502185" w:rsidR="000C5255" w:rsidRPr="00235C73" w:rsidRDefault="007F6136" w:rsidP="00644B02">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lastRenderedPageBreak/>
              <w:t>EU-14</w:t>
            </w:r>
          </w:p>
        </w:tc>
        <w:tc>
          <w:tcPr>
            <w:tcW w:w="7642" w:type="dxa"/>
          </w:tcPr>
          <w:p w14:paraId="747FEBA4" w14:textId="702F66C8" w:rsidR="000C5255" w:rsidRPr="00235C73" w:rsidRDefault="000C5255" w:rsidP="000C5255">
            <w:pPr>
              <w:rPr>
                <w:rFonts w:ascii="Times New Roman" w:hAnsi="Times New Roman" w:cs="Times New Roman"/>
                <w:b/>
                <w:color w:val="000000" w:themeColor="text1"/>
                <w:sz w:val="24"/>
                <w:szCs w:val="24"/>
                <w:lang w:val="sk-SK"/>
              </w:rPr>
            </w:pPr>
            <w:r w:rsidRPr="00235C73">
              <w:rPr>
                <w:rFonts w:ascii="Times New Roman" w:hAnsi="Times New Roman"/>
                <w:b/>
                <w:color w:val="000000" w:themeColor="text1"/>
                <w:sz w:val="24"/>
                <w:lang w:val="sk-SK"/>
              </w:rPr>
              <w:t>Vlastné zdroje</w:t>
            </w:r>
            <w:r w:rsidR="00235C73">
              <w:rPr>
                <w:rFonts w:ascii="Times New Roman" w:hAnsi="Times New Roman"/>
                <w:b/>
                <w:color w:val="000000" w:themeColor="text1"/>
                <w:sz w:val="24"/>
                <w:lang w:val="sk-SK"/>
              </w:rPr>
              <w:t xml:space="preserve"> a </w:t>
            </w:r>
            <w:r w:rsidRPr="00235C73">
              <w:rPr>
                <w:rFonts w:ascii="Times New Roman" w:hAnsi="Times New Roman"/>
                <w:b/>
                <w:color w:val="000000" w:themeColor="text1"/>
                <w:sz w:val="24"/>
                <w:lang w:val="sk-SK"/>
              </w:rPr>
              <w:t>oprávnené záväzky ako percentuálny podiel TEM</w:t>
            </w:r>
          </w:p>
          <w:p w14:paraId="10E78AE1" w14:textId="08E26EE1" w:rsidR="000C5255" w:rsidRPr="00235C73" w:rsidRDefault="000C5255">
            <w:pPr>
              <w:rPr>
                <w:rFonts w:ascii="Times New Roman" w:hAnsi="Times New Roman" w:cs="Times New Roman"/>
                <w:bCs/>
                <w:color w:val="000000" w:themeColor="text1"/>
                <w:sz w:val="24"/>
                <w:szCs w:val="24"/>
                <w:lang w:val="sk-SK"/>
              </w:rPr>
            </w:pPr>
            <w:r w:rsidRPr="00235C73">
              <w:rPr>
                <w:rFonts w:ascii="Times New Roman" w:hAnsi="Times New Roman"/>
                <w:color w:val="000000" w:themeColor="text1"/>
                <w:sz w:val="24"/>
                <w:lang w:val="sk-SK"/>
              </w:rPr>
              <w:t>Pomer vlastných zdrojov</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oprávnených záväzkov vyjadrený ako percentuálny podiel veľkosti celkovej expozície.</w:t>
            </w:r>
          </w:p>
          <w:p w14:paraId="3C080CF4" w14:textId="28CCBF72" w:rsidR="003946D4" w:rsidRPr="00235C73" w:rsidRDefault="003946D4" w:rsidP="00AB7A3C">
            <w:pPr>
              <w:rPr>
                <w:rFonts w:ascii="Times New Roman" w:hAnsi="Times New Roman" w:cs="Times New Roman"/>
                <w:b/>
                <w:color w:val="000000" w:themeColor="text1"/>
                <w:sz w:val="24"/>
                <w:szCs w:val="24"/>
                <w:lang w:val="sk-SK"/>
              </w:rPr>
            </w:pPr>
            <w:r w:rsidRPr="00235C73">
              <w:rPr>
                <w:rFonts w:ascii="Times New Roman" w:hAnsi="Times New Roman"/>
                <w:color w:val="000000" w:themeColor="text1"/>
                <w:sz w:val="24"/>
                <w:lang w:val="sk-SK"/>
              </w:rPr>
              <w:t>Vypočíta sa ako riadok EU-9b vydelený riadkom EU-11.</w:t>
            </w:r>
          </w:p>
        </w:tc>
      </w:tr>
      <w:tr w:rsidR="000F5992" w:rsidRPr="00235C73" w14:paraId="06EE9DB1" w14:textId="77777777" w:rsidTr="002A065A">
        <w:tc>
          <w:tcPr>
            <w:tcW w:w="1109" w:type="dxa"/>
          </w:tcPr>
          <w:p w14:paraId="38BE120A" w14:textId="5E907A17" w:rsidR="000F5992" w:rsidRPr="00235C73" w:rsidDel="00F42177" w:rsidRDefault="000F5992" w:rsidP="00644B02">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EU-15</w:t>
            </w:r>
          </w:p>
        </w:tc>
        <w:tc>
          <w:tcPr>
            <w:tcW w:w="7642" w:type="dxa"/>
          </w:tcPr>
          <w:p w14:paraId="6EC6E664" w14:textId="150BF594" w:rsidR="000F5992" w:rsidRPr="00235C73" w:rsidRDefault="00FF5E0F" w:rsidP="003F5FDC">
            <w:pPr>
              <w:rPr>
                <w:rFonts w:ascii="Times New Roman" w:hAnsi="Times New Roman" w:cs="Times New Roman"/>
                <w:b/>
                <w:color w:val="000000" w:themeColor="text1"/>
                <w:sz w:val="24"/>
                <w:szCs w:val="24"/>
                <w:lang w:val="sk-SK"/>
              </w:rPr>
            </w:pPr>
            <w:r w:rsidRPr="00235C73">
              <w:rPr>
                <w:rFonts w:ascii="Times New Roman" w:hAnsi="Times New Roman"/>
                <w:b/>
                <w:color w:val="000000" w:themeColor="text1"/>
                <w:sz w:val="24"/>
                <w:lang w:val="sk-SK"/>
              </w:rPr>
              <w:t>Vlastné zdroje</w:t>
            </w:r>
            <w:r w:rsidR="00235C73">
              <w:rPr>
                <w:rFonts w:ascii="Times New Roman" w:hAnsi="Times New Roman"/>
                <w:b/>
                <w:color w:val="000000" w:themeColor="text1"/>
                <w:sz w:val="24"/>
                <w:lang w:val="sk-SK"/>
              </w:rPr>
              <w:t xml:space="preserve"> a </w:t>
            </w:r>
            <w:r w:rsidRPr="00235C73">
              <w:rPr>
                <w:rFonts w:ascii="Times New Roman" w:hAnsi="Times New Roman"/>
                <w:b/>
                <w:color w:val="000000" w:themeColor="text1"/>
                <w:sz w:val="24"/>
                <w:lang w:val="sk-SK"/>
              </w:rPr>
              <w:t>oprávnené záväzky ako percentuálny podiel TEM –</w:t>
            </w:r>
            <w:r w:rsidR="00235C73">
              <w:rPr>
                <w:rFonts w:ascii="Times New Roman" w:hAnsi="Times New Roman"/>
                <w:b/>
                <w:color w:val="000000" w:themeColor="text1"/>
                <w:sz w:val="24"/>
                <w:lang w:val="sk-SK"/>
              </w:rPr>
              <w:t xml:space="preserve"> z </w:t>
            </w:r>
            <w:r w:rsidRPr="00235C73">
              <w:rPr>
                <w:rFonts w:ascii="Times New Roman" w:hAnsi="Times New Roman"/>
                <w:b/>
                <w:color w:val="000000" w:themeColor="text1"/>
                <w:sz w:val="24"/>
                <w:lang w:val="sk-SK"/>
              </w:rPr>
              <w:t>čoho povolené záruky</w:t>
            </w:r>
          </w:p>
          <w:p w14:paraId="49C52AE4" w14:textId="4BBC5B8E" w:rsidR="00B07EB6" w:rsidRPr="00235C73" w:rsidRDefault="00AA0676" w:rsidP="00A96376">
            <w:pPr>
              <w:rPr>
                <w:rFonts w:ascii="Times New Roman" w:hAnsi="Times New Roman" w:cs="Times New Roman"/>
                <w:color w:val="000000" w:themeColor="text1"/>
                <w:sz w:val="24"/>
                <w:szCs w:val="24"/>
                <w:lang w:val="sk-SK"/>
              </w:rPr>
            </w:pPr>
            <w:r w:rsidRPr="00235C73">
              <w:rPr>
                <w:rStyle w:val="FormatvorlageInstructionsTabelleText"/>
                <w:rFonts w:ascii="Times New Roman" w:hAnsi="Times New Roman"/>
                <w:sz w:val="24"/>
                <w:lang w:val="sk-SK"/>
              </w:rPr>
              <w:t xml:space="preserve">Ak orgán pre riešenie krízových situácií dcérskej spoločnosti povolí subjektu splniť internú MREL zárukami, suma </w:t>
            </w:r>
            <w:r w:rsidRPr="00235C73">
              <w:rPr>
                <w:rFonts w:ascii="Times New Roman" w:hAnsi="Times New Roman"/>
                <w:color w:val="000000" w:themeColor="text1"/>
                <w:sz w:val="24"/>
                <w:lang w:val="sk-SK"/>
              </w:rPr>
              <w:t>záruk, ktoré poskytuje subjekt, ktorého krízová situácia sa rieši,</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ktoré spĺňajú podmienky stanovené</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článku 45f ods. 5 smernice 2014/59/EÚ, vyjadrená ako percentuálny podiel veľkosti celkovej expozície.</w:t>
            </w:r>
          </w:p>
          <w:p w14:paraId="5F818595" w14:textId="4B7CE3AB" w:rsidR="000F5992" w:rsidRPr="00235C73" w:rsidRDefault="00B07EB6" w:rsidP="00B07EB6">
            <w:pPr>
              <w:rPr>
                <w:rFonts w:ascii="Times New Roman" w:hAnsi="Times New Roman" w:cs="Times New Roman"/>
                <w:b/>
                <w:color w:val="000000" w:themeColor="text1"/>
                <w:sz w:val="24"/>
                <w:szCs w:val="24"/>
                <w:lang w:val="sk-SK"/>
              </w:rPr>
            </w:pPr>
            <w:r w:rsidRPr="00235C73">
              <w:rPr>
                <w:rFonts w:ascii="Times New Roman" w:hAnsi="Times New Roman"/>
                <w:color w:val="000000" w:themeColor="text1"/>
                <w:sz w:val="24"/>
                <w:lang w:val="sk-SK"/>
              </w:rPr>
              <w:t>Vypočíta sa ako riadok EU-8 vydelený riadkom EU-11.</w:t>
            </w:r>
          </w:p>
        </w:tc>
      </w:tr>
      <w:tr w:rsidR="00026FC1" w:rsidRPr="00235C73" w14:paraId="72C7F5C5" w14:textId="77777777" w:rsidTr="002A065A">
        <w:tc>
          <w:tcPr>
            <w:tcW w:w="1109" w:type="dxa"/>
          </w:tcPr>
          <w:p w14:paraId="480E6DB5" w14:textId="4B427067" w:rsidR="000C5255" w:rsidRPr="00235C73" w:rsidRDefault="00F42177" w:rsidP="00644B02">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EU-16</w:t>
            </w:r>
          </w:p>
        </w:tc>
        <w:tc>
          <w:tcPr>
            <w:tcW w:w="7642" w:type="dxa"/>
          </w:tcPr>
          <w:p w14:paraId="77339BFA" w14:textId="07707C45" w:rsidR="000C5255" w:rsidRPr="00235C73" w:rsidRDefault="000C5255" w:rsidP="000C5255">
            <w:pPr>
              <w:rPr>
                <w:rFonts w:ascii="Times New Roman" w:hAnsi="Times New Roman" w:cs="Times New Roman"/>
                <w:b/>
                <w:color w:val="000000" w:themeColor="text1"/>
                <w:sz w:val="24"/>
                <w:szCs w:val="24"/>
                <w:lang w:val="sk-SK"/>
              </w:rPr>
            </w:pPr>
            <w:r w:rsidRPr="00235C73">
              <w:rPr>
                <w:rFonts w:ascii="Times New Roman" w:hAnsi="Times New Roman"/>
                <w:b/>
                <w:color w:val="000000" w:themeColor="text1"/>
                <w:sz w:val="24"/>
                <w:lang w:val="sk-SK"/>
              </w:rPr>
              <w:t>CET1 (ako percentuálny podiel TREA) dostupný po splnení požiadaviek subjektu</w:t>
            </w:r>
          </w:p>
          <w:p w14:paraId="10969C39" w14:textId="40B8C734" w:rsidR="00A47BCD" w:rsidRPr="00235C73" w:rsidRDefault="00A47BCD" w:rsidP="00AA0676">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Suma CET1, ktorá sa rovná nule alebo je kladná, dostupná po splnení každej</w:t>
            </w:r>
            <w:r w:rsidR="00235C73">
              <w:rPr>
                <w:rFonts w:ascii="Times New Roman" w:hAnsi="Times New Roman"/>
                <w:color w:val="000000" w:themeColor="text1"/>
                <w:sz w:val="24"/>
                <w:lang w:val="sk-SK"/>
              </w:rPr>
              <w:t xml:space="preserve"> z </w:t>
            </w:r>
            <w:r w:rsidRPr="00235C73">
              <w:rPr>
                <w:rFonts w:ascii="Times New Roman" w:hAnsi="Times New Roman"/>
                <w:color w:val="000000" w:themeColor="text1"/>
                <w:sz w:val="24"/>
                <w:lang w:val="sk-SK"/>
              </w:rPr>
              <w:t>požiadaviek uvedených</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článku 141a písm. a), b)</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c) smernice 2013/36/EÚ</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vyššej</w:t>
            </w:r>
            <w:r w:rsidR="00235C73">
              <w:rPr>
                <w:rFonts w:ascii="Times New Roman" w:hAnsi="Times New Roman"/>
                <w:color w:val="000000" w:themeColor="text1"/>
                <w:sz w:val="24"/>
                <w:lang w:val="sk-SK"/>
              </w:rPr>
              <w:t xml:space="preserve"> z </w:t>
            </w:r>
            <w:r w:rsidRPr="00235C73">
              <w:rPr>
                <w:rFonts w:ascii="Times New Roman" w:hAnsi="Times New Roman"/>
                <w:color w:val="000000" w:themeColor="text1"/>
                <w:sz w:val="24"/>
                <w:lang w:val="sk-SK"/>
              </w:rPr>
              <w:t>týchto požiadaviek:</w:t>
            </w:r>
          </w:p>
          <w:p w14:paraId="53AA4036" w14:textId="1A4E9BFC" w:rsidR="00235C73" w:rsidRDefault="00A47BCD" w:rsidP="00AA0676">
            <w:pPr>
              <w:rPr>
                <w:rFonts w:ascii="Times New Roman" w:hAnsi="Times New Roman"/>
                <w:color w:val="000000" w:themeColor="text1"/>
                <w:sz w:val="24"/>
                <w:lang w:val="sk-SK"/>
              </w:rPr>
            </w:pPr>
            <w:r w:rsidRPr="00235C73">
              <w:rPr>
                <w:rFonts w:ascii="Times New Roman" w:hAnsi="Times New Roman"/>
                <w:color w:val="000000" w:themeColor="text1"/>
                <w:sz w:val="24"/>
                <w:lang w:val="sk-SK"/>
              </w:rPr>
              <w:t>a) ak je to relevantné, požiadavky na vlastné zdroje</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oprávnené záväzky pre G-SII mimo EÚ podľa článku 92b nariadenia (EÚ) č. 575/2013, keď sa vypočítava</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súlade článkom 92b ods. 1 nariadenia (EÚ) č. 575/2013 ako 90</w:t>
            </w:r>
            <w:r w:rsidR="00235C73">
              <w:rPr>
                <w:rFonts w:ascii="Times New Roman" w:hAnsi="Times New Roman"/>
                <w:color w:val="000000" w:themeColor="text1"/>
                <w:sz w:val="24"/>
                <w:lang w:val="sk-SK"/>
              </w:rPr>
              <w:t> %</w:t>
            </w:r>
            <w:r w:rsidRPr="00235C73">
              <w:rPr>
                <w:rFonts w:ascii="Times New Roman" w:hAnsi="Times New Roman"/>
                <w:color w:val="000000" w:themeColor="text1"/>
                <w:sz w:val="24"/>
                <w:lang w:val="sk-SK"/>
              </w:rPr>
              <w:t xml:space="preserve"> požiadavky uvedenej</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článku 92a ods. 1 písm. a) uvedeného nariadenia;</w:t>
            </w:r>
            <w:r w:rsidR="00235C73">
              <w:rPr>
                <w:rFonts w:ascii="Times New Roman" w:hAnsi="Times New Roman"/>
                <w:color w:val="000000" w:themeColor="text1"/>
                <w:sz w:val="24"/>
                <w:lang w:val="sk-SK"/>
              </w:rPr>
              <w:t xml:space="preserve"> a</w:t>
            </w:r>
          </w:p>
          <w:p w14:paraId="198DF7D6" w14:textId="53B4A1A6" w:rsidR="00A47BCD" w:rsidRPr="00235C73" w:rsidRDefault="00A47BCD" w:rsidP="00AA0676">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b) minimálnej požiadavky na vlastné zdroje</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oprávnené záväzky podľa článku 45f smernice 2014/59/EÚ, keď sa vypočítava</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súlade</w:t>
            </w:r>
            <w:r w:rsidR="00235C73">
              <w:rPr>
                <w:rFonts w:ascii="Times New Roman" w:hAnsi="Times New Roman"/>
                <w:color w:val="000000" w:themeColor="text1"/>
                <w:sz w:val="24"/>
                <w:lang w:val="sk-SK"/>
              </w:rPr>
              <w:t xml:space="preserve"> s </w:t>
            </w:r>
            <w:r w:rsidRPr="00235C73">
              <w:rPr>
                <w:rFonts w:ascii="Times New Roman" w:hAnsi="Times New Roman"/>
                <w:color w:val="000000" w:themeColor="text1"/>
                <w:sz w:val="24"/>
                <w:lang w:val="sk-SK"/>
              </w:rPr>
              <w:t>článkom 45 ods. 2 písm. a) uvedenej smernice.</w:t>
            </w:r>
          </w:p>
          <w:p w14:paraId="4CF4E1A3" w14:textId="4EA0F8D7" w:rsidR="00A47BCD" w:rsidRPr="00235C73" w:rsidRDefault="00A47BCD" w:rsidP="00AA0676">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Zverejňovaný údaj musí byť rovnaký</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stĺpci MREL aj</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stĺpci TLAC.</w:t>
            </w:r>
          </w:p>
          <w:p w14:paraId="6C9387A7" w14:textId="5D2C0481" w:rsidR="000C5255" w:rsidRPr="00235C73" w:rsidRDefault="00A47BCD" w:rsidP="00AA0676">
            <w:pPr>
              <w:rPr>
                <w:b/>
                <w:lang w:val="sk-SK"/>
              </w:rPr>
            </w:pPr>
            <w:r w:rsidRPr="00235C73">
              <w:rPr>
                <w:rFonts w:ascii="Times New Roman" w:hAnsi="Times New Roman"/>
                <w:color w:val="000000" w:themeColor="text1"/>
                <w:sz w:val="24"/>
                <w:lang w:val="sk-SK"/>
              </w:rPr>
              <w:t>Zohľadňuje sa</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ňom vplyv prechodných ustanovení na vlastné zdroje</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oprávnené záväzky, celková hodnota rizikovej expozície</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samotné požiadavky. Nezohľadňujú sa usmernenia týkajúce sa dodatočných vlastných zdrojov, ako sa uvádza</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 xml:space="preserve">článku 104b smernice 2013/36/EÚ, ani </w:t>
            </w:r>
            <w:r w:rsidRPr="00235C73">
              <w:rPr>
                <w:rFonts w:ascii="Times New Roman" w:hAnsi="Times New Roman"/>
                <w:color w:val="000000" w:themeColor="text1"/>
                <w:sz w:val="24"/>
                <w:lang w:val="sk-SK"/>
              </w:rPr>
              <w:lastRenderedPageBreak/>
              <w:t>požiadavka na kombinovaný vankúš uvedená</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článku 128 prvom odseku bode 6 uvedenej smernice.</w:t>
            </w:r>
          </w:p>
        </w:tc>
      </w:tr>
      <w:tr w:rsidR="00026FC1" w:rsidRPr="00235C73" w14:paraId="27986DD8" w14:textId="77777777" w:rsidTr="002A065A">
        <w:tc>
          <w:tcPr>
            <w:tcW w:w="1109" w:type="dxa"/>
          </w:tcPr>
          <w:p w14:paraId="72398D99" w14:textId="0534A19F" w:rsidR="000C5255" w:rsidRPr="00235C73" w:rsidRDefault="000F5992" w:rsidP="00644B02">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lastRenderedPageBreak/>
              <w:t>EU-17</w:t>
            </w:r>
          </w:p>
        </w:tc>
        <w:tc>
          <w:tcPr>
            <w:tcW w:w="7642" w:type="dxa"/>
          </w:tcPr>
          <w:p w14:paraId="2E1336B2" w14:textId="77777777" w:rsidR="00235C73" w:rsidRDefault="000C5255" w:rsidP="000C5255">
            <w:pPr>
              <w:rPr>
                <w:rFonts w:ascii="Times New Roman" w:hAnsi="Times New Roman"/>
                <w:b/>
                <w:color w:val="000000" w:themeColor="text1"/>
                <w:sz w:val="24"/>
                <w:lang w:val="sk-SK"/>
              </w:rPr>
            </w:pPr>
            <w:r w:rsidRPr="00235C73">
              <w:rPr>
                <w:rFonts w:ascii="Times New Roman" w:hAnsi="Times New Roman"/>
                <w:b/>
                <w:color w:val="000000" w:themeColor="text1"/>
                <w:sz w:val="24"/>
                <w:lang w:val="sk-SK"/>
              </w:rPr>
              <w:t>Požiadavka na kombinovaný vankúš špecifický pre inštitúciu</w:t>
            </w:r>
          </w:p>
          <w:p w14:paraId="24FA0B83" w14:textId="456E2877" w:rsidR="000C5255" w:rsidRPr="00235C73" w:rsidRDefault="000C5255" w:rsidP="00CB08B2">
            <w:pPr>
              <w:rPr>
                <w:rFonts w:ascii="Times New Roman" w:hAnsi="Times New Roman" w:cs="Times New Roman"/>
                <w:b/>
                <w:color w:val="000000" w:themeColor="text1"/>
                <w:sz w:val="24"/>
                <w:szCs w:val="24"/>
                <w:lang w:val="sk-SK"/>
              </w:rPr>
            </w:pPr>
            <w:r w:rsidRPr="00235C73">
              <w:rPr>
                <w:rFonts w:ascii="Times New Roman" w:hAnsi="Times New Roman"/>
                <w:color w:val="000000" w:themeColor="text1"/>
                <w:sz w:val="24"/>
                <w:lang w:val="sk-SK"/>
              </w:rPr>
              <w:t>Požiadavka na kombinovaný vankúš špecifický pre inštitúciu</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zmysle vymedzenia</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článku 128 prvom odseku bode 6 smernice 2013/36/EÚ, vyjadrená ako percentuálny podiel celkovej hodnoty rizikovej expozície</w:t>
            </w:r>
            <w:r w:rsidR="00235C73">
              <w:rPr>
                <w:rFonts w:ascii="Times New Roman" w:hAnsi="Times New Roman"/>
                <w:color w:val="000000" w:themeColor="text1"/>
                <w:sz w:val="24"/>
                <w:lang w:val="sk-SK"/>
              </w:rPr>
              <w:t xml:space="preserve"> a </w:t>
            </w:r>
            <w:r w:rsidRPr="00235C73">
              <w:rPr>
                <w:rFonts w:ascii="Times New Roman" w:hAnsi="Times New Roman"/>
                <w:color w:val="000000" w:themeColor="text1"/>
                <w:sz w:val="24"/>
                <w:lang w:val="sk-SK"/>
              </w:rPr>
              <w:t>uplatniteľná na subjekt</w:t>
            </w:r>
            <w:r w:rsidR="00235C73">
              <w:rPr>
                <w:rFonts w:ascii="Times New Roman" w:hAnsi="Times New Roman"/>
                <w:color w:val="000000" w:themeColor="text1"/>
                <w:sz w:val="24"/>
                <w:lang w:val="sk-SK"/>
              </w:rPr>
              <w:t xml:space="preserve"> v </w:t>
            </w:r>
            <w:r w:rsidRPr="00235C73">
              <w:rPr>
                <w:rFonts w:ascii="Times New Roman" w:hAnsi="Times New Roman"/>
                <w:color w:val="000000" w:themeColor="text1"/>
                <w:sz w:val="24"/>
                <w:lang w:val="sk-SK"/>
              </w:rPr>
              <w:t>súlade</w:t>
            </w:r>
            <w:r w:rsidR="00235C73">
              <w:rPr>
                <w:rFonts w:ascii="Times New Roman" w:hAnsi="Times New Roman"/>
                <w:color w:val="000000" w:themeColor="text1"/>
                <w:sz w:val="24"/>
                <w:lang w:val="sk-SK"/>
              </w:rPr>
              <w:t xml:space="preserve"> s </w:t>
            </w:r>
            <w:r w:rsidRPr="00235C73">
              <w:rPr>
                <w:rFonts w:ascii="Times New Roman" w:hAnsi="Times New Roman"/>
                <w:color w:val="000000" w:themeColor="text1"/>
                <w:sz w:val="24"/>
                <w:lang w:val="sk-SK"/>
              </w:rPr>
              <w:t>článkom 128 prvým odsekom bodom 6 smernice 2013/36/EÚ.</w:t>
            </w:r>
          </w:p>
        </w:tc>
      </w:tr>
      <w:tr w:rsidR="00026FC1" w:rsidRPr="00235C73" w14:paraId="7F2F0D59" w14:textId="77777777" w:rsidTr="002A065A">
        <w:trPr>
          <w:trHeight w:val="58"/>
        </w:trPr>
        <w:tc>
          <w:tcPr>
            <w:tcW w:w="1109" w:type="dxa"/>
          </w:tcPr>
          <w:p w14:paraId="5F6F778C" w14:textId="5F16CF0E" w:rsidR="000F5992" w:rsidRPr="00235C73" w:rsidRDefault="00F42177" w:rsidP="00644B02">
            <w:pPr>
              <w:rPr>
                <w:rFonts w:ascii="Times New Roman" w:hAnsi="Times New Roman" w:cs="Times New Roman"/>
                <w:bCs/>
                <w:iCs/>
                <w:color w:val="000000" w:themeColor="text1"/>
                <w:sz w:val="24"/>
                <w:szCs w:val="24"/>
                <w:lang w:val="sk-SK"/>
              </w:rPr>
            </w:pPr>
            <w:r w:rsidRPr="00235C73">
              <w:rPr>
                <w:rFonts w:ascii="Times New Roman" w:hAnsi="Times New Roman"/>
                <w:color w:val="000000" w:themeColor="text1"/>
                <w:sz w:val="24"/>
                <w:lang w:val="sk-SK"/>
              </w:rPr>
              <w:t>EU-18</w:t>
            </w:r>
          </w:p>
        </w:tc>
        <w:tc>
          <w:tcPr>
            <w:tcW w:w="7642" w:type="dxa"/>
          </w:tcPr>
          <w:p w14:paraId="44696FD9" w14:textId="2B694FE0" w:rsidR="008834C5" w:rsidRPr="00235C73" w:rsidRDefault="00F51FA3" w:rsidP="008834C5">
            <w:pPr>
              <w:rPr>
                <w:rFonts w:ascii="Times New Roman" w:hAnsi="Times New Roman" w:cs="Times New Roman"/>
                <w:b/>
                <w:bCs/>
                <w:color w:val="000000" w:themeColor="text1"/>
                <w:sz w:val="24"/>
                <w:szCs w:val="24"/>
                <w:lang w:val="sk-SK"/>
              </w:rPr>
            </w:pPr>
            <w:r w:rsidRPr="00235C73">
              <w:rPr>
                <w:rFonts w:ascii="Times New Roman" w:hAnsi="Times New Roman"/>
                <w:b/>
                <w:color w:val="000000" w:themeColor="text1"/>
                <w:sz w:val="24"/>
                <w:lang w:val="sk-SK"/>
              </w:rPr>
              <w:t>Požiadavka vyjadrená ako percentuálny podiel TREA</w:t>
            </w:r>
          </w:p>
          <w:p w14:paraId="4059E3AD" w14:textId="09123D9B" w:rsidR="00B07EB6" w:rsidRPr="00235C73" w:rsidRDefault="00B07EB6" w:rsidP="0092457E">
            <w:pPr>
              <w:rPr>
                <w:rFonts w:ascii="Times New Roman" w:hAnsi="Times New Roman" w:cs="Times New Roman"/>
                <w:i/>
                <w:sz w:val="24"/>
                <w:szCs w:val="24"/>
                <w:lang w:val="sk-SK"/>
              </w:rPr>
            </w:pPr>
            <w:r w:rsidRPr="00235C73">
              <w:rPr>
                <w:rFonts w:ascii="Times New Roman" w:hAnsi="Times New Roman"/>
                <w:i/>
                <w:sz w:val="24"/>
                <w:lang w:val="sk-SK"/>
              </w:rPr>
              <w:t>Interná MREL</w:t>
            </w:r>
          </w:p>
          <w:p w14:paraId="7A3B8EB3" w14:textId="2938379B" w:rsidR="00036DB1" w:rsidRPr="00235C73" w:rsidRDefault="00B07EB6" w:rsidP="0092457E">
            <w:pPr>
              <w:rPr>
                <w:rFonts w:ascii="Times New Roman" w:hAnsi="Times New Roman" w:cs="Times New Roman"/>
                <w:bCs/>
                <w:sz w:val="24"/>
                <w:szCs w:val="24"/>
                <w:lang w:val="sk-SK"/>
              </w:rPr>
            </w:pPr>
            <w:r w:rsidRPr="00235C73">
              <w:rPr>
                <w:rFonts w:ascii="Times New Roman" w:hAnsi="Times New Roman"/>
                <w:sz w:val="24"/>
                <w:lang w:val="sk-SK"/>
              </w:rPr>
              <w:t>Požiadavka na vlastné zdroje</w:t>
            </w:r>
            <w:r w:rsidR="00235C73">
              <w:rPr>
                <w:rFonts w:ascii="Times New Roman" w:hAnsi="Times New Roman"/>
                <w:sz w:val="24"/>
                <w:lang w:val="sk-SK"/>
              </w:rPr>
              <w:t xml:space="preserve"> a </w:t>
            </w:r>
            <w:r w:rsidRPr="00235C73">
              <w:rPr>
                <w:rFonts w:ascii="Times New Roman" w:hAnsi="Times New Roman"/>
                <w:sz w:val="24"/>
                <w:lang w:val="sk-SK"/>
              </w:rPr>
              <w:t>oprávnené záväzky uplatniteľná na subjekt</w:t>
            </w:r>
            <w:r w:rsidR="00235C73">
              <w:rPr>
                <w:rFonts w:ascii="Times New Roman" w:hAnsi="Times New Roman"/>
                <w:sz w:val="24"/>
                <w:lang w:val="sk-SK"/>
              </w:rPr>
              <w:t xml:space="preserve"> v </w:t>
            </w:r>
            <w:r w:rsidRPr="00235C73">
              <w:rPr>
                <w:rFonts w:ascii="Times New Roman" w:hAnsi="Times New Roman"/>
                <w:sz w:val="24"/>
                <w:lang w:val="sk-SK"/>
              </w:rPr>
              <w:t>súlade</w:t>
            </w:r>
            <w:r w:rsidR="00235C73">
              <w:rPr>
                <w:rFonts w:ascii="Times New Roman" w:hAnsi="Times New Roman"/>
                <w:sz w:val="24"/>
                <w:lang w:val="sk-SK"/>
              </w:rPr>
              <w:t xml:space="preserve"> s </w:t>
            </w:r>
            <w:r w:rsidRPr="00235C73">
              <w:rPr>
                <w:rFonts w:ascii="Times New Roman" w:hAnsi="Times New Roman"/>
                <w:sz w:val="24"/>
                <w:lang w:val="sk-SK"/>
              </w:rPr>
              <w:t>článkom 45f smernice 2014/59/EÚ, vyjadrená ako percentuálny podiel celkovej hodnoty rizikovej expozície (na individuálnej alebo prípadne konsolidovanej úrovni).</w:t>
            </w:r>
          </w:p>
          <w:p w14:paraId="36F1A57F" w14:textId="701178C9" w:rsidR="00B07EB6" w:rsidRPr="00235C73" w:rsidRDefault="00B07EB6" w:rsidP="00B07EB6">
            <w:pPr>
              <w:rPr>
                <w:rFonts w:ascii="Times New Roman" w:hAnsi="Times New Roman" w:cs="Times New Roman"/>
                <w:bCs/>
                <w:i/>
                <w:sz w:val="24"/>
                <w:szCs w:val="24"/>
                <w:lang w:val="sk-SK"/>
              </w:rPr>
            </w:pPr>
            <w:r w:rsidRPr="00235C73">
              <w:rPr>
                <w:rFonts w:ascii="Times New Roman" w:hAnsi="Times New Roman"/>
                <w:i/>
                <w:sz w:val="24"/>
                <w:lang w:val="sk-SK"/>
              </w:rPr>
              <w:t>Interná TLAC</w:t>
            </w:r>
          </w:p>
          <w:p w14:paraId="524A15B1" w14:textId="3C1B5ECC" w:rsidR="00D156A3" w:rsidRPr="00235C73" w:rsidRDefault="00B07EB6" w:rsidP="00CB08B2">
            <w:pPr>
              <w:rPr>
                <w:rFonts w:ascii="Times New Roman" w:hAnsi="Times New Roman" w:cs="Times New Roman"/>
                <w:bCs/>
                <w:sz w:val="24"/>
                <w:szCs w:val="24"/>
                <w:lang w:val="sk-SK"/>
              </w:rPr>
            </w:pPr>
            <w:r w:rsidRPr="00235C73">
              <w:rPr>
                <w:rFonts w:ascii="Times New Roman" w:hAnsi="Times New Roman"/>
                <w:sz w:val="24"/>
                <w:lang w:val="sk-SK"/>
              </w:rPr>
              <w:t>Požiadavka stanovená</w:t>
            </w:r>
            <w:r w:rsidR="00235C73">
              <w:rPr>
                <w:rFonts w:ascii="Times New Roman" w:hAnsi="Times New Roman"/>
                <w:sz w:val="24"/>
                <w:lang w:val="sk-SK"/>
              </w:rPr>
              <w:t xml:space="preserve"> v </w:t>
            </w:r>
            <w:r w:rsidRPr="00235C73">
              <w:rPr>
                <w:rFonts w:ascii="Times New Roman" w:hAnsi="Times New Roman"/>
                <w:sz w:val="24"/>
                <w:lang w:val="sk-SK"/>
              </w:rPr>
              <w:t>článku 92b nariadenia (EÚ) č. 575/2013, vyjadrená ako percentuálny podiel celkovej hodnoty rizikovej expozície (na individuálnej alebo prípadne konsolidovanej úrovni).</w:t>
            </w:r>
          </w:p>
        </w:tc>
      </w:tr>
      <w:tr w:rsidR="00026FC1" w:rsidRPr="00235C73" w14:paraId="33DA72AB" w14:textId="77777777" w:rsidTr="002A065A">
        <w:tc>
          <w:tcPr>
            <w:tcW w:w="1109" w:type="dxa"/>
          </w:tcPr>
          <w:p w14:paraId="784E2295" w14:textId="4500A04A" w:rsidR="008834C5" w:rsidRPr="00235C73" w:rsidRDefault="00F42177" w:rsidP="00CE0D4E">
            <w:pPr>
              <w:keepNext/>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EU-19</w:t>
            </w:r>
          </w:p>
        </w:tc>
        <w:tc>
          <w:tcPr>
            <w:tcW w:w="7642" w:type="dxa"/>
          </w:tcPr>
          <w:p w14:paraId="168B9372" w14:textId="489990AA" w:rsidR="008834C5" w:rsidRPr="00235C73" w:rsidRDefault="00FF5E0F" w:rsidP="008834C5">
            <w:pPr>
              <w:rPr>
                <w:rFonts w:ascii="Times New Roman" w:hAnsi="Times New Roman" w:cs="Times New Roman"/>
                <w:b/>
                <w:bCs/>
                <w:color w:val="000000" w:themeColor="text1"/>
                <w:sz w:val="24"/>
                <w:szCs w:val="24"/>
                <w:lang w:val="sk-SK"/>
              </w:rPr>
            </w:pPr>
            <w:r w:rsidRPr="00235C73">
              <w:rPr>
                <w:rFonts w:ascii="Times New Roman" w:hAnsi="Times New Roman"/>
                <w:b/>
                <w:color w:val="000000" w:themeColor="text1"/>
                <w:sz w:val="24"/>
                <w:lang w:val="sk-SK"/>
              </w:rPr>
              <w:t>Požiadavka vyjadrená ako percentuálny podiel TREA –</w:t>
            </w:r>
            <w:r w:rsidR="00235C73">
              <w:rPr>
                <w:rFonts w:ascii="Times New Roman" w:hAnsi="Times New Roman"/>
                <w:b/>
                <w:color w:val="000000" w:themeColor="text1"/>
                <w:sz w:val="24"/>
                <w:lang w:val="sk-SK"/>
              </w:rPr>
              <w:t xml:space="preserve"> z </w:t>
            </w:r>
            <w:r w:rsidRPr="00235C73">
              <w:rPr>
                <w:rFonts w:ascii="Times New Roman" w:hAnsi="Times New Roman"/>
                <w:b/>
                <w:color w:val="000000" w:themeColor="text1"/>
                <w:sz w:val="24"/>
                <w:lang w:val="sk-SK"/>
              </w:rPr>
              <w:t>čoho časť požiadavky, ktorú možno splniť zárukou</w:t>
            </w:r>
          </w:p>
          <w:p w14:paraId="689193A8" w14:textId="36F58CB9" w:rsidR="00036DB1" w:rsidRPr="00235C73" w:rsidRDefault="00036DB1" w:rsidP="00102896">
            <w:pPr>
              <w:rPr>
                <w:rFonts w:ascii="Times New Roman" w:hAnsi="Times New Roman" w:cs="Times New Roman"/>
                <w:b/>
                <w:color w:val="000000" w:themeColor="text1"/>
                <w:sz w:val="24"/>
                <w:szCs w:val="24"/>
                <w:lang w:val="sk-SK"/>
              </w:rPr>
            </w:pPr>
            <w:r w:rsidRPr="00235C73">
              <w:rPr>
                <w:rFonts w:ascii="Times New Roman" w:hAnsi="Times New Roman"/>
                <w:sz w:val="24"/>
                <w:lang w:val="sk-SK"/>
              </w:rPr>
              <w:t>Prípadne časť požiadavky na vlastné zdroje</w:t>
            </w:r>
            <w:r w:rsidR="00235C73">
              <w:rPr>
                <w:rFonts w:ascii="Times New Roman" w:hAnsi="Times New Roman"/>
                <w:sz w:val="24"/>
                <w:lang w:val="sk-SK"/>
              </w:rPr>
              <w:t xml:space="preserve"> a </w:t>
            </w:r>
            <w:r w:rsidRPr="00235C73">
              <w:rPr>
                <w:rFonts w:ascii="Times New Roman" w:hAnsi="Times New Roman"/>
                <w:sz w:val="24"/>
                <w:lang w:val="sk-SK"/>
              </w:rPr>
              <w:t>oprávnené záväzky vyjadrená ako percentuálny podiel celkovej hodnoty rizikovej expozície, ktorú možno splniť zárukou, ktorú poskytuje subjekt, ktorého krízová situácia sa rieši,</w:t>
            </w:r>
            <w:r w:rsidR="00235C73">
              <w:rPr>
                <w:rFonts w:ascii="Times New Roman" w:hAnsi="Times New Roman"/>
                <w:sz w:val="24"/>
                <w:lang w:val="sk-SK"/>
              </w:rPr>
              <w:t xml:space="preserve"> v </w:t>
            </w:r>
            <w:r w:rsidRPr="00235C73">
              <w:rPr>
                <w:rFonts w:ascii="Times New Roman" w:hAnsi="Times New Roman"/>
                <w:sz w:val="24"/>
                <w:lang w:val="sk-SK"/>
              </w:rPr>
              <w:t>súlade</w:t>
            </w:r>
            <w:r w:rsidR="00235C73">
              <w:rPr>
                <w:rFonts w:ascii="Times New Roman" w:hAnsi="Times New Roman"/>
                <w:sz w:val="24"/>
                <w:lang w:val="sk-SK"/>
              </w:rPr>
              <w:t xml:space="preserve"> s </w:t>
            </w:r>
            <w:r w:rsidRPr="00235C73">
              <w:rPr>
                <w:rFonts w:ascii="Times New Roman" w:hAnsi="Times New Roman"/>
                <w:sz w:val="24"/>
                <w:lang w:val="sk-SK"/>
              </w:rPr>
              <w:t>článkom 45f ods. 5 smernice 2014/59/EÚ.</w:t>
            </w:r>
          </w:p>
        </w:tc>
      </w:tr>
      <w:tr w:rsidR="00026FC1" w:rsidRPr="00235C73" w14:paraId="7DB5B45D" w14:textId="77777777" w:rsidTr="002A065A">
        <w:tc>
          <w:tcPr>
            <w:tcW w:w="1109" w:type="dxa"/>
          </w:tcPr>
          <w:p w14:paraId="291F5089" w14:textId="5540E6DA" w:rsidR="008834C5" w:rsidRPr="00235C73" w:rsidRDefault="00BB093D" w:rsidP="00644B02">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EU-20</w:t>
            </w:r>
          </w:p>
        </w:tc>
        <w:tc>
          <w:tcPr>
            <w:tcW w:w="7642" w:type="dxa"/>
          </w:tcPr>
          <w:p w14:paraId="517C1D7E" w14:textId="160471A8" w:rsidR="008834C5" w:rsidRPr="00235C73" w:rsidRDefault="00A96376" w:rsidP="008834C5">
            <w:pPr>
              <w:rPr>
                <w:rFonts w:ascii="Times New Roman" w:hAnsi="Times New Roman" w:cs="Times New Roman"/>
                <w:b/>
                <w:bCs/>
                <w:color w:val="000000" w:themeColor="text1"/>
                <w:sz w:val="24"/>
                <w:szCs w:val="24"/>
                <w:lang w:val="sk-SK"/>
              </w:rPr>
            </w:pPr>
            <w:r w:rsidRPr="00235C73">
              <w:rPr>
                <w:rFonts w:ascii="Times New Roman" w:hAnsi="Times New Roman"/>
                <w:b/>
                <w:color w:val="000000" w:themeColor="text1"/>
                <w:sz w:val="24"/>
                <w:lang w:val="sk-SK"/>
              </w:rPr>
              <w:t>Požiadavka vyjadrená ako percentuálny podiel TEM</w:t>
            </w:r>
          </w:p>
          <w:p w14:paraId="390682C6" w14:textId="2F127DB6" w:rsidR="00B07EB6" w:rsidRPr="00235C73" w:rsidRDefault="00B07EB6">
            <w:pPr>
              <w:rPr>
                <w:rFonts w:ascii="Times New Roman" w:hAnsi="Times New Roman" w:cs="Times New Roman"/>
                <w:i/>
                <w:sz w:val="24"/>
                <w:szCs w:val="24"/>
                <w:lang w:val="sk-SK"/>
              </w:rPr>
            </w:pPr>
            <w:r w:rsidRPr="00235C73">
              <w:rPr>
                <w:rFonts w:ascii="Times New Roman" w:hAnsi="Times New Roman"/>
                <w:i/>
                <w:sz w:val="24"/>
                <w:lang w:val="sk-SK"/>
              </w:rPr>
              <w:t>Interná MREL</w:t>
            </w:r>
          </w:p>
          <w:p w14:paraId="15AB0F32" w14:textId="5EB71435" w:rsidR="00036DB1" w:rsidRPr="00235C73" w:rsidRDefault="00B07EB6">
            <w:pPr>
              <w:rPr>
                <w:rFonts w:ascii="Times New Roman" w:hAnsi="Times New Roman" w:cs="Times New Roman"/>
                <w:bCs/>
                <w:sz w:val="24"/>
                <w:szCs w:val="24"/>
                <w:lang w:val="sk-SK"/>
              </w:rPr>
            </w:pPr>
            <w:r w:rsidRPr="00235C73">
              <w:rPr>
                <w:rFonts w:ascii="Times New Roman" w:hAnsi="Times New Roman"/>
                <w:sz w:val="24"/>
                <w:lang w:val="sk-SK"/>
              </w:rPr>
              <w:t>Požiadavka na vlastné zdroje</w:t>
            </w:r>
            <w:r w:rsidR="00235C73">
              <w:rPr>
                <w:rFonts w:ascii="Times New Roman" w:hAnsi="Times New Roman"/>
                <w:sz w:val="24"/>
                <w:lang w:val="sk-SK"/>
              </w:rPr>
              <w:t xml:space="preserve"> a </w:t>
            </w:r>
            <w:r w:rsidRPr="00235C73">
              <w:rPr>
                <w:rFonts w:ascii="Times New Roman" w:hAnsi="Times New Roman"/>
                <w:sz w:val="24"/>
                <w:lang w:val="sk-SK"/>
              </w:rPr>
              <w:t>oprávnené záväzky uplatniteľná na subjekt</w:t>
            </w:r>
            <w:r w:rsidR="00235C73">
              <w:rPr>
                <w:rFonts w:ascii="Times New Roman" w:hAnsi="Times New Roman"/>
                <w:sz w:val="24"/>
                <w:lang w:val="sk-SK"/>
              </w:rPr>
              <w:t xml:space="preserve"> v </w:t>
            </w:r>
            <w:r w:rsidRPr="00235C73">
              <w:rPr>
                <w:rFonts w:ascii="Times New Roman" w:hAnsi="Times New Roman"/>
                <w:sz w:val="24"/>
                <w:lang w:val="sk-SK"/>
              </w:rPr>
              <w:t>súlade</w:t>
            </w:r>
            <w:r w:rsidR="00235C73">
              <w:rPr>
                <w:rFonts w:ascii="Times New Roman" w:hAnsi="Times New Roman"/>
                <w:sz w:val="24"/>
                <w:lang w:val="sk-SK"/>
              </w:rPr>
              <w:t xml:space="preserve"> s </w:t>
            </w:r>
            <w:r w:rsidRPr="00235C73">
              <w:rPr>
                <w:rFonts w:ascii="Times New Roman" w:hAnsi="Times New Roman"/>
                <w:sz w:val="24"/>
                <w:lang w:val="sk-SK"/>
              </w:rPr>
              <w:t>článkom 45f smernice 2014/59/EÚ, vyjadrená ako percentuálny podiel veľkosti celkovej expozície (na individuálnej úrovni alebo prípadne konsolidovanej úrovni materskej spoločnosti</w:t>
            </w:r>
            <w:r w:rsidR="00235C73">
              <w:rPr>
                <w:rFonts w:ascii="Times New Roman" w:hAnsi="Times New Roman"/>
                <w:sz w:val="24"/>
                <w:lang w:val="sk-SK"/>
              </w:rPr>
              <w:t xml:space="preserve"> v </w:t>
            </w:r>
            <w:r w:rsidRPr="00235C73">
              <w:rPr>
                <w:rFonts w:ascii="Times New Roman" w:hAnsi="Times New Roman"/>
                <w:sz w:val="24"/>
                <w:lang w:val="sk-SK"/>
              </w:rPr>
              <w:t>EÚ).</w:t>
            </w:r>
          </w:p>
          <w:p w14:paraId="7BA1028D" w14:textId="77777777" w:rsidR="00235C73" w:rsidRDefault="00B07EB6" w:rsidP="006501CC">
            <w:pPr>
              <w:rPr>
                <w:rFonts w:ascii="Times New Roman" w:hAnsi="Times New Roman"/>
                <w:i/>
                <w:sz w:val="24"/>
                <w:lang w:val="sk-SK"/>
              </w:rPr>
            </w:pPr>
            <w:r w:rsidRPr="00235C73">
              <w:rPr>
                <w:rFonts w:ascii="Times New Roman" w:hAnsi="Times New Roman"/>
                <w:i/>
                <w:sz w:val="24"/>
                <w:lang w:val="sk-SK"/>
              </w:rPr>
              <w:t>Interná TLAC</w:t>
            </w:r>
          </w:p>
          <w:p w14:paraId="316152E4" w14:textId="32261FDC" w:rsidR="00D156A3" w:rsidRPr="00235C73" w:rsidRDefault="00B07EB6" w:rsidP="00CB08B2">
            <w:pPr>
              <w:rPr>
                <w:rFonts w:ascii="Times New Roman" w:hAnsi="Times New Roman" w:cs="Times New Roman"/>
                <w:bCs/>
                <w:sz w:val="24"/>
                <w:szCs w:val="24"/>
                <w:lang w:val="sk-SK"/>
              </w:rPr>
            </w:pPr>
            <w:r w:rsidRPr="00235C73">
              <w:rPr>
                <w:rFonts w:ascii="Times New Roman" w:hAnsi="Times New Roman"/>
                <w:sz w:val="24"/>
                <w:lang w:val="sk-SK"/>
              </w:rPr>
              <w:t>Požiadavka stanovená</w:t>
            </w:r>
            <w:r w:rsidR="00235C73">
              <w:rPr>
                <w:rFonts w:ascii="Times New Roman" w:hAnsi="Times New Roman"/>
                <w:sz w:val="24"/>
                <w:lang w:val="sk-SK"/>
              </w:rPr>
              <w:t xml:space="preserve"> v </w:t>
            </w:r>
            <w:r w:rsidRPr="00235C73">
              <w:rPr>
                <w:rFonts w:ascii="Times New Roman" w:hAnsi="Times New Roman"/>
                <w:sz w:val="24"/>
                <w:lang w:val="sk-SK"/>
              </w:rPr>
              <w:t>článku 92b nariadenia (EÚ) č. 575/2013, vyjadrená ako percentuálny podiel veľkosti celkovej expozície (na individuálnej alebo prípadne konsolidovanej úrovni).</w:t>
            </w:r>
          </w:p>
        </w:tc>
      </w:tr>
      <w:tr w:rsidR="00026FC1" w:rsidRPr="00235C73" w14:paraId="665B02CC" w14:textId="77777777" w:rsidTr="002A065A">
        <w:tc>
          <w:tcPr>
            <w:tcW w:w="1109" w:type="dxa"/>
          </w:tcPr>
          <w:p w14:paraId="4CC8B518" w14:textId="34221154" w:rsidR="008834C5" w:rsidRPr="00235C73" w:rsidRDefault="0092457E" w:rsidP="00644B02">
            <w:pPr>
              <w:rPr>
                <w:rFonts w:ascii="Times New Roman" w:hAnsi="Times New Roman" w:cs="Times New Roman"/>
                <w:color w:val="000000" w:themeColor="text1"/>
                <w:sz w:val="24"/>
                <w:szCs w:val="24"/>
                <w:lang w:val="sk-SK"/>
              </w:rPr>
            </w:pPr>
            <w:r w:rsidRPr="00235C73">
              <w:rPr>
                <w:rFonts w:ascii="Times New Roman" w:hAnsi="Times New Roman"/>
                <w:color w:val="000000" w:themeColor="text1"/>
                <w:sz w:val="24"/>
                <w:lang w:val="sk-SK"/>
              </w:rPr>
              <w:t>EU-21</w:t>
            </w:r>
          </w:p>
        </w:tc>
        <w:tc>
          <w:tcPr>
            <w:tcW w:w="7642" w:type="dxa"/>
          </w:tcPr>
          <w:p w14:paraId="5E678549" w14:textId="77B15CD9" w:rsidR="008834C5" w:rsidRPr="00235C73" w:rsidRDefault="00FF5E0F" w:rsidP="008834C5">
            <w:pPr>
              <w:rPr>
                <w:rFonts w:ascii="Times New Roman" w:hAnsi="Times New Roman" w:cs="Times New Roman"/>
                <w:b/>
                <w:bCs/>
                <w:color w:val="000000" w:themeColor="text1"/>
                <w:sz w:val="24"/>
                <w:szCs w:val="24"/>
                <w:lang w:val="sk-SK"/>
              </w:rPr>
            </w:pPr>
            <w:r w:rsidRPr="00235C73">
              <w:rPr>
                <w:rFonts w:ascii="Times New Roman" w:hAnsi="Times New Roman"/>
                <w:b/>
                <w:color w:val="000000" w:themeColor="text1"/>
                <w:sz w:val="24"/>
                <w:lang w:val="sk-SK"/>
              </w:rPr>
              <w:t>Požiadavka vyjadrená ako percentuálny podiel TEM –</w:t>
            </w:r>
            <w:r w:rsidR="00235C73">
              <w:rPr>
                <w:rFonts w:ascii="Times New Roman" w:hAnsi="Times New Roman"/>
                <w:b/>
                <w:color w:val="000000" w:themeColor="text1"/>
                <w:sz w:val="24"/>
                <w:lang w:val="sk-SK"/>
              </w:rPr>
              <w:t xml:space="preserve"> z </w:t>
            </w:r>
            <w:r w:rsidRPr="00235C73">
              <w:rPr>
                <w:rFonts w:ascii="Times New Roman" w:hAnsi="Times New Roman"/>
                <w:b/>
                <w:color w:val="000000" w:themeColor="text1"/>
                <w:sz w:val="24"/>
                <w:lang w:val="sk-SK"/>
              </w:rPr>
              <w:t>čoho časť požiadavky, ktorú možno splniť zárukou</w:t>
            </w:r>
          </w:p>
          <w:p w14:paraId="4AD84850" w14:textId="7C738FAE" w:rsidR="00036DB1" w:rsidRPr="00235C73" w:rsidRDefault="00036DB1" w:rsidP="00CB08B2">
            <w:pPr>
              <w:rPr>
                <w:rFonts w:ascii="Times New Roman" w:hAnsi="Times New Roman" w:cs="Times New Roman"/>
                <w:b/>
                <w:color w:val="000000" w:themeColor="text1"/>
                <w:sz w:val="24"/>
                <w:szCs w:val="24"/>
                <w:lang w:val="sk-SK"/>
              </w:rPr>
            </w:pPr>
            <w:r w:rsidRPr="00235C73">
              <w:rPr>
                <w:rFonts w:ascii="Times New Roman" w:hAnsi="Times New Roman"/>
                <w:sz w:val="24"/>
                <w:lang w:val="sk-SK"/>
              </w:rPr>
              <w:lastRenderedPageBreak/>
              <w:t>Prípadne časť požiadavky na vlastné zdroje</w:t>
            </w:r>
            <w:r w:rsidR="00235C73">
              <w:rPr>
                <w:rFonts w:ascii="Times New Roman" w:hAnsi="Times New Roman"/>
                <w:sz w:val="24"/>
                <w:lang w:val="sk-SK"/>
              </w:rPr>
              <w:t xml:space="preserve"> a </w:t>
            </w:r>
            <w:r w:rsidRPr="00235C73">
              <w:rPr>
                <w:rFonts w:ascii="Times New Roman" w:hAnsi="Times New Roman"/>
                <w:sz w:val="24"/>
                <w:lang w:val="sk-SK"/>
              </w:rPr>
              <w:t>oprávnené záväzky vyjadrená ako percentuálny podiel veľkosti celkovej expozície, ktorú možno splniť zárukou, ktorú poskytuje subjekt, ktorého krízová situácia sa rieši,</w:t>
            </w:r>
            <w:r w:rsidR="00235C73">
              <w:rPr>
                <w:rFonts w:ascii="Times New Roman" w:hAnsi="Times New Roman"/>
                <w:sz w:val="24"/>
                <w:lang w:val="sk-SK"/>
              </w:rPr>
              <w:t xml:space="preserve"> v </w:t>
            </w:r>
            <w:r w:rsidRPr="00235C73">
              <w:rPr>
                <w:rFonts w:ascii="Times New Roman" w:hAnsi="Times New Roman"/>
                <w:sz w:val="24"/>
                <w:lang w:val="sk-SK"/>
              </w:rPr>
              <w:t>súlade</w:t>
            </w:r>
            <w:r w:rsidR="00235C73">
              <w:rPr>
                <w:rFonts w:ascii="Times New Roman" w:hAnsi="Times New Roman"/>
                <w:sz w:val="24"/>
                <w:lang w:val="sk-SK"/>
              </w:rPr>
              <w:t xml:space="preserve"> s </w:t>
            </w:r>
            <w:r w:rsidRPr="00235C73">
              <w:rPr>
                <w:rFonts w:ascii="Times New Roman" w:hAnsi="Times New Roman"/>
                <w:sz w:val="24"/>
                <w:lang w:val="sk-SK"/>
              </w:rPr>
              <w:t>článkom 45f ods. 5 smernice 2014/59/EÚ.</w:t>
            </w:r>
          </w:p>
        </w:tc>
      </w:tr>
      <w:tr w:rsidR="000B47A2" w:rsidRPr="00235C73" w14:paraId="2ACBD5CA" w14:textId="77777777" w:rsidTr="002A065A">
        <w:tc>
          <w:tcPr>
            <w:tcW w:w="1119" w:type="dxa"/>
            <w:vAlign w:val="top"/>
          </w:tcPr>
          <w:p w14:paraId="41CF7AC6" w14:textId="519C4DAD" w:rsidR="000B47A2" w:rsidRPr="00235C73" w:rsidRDefault="000B47A2" w:rsidP="003312F4">
            <w:pPr>
              <w:rPr>
                <w:rFonts w:ascii="Times New Roman" w:hAnsi="Times New Roman" w:cs="Times New Roman"/>
                <w:sz w:val="24"/>
                <w:szCs w:val="24"/>
                <w:lang w:val="sk-SK"/>
              </w:rPr>
            </w:pPr>
            <w:r w:rsidRPr="00235C73">
              <w:rPr>
                <w:rFonts w:ascii="Times New Roman" w:hAnsi="Times New Roman"/>
                <w:sz w:val="24"/>
                <w:lang w:val="sk-SK"/>
              </w:rPr>
              <w:lastRenderedPageBreak/>
              <w:t>EU-22</w:t>
            </w:r>
          </w:p>
        </w:tc>
        <w:tc>
          <w:tcPr>
            <w:tcW w:w="7642" w:type="dxa"/>
            <w:vAlign w:val="top"/>
          </w:tcPr>
          <w:p w14:paraId="4FA5E841" w14:textId="4A88CAA1" w:rsidR="000B47A2" w:rsidRPr="00235C73" w:rsidRDefault="000B47A2" w:rsidP="003312F4">
            <w:pPr>
              <w:rPr>
                <w:rFonts w:ascii="Times New Roman" w:hAnsi="Times New Roman" w:cs="Times New Roman"/>
                <w:b/>
                <w:color w:val="000000" w:themeColor="text1"/>
                <w:sz w:val="24"/>
                <w:szCs w:val="24"/>
                <w:lang w:val="sk-SK"/>
              </w:rPr>
            </w:pPr>
            <w:r w:rsidRPr="00235C73">
              <w:rPr>
                <w:rFonts w:ascii="Times New Roman" w:hAnsi="Times New Roman"/>
                <w:b/>
                <w:color w:val="000000" w:themeColor="text1"/>
                <w:sz w:val="24"/>
                <w:lang w:val="sk-SK"/>
              </w:rPr>
              <w:t>Celková hodnota vylúčených záväzkov uvedených</w:t>
            </w:r>
            <w:r w:rsidR="00235C73">
              <w:rPr>
                <w:rFonts w:ascii="Times New Roman" w:hAnsi="Times New Roman"/>
                <w:b/>
                <w:color w:val="000000" w:themeColor="text1"/>
                <w:sz w:val="24"/>
                <w:lang w:val="sk-SK"/>
              </w:rPr>
              <w:t xml:space="preserve"> v </w:t>
            </w:r>
            <w:r w:rsidRPr="00235C73">
              <w:rPr>
                <w:rFonts w:ascii="Times New Roman" w:hAnsi="Times New Roman"/>
                <w:b/>
                <w:color w:val="000000" w:themeColor="text1"/>
                <w:sz w:val="24"/>
                <w:lang w:val="sk-SK"/>
              </w:rPr>
              <w:t>článku 72a ods. 2 nariadenia (EÚ) č. 575/2013</w:t>
            </w:r>
          </w:p>
        </w:tc>
      </w:tr>
    </w:tbl>
    <w:p w14:paraId="0C6C28B8" w14:textId="738A3B7A" w:rsidR="003956D6" w:rsidRPr="00235C73" w:rsidRDefault="003956D6" w:rsidP="003956D6">
      <w:pPr>
        <w:rPr>
          <w:rFonts w:ascii="Times New Roman" w:hAnsi="Times New Roman" w:cs="Times New Roman"/>
          <w:b/>
          <w:color w:val="000000" w:themeColor="text1"/>
          <w:sz w:val="24"/>
          <w:szCs w:val="24"/>
        </w:rPr>
      </w:pPr>
      <w:bookmarkStart w:id="209" w:name="_Toc521936439"/>
      <w:bookmarkStart w:id="210" w:name="_Toc521936455"/>
      <w:bookmarkStart w:id="211" w:name="_Toc521936215"/>
      <w:bookmarkStart w:id="212" w:name="_Toc521936440"/>
      <w:bookmarkStart w:id="213" w:name="_Toc521936456"/>
      <w:bookmarkStart w:id="214" w:name="_Toc521936554"/>
      <w:bookmarkStart w:id="215" w:name="_Toc521938414"/>
      <w:bookmarkStart w:id="216" w:name="_Toc521941535"/>
      <w:bookmarkStart w:id="217" w:name="_Toc521936122"/>
      <w:bookmarkStart w:id="218" w:name="_Toc521936139"/>
      <w:bookmarkStart w:id="219" w:name="_Toc521936178"/>
      <w:bookmarkStart w:id="220" w:name="_Toc521936190"/>
      <w:bookmarkStart w:id="221" w:name="_Toc521936218"/>
      <w:bookmarkStart w:id="222" w:name="_Toc521936278"/>
      <w:bookmarkStart w:id="223" w:name="_Toc521936409"/>
      <w:bookmarkStart w:id="224" w:name="_Toc521936443"/>
      <w:bookmarkStart w:id="225" w:name="_Toc521936459"/>
      <w:bookmarkStart w:id="226" w:name="_Toc521936503"/>
      <w:bookmarkStart w:id="227" w:name="_Toc521936555"/>
      <w:bookmarkStart w:id="228" w:name="_Toc521938415"/>
      <w:bookmarkStart w:id="229" w:name="_Toc521941536"/>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A405E3F" w14:textId="56A87181" w:rsidR="00134FA4" w:rsidRPr="00235C73"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30" w:name="_Toc529272911"/>
      <w:bookmarkStart w:id="231" w:name="_Toc14770786"/>
      <w:bookmarkStart w:id="232" w:name="_Toc45266929"/>
      <w:bookmarkEnd w:id="0"/>
      <w:bookmarkEnd w:id="1"/>
      <w:bookmarkEnd w:id="2"/>
      <w:bookmarkEnd w:id="3"/>
      <w:bookmarkEnd w:id="4"/>
      <w:bookmarkEnd w:id="5"/>
      <w:bookmarkEnd w:id="6"/>
      <w:bookmarkEnd w:id="7"/>
      <w:bookmarkEnd w:id="8"/>
      <w:bookmarkEnd w:id="9"/>
      <w:r w:rsidRPr="00235C73">
        <w:rPr>
          <w:rFonts w:ascii="Times New Roman" w:hAnsi="Times New Roman"/>
          <w:color w:val="auto"/>
          <w:sz w:val="24"/>
        </w:rPr>
        <w:t>5.</w:t>
      </w:r>
      <w:r w:rsidRPr="00235C73">
        <w:rPr>
          <w:rFonts w:ascii="Times New Roman" w:hAnsi="Times New Roman"/>
          <w:color w:val="auto"/>
          <w:sz w:val="24"/>
        </w:rPr>
        <w:tab/>
        <w:t xml:space="preserve">EU TLAC2: Poradie veriteľov – subjekty, ktoré nie sú </w:t>
      </w:r>
      <w:bookmarkEnd w:id="230"/>
      <w:r w:rsidRPr="00235C73">
        <w:rPr>
          <w:rFonts w:ascii="Times New Roman" w:hAnsi="Times New Roman"/>
          <w:color w:val="auto"/>
          <w:sz w:val="24"/>
        </w:rPr>
        <w:t>samy subjektmi, ktorých krízová situácia sa rieši</w:t>
      </w:r>
      <w:bookmarkEnd w:id="231"/>
      <w:bookmarkEnd w:id="232"/>
    </w:p>
    <w:p w14:paraId="7A03C7D5" w14:textId="52B10ED1" w:rsidR="00EE122D" w:rsidRPr="00235C73" w:rsidRDefault="00EE122D" w:rsidP="00B62DC9">
      <w:pPr>
        <w:pStyle w:val="InstructionsText2"/>
        <w:numPr>
          <w:ilvl w:val="0"/>
          <w:numId w:val="12"/>
        </w:numPr>
        <w:rPr>
          <w:noProof w:val="0"/>
        </w:rPr>
      </w:pPr>
      <w:r w:rsidRPr="00235C73">
        <w:rPr>
          <w:noProof w:val="0"/>
        </w:rPr>
        <w:t>Informácie zahrnuté vo vzore EU TLAC2 sa zverejňujú na úrovni individuálneho subjektu.</w:t>
      </w:r>
    </w:p>
    <w:p w14:paraId="37B5040A" w14:textId="48157838" w:rsidR="00D76A01" w:rsidRPr="00235C73" w:rsidRDefault="00D76A01" w:rsidP="00B62DC9">
      <w:pPr>
        <w:pStyle w:val="InstructionsText2"/>
        <w:numPr>
          <w:ilvl w:val="0"/>
          <w:numId w:val="12"/>
        </w:numPr>
        <w:rPr>
          <w:noProof w:val="0"/>
        </w:rPr>
      </w:pPr>
      <w:r w:rsidRPr="00235C73">
        <w:rPr>
          <w:noProof w:val="0"/>
        </w:rPr>
        <w:t>Vzor EU TLAC2 existuje</w:t>
      </w:r>
      <w:r w:rsidR="00235C73">
        <w:rPr>
          <w:noProof w:val="0"/>
        </w:rPr>
        <w:t xml:space="preserve"> v </w:t>
      </w:r>
      <w:r w:rsidRPr="00235C73">
        <w:rPr>
          <w:noProof w:val="0"/>
        </w:rPr>
        <w:t>dvoch verziách, EU TLAC2a</w:t>
      </w:r>
      <w:r w:rsidR="00235C73">
        <w:rPr>
          <w:noProof w:val="0"/>
        </w:rPr>
        <w:t xml:space="preserve"> a </w:t>
      </w:r>
      <w:r w:rsidRPr="00235C73">
        <w:rPr>
          <w:noProof w:val="0"/>
        </w:rPr>
        <w:t>EU TLAC2b. Vzor TLAC2a zachytáva všetky finančné prostriedky, ktoré majú rovnaké alebo podriadené postavenie vo vzťahu</w:t>
      </w:r>
      <w:r w:rsidR="00235C73">
        <w:rPr>
          <w:noProof w:val="0"/>
        </w:rPr>
        <w:t xml:space="preserve"> k </w:t>
      </w:r>
      <w:r w:rsidRPr="00235C73">
        <w:rPr>
          <w:noProof w:val="0"/>
        </w:rPr>
        <w:t>nástrojom oprávneným</w:t>
      </w:r>
      <w:r w:rsidR="00235C73">
        <w:rPr>
          <w:noProof w:val="0"/>
        </w:rPr>
        <w:t xml:space="preserve"> z </w:t>
      </w:r>
      <w:r w:rsidRPr="00235C73">
        <w:rPr>
          <w:noProof w:val="0"/>
        </w:rPr>
        <w:t>hľadiska MREL, vrátane vlastných zdrojov</w:t>
      </w:r>
      <w:r w:rsidR="00235C73">
        <w:rPr>
          <w:noProof w:val="0"/>
        </w:rPr>
        <w:t xml:space="preserve"> a </w:t>
      </w:r>
      <w:r w:rsidRPr="00235C73">
        <w:rPr>
          <w:noProof w:val="0"/>
        </w:rPr>
        <w:t>ostatných kapitálových nástrojov. Vzor EU TLAC2b zachytáva len vlastné zdroje</w:t>
      </w:r>
      <w:r w:rsidR="00235C73">
        <w:rPr>
          <w:noProof w:val="0"/>
        </w:rPr>
        <w:t xml:space="preserve"> a </w:t>
      </w:r>
      <w:r w:rsidRPr="00235C73">
        <w:rPr>
          <w:noProof w:val="0"/>
        </w:rPr>
        <w:t>záväzky oprávnené na splnenie požiadavky stanovenej</w:t>
      </w:r>
      <w:r w:rsidR="00235C73">
        <w:rPr>
          <w:noProof w:val="0"/>
        </w:rPr>
        <w:t xml:space="preserve"> v </w:t>
      </w:r>
      <w:r w:rsidRPr="00235C73">
        <w:rPr>
          <w:noProof w:val="0"/>
        </w:rPr>
        <w:t>článku 45 smernice 2014/59/EÚ</w:t>
      </w:r>
      <w:r w:rsidR="00235C73">
        <w:rPr>
          <w:noProof w:val="0"/>
        </w:rPr>
        <w:t xml:space="preserve"> v </w:t>
      </w:r>
      <w:r w:rsidRPr="00235C73">
        <w:rPr>
          <w:noProof w:val="0"/>
        </w:rPr>
        <w:t>súlade</w:t>
      </w:r>
      <w:r w:rsidR="00235C73">
        <w:rPr>
          <w:noProof w:val="0"/>
        </w:rPr>
        <w:t xml:space="preserve"> s </w:t>
      </w:r>
      <w:r w:rsidRPr="00235C73">
        <w:rPr>
          <w:noProof w:val="0"/>
        </w:rPr>
        <w:t>článkom 45f uvedenej smernice.</w:t>
      </w:r>
    </w:p>
    <w:p w14:paraId="51E3EFB7" w14:textId="4EA7A906" w:rsidR="00410769" w:rsidRPr="00235C73" w:rsidRDefault="00410769" w:rsidP="00B62DC9">
      <w:pPr>
        <w:pStyle w:val="InstructionsText2"/>
        <w:numPr>
          <w:ilvl w:val="0"/>
          <w:numId w:val="12"/>
        </w:numPr>
        <w:rPr>
          <w:noProof w:val="0"/>
        </w:rPr>
      </w:pPr>
      <w:r w:rsidRPr="00235C73">
        <w:rPr>
          <w:noProof w:val="0"/>
        </w:rPr>
        <w:t>V súlade</w:t>
      </w:r>
      <w:r w:rsidR="00235C73">
        <w:rPr>
          <w:noProof w:val="0"/>
        </w:rPr>
        <w:t xml:space="preserve"> s </w:t>
      </w:r>
      <w:r w:rsidRPr="00235C73">
        <w:rPr>
          <w:noProof w:val="0"/>
        </w:rPr>
        <w:t>článkom 13 ods. 2 tohto nariadenia si subjekty, na ktoré sa nevzťahuje povinnosť spĺňať požiadavku uvedenú</w:t>
      </w:r>
      <w:r w:rsidR="00235C73">
        <w:rPr>
          <w:noProof w:val="0"/>
        </w:rPr>
        <w:t xml:space="preserve"> v </w:t>
      </w:r>
      <w:r w:rsidRPr="00235C73">
        <w:rPr>
          <w:noProof w:val="0"/>
        </w:rPr>
        <w:t>článku 92b nariadenia (EÚ) č. 575/2013, ale na ktoré sa vzťahuje povinnosť spĺňať požiadavku uvedenú</w:t>
      </w:r>
      <w:r w:rsidR="00235C73">
        <w:rPr>
          <w:noProof w:val="0"/>
        </w:rPr>
        <w:t xml:space="preserve"> v </w:t>
      </w:r>
      <w:r w:rsidRPr="00235C73">
        <w:rPr>
          <w:noProof w:val="0"/>
        </w:rPr>
        <w:t>článku 45 smernice 2014/59/EÚ</w:t>
      </w:r>
      <w:r w:rsidR="00235C73">
        <w:rPr>
          <w:noProof w:val="0"/>
        </w:rPr>
        <w:t xml:space="preserve"> v </w:t>
      </w:r>
      <w:r w:rsidRPr="00235C73">
        <w:rPr>
          <w:noProof w:val="0"/>
        </w:rPr>
        <w:t>súlade</w:t>
      </w:r>
      <w:r w:rsidR="00235C73">
        <w:rPr>
          <w:noProof w:val="0"/>
        </w:rPr>
        <w:t xml:space="preserve"> s </w:t>
      </w:r>
      <w:r w:rsidRPr="00235C73">
        <w:rPr>
          <w:noProof w:val="0"/>
        </w:rPr>
        <w:t>článkom 45f uvedenej smernice, môžu vybrať, či na splnenie požiadavky na zverejnenie stanovenej</w:t>
      </w:r>
      <w:r w:rsidR="00235C73">
        <w:rPr>
          <w:noProof w:val="0"/>
        </w:rPr>
        <w:t xml:space="preserve"> v </w:t>
      </w:r>
      <w:r w:rsidRPr="00235C73">
        <w:rPr>
          <w:noProof w:val="0"/>
        </w:rPr>
        <w:t>článku 45i ods. 3 písm. b) smernice 2014/59/EÚ použijú vzor EU TLAC2a alebo EU TLAC2b.</w:t>
      </w:r>
    </w:p>
    <w:p w14:paraId="0E950EC5" w14:textId="1244C854" w:rsidR="00510C0E" w:rsidRPr="00235C73" w:rsidRDefault="0071460A" w:rsidP="00B62DC9">
      <w:pPr>
        <w:pStyle w:val="InstructionsText2"/>
        <w:numPr>
          <w:ilvl w:val="0"/>
          <w:numId w:val="12"/>
        </w:numPr>
        <w:rPr>
          <w:noProof w:val="0"/>
        </w:rPr>
      </w:pPr>
      <w:r w:rsidRPr="00235C73">
        <w:rPr>
          <w:noProof w:val="0"/>
        </w:rPr>
        <w:t>Od dátumu začatia uplatňovania článku 45i ods. 3 smernice 2014/59/EÚ emitujúce subjekty zverejňujú vo vzore TLAC2a záväzky, ktoré sú potenciálne oprávnené na splnenie požiadaviek na internú MREL</w:t>
      </w:r>
      <w:r w:rsidR="00235C73">
        <w:rPr>
          <w:noProof w:val="0"/>
        </w:rPr>
        <w:t xml:space="preserve"> a </w:t>
      </w:r>
      <w:r w:rsidRPr="00235C73">
        <w:rPr>
          <w:noProof w:val="0"/>
        </w:rPr>
        <w:t>internú TLAC. Pred uvedeným dátumom emitujúce subjekty zverejňujú záväzky, ktoré sú potenciálne oprávnené na splnenie požiadavky na internú TLAC.</w:t>
      </w:r>
    </w:p>
    <w:p w14:paraId="6CD2E5E7" w14:textId="0D6E1D1A" w:rsidR="00134FA4" w:rsidRPr="00235C73" w:rsidRDefault="00134FA4" w:rsidP="00B62DC9">
      <w:pPr>
        <w:pStyle w:val="InstructionsText2"/>
        <w:numPr>
          <w:ilvl w:val="0"/>
          <w:numId w:val="12"/>
        </w:numPr>
        <w:rPr>
          <w:noProof w:val="0"/>
        </w:rPr>
      </w:pPr>
      <w:r w:rsidRPr="00235C73">
        <w:rPr>
          <w:noProof w:val="0"/>
        </w:rPr>
        <w:t>Nesplatené sumy uvedené</w:t>
      </w:r>
      <w:r w:rsidR="00235C73">
        <w:rPr>
          <w:noProof w:val="0"/>
        </w:rPr>
        <w:t xml:space="preserve"> v </w:t>
      </w:r>
      <w:r w:rsidRPr="00235C73">
        <w:rPr>
          <w:noProof w:val="0"/>
        </w:rPr>
        <w:t>riadkoch sa musia rozčleniť podľa postavení</w:t>
      </w:r>
      <w:r w:rsidR="00235C73">
        <w:rPr>
          <w:noProof w:val="0"/>
        </w:rPr>
        <w:t xml:space="preserve"> v </w:t>
      </w:r>
      <w:r w:rsidRPr="00235C73">
        <w:rPr>
          <w:noProof w:val="0"/>
        </w:rPr>
        <w:t>konkurznom konaní na základe konkurzného práva emitujúceho subjektu,</w:t>
      </w:r>
      <w:r w:rsidR="00235C73">
        <w:rPr>
          <w:noProof w:val="0"/>
        </w:rPr>
        <w:t xml:space="preserve"> a </w:t>
      </w:r>
      <w:r w:rsidRPr="00235C73">
        <w:rPr>
          <w:noProof w:val="0"/>
        </w:rPr>
        <w:t>to bez ohľadu na rozhodné právo nástroja.</w:t>
      </w:r>
    </w:p>
    <w:p w14:paraId="0B0B9A5D" w14:textId="65E1DF82" w:rsidR="00134FA4" w:rsidRPr="00235C73" w:rsidRDefault="00522875" w:rsidP="00B62DC9">
      <w:pPr>
        <w:pStyle w:val="InstructionsText2"/>
        <w:numPr>
          <w:ilvl w:val="0"/>
          <w:numId w:val="12"/>
        </w:numPr>
        <w:rPr>
          <w:noProof w:val="0"/>
        </w:rPr>
      </w:pPr>
      <w:r w:rsidRPr="00235C73">
        <w:rPr>
          <w:noProof w:val="0"/>
        </w:rPr>
        <w:t>Poradia</w:t>
      </w:r>
      <w:r w:rsidR="00235C73">
        <w:rPr>
          <w:noProof w:val="0"/>
        </w:rPr>
        <w:t xml:space="preserve"> v </w:t>
      </w:r>
      <w:r w:rsidRPr="00235C73">
        <w:rPr>
          <w:noProof w:val="0"/>
        </w:rPr>
        <w:t>konkurznom konaní sú tie poradia, ktoré oznamuje príslušný orgán pre riešenie krízových situácií</w:t>
      </w:r>
      <w:r w:rsidR="00235C73">
        <w:rPr>
          <w:noProof w:val="0"/>
        </w:rPr>
        <w:t xml:space="preserve"> v </w:t>
      </w:r>
      <w:r w:rsidRPr="00235C73">
        <w:rPr>
          <w:noProof w:val="0"/>
        </w:rPr>
        <w:t>súlade so štandardizovanou prezentáciou uvedenou</w:t>
      </w:r>
      <w:r w:rsidR="00235C73">
        <w:rPr>
          <w:noProof w:val="0"/>
        </w:rPr>
        <w:t xml:space="preserve"> v </w:t>
      </w:r>
      <w:r w:rsidRPr="00235C73">
        <w:rPr>
          <w:noProof w:val="0"/>
        </w:rPr>
        <w:t>článku 8 tohto nariadenia.</w:t>
      </w:r>
    </w:p>
    <w:p w14:paraId="18DCB9C5" w14:textId="77777777" w:rsidR="00235C73" w:rsidRDefault="00134FA4" w:rsidP="00B62DC9">
      <w:pPr>
        <w:pStyle w:val="InstructionsText2"/>
        <w:numPr>
          <w:ilvl w:val="0"/>
          <w:numId w:val="12"/>
        </w:numPr>
        <w:rPr>
          <w:noProof w:val="0"/>
        </w:rPr>
      </w:pPr>
      <w:r w:rsidRPr="00235C73">
        <w:rPr>
          <w:noProof w:val="0"/>
        </w:rPr>
        <w:t>Postavenia sa uvádzajú od najpodriadenejších po nadriadenejšie. Stĺpce týkajúce sa postavenia sa musia pridávať dovtedy, kým sa nezverejnia najnadriadenejšie potenciálne oprávnené nástroje</w:t>
      </w:r>
      <w:r w:rsidR="00235C73">
        <w:rPr>
          <w:noProof w:val="0"/>
        </w:rPr>
        <w:t>.</w:t>
      </w:r>
    </w:p>
    <w:p w14:paraId="451EEEC0" w14:textId="6196A18B" w:rsidR="00134FA4" w:rsidRPr="00235C73" w:rsidRDefault="00134FA4" w:rsidP="00B62DC9">
      <w:pPr>
        <w:pStyle w:val="InstructionsText2"/>
        <w:numPr>
          <w:ilvl w:val="0"/>
          <w:numId w:val="12"/>
        </w:numPr>
        <w:rPr>
          <w:noProof w:val="0"/>
        </w:rPr>
      </w:pPr>
      <w:r w:rsidRPr="00235C73">
        <w:rPr>
          <w:noProof w:val="0"/>
        </w:rPr>
        <w:lastRenderedPageBreak/>
        <w:t>Suma, ktorá sa priradí ku každému postaveniu, sa ďalej rozčlení na sumy, ktoré vlastní subjekt, ktorého krízová situácia sa rieši, vrátane súm, ktoré priamo alebo nepriamo vlastní subjekt, ktorého krízová situácia sa rieši, prostredníctvom subjektov</w:t>
      </w:r>
      <w:r w:rsidR="00235C73">
        <w:rPr>
          <w:noProof w:val="0"/>
        </w:rPr>
        <w:t xml:space="preserve"> v </w:t>
      </w:r>
      <w:r w:rsidRPr="00235C73">
        <w:rPr>
          <w:noProof w:val="0"/>
        </w:rPr>
        <w:t>reťazci vlastníctva, ak je to uplatniteľné;</w:t>
      </w:r>
      <w:r w:rsidR="00235C73">
        <w:rPr>
          <w:noProof w:val="0"/>
        </w:rPr>
        <w:t xml:space="preserve"> a </w:t>
      </w:r>
      <w:r w:rsidRPr="00235C73">
        <w:rPr>
          <w:noProof w:val="0"/>
        </w:rPr>
        <w:t>prípadne aj iné sumy, ktoré nie sú vo vlastníctve subjektu, ktorého krízová situácia sa rieši. Celková suma za každý riadok sa vypĺňa do posledného stĺpca každého riadku.</w:t>
      </w:r>
    </w:p>
    <w:p w14:paraId="4EBA1B5C" w14:textId="77777777" w:rsidR="00134FA4" w:rsidRPr="00235C73" w:rsidRDefault="00134FA4" w:rsidP="00134FA4">
      <w:pPr>
        <w:rPr>
          <w:rFonts w:ascii="Times New Roman" w:hAnsi="Times New Roman" w:cs="Times New Roman"/>
          <w:color w:val="000000" w:themeColor="text1"/>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235C73" w14:paraId="31E0F598" w14:textId="77777777" w:rsidTr="006E5727">
        <w:trPr>
          <w:trHeight w:val="238"/>
        </w:trPr>
        <w:tc>
          <w:tcPr>
            <w:tcW w:w="1384" w:type="dxa"/>
            <w:shd w:val="clear" w:color="auto" w:fill="D9D9D9" w:themeFill="background1" w:themeFillShade="D9"/>
          </w:tcPr>
          <w:p w14:paraId="1E16BF2A" w14:textId="77777777" w:rsidR="00134FA4" w:rsidRPr="00235C73" w:rsidRDefault="00134FA4" w:rsidP="006E5727">
            <w:pPr>
              <w:autoSpaceDE w:val="0"/>
              <w:autoSpaceDN w:val="0"/>
              <w:adjustRightInd w:val="0"/>
              <w:rPr>
                <w:rFonts w:ascii="Times New Roman" w:hAnsi="Times New Roman" w:cs="Times New Roman"/>
                <w:b/>
                <w:color w:val="000000" w:themeColor="text1"/>
                <w:sz w:val="24"/>
                <w:szCs w:val="24"/>
              </w:rPr>
            </w:pPr>
            <w:r w:rsidRPr="00235C73">
              <w:rPr>
                <w:rFonts w:ascii="Times New Roman" w:hAnsi="Times New Roman"/>
                <w:b/>
                <w:color w:val="000000" w:themeColor="text1"/>
                <w:sz w:val="24"/>
              </w:rPr>
              <w:t>Riadky</w:t>
            </w:r>
          </w:p>
        </w:tc>
        <w:tc>
          <w:tcPr>
            <w:tcW w:w="7655" w:type="dxa"/>
            <w:shd w:val="clear" w:color="auto" w:fill="D9D9D9" w:themeFill="background1" w:themeFillShade="D9"/>
          </w:tcPr>
          <w:p w14:paraId="69B07763" w14:textId="6917963D" w:rsidR="00134FA4" w:rsidRPr="00235C73" w:rsidRDefault="00E46262" w:rsidP="006E5727">
            <w:pPr>
              <w:autoSpaceDE w:val="0"/>
              <w:autoSpaceDN w:val="0"/>
              <w:adjustRightInd w:val="0"/>
              <w:rPr>
                <w:rFonts w:ascii="Times New Roman" w:hAnsi="Times New Roman" w:cs="Times New Roman"/>
                <w:color w:val="000000" w:themeColor="text1"/>
                <w:sz w:val="24"/>
                <w:szCs w:val="24"/>
              </w:rPr>
            </w:pPr>
            <w:r w:rsidRPr="00235C73">
              <w:rPr>
                <w:rFonts w:ascii="Times New Roman" w:hAnsi="Times New Roman"/>
                <w:b/>
                <w:color w:val="000000" w:themeColor="text1"/>
                <w:sz w:val="24"/>
              </w:rPr>
              <w:t>Odkazy na právne predpisy</w:t>
            </w:r>
            <w:r w:rsidR="00235C73">
              <w:rPr>
                <w:rFonts w:ascii="Times New Roman" w:hAnsi="Times New Roman"/>
                <w:b/>
                <w:color w:val="000000" w:themeColor="text1"/>
                <w:sz w:val="24"/>
              </w:rPr>
              <w:t xml:space="preserve"> a </w:t>
            </w:r>
            <w:r w:rsidRPr="00235C73">
              <w:rPr>
                <w:rFonts w:ascii="Times New Roman" w:hAnsi="Times New Roman"/>
                <w:b/>
                <w:color w:val="000000" w:themeColor="text1"/>
                <w:sz w:val="24"/>
              </w:rPr>
              <w:t>pokyny</w:t>
            </w:r>
          </w:p>
        </w:tc>
      </w:tr>
      <w:tr w:rsidR="008871C6" w:rsidRPr="00235C73" w14:paraId="209D319D" w14:textId="77777777" w:rsidTr="00AA4A01">
        <w:trPr>
          <w:trHeight w:val="70"/>
        </w:trPr>
        <w:tc>
          <w:tcPr>
            <w:tcW w:w="1384" w:type="dxa"/>
          </w:tcPr>
          <w:p w14:paraId="6E58CC27" w14:textId="0752B747" w:rsidR="008871C6" w:rsidRPr="00235C73" w:rsidRDefault="008871C6" w:rsidP="000C3B9F">
            <w:pPr>
              <w:pStyle w:val="Applicationdirecte"/>
              <w:spacing w:before="120"/>
              <w:rPr>
                <w:szCs w:val="24"/>
              </w:rPr>
            </w:pPr>
            <w:r w:rsidRPr="00235C73">
              <w:t>1</w:t>
            </w:r>
          </w:p>
        </w:tc>
        <w:tc>
          <w:tcPr>
            <w:tcW w:w="7655" w:type="dxa"/>
          </w:tcPr>
          <w:p w14:paraId="5F9CE229" w14:textId="2B3595F2" w:rsidR="008871C6" w:rsidRPr="00235C73" w:rsidRDefault="008871C6" w:rsidP="000C3B9F">
            <w:pPr>
              <w:autoSpaceDE w:val="0"/>
              <w:autoSpaceDN w:val="0"/>
              <w:adjustRightInd w:val="0"/>
              <w:spacing w:before="120" w:after="120"/>
              <w:jc w:val="both"/>
              <w:rPr>
                <w:rFonts w:ascii="Times New Roman" w:hAnsi="Times New Roman" w:cs="Times New Roman"/>
                <w:b/>
                <w:color w:val="000000" w:themeColor="text1"/>
                <w:sz w:val="24"/>
                <w:szCs w:val="24"/>
              </w:rPr>
            </w:pPr>
            <w:r w:rsidRPr="00235C73">
              <w:rPr>
                <w:rFonts w:ascii="Times New Roman" w:hAnsi="Times New Roman"/>
                <w:b/>
                <w:color w:val="000000" w:themeColor="text1"/>
                <w:sz w:val="24"/>
              </w:rPr>
              <w:t>Prázdna množina</w:t>
            </w:r>
            <w:r w:rsidR="00235C73">
              <w:rPr>
                <w:rFonts w:ascii="Times New Roman" w:hAnsi="Times New Roman"/>
                <w:b/>
                <w:color w:val="000000" w:themeColor="text1"/>
                <w:sz w:val="24"/>
              </w:rPr>
              <w:t xml:space="preserve"> v </w:t>
            </w:r>
            <w:r w:rsidRPr="00235C73">
              <w:rPr>
                <w:rFonts w:ascii="Times New Roman" w:hAnsi="Times New Roman"/>
                <w:b/>
                <w:color w:val="000000" w:themeColor="text1"/>
                <w:sz w:val="24"/>
              </w:rPr>
              <w:t>EÚ</w:t>
            </w:r>
          </w:p>
        </w:tc>
      </w:tr>
      <w:tr w:rsidR="000C3B9F" w:rsidRPr="00235C73" w14:paraId="568E403E" w14:textId="77777777" w:rsidTr="006E5727">
        <w:trPr>
          <w:trHeight w:val="1014"/>
        </w:trPr>
        <w:tc>
          <w:tcPr>
            <w:tcW w:w="1384" w:type="dxa"/>
          </w:tcPr>
          <w:p w14:paraId="1E3A9FE3" w14:textId="763A11D8" w:rsidR="000C3B9F" w:rsidRPr="00235C73" w:rsidRDefault="000C3B9F" w:rsidP="000C3B9F">
            <w:pPr>
              <w:pStyle w:val="Applicationdirecte"/>
              <w:spacing w:before="120"/>
              <w:rPr>
                <w:color w:val="000000" w:themeColor="text1"/>
                <w:szCs w:val="24"/>
              </w:rPr>
            </w:pPr>
            <w:r w:rsidRPr="00235C73">
              <w:t>2</w:t>
            </w:r>
          </w:p>
        </w:tc>
        <w:tc>
          <w:tcPr>
            <w:tcW w:w="7655" w:type="dxa"/>
          </w:tcPr>
          <w:p w14:paraId="4A148EDF" w14:textId="685D5D97" w:rsidR="000C3B9F" w:rsidRPr="00235C73" w:rsidRDefault="000C3B9F" w:rsidP="000C3B9F">
            <w:pPr>
              <w:autoSpaceDE w:val="0"/>
              <w:autoSpaceDN w:val="0"/>
              <w:adjustRightInd w:val="0"/>
              <w:spacing w:before="120" w:after="120"/>
              <w:jc w:val="both"/>
              <w:rPr>
                <w:rFonts w:ascii="Times New Roman" w:hAnsi="Times New Roman" w:cs="Times New Roman"/>
                <w:b/>
                <w:color w:val="000000" w:themeColor="text1"/>
                <w:sz w:val="24"/>
                <w:szCs w:val="24"/>
              </w:rPr>
            </w:pPr>
            <w:r w:rsidRPr="00235C73">
              <w:rPr>
                <w:rFonts w:ascii="Times New Roman" w:hAnsi="Times New Roman"/>
                <w:b/>
                <w:color w:val="000000" w:themeColor="text1"/>
                <w:sz w:val="24"/>
              </w:rPr>
              <w:t>Opis postavenia</w:t>
            </w:r>
            <w:r w:rsidR="00235C73">
              <w:rPr>
                <w:rFonts w:ascii="Times New Roman" w:hAnsi="Times New Roman"/>
                <w:b/>
                <w:color w:val="000000" w:themeColor="text1"/>
                <w:sz w:val="24"/>
              </w:rPr>
              <w:t xml:space="preserve"> v </w:t>
            </w:r>
            <w:r w:rsidRPr="00235C73">
              <w:rPr>
                <w:rFonts w:ascii="Times New Roman" w:hAnsi="Times New Roman"/>
                <w:b/>
                <w:color w:val="000000" w:themeColor="text1"/>
                <w:sz w:val="24"/>
              </w:rPr>
              <w:t>konkurznom konaní (voľný text)</w:t>
            </w:r>
          </w:p>
          <w:p w14:paraId="3DFCD655" w14:textId="292469E9" w:rsidR="00235C73" w:rsidRDefault="000C3B9F" w:rsidP="000C3B9F">
            <w:pPr>
              <w:pStyle w:val="Applicationdirecte"/>
              <w:spacing w:before="120"/>
              <w:rPr>
                <w:color w:val="000000" w:themeColor="text1"/>
              </w:rPr>
            </w:pPr>
            <w:r w:rsidRPr="00235C73">
              <w:rPr>
                <w:color w:val="000000" w:themeColor="text1"/>
              </w:rPr>
              <w:t>Počet postavení</w:t>
            </w:r>
            <w:r w:rsidR="00235C73">
              <w:rPr>
                <w:color w:val="000000" w:themeColor="text1"/>
              </w:rPr>
              <w:t xml:space="preserve"> v </w:t>
            </w:r>
            <w:r w:rsidRPr="00235C73">
              <w:rPr>
                <w:color w:val="000000" w:themeColor="text1"/>
              </w:rPr>
              <w:t>konkurznom konaní (n)</w:t>
            </w:r>
            <w:r w:rsidR="00235C73">
              <w:rPr>
                <w:color w:val="000000" w:themeColor="text1"/>
              </w:rPr>
              <w:t xml:space="preserve"> v </w:t>
            </w:r>
            <w:r w:rsidRPr="00235C73">
              <w:rPr>
                <w:color w:val="000000" w:themeColor="text1"/>
              </w:rPr>
              <w:t>hierarchii veriteľov bude závisieť od súboru záväzkov emitujúceho subjektu. Opis by mal zahŕňať špecifikáciu druhov pohľadávok, ktoré patria do daného postavenia</w:t>
            </w:r>
            <w:r w:rsidR="00235C73">
              <w:rPr>
                <w:color w:val="000000" w:themeColor="text1"/>
              </w:rPr>
              <w:t xml:space="preserve"> v </w:t>
            </w:r>
            <w:r w:rsidRPr="00235C73">
              <w:rPr>
                <w:color w:val="000000" w:themeColor="text1"/>
              </w:rPr>
              <w:t>konkurznom konaní (napr. nástroje CET1, nástroje kapitálu Tier 2)</w:t>
            </w:r>
            <w:r w:rsidR="00235C73">
              <w:rPr>
                <w:color w:val="000000" w:themeColor="text1"/>
              </w:rPr>
              <w:t>.</w:t>
            </w:r>
          </w:p>
          <w:p w14:paraId="22A60804" w14:textId="045A874F" w:rsidR="000C3B9F" w:rsidRPr="00235C73" w:rsidRDefault="000C3B9F" w:rsidP="00331959">
            <w:pPr>
              <w:pStyle w:val="Applicationdirecte"/>
              <w:spacing w:before="120"/>
              <w:rPr>
                <w:b/>
                <w:color w:val="000000" w:themeColor="text1"/>
                <w:szCs w:val="24"/>
              </w:rPr>
            </w:pPr>
            <w:r w:rsidRPr="00235C73">
              <w:t>Pre každé postavenie</w:t>
            </w:r>
            <w:r w:rsidR="00235C73">
              <w:t xml:space="preserve"> v </w:t>
            </w:r>
            <w:r w:rsidRPr="00235C73">
              <w:t>konkurznom konaní je</w:t>
            </w:r>
            <w:r w:rsidR="00235C73">
              <w:t xml:space="preserve"> k </w:t>
            </w:r>
            <w:r w:rsidRPr="00235C73">
              <w:t>dispozícii jeden stĺpec,</w:t>
            </w:r>
            <w:r w:rsidR="00235C73">
              <w:t xml:space="preserve"> v </w:t>
            </w:r>
            <w:r w:rsidRPr="00235C73">
              <w:t>ktorom je celá suma</w:t>
            </w:r>
            <w:r w:rsidR="00235C73">
              <w:t xml:space="preserve"> v </w:t>
            </w:r>
            <w:r w:rsidRPr="00235C73">
              <w:t>držbe subjektu, ktorého krízová situácia sa rieši,</w:t>
            </w:r>
            <w:r w:rsidR="00235C73">
              <w:t xml:space="preserve"> a </w:t>
            </w:r>
            <w:r w:rsidRPr="00235C73">
              <w:t>to vrátane súm, ktoré priamo alebo nepriamo vlastní subjekt, ktorého krízová situácia sa rieši, prostredníctvom subjektov</w:t>
            </w:r>
            <w:r w:rsidR="00235C73">
              <w:t xml:space="preserve"> v </w:t>
            </w:r>
            <w:r w:rsidRPr="00235C73">
              <w:t>reťazci vlastníctva,</w:t>
            </w:r>
            <w:r w:rsidR="00235C73">
              <w:t xml:space="preserve"> a </w:t>
            </w:r>
            <w:r w:rsidRPr="00235C73">
              <w:t>druhý stĺpec,</w:t>
            </w:r>
            <w:r w:rsidR="00235C73">
              <w:t xml:space="preserve"> v </w:t>
            </w:r>
            <w:r w:rsidRPr="00235C73">
              <w:t>ktorom časť sumy pri príslušnom postavení držia aj vlastníci, ktorí nie sú subjektom, ktorého krízová situácia sa rieši.</w:t>
            </w:r>
            <w:r w:rsidRPr="00235C73">
              <w:rPr>
                <w:color w:val="000000" w:themeColor="text1"/>
              </w:rPr>
              <w:t xml:space="preserve"> </w:t>
            </w:r>
          </w:p>
        </w:tc>
      </w:tr>
      <w:tr w:rsidR="000C3B9F" w:rsidRPr="00235C73" w14:paraId="4F584FCC" w14:textId="77777777" w:rsidTr="006E5727">
        <w:trPr>
          <w:trHeight w:val="1014"/>
        </w:trPr>
        <w:tc>
          <w:tcPr>
            <w:tcW w:w="1384" w:type="dxa"/>
          </w:tcPr>
          <w:p w14:paraId="2A436C9B" w14:textId="2CCB8C6C" w:rsidR="000C3B9F" w:rsidRPr="00235C73" w:rsidRDefault="000C3B9F" w:rsidP="000C3B9F">
            <w:pPr>
              <w:pStyle w:val="Applicationdirecte"/>
              <w:spacing w:before="120"/>
              <w:rPr>
                <w:color w:val="000000" w:themeColor="text1"/>
                <w:szCs w:val="24"/>
              </w:rPr>
            </w:pPr>
            <w:r w:rsidRPr="00235C73">
              <w:t>3</w:t>
            </w:r>
          </w:p>
        </w:tc>
        <w:tc>
          <w:tcPr>
            <w:tcW w:w="7655" w:type="dxa"/>
          </w:tcPr>
          <w:p w14:paraId="77AA473A" w14:textId="12F91CD9" w:rsidR="000C3B9F" w:rsidRPr="00235C73" w:rsidRDefault="00367DF1" w:rsidP="000C3B9F">
            <w:pPr>
              <w:autoSpaceDE w:val="0"/>
              <w:autoSpaceDN w:val="0"/>
              <w:adjustRightInd w:val="0"/>
              <w:spacing w:before="120" w:after="120"/>
              <w:jc w:val="both"/>
              <w:rPr>
                <w:rFonts w:ascii="Times New Roman" w:hAnsi="Times New Roman" w:cs="Times New Roman"/>
                <w:b/>
                <w:color w:val="000000" w:themeColor="text1"/>
                <w:sz w:val="24"/>
                <w:szCs w:val="24"/>
              </w:rPr>
            </w:pPr>
            <w:r w:rsidRPr="00235C73">
              <w:rPr>
                <w:rFonts w:ascii="Times New Roman" w:hAnsi="Times New Roman"/>
                <w:b/>
                <w:color w:val="000000" w:themeColor="text1"/>
                <w:sz w:val="24"/>
              </w:rPr>
              <w:t>Záväzky</w:t>
            </w:r>
            <w:r w:rsidR="00235C73">
              <w:rPr>
                <w:rFonts w:ascii="Times New Roman" w:hAnsi="Times New Roman"/>
                <w:b/>
                <w:color w:val="000000" w:themeColor="text1"/>
                <w:sz w:val="24"/>
              </w:rPr>
              <w:t xml:space="preserve"> a </w:t>
            </w:r>
            <w:r w:rsidRPr="00235C73">
              <w:rPr>
                <w:rFonts w:ascii="Times New Roman" w:hAnsi="Times New Roman"/>
                <w:b/>
                <w:color w:val="000000" w:themeColor="text1"/>
                <w:sz w:val="24"/>
              </w:rPr>
              <w:t>vlastné zdroje</w:t>
            </w:r>
          </w:p>
          <w:p w14:paraId="4216384F" w14:textId="656C2D1C" w:rsidR="000C3B9F" w:rsidRPr="00235C73" w:rsidRDefault="00BB21F0" w:rsidP="00AA4A01">
            <w:pPr>
              <w:pStyle w:val="Applicationdirecte"/>
              <w:spacing w:before="120"/>
              <w:rPr>
                <w:color w:val="000000" w:themeColor="text1"/>
              </w:rPr>
            </w:pPr>
            <w:r w:rsidRPr="00235C73">
              <w:rPr>
                <w:color w:val="000000" w:themeColor="text1"/>
              </w:rPr>
              <w:t>Suma vlastných zdrojov, oprávnených záväzkov</w:t>
            </w:r>
            <w:r w:rsidR="00235C73">
              <w:rPr>
                <w:color w:val="000000" w:themeColor="text1"/>
              </w:rPr>
              <w:t xml:space="preserve"> a </w:t>
            </w:r>
            <w:r w:rsidRPr="00235C73">
              <w:rPr>
                <w:color w:val="000000" w:themeColor="text1"/>
              </w:rPr>
              <w:t>záväzkov, ktoré majú nižšie alebo rovnaké postavenie ako vlastné zdroje alebo oprávnené záväzky.</w:t>
            </w:r>
          </w:p>
          <w:p w14:paraId="1B0E819E" w14:textId="77777777" w:rsidR="00BB21F0" w:rsidRPr="00235C73" w:rsidRDefault="00BB21F0" w:rsidP="00AA4A01">
            <w:pPr>
              <w:pStyle w:val="Applicationdirecte"/>
              <w:spacing w:before="120"/>
              <w:rPr>
                <w:color w:val="000000" w:themeColor="text1"/>
              </w:rPr>
            </w:pPr>
            <w:r w:rsidRPr="00235C73">
              <w:rPr>
                <w:color w:val="000000" w:themeColor="text1"/>
              </w:rPr>
              <w:t>To zahŕňa aj záväzky vylúčené zo záchrany pomocou vnútorných zdrojov.</w:t>
            </w:r>
          </w:p>
          <w:p w14:paraId="5A7B82DD" w14:textId="368405A5" w:rsidR="008907A6" w:rsidRPr="00235C73" w:rsidRDefault="00410769" w:rsidP="005F391D">
            <w:pPr>
              <w:pStyle w:val="Fait"/>
            </w:pPr>
            <w:r w:rsidRPr="00235C73">
              <w:t>Tento riadok sa neuplatňuje vo vzore EU TLAC2b.</w:t>
            </w:r>
          </w:p>
        </w:tc>
      </w:tr>
      <w:tr w:rsidR="000C3B9F" w:rsidRPr="00235C73" w14:paraId="27EAD1F9" w14:textId="77777777" w:rsidTr="006E5727">
        <w:trPr>
          <w:trHeight w:val="483"/>
        </w:trPr>
        <w:tc>
          <w:tcPr>
            <w:tcW w:w="1384" w:type="dxa"/>
          </w:tcPr>
          <w:p w14:paraId="09FA1416" w14:textId="27DA35B3" w:rsidR="000C3B9F" w:rsidRPr="00235C73" w:rsidRDefault="000C3B9F" w:rsidP="000C3B9F">
            <w:pPr>
              <w:pStyle w:val="Applicationdirecte"/>
              <w:spacing w:before="120"/>
              <w:rPr>
                <w:color w:val="000000" w:themeColor="text1"/>
                <w:szCs w:val="24"/>
              </w:rPr>
            </w:pPr>
            <w:r w:rsidRPr="00235C73">
              <w:t>4</w:t>
            </w:r>
          </w:p>
        </w:tc>
        <w:tc>
          <w:tcPr>
            <w:tcW w:w="7655" w:type="dxa"/>
          </w:tcPr>
          <w:p w14:paraId="59E154B3" w14:textId="0BFAE113" w:rsidR="000C3B9F" w:rsidRPr="00235C73" w:rsidRDefault="00A14A6B" w:rsidP="000C3B9F">
            <w:pPr>
              <w:pStyle w:val="Fait"/>
              <w:rPr>
                <w:rFonts w:eastAsiaTheme="minorEastAsia"/>
                <w:b/>
                <w:color w:val="000000" w:themeColor="text1"/>
                <w:szCs w:val="24"/>
              </w:rPr>
            </w:pPr>
            <w:r w:rsidRPr="00235C73">
              <w:rPr>
                <w:b/>
                <w:color w:val="000000" w:themeColor="text1"/>
              </w:rPr>
              <w:t>Záväzky</w:t>
            </w:r>
            <w:r w:rsidR="00235C73">
              <w:rPr>
                <w:b/>
                <w:color w:val="000000" w:themeColor="text1"/>
              </w:rPr>
              <w:t xml:space="preserve"> a </w:t>
            </w:r>
            <w:r w:rsidRPr="00235C73">
              <w:rPr>
                <w:b/>
                <w:color w:val="000000" w:themeColor="text1"/>
              </w:rPr>
              <w:t>vlastné zdroje –</w:t>
            </w:r>
            <w:r w:rsidR="00235C73">
              <w:rPr>
                <w:b/>
                <w:color w:val="000000" w:themeColor="text1"/>
              </w:rPr>
              <w:t xml:space="preserve"> z </w:t>
            </w:r>
            <w:r w:rsidRPr="00235C73">
              <w:rPr>
                <w:b/>
                <w:color w:val="000000" w:themeColor="text1"/>
              </w:rPr>
              <w:t>čoho vylúčené záväzky</w:t>
            </w:r>
          </w:p>
          <w:p w14:paraId="543649CA" w14:textId="3C7BC418" w:rsidR="006C6694" w:rsidRPr="00235C73" w:rsidRDefault="000C3B9F" w:rsidP="005F391D">
            <w:pPr>
              <w:pStyle w:val="Applicationdirecte"/>
              <w:spacing w:before="120"/>
              <w:rPr>
                <w:color w:val="000000" w:themeColor="text1"/>
                <w:szCs w:val="24"/>
              </w:rPr>
            </w:pPr>
            <w:r w:rsidRPr="00235C73">
              <w:rPr>
                <w:color w:val="000000" w:themeColor="text1"/>
              </w:rPr>
              <w:t>Rozčlenenie záväzkov vylúčených podľa článku 72a ods. 2 nariadenia (EÚ) č. 575/2013 alebo článku 44 ods. 2 smernice 2014/59/EÚ</w:t>
            </w:r>
            <w:r w:rsidR="00235C73">
              <w:rPr>
                <w:color w:val="000000" w:themeColor="text1"/>
              </w:rPr>
              <w:t xml:space="preserve"> a </w:t>
            </w:r>
            <w:r w:rsidRPr="00235C73">
              <w:rPr>
                <w:color w:val="000000" w:themeColor="text1"/>
              </w:rPr>
              <w:t>prípadne článku 44 ods. 3 smernice 2014/59/EÚ.</w:t>
            </w:r>
          </w:p>
          <w:p w14:paraId="182D9647" w14:textId="5AEB0362" w:rsidR="008907A6" w:rsidRPr="00235C73" w:rsidRDefault="00410769" w:rsidP="005F391D">
            <w:pPr>
              <w:pStyle w:val="Applicationdirecte"/>
              <w:spacing w:before="120"/>
            </w:pPr>
            <w:r w:rsidRPr="00235C73">
              <w:t>Tento riadok sa neuplatňuje vo vzore EU TLAC2b.</w:t>
            </w:r>
          </w:p>
        </w:tc>
      </w:tr>
      <w:tr w:rsidR="000C3B9F" w:rsidRPr="00235C73" w14:paraId="3CFAFBE4" w14:textId="77777777" w:rsidTr="006E5727">
        <w:trPr>
          <w:trHeight w:val="1014"/>
        </w:trPr>
        <w:tc>
          <w:tcPr>
            <w:tcW w:w="1384" w:type="dxa"/>
          </w:tcPr>
          <w:p w14:paraId="76860F6D" w14:textId="42C3686D" w:rsidR="000C3B9F" w:rsidRPr="00235C73" w:rsidRDefault="000C3B9F" w:rsidP="000C3B9F">
            <w:pPr>
              <w:pStyle w:val="Applicationdirecte"/>
              <w:spacing w:before="120"/>
              <w:rPr>
                <w:color w:val="000000" w:themeColor="text1"/>
                <w:szCs w:val="24"/>
              </w:rPr>
            </w:pPr>
            <w:r w:rsidRPr="00235C73">
              <w:t>5</w:t>
            </w:r>
          </w:p>
        </w:tc>
        <w:tc>
          <w:tcPr>
            <w:tcW w:w="7655" w:type="dxa"/>
          </w:tcPr>
          <w:p w14:paraId="005DF5FF" w14:textId="7BB30907" w:rsidR="0016339F" w:rsidRPr="00235C73" w:rsidRDefault="00367DF1" w:rsidP="00EF47A4">
            <w:pPr>
              <w:pStyle w:val="Fait"/>
            </w:pPr>
            <w:r w:rsidRPr="00235C73">
              <w:rPr>
                <w:b/>
                <w:color w:val="000000" w:themeColor="text1"/>
              </w:rPr>
              <w:t>Záväzky</w:t>
            </w:r>
            <w:r w:rsidR="00235C73">
              <w:rPr>
                <w:b/>
                <w:color w:val="000000" w:themeColor="text1"/>
              </w:rPr>
              <w:t xml:space="preserve"> a </w:t>
            </w:r>
            <w:r w:rsidRPr="00235C73">
              <w:rPr>
                <w:b/>
                <w:color w:val="000000" w:themeColor="text1"/>
              </w:rPr>
              <w:t>vlastné zdroje mínus vylúčené záväzky</w:t>
            </w:r>
          </w:p>
          <w:p w14:paraId="359D335B" w14:textId="08F261C2" w:rsidR="008907A6" w:rsidRPr="00235C73" w:rsidRDefault="00367DF1" w:rsidP="005F391D">
            <w:pPr>
              <w:pStyle w:val="Fait"/>
            </w:pPr>
            <w:r w:rsidRPr="00235C73">
              <w:rPr>
                <w:color w:val="000000" w:themeColor="text1"/>
              </w:rPr>
              <w:t>Záväzky</w:t>
            </w:r>
            <w:r w:rsidR="00235C73">
              <w:rPr>
                <w:color w:val="000000" w:themeColor="text1"/>
              </w:rPr>
              <w:t xml:space="preserve"> a </w:t>
            </w:r>
            <w:r w:rsidRPr="00235C73">
              <w:rPr>
                <w:color w:val="000000" w:themeColor="text1"/>
              </w:rPr>
              <w:t>vlastné zdroje po odpočítaní vylúčených záväzkov.</w:t>
            </w:r>
          </w:p>
          <w:p w14:paraId="52590AAA" w14:textId="18E701D2" w:rsidR="000C3B9F" w:rsidRPr="00235C73" w:rsidRDefault="00410769" w:rsidP="008907A6">
            <w:pPr>
              <w:pStyle w:val="Applicationdirecte"/>
              <w:spacing w:before="120"/>
              <w:rPr>
                <w:color w:val="000000" w:themeColor="text1"/>
                <w:szCs w:val="24"/>
              </w:rPr>
            </w:pPr>
            <w:r w:rsidRPr="00235C73">
              <w:t>Tento riadok sa neuplatňuje vo vzore EU TLAC2b.</w:t>
            </w:r>
          </w:p>
        </w:tc>
      </w:tr>
      <w:tr w:rsidR="000C3B9F" w:rsidRPr="00235C73" w14:paraId="2699A3CB" w14:textId="77777777" w:rsidTr="006E5727">
        <w:trPr>
          <w:trHeight w:val="316"/>
        </w:trPr>
        <w:tc>
          <w:tcPr>
            <w:tcW w:w="1384" w:type="dxa"/>
          </w:tcPr>
          <w:p w14:paraId="039E3565" w14:textId="2A27D53A" w:rsidR="000C3B9F" w:rsidRPr="00235C73" w:rsidRDefault="000C3B9F" w:rsidP="000C3B9F">
            <w:pPr>
              <w:autoSpaceDE w:val="0"/>
              <w:autoSpaceDN w:val="0"/>
              <w:adjustRightInd w:val="0"/>
              <w:spacing w:before="120" w:after="120"/>
              <w:jc w:val="both"/>
              <w:rPr>
                <w:rFonts w:ascii="Times New Roman" w:eastAsia="Times New Roman" w:hAnsi="Times New Roman" w:cs="Times New Roman"/>
                <w:color w:val="000000" w:themeColor="text1"/>
                <w:sz w:val="24"/>
                <w:szCs w:val="24"/>
              </w:rPr>
            </w:pPr>
            <w:r w:rsidRPr="00235C73">
              <w:rPr>
                <w:rFonts w:ascii="Times New Roman" w:hAnsi="Times New Roman"/>
                <w:sz w:val="24"/>
              </w:rPr>
              <w:lastRenderedPageBreak/>
              <w:t>6</w:t>
            </w:r>
          </w:p>
        </w:tc>
        <w:tc>
          <w:tcPr>
            <w:tcW w:w="7655" w:type="dxa"/>
          </w:tcPr>
          <w:p w14:paraId="677315D1" w14:textId="37C96CD1" w:rsidR="000C3B9F" w:rsidRPr="00235C73" w:rsidRDefault="000C3B9F" w:rsidP="000C3B9F">
            <w:pPr>
              <w:autoSpaceDE w:val="0"/>
              <w:autoSpaceDN w:val="0"/>
              <w:adjustRightInd w:val="0"/>
              <w:spacing w:before="120" w:after="120"/>
              <w:jc w:val="both"/>
              <w:rPr>
                <w:rFonts w:ascii="Times New Roman" w:eastAsia="Times New Roman" w:hAnsi="Times New Roman" w:cs="Times New Roman"/>
                <w:b/>
                <w:color w:val="000000" w:themeColor="text1"/>
                <w:sz w:val="24"/>
                <w:szCs w:val="24"/>
              </w:rPr>
            </w:pPr>
            <w:r w:rsidRPr="00235C73">
              <w:rPr>
                <w:rFonts w:ascii="Times New Roman" w:hAnsi="Times New Roman"/>
                <w:b/>
                <w:color w:val="000000" w:themeColor="text1"/>
                <w:sz w:val="24"/>
              </w:rPr>
              <w:t>Podmnožina záväzkov</w:t>
            </w:r>
            <w:r w:rsidR="00235C73">
              <w:rPr>
                <w:rFonts w:ascii="Times New Roman" w:hAnsi="Times New Roman"/>
                <w:b/>
                <w:color w:val="000000" w:themeColor="text1"/>
                <w:sz w:val="24"/>
              </w:rPr>
              <w:t xml:space="preserve"> a </w:t>
            </w:r>
            <w:r w:rsidRPr="00235C73">
              <w:rPr>
                <w:rFonts w:ascii="Times New Roman" w:hAnsi="Times New Roman"/>
                <w:b/>
                <w:color w:val="000000" w:themeColor="text1"/>
                <w:sz w:val="24"/>
              </w:rPr>
              <w:t>vlastných zdrojov po odpočítaní vylúčených záväzkov, ktoré sú vlastnými zdrojmi</w:t>
            </w:r>
            <w:r w:rsidR="00235C73">
              <w:rPr>
                <w:rFonts w:ascii="Times New Roman" w:hAnsi="Times New Roman"/>
                <w:b/>
                <w:color w:val="000000" w:themeColor="text1"/>
                <w:sz w:val="24"/>
              </w:rPr>
              <w:t xml:space="preserve"> a </w:t>
            </w:r>
            <w:r w:rsidRPr="00235C73">
              <w:rPr>
                <w:rFonts w:ascii="Times New Roman" w:hAnsi="Times New Roman"/>
                <w:b/>
                <w:color w:val="000000" w:themeColor="text1"/>
                <w:sz w:val="24"/>
              </w:rPr>
              <w:t>oprávnenými záväzkami na účely internej MREL/internej TLAC</w:t>
            </w:r>
          </w:p>
          <w:p w14:paraId="666E0A9A" w14:textId="2014A962" w:rsidR="000C3B9F" w:rsidRPr="00235C73" w:rsidRDefault="000C3B9F" w:rsidP="00341FB2">
            <w:pPr>
              <w:rPr>
                <w:rFonts w:ascii="Times New Roman" w:eastAsia="Times New Roman" w:hAnsi="Times New Roman" w:cs="Times New Roman"/>
                <w:color w:val="000000" w:themeColor="text1"/>
                <w:sz w:val="24"/>
                <w:szCs w:val="24"/>
              </w:rPr>
            </w:pPr>
            <w:r w:rsidRPr="00235C73">
              <w:rPr>
                <w:rFonts w:ascii="Times New Roman" w:hAnsi="Times New Roman"/>
                <w:color w:val="000000" w:themeColor="text1"/>
                <w:sz w:val="24"/>
              </w:rPr>
              <w:t>Rozčlenenie sumy vlastných zdrojov</w:t>
            </w:r>
            <w:r w:rsidR="00235C73">
              <w:rPr>
                <w:rFonts w:ascii="Times New Roman" w:hAnsi="Times New Roman"/>
                <w:color w:val="000000" w:themeColor="text1"/>
                <w:sz w:val="24"/>
              </w:rPr>
              <w:t xml:space="preserve"> a </w:t>
            </w:r>
            <w:r w:rsidRPr="00235C73">
              <w:rPr>
                <w:rFonts w:ascii="Times New Roman" w:hAnsi="Times New Roman"/>
                <w:color w:val="000000" w:themeColor="text1"/>
                <w:sz w:val="24"/>
              </w:rPr>
              <w:t>oprávnených záväzkov na účely internej MREL alebo na účely internej TLAC, podľa toho, čo je uplatniteľné</w:t>
            </w:r>
            <w:r w:rsidR="00235C73">
              <w:rPr>
                <w:rFonts w:ascii="Times New Roman" w:hAnsi="Times New Roman"/>
                <w:color w:val="000000" w:themeColor="text1"/>
                <w:sz w:val="24"/>
              </w:rPr>
              <w:t xml:space="preserve"> v </w:t>
            </w:r>
            <w:r w:rsidRPr="00235C73">
              <w:rPr>
                <w:rFonts w:ascii="Times New Roman" w:hAnsi="Times New Roman"/>
                <w:color w:val="000000" w:themeColor="text1"/>
                <w:sz w:val="24"/>
              </w:rPr>
              <w:t>súlade</w:t>
            </w:r>
            <w:r w:rsidR="00235C73">
              <w:rPr>
                <w:rFonts w:ascii="Times New Roman" w:hAnsi="Times New Roman"/>
                <w:color w:val="000000" w:themeColor="text1"/>
                <w:sz w:val="24"/>
              </w:rPr>
              <w:t xml:space="preserve"> s </w:t>
            </w:r>
            <w:r w:rsidRPr="00235C73">
              <w:rPr>
                <w:rFonts w:ascii="Times New Roman" w:hAnsi="Times New Roman"/>
                <w:color w:val="000000" w:themeColor="text1"/>
                <w:sz w:val="24"/>
              </w:rPr>
              <w:t xml:space="preserve">odsekom 11 uvedeným vyššie. </w:t>
            </w:r>
          </w:p>
        </w:tc>
      </w:tr>
      <w:tr w:rsidR="000C3B9F" w:rsidRPr="00235C73" w14:paraId="0BED3052" w14:textId="77777777" w:rsidTr="006E5727">
        <w:trPr>
          <w:trHeight w:val="316"/>
        </w:trPr>
        <w:tc>
          <w:tcPr>
            <w:tcW w:w="1384" w:type="dxa"/>
          </w:tcPr>
          <w:p w14:paraId="6F2D6129" w14:textId="1A05DE99" w:rsidR="000C3B9F" w:rsidRPr="00235C73" w:rsidRDefault="000C3B9F" w:rsidP="000C3B9F">
            <w:pPr>
              <w:autoSpaceDE w:val="0"/>
              <w:autoSpaceDN w:val="0"/>
              <w:adjustRightInd w:val="0"/>
              <w:rPr>
                <w:rFonts w:ascii="Times New Roman" w:eastAsia="Times New Roman" w:hAnsi="Times New Roman" w:cs="Times New Roman"/>
                <w:color w:val="000000" w:themeColor="text1"/>
                <w:sz w:val="24"/>
                <w:szCs w:val="24"/>
              </w:rPr>
            </w:pPr>
            <w:r w:rsidRPr="00235C73">
              <w:rPr>
                <w:rFonts w:ascii="Times New Roman" w:hAnsi="Times New Roman"/>
                <w:sz w:val="24"/>
              </w:rPr>
              <w:t>7</w:t>
            </w:r>
          </w:p>
        </w:tc>
        <w:tc>
          <w:tcPr>
            <w:tcW w:w="7655" w:type="dxa"/>
          </w:tcPr>
          <w:p w14:paraId="43AD9211" w14:textId="77777777" w:rsidR="00235C73" w:rsidRDefault="00216E68" w:rsidP="000C3B9F">
            <w:pPr>
              <w:autoSpaceDE w:val="0"/>
              <w:autoSpaceDN w:val="0"/>
              <w:adjustRightInd w:val="0"/>
              <w:spacing w:before="120" w:after="120"/>
              <w:jc w:val="both"/>
              <w:rPr>
                <w:rFonts w:ascii="Times New Roman" w:hAnsi="Times New Roman"/>
                <w:b/>
                <w:color w:val="000000" w:themeColor="text1"/>
                <w:sz w:val="24"/>
              </w:rPr>
            </w:pPr>
            <w:r w:rsidRPr="00235C73">
              <w:rPr>
                <w:rFonts w:ascii="Times New Roman" w:hAnsi="Times New Roman"/>
                <w:b/>
                <w:color w:val="000000" w:themeColor="text1"/>
                <w:sz w:val="24"/>
              </w:rPr>
              <w:t>Z čoho: zostatková splatnosť ≥ 1 rok</w:t>
            </w:r>
            <w:r w:rsidR="00235C73">
              <w:rPr>
                <w:rFonts w:ascii="Times New Roman" w:hAnsi="Times New Roman"/>
                <w:b/>
                <w:color w:val="000000" w:themeColor="text1"/>
                <w:sz w:val="24"/>
              </w:rPr>
              <w:t xml:space="preserve"> a </w:t>
            </w:r>
            <w:r w:rsidRPr="00235C73">
              <w:rPr>
                <w:rFonts w:ascii="Times New Roman" w:hAnsi="Times New Roman"/>
                <w:b/>
                <w:color w:val="000000" w:themeColor="text1"/>
                <w:sz w:val="24"/>
              </w:rPr>
              <w:t>&lt; 2 roky</w:t>
            </w:r>
          </w:p>
          <w:p w14:paraId="6EC4B8A9" w14:textId="37D6BA15" w:rsidR="000C3B9F" w:rsidRPr="00235C73" w:rsidRDefault="0016339F" w:rsidP="000C3B9F">
            <w:pPr>
              <w:autoSpaceDE w:val="0"/>
              <w:autoSpaceDN w:val="0"/>
              <w:adjustRightInd w:val="0"/>
              <w:spacing w:before="120" w:after="120"/>
              <w:jc w:val="both"/>
              <w:rPr>
                <w:rFonts w:ascii="Times New Roman" w:hAnsi="Times New Roman" w:cs="Times New Roman"/>
                <w:color w:val="000000" w:themeColor="text1"/>
                <w:sz w:val="24"/>
                <w:szCs w:val="24"/>
              </w:rPr>
            </w:pPr>
            <w:r w:rsidRPr="00235C73">
              <w:rPr>
                <w:rFonts w:ascii="Times New Roman" w:hAnsi="Times New Roman"/>
                <w:color w:val="000000" w:themeColor="text1"/>
                <w:sz w:val="24"/>
              </w:rPr>
              <w:t>Podmnožina riadku 6</w:t>
            </w:r>
            <w:r w:rsidR="00235C73">
              <w:rPr>
                <w:rFonts w:ascii="Times New Roman" w:hAnsi="Times New Roman"/>
                <w:color w:val="000000" w:themeColor="text1"/>
                <w:sz w:val="24"/>
              </w:rPr>
              <w:t xml:space="preserve"> s </w:t>
            </w:r>
            <w:r w:rsidRPr="00235C73">
              <w:rPr>
                <w:rFonts w:ascii="Times New Roman" w:hAnsi="Times New Roman"/>
                <w:color w:val="000000" w:themeColor="text1"/>
                <w:sz w:val="24"/>
              </w:rPr>
              <w:t>príslušnou zostatkovou splatnosťou.</w:t>
            </w:r>
          </w:p>
        </w:tc>
      </w:tr>
      <w:tr w:rsidR="000C3B9F" w:rsidRPr="00235C73" w14:paraId="094D1657" w14:textId="77777777" w:rsidTr="006E5727">
        <w:trPr>
          <w:trHeight w:val="316"/>
        </w:trPr>
        <w:tc>
          <w:tcPr>
            <w:tcW w:w="1384" w:type="dxa"/>
          </w:tcPr>
          <w:p w14:paraId="25637642" w14:textId="2444ED10" w:rsidR="000C3B9F" w:rsidRPr="00235C73" w:rsidRDefault="000C3B9F" w:rsidP="000C3B9F">
            <w:pPr>
              <w:autoSpaceDE w:val="0"/>
              <w:autoSpaceDN w:val="0"/>
              <w:adjustRightInd w:val="0"/>
              <w:rPr>
                <w:rFonts w:ascii="Times New Roman" w:eastAsia="Times New Roman" w:hAnsi="Times New Roman" w:cs="Times New Roman"/>
                <w:color w:val="000000" w:themeColor="text1"/>
                <w:sz w:val="24"/>
                <w:szCs w:val="24"/>
              </w:rPr>
            </w:pPr>
            <w:r w:rsidRPr="00235C73">
              <w:rPr>
                <w:rFonts w:ascii="Times New Roman" w:hAnsi="Times New Roman"/>
                <w:sz w:val="24"/>
              </w:rPr>
              <w:t>8</w:t>
            </w:r>
          </w:p>
        </w:tc>
        <w:tc>
          <w:tcPr>
            <w:tcW w:w="7655" w:type="dxa"/>
          </w:tcPr>
          <w:p w14:paraId="73BC8BDA" w14:textId="20275515" w:rsidR="000C3B9F" w:rsidRPr="00235C73"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sidRPr="00235C73">
              <w:rPr>
                <w:rFonts w:ascii="Times New Roman" w:hAnsi="Times New Roman"/>
                <w:b/>
                <w:color w:val="000000" w:themeColor="text1"/>
                <w:sz w:val="24"/>
              </w:rPr>
              <w:t>Z čoho: zostatková splatnosť ≥ 2 roky</w:t>
            </w:r>
            <w:r w:rsidR="00235C73">
              <w:rPr>
                <w:rFonts w:ascii="Times New Roman" w:hAnsi="Times New Roman"/>
                <w:b/>
                <w:color w:val="000000" w:themeColor="text1"/>
                <w:sz w:val="24"/>
              </w:rPr>
              <w:t xml:space="preserve"> a </w:t>
            </w:r>
            <w:r w:rsidRPr="00235C73">
              <w:rPr>
                <w:rFonts w:ascii="Times New Roman" w:hAnsi="Times New Roman"/>
                <w:b/>
                <w:color w:val="000000" w:themeColor="text1"/>
                <w:sz w:val="24"/>
              </w:rPr>
              <w:t>&lt; 5 rokov</w:t>
            </w:r>
          </w:p>
          <w:p w14:paraId="234E2E25" w14:textId="2BBE04BF" w:rsidR="000C3B9F" w:rsidRPr="00235C73" w:rsidRDefault="00F04275" w:rsidP="00F04275">
            <w:pPr>
              <w:autoSpaceDE w:val="0"/>
              <w:autoSpaceDN w:val="0"/>
              <w:adjustRightInd w:val="0"/>
              <w:spacing w:before="120" w:after="120"/>
              <w:jc w:val="both"/>
              <w:rPr>
                <w:rFonts w:ascii="Times New Roman" w:hAnsi="Times New Roman" w:cs="Times New Roman"/>
                <w:color w:val="000000" w:themeColor="text1"/>
                <w:sz w:val="24"/>
                <w:szCs w:val="24"/>
              </w:rPr>
            </w:pPr>
            <w:r w:rsidRPr="00235C73">
              <w:rPr>
                <w:rFonts w:ascii="Times New Roman" w:hAnsi="Times New Roman"/>
                <w:color w:val="000000" w:themeColor="text1"/>
                <w:sz w:val="24"/>
              </w:rPr>
              <w:t>Podmnožina riadku 6</w:t>
            </w:r>
            <w:r w:rsidR="00235C73">
              <w:rPr>
                <w:rFonts w:ascii="Times New Roman" w:hAnsi="Times New Roman"/>
                <w:color w:val="000000" w:themeColor="text1"/>
                <w:sz w:val="24"/>
              </w:rPr>
              <w:t xml:space="preserve"> s </w:t>
            </w:r>
            <w:r w:rsidRPr="00235C73">
              <w:rPr>
                <w:rFonts w:ascii="Times New Roman" w:hAnsi="Times New Roman"/>
                <w:color w:val="000000" w:themeColor="text1"/>
                <w:sz w:val="24"/>
              </w:rPr>
              <w:t>príslušnou zostatkovou splatnosťou.</w:t>
            </w:r>
          </w:p>
        </w:tc>
      </w:tr>
      <w:tr w:rsidR="000C3B9F" w:rsidRPr="00235C73" w14:paraId="55CCE5FF" w14:textId="77777777" w:rsidTr="006E5727">
        <w:trPr>
          <w:trHeight w:val="316"/>
        </w:trPr>
        <w:tc>
          <w:tcPr>
            <w:tcW w:w="1384" w:type="dxa"/>
          </w:tcPr>
          <w:p w14:paraId="6D5EB35C" w14:textId="61800317" w:rsidR="000C3B9F" w:rsidRPr="00235C73" w:rsidRDefault="000C3B9F" w:rsidP="000C3B9F">
            <w:pPr>
              <w:autoSpaceDE w:val="0"/>
              <w:autoSpaceDN w:val="0"/>
              <w:adjustRightInd w:val="0"/>
              <w:rPr>
                <w:rFonts w:ascii="Times New Roman" w:eastAsia="Times New Roman" w:hAnsi="Times New Roman" w:cs="Times New Roman"/>
                <w:color w:val="000000" w:themeColor="text1"/>
                <w:sz w:val="24"/>
                <w:szCs w:val="24"/>
              </w:rPr>
            </w:pPr>
            <w:r w:rsidRPr="00235C73">
              <w:rPr>
                <w:rFonts w:ascii="Times New Roman" w:hAnsi="Times New Roman"/>
                <w:sz w:val="24"/>
              </w:rPr>
              <w:t>9</w:t>
            </w:r>
          </w:p>
        </w:tc>
        <w:tc>
          <w:tcPr>
            <w:tcW w:w="7655" w:type="dxa"/>
          </w:tcPr>
          <w:p w14:paraId="6513D39F" w14:textId="7EA2A45B" w:rsidR="000C3B9F" w:rsidRPr="00235C73"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sidRPr="00235C73">
              <w:rPr>
                <w:rFonts w:ascii="Times New Roman" w:hAnsi="Times New Roman"/>
                <w:b/>
                <w:color w:val="000000" w:themeColor="text1"/>
                <w:sz w:val="24"/>
              </w:rPr>
              <w:t>Z čoho zostatková splatnosť ≥ 5 rokov</w:t>
            </w:r>
            <w:r w:rsidR="00235C73">
              <w:rPr>
                <w:rFonts w:ascii="Times New Roman" w:hAnsi="Times New Roman"/>
                <w:b/>
                <w:color w:val="000000" w:themeColor="text1"/>
                <w:sz w:val="24"/>
              </w:rPr>
              <w:t xml:space="preserve"> a </w:t>
            </w:r>
            <w:r w:rsidRPr="00235C73">
              <w:rPr>
                <w:rFonts w:ascii="Times New Roman" w:hAnsi="Times New Roman"/>
                <w:b/>
                <w:color w:val="000000" w:themeColor="text1"/>
                <w:sz w:val="24"/>
              </w:rPr>
              <w:t>&lt; 10 rokov</w:t>
            </w:r>
          </w:p>
          <w:p w14:paraId="44AA56B3" w14:textId="3D0849D7" w:rsidR="000C3B9F" w:rsidRPr="00235C73" w:rsidRDefault="00F04275" w:rsidP="000C3B9F">
            <w:pPr>
              <w:autoSpaceDE w:val="0"/>
              <w:autoSpaceDN w:val="0"/>
              <w:adjustRightInd w:val="0"/>
              <w:spacing w:before="120" w:after="120"/>
              <w:jc w:val="both"/>
              <w:rPr>
                <w:rFonts w:ascii="Times New Roman" w:hAnsi="Times New Roman" w:cs="Times New Roman"/>
                <w:color w:val="000000" w:themeColor="text1"/>
                <w:sz w:val="24"/>
                <w:szCs w:val="24"/>
              </w:rPr>
            </w:pPr>
            <w:r w:rsidRPr="00235C73">
              <w:rPr>
                <w:rFonts w:ascii="Times New Roman" w:hAnsi="Times New Roman"/>
                <w:color w:val="000000" w:themeColor="text1"/>
                <w:sz w:val="24"/>
              </w:rPr>
              <w:t>Podmnožina riadku 6</w:t>
            </w:r>
            <w:r w:rsidR="00235C73">
              <w:rPr>
                <w:rFonts w:ascii="Times New Roman" w:hAnsi="Times New Roman"/>
                <w:color w:val="000000" w:themeColor="text1"/>
                <w:sz w:val="24"/>
              </w:rPr>
              <w:t xml:space="preserve"> s </w:t>
            </w:r>
            <w:r w:rsidRPr="00235C73">
              <w:rPr>
                <w:rFonts w:ascii="Times New Roman" w:hAnsi="Times New Roman"/>
                <w:color w:val="000000" w:themeColor="text1"/>
                <w:sz w:val="24"/>
              </w:rPr>
              <w:t>príslušnou zostatkovou splatnosťou.</w:t>
            </w:r>
          </w:p>
        </w:tc>
      </w:tr>
      <w:tr w:rsidR="000C3B9F" w:rsidRPr="00235C73" w14:paraId="0B08B0F5" w14:textId="77777777" w:rsidTr="006E5727">
        <w:trPr>
          <w:trHeight w:val="316"/>
        </w:trPr>
        <w:tc>
          <w:tcPr>
            <w:tcW w:w="1384" w:type="dxa"/>
          </w:tcPr>
          <w:p w14:paraId="30A040BA" w14:textId="2B401877" w:rsidR="000C3B9F" w:rsidRPr="00235C73" w:rsidRDefault="000C3B9F" w:rsidP="000C3B9F">
            <w:pPr>
              <w:autoSpaceDE w:val="0"/>
              <w:autoSpaceDN w:val="0"/>
              <w:adjustRightInd w:val="0"/>
              <w:rPr>
                <w:rFonts w:ascii="Times New Roman" w:hAnsi="Times New Roman" w:cs="Times New Roman"/>
                <w:color w:val="000000" w:themeColor="text1"/>
                <w:sz w:val="24"/>
                <w:szCs w:val="24"/>
              </w:rPr>
            </w:pPr>
            <w:r w:rsidRPr="00235C73">
              <w:rPr>
                <w:rFonts w:ascii="Times New Roman" w:hAnsi="Times New Roman"/>
                <w:sz w:val="24"/>
              </w:rPr>
              <w:t>10</w:t>
            </w:r>
          </w:p>
        </w:tc>
        <w:tc>
          <w:tcPr>
            <w:tcW w:w="7655" w:type="dxa"/>
          </w:tcPr>
          <w:p w14:paraId="0EDFF84A" w14:textId="7F3D5273" w:rsidR="000C3B9F" w:rsidRPr="00235C73"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sidRPr="00235C73">
              <w:rPr>
                <w:rFonts w:ascii="Times New Roman" w:hAnsi="Times New Roman"/>
                <w:b/>
                <w:color w:val="000000" w:themeColor="text1"/>
                <w:sz w:val="24"/>
              </w:rPr>
              <w:t>Z čoho zostatková splatnosť ≥ 10 rokov, ale okrem trvalých cenných papierov</w:t>
            </w:r>
          </w:p>
          <w:p w14:paraId="4144E4C2" w14:textId="29BF07A2" w:rsidR="000C3B9F" w:rsidRPr="00235C73" w:rsidRDefault="00F04275" w:rsidP="000C3B9F">
            <w:pPr>
              <w:autoSpaceDE w:val="0"/>
              <w:autoSpaceDN w:val="0"/>
              <w:adjustRightInd w:val="0"/>
              <w:spacing w:before="120" w:after="120"/>
              <w:jc w:val="both"/>
              <w:rPr>
                <w:rFonts w:ascii="Times New Roman" w:hAnsi="Times New Roman" w:cs="Times New Roman"/>
                <w:b/>
                <w:color w:val="000000" w:themeColor="text1"/>
                <w:sz w:val="24"/>
                <w:szCs w:val="24"/>
              </w:rPr>
            </w:pPr>
            <w:r w:rsidRPr="00235C73">
              <w:rPr>
                <w:rFonts w:ascii="Times New Roman" w:hAnsi="Times New Roman"/>
                <w:color w:val="000000" w:themeColor="text1"/>
                <w:sz w:val="24"/>
              </w:rPr>
              <w:t>Podmnožina riadku 6</w:t>
            </w:r>
            <w:r w:rsidR="00235C73">
              <w:rPr>
                <w:rFonts w:ascii="Times New Roman" w:hAnsi="Times New Roman"/>
                <w:color w:val="000000" w:themeColor="text1"/>
                <w:sz w:val="24"/>
              </w:rPr>
              <w:t xml:space="preserve"> s </w:t>
            </w:r>
            <w:r w:rsidRPr="00235C73">
              <w:rPr>
                <w:rFonts w:ascii="Times New Roman" w:hAnsi="Times New Roman"/>
                <w:color w:val="000000" w:themeColor="text1"/>
                <w:sz w:val="24"/>
              </w:rPr>
              <w:t>príslušnou zostatkovou splatnosťou.</w:t>
            </w:r>
          </w:p>
        </w:tc>
      </w:tr>
      <w:tr w:rsidR="000C3B9F" w:rsidRPr="00235C73" w14:paraId="23AD712F" w14:textId="77777777" w:rsidTr="006E5727">
        <w:trPr>
          <w:trHeight w:val="316"/>
        </w:trPr>
        <w:tc>
          <w:tcPr>
            <w:tcW w:w="1384" w:type="dxa"/>
          </w:tcPr>
          <w:p w14:paraId="67796F9B" w14:textId="308AC29C" w:rsidR="000C3B9F" w:rsidRPr="00235C73" w:rsidRDefault="000C3B9F" w:rsidP="000C3B9F">
            <w:pPr>
              <w:autoSpaceDE w:val="0"/>
              <w:autoSpaceDN w:val="0"/>
              <w:adjustRightInd w:val="0"/>
              <w:rPr>
                <w:rFonts w:ascii="Times New Roman" w:hAnsi="Times New Roman" w:cs="Times New Roman"/>
                <w:color w:val="000000" w:themeColor="text1"/>
                <w:sz w:val="24"/>
                <w:szCs w:val="24"/>
              </w:rPr>
            </w:pPr>
            <w:r w:rsidRPr="00235C73">
              <w:rPr>
                <w:rFonts w:ascii="Times New Roman" w:hAnsi="Times New Roman"/>
                <w:sz w:val="24"/>
              </w:rPr>
              <w:t>11</w:t>
            </w:r>
          </w:p>
        </w:tc>
        <w:tc>
          <w:tcPr>
            <w:tcW w:w="7655" w:type="dxa"/>
          </w:tcPr>
          <w:p w14:paraId="38BB8DE3" w14:textId="6E91083A" w:rsidR="000C3B9F" w:rsidRPr="00235C73"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sidRPr="00235C73">
              <w:rPr>
                <w:rFonts w:ascii="Times New Roman" w:hAnsi="Times New Roman"/>
                <w:b/>
                <w:color w:val="000000" w:themeColor="text1"/>
                <w:sz w:val="24"/>
              </w:rPr>
              <w:t>Z čoho: trvalé cenné papiere</w:t>
            </w:r>
          </w:p>
          <w:p w14:paraId="0E3F0B9E" w14:textId="5C0A7C24" w:rsidR="000C3B9F" w:rsidRPr="00235C73" w:rsidRDefault="00F04275" w:rsidP="00F04275">
            <w:pPr>
              <w:autoSpaceDE w:val="0"/>
              <w:autoSpaceDN w:val="0"/>
              <w:adjustRightInd w:val="0"/>
              <w:spacing w:before="120" w:after="120"/>
              <w:jc w:val="both"/>
              <w:rPr>
                <w:rFonts w:ascii="Times New Roman" w:hAnsi="Times New Roman" w:cs="Times New Roman"/>
                <w:b/>
                <w:color w:val="000000" w:themeColor="text1"/>
                <w:sz w:val="24"/>
                <w:szCs w:val="24"/>
              </w:rPr>
            </w:pPr>
            <w:r w:rsidRPr="00235C73">
              <w:rPr>
                <w:rFonts w:ascii="Times New Roman" w:hAnsi="Times New Roman"/>
                <w:color w:val="000000" w:themeColor="text1"/>
                <w:sz w:val="24"/>
              </w:rPr>
              <w:t>Podmnožina riadku 6, ktorú tvoria trvalé cenné papiere.</w:t>
            </w:r>
          </w:p>
        </w:tc>
      </w:tr>
    </w:tbl>
    <w:p w14:paraId="4FDBE82C" w14:textId="77777777" w:rsidR="00134FA4" w:rsidRPr="00235C73" w:rsidRDefault="00134FA4" w:rsidP="00134FA4">
      <w:pPr>
        <w:jc w:val="both"/>
        <w:rPr>
          <w:rFonts w:ascii="Times New Roman" w:hAnsi="Times New Roman" w:cs="Times New Roman"/>
          <w:bCs/>
          <w:i/>
          <w:color w:val="000000" w:themeColor="text1"/>
          <w:sz w:val="24"/>
          <w:szCs w:val="24"/>
        </w:rPr>
      </w:pPr>
    </w:p>
    <w:p w14:paraId="4266C07E" w14:textId="3B554313" w:rsidR="00134FA4" w:rsidRPr="00235C73"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33" w:name="_Toc529272912"/>
      <w:bookmarkStart w:id="234" w:name="_Toc14770787"/>
      <w:bookmarkStart w:id="235" w:name="_Toc45266930"/>
      <w:r w:rsidRPr="00235C73">
        <w:rPr>
          <w:rFonts w:ascii="Times New Roman" w:hAnsi="Times New Roman"/>
          <w:color w:val="auto"/>
          <w:sz w:val="24"/>
        </w:rPr>
        <w:t>6.</w:t>
      </w:r>
      <w:r w:rsidRPr="00235C73">
        <w:rPr>
          <w:rFonts w:ascii="Times New Roman" w:hAnsi="Times New Roman"/>
          <w:color w:val="auto"/>
          <w:sz w:val="24"/>
        </w:rPr>
        <w:tab/>
        <w:t xml:space="preserve">EU TLAC3: Poradie veriteľov – subjekt, </w:t>
      </w:r>
      <w:bookmarkEnd w:id="233"/>
      <w:bookmarkEnd w:id="234"/>
      <w:r w:rsidRPr="00235C73">
        <w:rPr>
          <w:rFonts w:ascii="Times New Roman" w:hAnsi="Times New Roman"/>
          <w:color w:val="auto"/>
          <w:sz w:val="24"/>
        </w:rPr>
        <w:t>ktorého krízová situácia sa rieši</w:t>
      </w:r>
      <w:bookmarkEnd w:id="235"/>
    </w:p>
    <w:p w14:paraId="578097FF" w14:textId="1EA4E7A0" w:rsidR="00EE122D" w:rsidRPr="00235C73" w:rsidRDefault="00EE122D" w:rsidP="00B62DC9">
      <w:pPr>
        <w:pStyle w:val="InstructionsText2"/>
        <w:numPr>
          <w:ilvl w:val="0"/>
          <w:numId w:val="12"/>
        </w:numPr>
        <w:rPr>
          <w:noProof w:val="0"/>
        </w:rPr>
      </w:pPr>
      <w:r w:rsidRPr="00235C73">
        <w:rPr>
          <w:noProof w:val="0"/>
        </w:rPr>
        <w:t>Informácie zahrnuté vo vzore EU TLAC3 sa zverejňujú na úrovni individuálneho subjektu.</w:t>
      </w:r>
    </w:p>
    <w:p w14:paraId="0EB7EFE1" w14:textId="0A189553" w:rsidR="00410769" w:rsidRPr="00235C73" w:rsidRDefault="00410769" w:rsidP="00B62DC9">
      <w:pPr>
        <w:pStyle w:val="InstructionsText2"/>
        <w:numPr>
          <w:ilvl w:val="0"/>
          <w:numId w:val="12"/>
        </w:numPr>
        <w:rPr>
          <w:noProof w:val="0"/>
        </w:rPr>
      </w:pPr>
      <w:r w:rsidRPr="00235C73">
        <w:rPr>
          <w:noProof w:val="0"/>
        </w:rPr>
        <w:t>Vzor EU TLAC3 existuje</w:t>
      </w:r>
      <w:r w:rsidR="00235C73">
        <w:rPr>
          <w:noProof w:val="0"/>
        </w:rPr>
        <w:t xml:space="preserve"> v </w:t>
      </w:r>
      <w:r w:rsidRPr="00235C73">
        <w:rPr>
          <w:noProof w:val="0"/>
        </w:rPr>
        <w:t>dvoch verziách, EU TLAC3a</w:t>
      </w:r>
      <w:r w:rsidR="00235C73">
        <w:rPr>
          <w:noProof w:val="0"/>
        </w:rPr>
        <w:t xml:space="preserve"> a </w:t>
      </w:r>
      <w:r w:rsidRPr="00235C73">
        <w:rPr>
          <w:noProof w:val="0"/>
        </w:rPr>
        <w:t>EU TLAC3b. Vzor EU TLAC3a zachytáva všetky finančné prostriedky, ktoré majú rovnaké alebo podriadené postavenie vo vzťahu</w:t>
      </w:r>
      <w:r w:rsidR="00235C73">
        <w:rPr>
          <w:noProof w:val="0"/>
        </w:rPr>
        <w:t xml:space="preserve"> k </w:t>
      </w:r>
      <w:r w:rsidRPr="00235C73">
        <w:rPr>
          <w:noProof w:val="0"/>
        </w:rPr>
        <w:t>nástrojom potenciálne oprávneným</w:t>
      </w:r>
      <w:r w:rsidR="00235C73">
        <w:rPr>
          <w:noProof w:val="0"/>
        </w:rPr>
        <w:t xml:space="preserve"> z </w:t>
      </w:r>
      <w:r w:rsidRPr="00235C73">
        <w:rPr>
          <w:noProof w:val="0"/>
        </w:rPr>
        <w:t>hľadiska MREL, vrátane vlastných zdrojov</w:t>
      </w:r>
      <w:r w:rsidR="00235C73">
        <w:rPr>
          <w:noProof w:val="0"/>
        </w:rPr>
        <w:t xml:space="preserve"> a </w:t>
      </w:r>
      <w:r w:rsidRPr="00235C73">
        <w:rPr>
          <w:noProof w:val="0"/>
        </w:rPr>
        <w:t>ostatných kapitálových nástrojov. Sumy, ktoré sú neoprávnené len</w:t>
      </w:r>
      <w:r w:rsidR="00235C73">
        <w:rPr>
          <w:noProof w:val="0"/>
        </w:rPr>
        <w:t xml:space="preserve"> v </w:t>
      </w:r>
      <w:r w:rsidRPr="00235C73">
        <w:rPr>
          <w:noProof w:val="0"/>
        </w:rPr>
        <w:t>dôsledku požiadaviek týkajúcich sa podriadenia, sa uvádzajú</w:t>
      </w:r>
      <w:r w:rsidR="00235C73">
        <w:rPr>
          <w:noProof w:val="0"/>
        </w:rPr>
        <w:t xml:space="preserve"> v </w:t>
      </w:r>
      <w:r w:rsidRPr="00235C73">
        <w:rPr>
          <w:noProof w:val="0"/>
        </w:rPr>
        <w:t>riadku zodpovedajúcom príslušnému postaveniu</w:t>
      </w:r>
      <w:r w:rsidR="00235C73">
        <w:rPr>
          <w:noProof w:val="0"/>
        </w:rPr>
        <w:t xml:space="preserve"> v </w:t>
      </w:r>
      <w:r w:rsidRPr="00235C73">
        <w:rPr>
          <w:noProof w:val="0"/>
        </w:rPr>
        <w:t>konkurznom konaní</w:t>
      </w:r>
      <w:r w:rsidR="00235C73">
        <w:rPr>
          <w:noProof w:val="0"/>
        </w:rPr>
        <w:t xml:space="preserve"> v </w:t>
      </w:r>
      <w:r w:rsidRPr="00235C73">
        <w:rPr>
          <w:noProof w:val="0"/>
        </w:rPr>
        <w:t>plnom rozsahu, t. j. bez uplatnenia horných ohraničení. Vzor EU TLAC3b zachytáva len vlastné zdroje</w:t>
      </w:r>
      <w:r w:rsidR="00235C73">
        <w:rPr>
          <w:noProof w:val="0"/>
        </w:rPr>
        <w:t xml:space="preserve"> a </w:t>
      </w:r>
      <w:r w:rsidRPr="00235C73">
        <w:rPr>
          <w:noProof w:val="0"/>
        </w:rPr>
        <w:t>záväzky oprávnené na splnenie požiadavky stanovenej</w:t>
      </w:r>
      <w:r w:rsidR="00235C73">
        <w:rPr>
          <w:noProof w:val="0"/>
        </w:rPr>
        <w:t xml:space="preserve"> v </w:t>
      </w:r>
      <w:r w:rsidRPr="00235C73">
        <w:rPr>
          <w:noProof w:val="0"/>
        </w:rPr>
        <w:t>článku 45 smernice 2014/59/EÚ</w:t>
      </w:r>
      <w:r w:rsidR="00235C73">
        <w:rPr>
          <w:noProof w:val="0"/>
        </w:rPr>
        <w:t xml:space="preserve"> v </w:t>
      </w:r>
      <w:r w:rsidRPr="00235C73">
        <w:rPr>
          <w:noProof w:val="0"/>
        </w:rPr>
        <w:t>súlade</w:t>
      </w:r>
      <w:r w:rsidR="00235C73">
        <w:rPr>
          <w:noProof w:val="0"/>
        </w:rPr>
        <w:t xml:space="preserve"> s </w:t>
      </w:r>
      <w:r w:rsidRPr="00235C73">
        <w:rPr>
          <w:noProof w:val="0"/>
        </w:rPr>
        <w:t>článkom 45e uvedenej smernice.</w:t>
      </w:r>
    </w:p>
    <w:p w14:paraId="417A390B" w14:textId="181308C0" w:rsidR="00410769" w:rsidRPr="00235C73" w:rsidRDefault="00410769" w:rsidP="00B62DC9">
      <w:pPr>
        <w:pStyle w:val="InstructionsText2"/>
        <w:numPr>
          <w:ilvl w:val="0"/>
          <w:numId w:val="12"/>
        </w:numPr>
        <w:rPr>
          <w:noProof w:val="0"/>
        </w:rPr>
      </w:pPr>
      <w:r w:rsidRPr="00235C73">
        <w:rPr>
          <w:noProof w:val="0"/>
        </w:rPr>
        <w:t>V súlade</w:t>
      </w:r>
      <w:r w:rsidR="00235C73">
        <w:rPr>
          <w:noProof w:val="0"/>
        </w:rPr>
        <w:t xml:space="preserve"> s </w:t>
      </w:r>
      <w:r w:rsidRPr="00235C73">
        <w:rPr>
          <w:noProof w:val="0"/>
        </w:rPr>
        <w:t>článkom 14 ods. 2 tohto nariadenia si subjekty, na ktoré sa nevzťahuje povinnosť spĺňať požiadavku uvedenú</w:t>
      </w:r>
      <w:r w:rsidR="00235C73">
        <w:rPr>
          <w:noProof w:val="0"/>
        </w:rPr>
        <w:t xml:space="preserve"> v </w:t>
      </w:r>
      <w:r w:rsidRPr="00235C73">
        <w:rPr>
          <w:noProof w:val="0"/>
        </w:rPr>
        <w:t>článku 92a nariadenia (EÚ) č. 575/2013, ale na ktoré sa vzťahuje povinnosť spĺňať požiadavku uvedenú</w:t>
      </w:r>
      <w:r w:rsidR="00235C73">
        <w:rPr>
          <w:noProof w:val="0"/>
        </w:rPr>
        <w:t xml:space="preserve"> v </w:t>
      </w:r>
      <w:r w:rsidRPr="00235C73">
        <w:rPr>
          <w:noProof w:val="0"/>
        </w:rPr>
        <w:t>článku 45 smernice 2014/59/EÚ</w:t>
      </w:r>
      <w:r w:rsidR="00235C73">
        <w:rPr>
          <w:noProof w:val="0"/>
        </w:rPr>
        <w:t xml:space="preserve"> v </w:t>
      </w:r>
      <w:r w:rsidRPr="00235C73">
        <w:rPr>
          <w:noProof w:val="0"/>
        </w:rPr>
        <w:t>súlade</w:t>
      </w:r>
      <w:r w:rsidR="00235C73">
        <w:rPr>
          <w:noProof w:val="0"/>
        </w:rPr>
        <w:t xml:space="preserve"> s </w:t>
      </w:r>
      <w:r w:rsidRPr="00235C73">
        <w:rPr>
          <w:noProof w:val="0"/>
        </w:rPr>
        <w:t xml:space="preserve">článkom 45e uvedenej smernice, môžu vybrať, či </w:t>
      </w:r>
      <w:r w:rsidRPr="00235C73">
        <w:rPr>
          <w:noProof w:val="0"/>
        </w:rPr>
        <w:lastRenderedPageBreak/>
        <w:t>na splnenie požiadavky na zverejnenie stanovenej</w:t>
      </w:r>
      <w:r w:rsidR="00235C73">
        <w:rPr>
          <w:noProof w:val="0"/>
        </w:rPr>
        <w:t xml:space="preserve"> v </w:t>
      </w:r>
      <w:r w:rsidRPr="00235C73">
        <w:rPr>
          <w:noProof w:val="0"/>
        </w:rPr>
        <w:t>článku 45i ods. 3 písm. b) smernice 2014/59/EÚ použijú vzor EU TLAC3a alebo EU TLAC3b.</w:t>
      </w:r>
    </w:p>
    <w:p w14:paraId="7914D4A7" w14:textId="6F7B66FD" w:rsidR="005F391D" w:rsidRPr="00235C73" w:rsidRDefault="005F391D" w:rsidP="00B62DC9">
      <w:pPr>
        <w:pStyle w:val="InstructionsText2"/>
        <w:numPr>
          <w:ilvl w:val="0"/>
          <w:numId w:val="12"/>
        </w:numPr>
        <w:rPr>
          <w:noProof w:val="0"/>
        </w:rPr>
      </w:pPr>
      <w:r w:rsidRPr="00235C73">
        <w:rPr>
          <w:noProof w:val="0"/>
        </w:rPr>
        <w:t>Od dátumu začatia uplatňovania článku 45i ods. 3 smernice 2014/59/EÚ emitujúce subjekty zverejňujú vo vzore EU TLAC3a záväzky, ktoré sú potenciálne oprávnené na splnenie požiadaviek MREL</w:t>
      </w:r>
      <w:r w:rsidR="00235C73">
        <w:rPr>
          <w:noProof w:val="0"/>
        </w:rPr>
        <w:t xml:space="preserve"> a </w:t>
      </w:r>
      <w:r w:rsidRPr="00235C73">
        <w:rPr>
          <w:noProof w:val="0"/>
        </w:rPr>
        <w:t>TLAC. Pred uvedeným dátumom emitujúce subjekty zverejňujú záväzky, ktoré sú potenciálne oprávnené na splnenie požiadavky na internú TLAC.</w:t>
      </w:r>
    </w:p>
    <w:p w14:paraId="0643F6F9" w14:textId="4812BB8F" w:rsidR="005F391D" w:rsidRPr="00235C73" w:rsidRDefault="00134FA4" w:rsidP="00B62DC9">
      <w:pPr>
        <w:pStyle w:val="InstructionsText2"/>
        <w:numPr>
          <w:ilvl w:val="0"/>
          <w:numId w:val="12"/>
        </w:numPr>
        <w:rPr>
          <w:noProof w:val="0"/>
        </w:rPr>
      </w:pPr>
      <w:r w:rsidRPr="00235C73">
        <w:rPr>
          <w:noProof w:val="0"/>
        </w:rPr>
        <w:t>Nesplatené sumy uvedené</w:t>
      </w:r>
      <w:r w:rsidR="00235C73">
        <w:rPr>
          <w:noProof w:val="0"/>
        </w:rPr>
        <w:t xml:space="preserve"> v </w:t>
      </w:r>
      <w:r w:rsidRPr="00235C73">
        <w:rPr>
          <w:noProof w:val="0"/>
        </w:rPr>
        <w:t>riadkoch 2 až 10 sa musia rozčleniť podľa postavenia</w:t>
      </w:r>
      <w:r w:rsidR="00235C73">
        <w:rPr>
          <w:noProof w:val="0"/>
        </w:rPr>
        <w:t xml:space="preserve"> v </w:t>
      </w:r>
      <w:r w:rsidRPr="00235C73">
        <w:rPr>
          <w:noProof w:val="0"/>
        </w:rPr>
        <w:t>konkurznom konaní na základe konkurzného práva emitujúceho subjektu,</w:t>
      </w:r>
      <w:r w:rsidR="00235C73">
        <w:rPr>
          <w:noProof w:val="0"/>
        </w:rPr>
        <w:t xml:space="preserve"> a </w:t>
      </w:r>
      <w:r w:rsidRPr="00235C73">
        <w:rPr>
          <w:noProof w:val="0"/>
        </w:rPr>
        <w:t>to bez ohľadu na rozhodné právo nástroja.</w:t>
      </w:r>
    </w:p>
    <w:p w14:paraId="2ED9C4B9" w14:textId="2B9475FD" w:rsidR="005F391D" w:rsidRPr="00235C73" w:rsidRDefault="00EA31AA" w:rsidP="00B62DC9">
      <w:pPr>
        <w:pStyle w:val="InstructionsText2"/>
        <w:numPr>
          <w:ilvl w:val="0"/>
          <w:numId w:val="12"/>
        </w:numPr>
        <w:rPr>
          <w:noProof w:val="0"/>
        </w:rPr>
      </w:pPr>
      <w:r w:rsidRPr="00235C73">
        <w:rPr>
          <w:noProof w:val="0"/>
        </w:rPr>
        <w:t>Postavenia</w:t>
      </w:r>
      <w:r w:rsidR="00235C73">
        <w:rPr>
          <w:noProof w:val="0"/>
        </w:rPr>
        <w:t xml:space="preserve"> v </w:t>
      </w:r>
      <w:r w:rsidRPr="00235C73">
        <w:rPr>
          <w:noProof w:val="0"/>
        </w:rPr>
        <w:t>konkurznom konaní sú tie postavenia, ktoré oznamuje príslušný orgán pre riešenie krízových situácií</w:t>
      </w:r>
      <w:r w:rsidR="00235C73">
        <w:rPr>
          <w:noProof w:val="0"/>
        </w:rPr>
        <w:t xml:space="preserve"> v </w:t>
      </w:r>
      <w:r w:rsidRPr="00235C73">
        <w:rPr>
          <w:noProof w:val="0"/>
        </w:rPr>
        <w:t>súlade so štandardizovanou prezentáciou uvedenou</w:t>
      </w:r>
      <w:r w:rsidR="00235C73">
        <w:rPr>
          <w:noProof w:val="0"/>
        </w:rPr>
        <w:t xml:space="preserve"> v </w:t>
      </w:r>
      <w:r w:rsidRPr="00235C73">
        <w:rPr>
          <w:noProof w:val="0"/>
        </w:rPr>
        <w:t>príslušnom vzore na vykazovanie.</w:t>
      </w:r>
    </w:p>
    <w:p w14:paraId="098D1362" w14:textId="424912A1" w:rsidR="003D2D85" w:rsidRPr="00235C73" w:rsidRDefault="00134FA4" w:rsidP="00B62DC9">
      <w:pPr>
        <w:pStyle w:val="InstructionsText2"/>
        <w:numPr>
          <w:ilvl w:val="0"/>
          <w:numId w:val="12"/>
        </w:numPr>
        <w:rPr>
          <w:noProof w:val="0"/>
        </w:rPr>
      </w:pPr>
      <w:r w:rsidRPr="00235C73">
        <w:rPr>
          <w:noProof w:val="0"/>
        </w:rPr>
        <w:t>Postavenia sa uvádzajú od najpodriadenejších po nadriadenejšie. Stĺpce týkajúce sa postavenia sa musia pridávať dovtedy, kým sa nezverejnia najnadriadenejšie potenciálne oprávnené nástroje.</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235C73" w14:paraId="6CE82287" w14:textId="77777777" w:rsidTr="006E5727">
        <w:trPr>
          <w:trHeight w:val="238"/>
        </w:trPr>
        <w:tc>
          <w:tcPr>
            <w:tcW w:w="1384" w:type="dxa"/>
            <w:shd w:val="clear" w:color="auto" w:fill="D9D9D9" w:themeFill="background1" w:themeFillShade="D9"/>
          </w:tcPr>
          <w:p w14:paraId="35ABF31F" w14:textId="77777777" w:rsidR="00134FA4" w:rsidRPr="00235C73" w:rsidRDefault="00134FA4" w:rsidP="006E5727">
            <w:pPr>
              <w:autoSpaceDE w:val="0"/>
              <w:autoSpaceDN w:val="0"/>
              <w:adjustRightInd w:val="0"/>
              <w:rPr>
                <w:rFonts w:ascii="Times New Roman" w:hAnsi="Times New Roman" w:cs="Times New Roman"/>
                <w:b/>
                <w:color w:val="000000" w:themeColor="text1"/>
                <w:sz w:val="24"/>
                <w:szCs w:val="24"/>
              </w:rPr>
            </w:pPr>
            <w:r w:rsidRPr="00235C73">
              <w:rPr>
                <w:rFonts w:ascii="Times New Roman" w:hAnsi="Times New Roman"/>
                <w:b/>
                <w:color w:val="000000" w:themeColor="text1"/>
                <w:sz w:val="24"/>
              </w:rPr>
              <w:t>Riadky</w:t>
            </w:r>
          </w:p>
        </w:tc>
        <w:tc>
          <w:tcPr>
            <w:tcW w:w="7655" w:type="dxa"/>
            <w:shd w:val="clear" w:color="auto" w:fill="D9D9D9" w:themeFill="background1" w:themeFillShade="D9"/>
          </w:tcPr>
          <w:p w14:paraId="209AC79A" w14:textId="7A8B5078" w:rsidR="00134FA4" w:rsidRPr="00235C73" w:rsidRDefault="00E46262" w:rsidP="006E5727">
            <w:pPr>
              <w:autoSpaceDE w:val="0"/>
              <w:autoSpaceDN w:val="0"/>
              <w:adjustRightInd w:val="0"/>
              <w:rPr>
                <w:rFonts w:ascii="Times New Roman" w:hAnsi="Times New Roman" w:cs="Times New Roman"/>
                <w:color w:val="000000" w:themeColor="text1"/>
                <w:sz w:val="24"/>
                <w:szCs w:val="24"/>
              </w:rPr>
            </w:pPr>
            <w:r w:rsidRPr="00235C73">
              <w:rPr>
                <w:rFonts w:ascii="Times New Roman" w:hAnsi="Times New Roman"/>
                <w:b/>
                <w:color w:val="000000" w:themeColor="text1"/>
                <w:sz w:val="24"/>
              </w:rPr>
              <w:t>Odkazy na právne predpisy</w:t>
            </w:r>
            <w:r w:rsidR="00235C73">
              <w:rPr>
                <w:rFonts w:ascii="Times New Roman" w:hAnsi="Times New Roman"/>
                <w:b/>
                <w:color w:val="000000" w:themeColor="text1"/>
                <w:sz w:val="24"/>
              </w:rPr>
              <w:t xml:space="preserve"> a </w:t>
            </w:r>
            <w:r w:rsidRPr="00235C73">
              <w:rPr>
                <w:rFonts w:ascii="Times New Roman" w:hAnsi="Times New Roman"/>
                <w:b/>
                <w:color w:val="000000" w:themeColor="text1"/>
                <w:sz w:val="24"/>
              </w:rPr>
              <w:t>pokyny</w:t>
            </w:r>
          </w:p>
        </w:tc>
      </w:tr>
      <w:tr w:rsidR="001D5616" w:rsidRPr="00235C73" w14:paraId="0C101719" w14:textId="77777777" w:rsidTr="006E5727">
        <w:trPr>
          <w:trHeight w:val="1014"/>
        </w:trPr>
        <w:tc>
          <w:tcPr>
            <w:tcW w:w="1384" w:type="dxa"/>
          </w:tcPr>
          <w:p w14:paraId="20818F1A" w14:textId="6C8CC711" w:rsidR="001D5616" w:rsidRPr="00235C73" w:rsidRDefault="008871C6" w:rsidP="001D5616">
            <w:pPr>
              <w:pStyle w:val="Applicationdirecte"/>
              <w:spacing w:before="120"/>
              <w:rPr>
                <w:color w:val="000000" w:themeColor="text1"/>
                <w:szCs w:val="24"/>
              </w:rPr>
            </w:pPr>
            <w:r w:rsidRPr="00235C73">
              <w:t>1</w:t>
            </w:r>
          </w:p>
        </w:tc>
        <w:tc>
          <w:tcPr>
            <w:tcW w:w="7655" w:type="dxa"/>
          </w:tcPr>
          <w:p w14:paraId="255BAE3D" w14:textId="1DDA20D6" w:rsidR="001D5616" w:rsidRPr="00235C73"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sidRPr="00235C73">
              <w:rPr>
                <w:rFonts w:ascii="Times New Roman" w:hAnsi="Times New Roman"/>
                <w:b/>
                <w:color w:val="000000" w:themeColor="text1"/>
                <w:sz w:val="24"/>
              </w:rPr>
              <w:t>Opis postavenia</w:t>
            </w:r>
            <w:r w:rsidR="00235C73">
              <w:rPr>
                <w:rFonts w:ascii="Times New Roman" w:hAnsi="Times New Roman"/>
                <w:b/>
                <w:color w:val="000000" w:themeColor="text1"/>
                <w:sz w:val="24"/>
              </w:rPr>
              <w:t xml:space="preserve"> v </w:t>
            </w:r>
            <w:r w:rsidRPr="00235C73">
              <w:rPr>
                <w:rFonts w:ascii="Times New Roman" w:hAnsi="Times New Roman"/>
                <w:b/>
                <w:color w:val="000000" w:themeColor="text1"/>
                <w:sz w:val="24"/>
              </w:rPr>
              <w:t>konkurznom konaní (voľný text)</w:t>
            </w:r>
          </w:p>
          <w:p w14:paraId="4938332D" w14:textId="2AF95E28" w:rsidR="001D5616" w:rsidRPr="00235C73" w:rsidRDefault="001D5616" w:rsidP="00EA31AA">
            <w:pPr>
              <w:pStyle w:val="Applicationdirecte"/>
              <w:spacing w:before="120"/>
              <w:rPr>
                <w:color w:val="000000" w:themeColor="text1"/>
                <w:szCs w:val="24"/>
              </w:rPr>
            </w:pPr>
            <w:r w:rsidRPr="00235C73">
              <w:rPr>
                <w:color w:val="000000" w:themeColor="text1"/>
              </w:rPr>
              <w:t>Počet postavení</w:t>
            </w:r>
            <w:r w:rsidR="00235C73">
              <w:rPr>
                <w:color w:val="000000" w:themeColor="text1"/>
              </w:rPr>
              <w:t xml:space="preserve"> v </w:t>
            </w:r>
            <w:r w:rsidRPr="00235C73">
              <w:rPr>
                <w:color w:val="000000" w:themeColor="text1"/>
              </w:rPr>
              <w:t>konkurznom konaní (n)</w:t>
            </w:r>
            <w:r w:rsidR="00235C73">
              <w:rPr>
                <w:color w:val="000000" w:themeColor="text1"/>
              </w:rPr>
              <w:t xml:space="preserve"> v </w:t>
            </w:r>
            <w:r w:rsidRPr="00235C73">
              <w:rPr>
                <w:color w:val="000000" w:themeColor="text1"/>
              </w:rPr>
              <w:t>hierarchii veriteľov bude závisieť od súboru záväzkov subjektu. Pre každé postavenie</w:t>
            </w:r>
            <w:r w:rsidR="00235C73">
              <w:rPr>
                <w:color w:val="000000" w:themeColor="text1"/>
              </w:rPr>
              <w:t xml:space="preserve"> v </w:t>
            </w:r>
            <w:r w:rsidRPr="00235C73">
              <w:rPr>
                <w:color w:val="000000" w:themeColor="text1"/>
              </w:rPr>
              <w:t>konkurznom konaní je</w:t>
            </w:r>
            <w:r w:rsidR="00235C73">
              <w:rPr>
                <w:color w:val="000000" w:themeColor="text1"/>
              </w:rPr>
              <w:t xml:space="preserve"> k </w:t>
            </w:r>
            <w:r w:rsidRPr="00235C73">
              <w:rPr>
                <w:color w:val="000000" w:themeColor="text1"/>
              </w:rPr>
              <w:t>dispozícii jeden stĺpec. Opis by mal zahŕňať špecifikáciu druhov pohľadávok, ktoré patria do daného postavenia</w:t>
            </w:r>
            <w:r w:rsidR="00235C73">
              <w:rPr>
                <w:color w:val="000000" w:themeColor="text1"/>
              </w:rPr>
              <w:t xml:space="preserve"> v </w:t>
            </w:r>
            <w:r w:rsidRPr="00235C73">
              <w:rPr>
                <w:color w:val="000000" w:themeColor="text1"/>
              </w:rPr>
              <w:t>konkurznom konaní (napr. nástroje CET1, nástroje kapitálu Tier 2).</w:t>
            </w:r>
          </w:p>
        </w:tc>
      </w:tr>
      <w:tr w:rsidR="001D5616" w:rsidRPr="00235C73" w14:paraId="282F3909" w14:textId="77777777" w:rsidTr="006E5727">
        <w:trPr>
          <w:trHeight w:val="1014"/>
        </w:trPr>
        <w:tc>
          <w:tcPr>
            <w:tcW w:w="1384" w:type="dxa"/>
          </w:tcPr>
          <w:p w14:paraId="6052D413" w14:textId="27A1C7E6" w:rsidR="001D5616" w:rsidRPr="00235C73" w:rsidRDefault="008871C6" w:rsidP="001D5616">
            <w:pPr>
              <w:pStyle w:val="Applicationdirecte"/>
              <w:spacing w:before="120"/>
              <w:rPr>
                <w:color w:val="000000" w:themeColor="text1"/>
                <w:szCs w:val="24"/>
              </w:rPr>
            </w:pPr>
            <w:r w:rsidRPr="00235C73">
              <w:t>2</w:t>
            </w:r>
          </w:p>
        </w:tc>
        <w:tc>
          <w:tcPr>
            <w:tcW w:w="7655" w:type="dxa"/>
          </w:tcPr>
          <w:p w14:paraId="649ECD5E" w14:textId="4EC1B2A2" w:rsidR="001D5616" w:rsidRPr="00235C73" w:rsidRDefault="00367DF1" w:rsidP="001D5616">
            <w:pPr>
              <w:autoSpaceDE w:val="0"/>
              <w:autoSpaceDN w:val="0"/>
              <w:adjustRightInd w:val="0"/>
              <w:spacing w:before="120" w:after="120"/>
              <w:jc w:val="both"/>
              <w:rPr>
                <w:rFonts w:ascii="Times New Roman" w:hAnsi="Times New Roman" w:cs="Times New Roman"/>
                <w:b/>
                <w:color w:val="000000" w:themeColor="text1"/>
                <w:sz w:val="24"/>
                <w:szCs w:val="24"/>
              </w:rPr>
            </w:pPr>
            <w:r w:rsidRPr="00235C73">
              <w:rPr>
                <w:rFonts w:ascii="Times New Roman" w:hAnsi="Times New Roman"/>
                <w:b/>
                <w:color w:val="000000" w:themeColor="text1"/>
                <w:sz w:val="24"/>
              </w:rPr>
              <w:t>Záväzky</w:t>
            </w:r>
            <w:r w:rsidR="00235C73">
              <w:rPr>
                <w:rFonts w:ascii="Times New Roman" w:hAnsi="Times New Roman"/>
                <w:b/>
                <w:color w:val="000000" w:themeColor="text1"/>
                <w:sz w:val="24"/>
              </w:rPr>
              <w:t xml:space="preserve"> a </w:t>
            </w:r>
            <w:r w:rsidRPr="00235C73">
              <w:rPr>
                <w:rFonts w:ascii="Times New Roman" w:hAnsi="Times New Roman"/>
                <w:b/>
                <w:color w:val="000000" w:themeColor="text1"/>
                <w:sz w:val="24"/>
              </w:rPr>
              <w:t>vlastné zdroje</w:t>
            </w:r>
          </w:p>
          <w:p w14:paraId="6CEB4608" w14:textId="207807BD" w:rsidR="003D2D85" w:rsidRPr="00235C73" w:rsidRDefault="003D2D85" w:rsidP="003D2D85">
            <w:pPr>
              <w:pStyle w:val="Applicationdirecte"/>
              <w:spacing w:before="120"/>
              <w:rPr>
                <w:color w:val="000000" w:themeColor="text1"/>
              </w:rPr>
            </w:pPr>
            <w:r w:rsidRPr="00235C73">
              <w:rPr>
                <w:color w:val="000000" w:themeColor="text1"/>
              </w:rPr>
              <w:t>Suma vlastných zdrojov, oprávnených záväzkov</w:t>
            </w:r>
            <w:r w:rsidR="00235C73">
              <w:rPr>
                <w:color w:val="000000" w:themeColor="text1"/>
              </w:rPr>
              <w:t xml:space="preserve"> a </w:t>
            </w:r>
            <w:r w:rsidRPr="00235C73">
              <w:rPr>
                <w:color w:val="000000" w:themeColor="text1"/>
              </w:rPr>
              <w:t>záväzkov, ktoré majú nižšie alebo rovnaké postavenie ako vlastné zdroje alebo oprávnené záväzky.</w:t>
            </w:r>
          </w:p>
          <w:p w14:paraId="404AFC3B" w14:textId="77777777" w:rsidR="00235C73" w:rsidRDefault="003D2D85" w:rsidP="00E13544">
            <w:pPr>
              <w:pStyle w:val="Applicationdirecte"/>
              <w:spacing w:before="120"/>
              <w:rPr>
                <w:color w:val="000000" w:themeColor="text1"/>
              </w:rPr>
            </w:pPr>
            <w:r w:rsidRPr="00235C73">
              <w:rPr>
                <w:color w:val="000000" w:themeColor="text1"/>
              </w:rPr>
              <w:t>To zahŕňa aj záväzky vylúčené zo záchrany pomocou vnútorných zdrojov</w:t>
            </w:r>
            <w:r w:rsidR="00235C73">
              <w:rPr>
                <w:color w:val="000000" w:themeColor="text1"/>
              </w:rPr>
              <w:t>.</w:t>
            </w:r>
          </w:p>
          <w:p w14:paraId="3B3981A4" w14:textId="27B75BD7" w:rsidR="003D2D85" w:rsidRPr="00235C73" w:rsidRDefault="008348B0" w:rsidP="00640F37">
            <w:pPr>
              <w:pStyle w:val="Fait"/>
            </w:pPr>
            <w:r w:rsidRPr="00235C73">
              <w:t>Tento riadok sa neuplatňuje vo vzore EU TLAC3b.</w:t>
            </w:r>
          </w:p>
        </w:tc>
      </w:tr>
      <w:tr w:rsidR="001D5616" w:rsidRPr="00235C73" w14:paraId="7EFDEF71" w14:textId="77777777" w:rsidTr="006E5727">
        <w:trPr>
          <w:trHeight w:val="483"/>
        </w:trPr>
        <w:tc>
          <w:tcPr>
            <w:tcW w:w="1384" w:type="dxa"/>
          </w:tcPr>
          <w:p w14:paraId="36ABDA8C" w14:textId="78FEFA6B" w:rsidR="001D5616" w:rsidRPr="00235C73" w:rsidRDefault="008871C6" w:rsidP="001D5616">
            <w:pPr>
              <w:pStyle w:val="Applicationdirecte"/>
              <w:spacing w:before="120"/>
              <w:rPr>
                <w:color w:val="000000" w:themeColor="text1"/>
                <w:szCs w:val="24"/>
              </w:rPr>
            </w:pPr>
            <w:r w:rsidRPr="00235C73">
              <w:t>3</w:t>
            </w:r>
          </w:p>
        </w:tc>
        <w:tc>
          <w:tcPr>
            <w:tcW w:w="7655" w:type="dxa"/>
          </w:tcPr>
          <w:p w14:paraId="79EC0340" w14:textId="691F8584" w:rsidR="001D5616" w:rsidRPr="00235C73" w:rsidRDefault="00A14A6B" w:rsidP="001D5616">
            <w:pPr>
              <w:pStyle w:val="Fait"/>
              <w:rPr>
                <w:b/>
                <w:color w:val="000000" w:themeColor="text1"/>
                <w:szCs w:val="24"/>
              </w:rPr>
            </w:pPr>
            <w:r w:rsidRPr="00235C73">
              <w:rPr>
                <w:b/>
                <w:color w:val="000000" w:themeColor="text1"/>
              </w:rPr>
              <w:t>Záväzky</w:t>
            </w:r>
            <w:r w:rsidR="00235C73">
              <w:rPr>
                <w:b/>
                <w:color w:val="000000" w:themeColor="text1"/>
              </w:rPr>
              <w:t xml:space="preserve"> a </w:t>
            </w:r>
            <w:r w:rsidRPr="00235C73">
              <w:rPr>
                <w:b/>
                <w:color w:val="000000" w:themeColor="text1"/>
              </w:rPr>
              <w:t>vlastné zdroje –</w:t>
            </w:r>
            <w:r w:rsidR="00235C73">
              <w:rPr>
                <w:b/>
                <w:color w:val="000000" w:themeColor="text1"/>
              </w:rPr>
              <w:t xml:space="preserve"> z </w:t>
            </w:r>
            <w:r w:rsidRPr="00235C73">
              <w:rPr>
                <w:b/>
                <w:color w:val="000000" w:themeColor="text1"/>
              </w:rPr>
              <w:t>čoho vylúčené záväzky</w:t>
            </w:r>
          </w:p>
          <w:p w14:paraId="0FF41010" w14:textId="5B34C0E1" w:rsidR="003D2D85" w:rsidRPr="00235C73" w:rsidRDefault="003D2D85" w:rsidP="003D2D85">
            <w:pPr>
              <w:pStyle w:val="Applicationdirecte"/>
              <w:spacing w:before="120"/>
              <w:rPr>
                <w:color w:val="000000" w:themeColor="text1"/>
                <w:szCs w:val="24"/>
              </w:rPr>
            </w:pPr>
            <w:r w:rsidRPr="00235C73">
              <w:rPr>
                <w:color w:val="000000" w:themeColor="text1"/>
              </w:rPr>
              <w:t>Rozčlenenie záväzkov vylúčených podľa článku 72a ods. 2 nariadenia (EÚ) č. 575/2013 alebo článku 44 ods. 2 smernice 2014/59/EÚ</w:t>
            </w:r>
            <w:r w:rsidR="00235C73">
              <w:rPr>
                <w:color w:val="000000" w:themeColor="text1"/>
              </w:rPr>
              <w:t xml:space="preserve"> a </w:t>
            </w:r>
            <w:r w:rsidRPr="00235C73">
              <w:rPr>
                <w:color w:val="000000" w:themeColor="text1"/>
              </w:rPr>
              <w:t>prípadne článku 44 ods. 3 uvedenej smernice.</w:t>
            </w:r>
          </w:p>
          <w:p w14:paraId="6E4598A5" w14:textId="066BD409" w:rsidR="003D2D85" w:rsidRPr="00235C73" w:rsidRDefault="008348B0" w:rsidP="001D5616">
            <w:pPr>
              <w:autoSpaceDE w:val="0"/>
              <w:autoSpaceDN w:val="0"/>
              <w:adjustRightInd w:val="0"/>
              <w:spacing w:before="120" w:after="120"/>
              <w:jc w:val="both"/>
              <w:rPr>
                <w:rFonts w:ascii="Times New Roman" w:hAnsi="Times New Roman" w:cs="Times New Roman"/>
                <w:color w:val="000000" w:themeColor="text1"/>
                <w:sz w:val="24"/>
                <w:szCs w:val="24"/>
              </w:rPr>
            </w:pPr>
            <w:r w:rsidRPr="00235C73">
              <w:rPr>
                <w:rFonts w:ascii="Times New Roman" w:hAnsi="Times New Roman"/>
                <w:color w:val="000000" w:themeColor="text1"/>
                <w:sz w:val="24"/>
              </w:rPr>
              <w:t>Tento riadok sa neuplatňuje vo vzore EU TLAC3b.</w:t>
            </w:r>
          </w:p>
        </w:tc>
      </w:tr>
      <w:tr w:rsidR="001D5616" w:rsidRPr="00235C73" w14:paraId="3040763E" w14:textId="77777777" w:rsidTr="006E5727">
        <w:trPr>
          <w:trHeight w:val="1014"/>
        </w:trPr>
        <w:tc>
          <w:tcPr>
            <w:tcW w:w="1384" w:type="dxa"/>
          </w:tcPr>
          <w:p w14:paraId="6ED7CBD7" w14:textId="71B213F7" w:rsidR="001D5616" w:rsidRPr="00235C73" w:rsidRDefault="008871C6" w:rsidP="001D5616">
            <w:pPr>
              <w:pStyle w:val="Applicationdirecte"/>
              <w:spacing w:before="120"/>
              <w:rPr>
                <w:color w:val="000000" w:themeColor="text1"/>
                <w:szCs w:val="24"/>
              </w:rPr>
            </w:pPr>
            <w:r w:rsidRPr="00235C73">
              <w:lastRenderedPageBreak/>
              <w:t>4</w:t>
            </w:r>
          </w:p>
        </w:tc>
        <w:tc>
          <w:tcPr>
            <w:tcW w:w="7655" w:type="dxa"/>
          </w:tcPr>
          <w:p w14:paraId="67B3F8CE" w14:textId="329BEDFE" w:rsidR="001D5616" w:rsidRPr="00235C73" w:rsidRDefault="00367DF1" w:rsidP="001D5616">
            <w:pPr>
              <w:jc w:val="both"/>
              <w:rPr>
                <w:rFonts w:ascii="Times New Roman" w:eastAsia="Times New Roman" w:hAnsi="Times New Roman" w:cs="Times New Roman"/>
                <w:b/>
                <w:color w:val="000000" w:themeColor="text1"/>
                <w:sz w:val="24"/>
                <w:szCs w:val="24"/>
              </w:rPr>
            </w:pPr>
            <w:r w:rsidRPr="00235C73">
              <w:rPr>
                <w:rFonts w:ascii="Times New Roman" w:hAnsi="Times New Roman"/>
                <w:b/>
                <w:color w:val="000000" w:themeColor="text1"/>
                <w:sz w:val="24"/>
              </w:rPr>
              <w:t>Záväzky</w:t>
            </w:r>
            <w:r w:rsidR="00235C73">
              <w:rPr>
                <w:rFonts w:ascii="Times New Roman" w:hAnsi="Times New Roman"/>
                <w:b/>
                <w:color w:val="000000" w:themeColor="text1"/>
                <w:sz w:val="24"/>
              </w:rPr>
              <w:t xml:space="preserve"> a </w:t>
            </w:r>
            <w:r w:rsidRPr="00235C73">
              <w:rPr>
                <w:rFonts w:ascii="Times New Roman" w:hAnsi="Times New Roman"/>
                <w:b/>
                <w:color w:val="000000" w:themeColor="text1"/>
                <w:sz w:val="24"/>
              </w:rPr>
              <w:t>vlastné zdroje mínus vylúčené záväzky</w:t>
            </w:r>
          </w:p>
          <w:p w14:paraId="03EB6676" w14:textId="348AB10F" w:rsidR="00235C73" w:rsidRDefault="00367DF1" w:rsidP="001D5616">
            <w:pPr>
              <w:jc w:val="both"/>
              <w:rPr>
                <w:rFonts w:ascii="Times New Roman" w:hAnsi="Times New Roman"/>
                <w:color w:val="000000" w:themeColor="text1"/>
                <w:sz w:val="24"/>
              </w:rPr>
            </w:pPr>
            <w:r w:rsidRPr="00235C73">
              <w:rPr>
                <w:rFonts w:ascii="Times New Roman" w:hAnsi="Times New Roman"/>
                <w:color w:val="000000" w:themeColor="text1"/>
                <w:sz w:val="24"/>
              </w:rPr>
              <w:t>Záväzky</w:t>
            </w:r>
            <w:r w:rsidR="00235C73">
              <w:rPr>
                <w:rFonts w:ascii="Times New Roman" w:hAnsi="Times New Roman"/>
                <w:color w:val="000000" w:themeColor="text1"/>
                <w:sz w:val="24"/>
              </w:rPr>
              <w:t xml:space="preserve"> a </w:t>
            </w:r>
            <w:r w:rsidRPr="00235C73">
              <w:rPr>
                <w:rFonts w:ascii="Times New Roman" w:hAnsi="Times New Roman"/>
                <w:color w:val="000000" w:themeColor="text1"/>
                <w:sz w:val="24"/>
              </w:rPr>
              <w:t>vlastné zdroje po odpočítaní vylúčených záväzkov</w:t>
            </w:r>
            <w:r w:rsidR="00235C73">
              <w:rPr>
                <w:rFonts w:ascii="Times New Roman" w:hAnsi="Times New Roman"/>
                <w:color w:val="000000" w:themeColor="text1"/>
                <w:sz w:val="24"/>
              </w:rPr>
              <w:t>.</w:t>
            </w:r>
          </w:p>
          <w:p w14:paraId="4C2B3296" w14:textId="17BB34F5" w:rsidR="003D2D85" w:rsidRPr="00235C73" w:rsidRDefault="008348B0" w:rsidP="001D5616">
            <w:pPr>
              <w:jc w:val="both"/>
              <w:rPr>
                <w:rFonts w:ascii="Times New Roman" w:hAnsi="Times New Roman" w:cs="Times New Roman"/>
                <w:color w:val="000000" w:themeColor="text1"/>
                <w:sz w:val="24"/>
                <w:szCs w:val="24"/>
              </w:rPr>
            </w:pPr>
            <w:r w:rsidRPr="00235C73">
              <w:rPr>
                <w:rFonts w:ascii="Times New Roman" w:hAnsi="Times New Roman"/>
                <w:color w:val="000000" w:themeColor="text1"/>
                <w:sz w:val="24"/>
              </w:rPr>
              <w:t>Tento riadok sa neuplatňuje vo vzore EU TLAC3b.</w:t>
            </w:r>
          </w:p>
        </w:tc>
      </w:tr>
      <w:tr w:rsidR="001D5616" w:rsidRPr="00235C73" w14:paraId="3A2C5DDE" w14:textId="77777777" w:rsidTr="006E5727">
        <w:trPr>
          <w:trHeight w:val="316"/>
        </w:trPr>
        <w:tc>
          <w:tcPr>
            <w:tcW w:w="1384" w:type="dxa"/>
          </w:tcPr>
          <w:p w14:paraId="3404E285" w14:textId="021B6A65" w:rsidR="001D5616" w:rsidRPr="00235C73" w:rsidRDefault="008871C6" w:rsidP="001D5616">
            <w:pPr>
              <w:autoSpaceDE w:val="0"/>
              <w:autoSpaceDN w:val="0"/>
              <w:adjustRightInd w:val="0"/>
              <w:spacing w:before="120" w:after="120"/>
              <w:jc w:val="both"/>
              <w:rPr>
                <w:rFonts w:ascii="Times New Roman" w:eastAsia="Times New Roman" w:hAnsi="Times New Roman" w:cs="Times New Roman"/>
                <w:color w:val="000000" w:themeColor="text1"/>
                <w:sz w:val="24"/>
                <w:szCs w:val="24"/>
              </w:rPr>
            </w:pPr>
            <w:r w:rsidRPr="00235C73">
              <w:rPr>
                <w:rFonts w:ascii="Times New Roman" w:hAnsi="Times New Roman"/>
                <w:sz w:val="24"/>
              </w:rPr>
              <w:t>5</w:t>
            </w:r>
          </w:p>
        </w:tc>
        <w:tc>
          <w:tcPr>
            <w:tcW w:w="7655" w:type="dxa"/>
          </w:tcPr>
          <w:p w14:paraId="3A72D26C" w14:textId="0B1F6F79" w:rsidR="001D5616" w:rsidRPr="00235C73" w:rsidRDefault="001D5616" w:rsidP="001D5616">
            <w:pPr>
              <w:autoSpaceDE w:val="0"/>
              <w:autoSpaceDN w:val="0"/>
              <w:adjustRightInd w:val="0"/>
              <w:spacing w:before="120" w:after="120"/>
              <w:jc w:val="both"/>
              <w:rPr>
                <w:rFonts w:ascii="Times New Roman" w:eastAsia="Times New Roman" w:hAnsi="Times New Roman" w:cs="Times New Roman"/>
                <w:b/>
                <w:color w:val="000000" w:themeColor="text1"/>
                <w:sz w:val="24"/>
                <w:szCs w:val="24"/>
              </w:rPr>
            </w:pPr>
            <w:r w:rsidRPr="00235C73">
              <w:rPr>
                <w:rFonts w:ascii="Times New Roman" w:hAnsi="Times New Roman"/>
                <w:b/>
                <w:color w:val="000000" w:themeColor="text1"/>
                <w:sz w:val="24"/>
              </w:rPr>
              <w:t>Podmnožina záväzkov</w:t>
            </w:r>
            <w:r w:rsidR="00235C73">
              <w:rPr>
                <w:rFonts w:ascii="Times New Roman" w:hAnsi="Times New Roman"/>
                <w:b/>
                <w:color w:val="000000" w:themeColor="text1"/>
                <w:sz w:val="24"/>
              </w:rPr>
              <w:t xml:space="preserve"> a </w:t>
            </w:r>
            <w:r w:rsidRPr="00235C73">
              <w:rPr>
                <w:rFonts w:ascii="Times New Roman" w:hAnsi="Times New Roman"/>
                <w:b/>
                <w:color w:val="000000" w:themeColor="text1"/>
                <w:sz w:val="24"/>
              </w:rPr>
              <w:t>vlastných zdrojov po odpočítaní vylúčených záväzkov, ktoré sú vlastnými zdrojmi</w:t>
            </w:r>
            <w:r w:rsidR="00235C73">
              <w:rPr>
                <w:rFonts w:ascii="Times New Roman" w:hAnsi="Times New Roman"/>
                <w:b/>
                <w:color w:val="000000" w:themeColor="text1"/>
                <w:sz w:val="24"/>
              </w:rPr>
              <w:t xml:space="preserve"> a </w:t>
            </w:r>
            <w:r w:rsidRPr="00235C73">
              <w:rPr>
                <w:rFonts w:ascii="Times New Roman" w:hAnsi="Times New Roman"/>
                <w:b/>
                <w:color w:val="000000" w:themeColor="text1"/>
                <w:sz w:val="24"/>
              </w:rPr>
              <w:t>záväzkami potenciálne oprávnenými na splnenie MREL/TLAC</w:t>
            </w:r>
          </w:p>
          <w:p w14:paraId="4D791BCD" w14:textId="4B3C743C" w:rsidR="001D5616" w:rsidRPr="00235C73" w:rsidRDefault="001D5616" w:rsidP="008B671A">
            <w:pPr>
              <w:rPr>
                <w:rFonts w:ascii="Times New Roman" w:eastAsia="Times New Roman" w:hAnsi="Times New Roman" w:cs="Times New Roman"/>
                <w:color w:val="000000" w:themeColor="text1"/>
                <w:sz w:val="24"/>
                <w:szCs w:val="24"/>
              </w:rPr>
            </w:pPr>
            <w:r w:rsidRPr="00235C73">
              <w:rPr>
                <w:rFonts w:ascii="Times New Roman" w:hAnsi="Times New Roman"/>
                <w:color w:val="000000" w:themeColor="text1"/>
                <w:sz w:val="24"/>
              </w:rPr>
              <w:t>Rozčlenenie sumy vlastných zdrojov</w:t>
            </w:r>
            <w:r w:rsidR="00235C73">
              <w:rPr>
                <w:rFonts w:ascii="Times New Roman" w:hAnsi="Times New Roman"/>
                <w:color w:val="000000" w:themeColor="text1"/>
                <w:sz w:val="24"/>
              </w:rPr>
              <w:t xml:space="preserve"> a </w:t>
            </w:r>
            <w:r w:rsidRPr="00235C73">
              <w:rPr>
                <w:rFonts w:ascii="Times New Roman" w:hAnsi="Times New Roman"/>
                <w:color w:val="000000" w:themeColor="text1"/>
                <w:sz w:val="24"/>
              </w:rPr>
              <w:t>záväzkov oprávnených na účely MREL alebo na účely TLAC, podľa toho, čo je uplatniteľné</w:t>
            </w:r>
            <w:r w:rsidR="00235C73">
              <w:rPr>
                <w:rFonts w:ascii="Times New Roman" w:hAnsi="Times New Roman"/>
                <w:color w:val="000000" w:themeColor="text1"/>
                <w:sz w:val="24"/>
              </w:rPr>
              <w:t xml:space="preserve"> v </w:t>
            </w:r>
            <w:r w:rsidRPr="00235C73">
              <w:rPr>
                <w:rFonts w:ascii="Times New Roman" w:hAnsi="Times New Roman"/>
                <w:color w:val="000000" w:themeColor="text1"/>
                <w:sz w:val="24"/>
              </w:rPr>
              <w:t>súlade</w:t>
            </w:r>
            <w:r w:rsidR="00235C73">
              <w:rPr>
                <w:rFonts w:ascii="Times New Roman" w:hAnsi="Times New Roman"/>
                <w:color w:val="000000" w:themeColor="text1"/>
                <w:sz w:val="24"/>
              </w:rPr>
              <w:t xml:space="preserve"> s </w:t>
            </w:r>
            <w:r w:rsidRPr="00235C73">
              <w:rPr>
                <w:rFonts w:ascii="Times New Roman" w:hAnsi="Times New Roman"/>
                <w:color w:val="000000" w:themeColor="text1"/>
                <w:sz w:val="24"/>
              </w:rPr>
              <w:t>odsekom 19 uvedeným vyššie, bez uplatnenia horných ohraničení na vykázanie nepodriadených záväzkov.</w:t>
            </w:r>
          </w:p>
        </w:tc>
      </w:tr>
      <w:tr w:rsidR="001D5616" w:rsidRPr="00235C73" w14:paraId="1AD03E0A" w14:textId="77777777" w:rsidTr="006E5727">
        <w:trPr>
          <w:trHeight w:val="316"/>
        </w:trPr>
        <w:tc>
          <w:tcPr>
            <w:tcW w:w="1384" w:type="dxa"/>
          </w:tcPr>
          <w:p w14:paraId="5319D1AF" w14:textId="74E28EE0" w:rsidR="001D5616" w:rsidRPr="00235C73" w:rsidRDefault="008871C6" w:rsidP="001D5616">
            <w:pPr>
              <w:autoSpaceDE w:val="0"/>
              <w:autoSpaceDN w:val="0"/>
              <w:adjustRightInd w:val="0"/>
              <w:rPr>
                <w:rFonts w:ascii="Times New Roman" w:eastAsia="Times New Roman" w:hAnsi="Times New Roman" w:cs="Times New Roman"/>
                <w:color w:val="000000" w:themeColor="text1"/>
                <w:sz w:val="24"/>
                <w:szCs w:val="24"/>
              </w:rPr>
            </w:pPr>
            <w:r w:rsidRPr="00235C73">
              <w:rPr>
                <w:rFonts w:ascii="Times New Roman" w:hAnsi="Times New Roman"/>
                <w:sz w:val="24"/>
              </w:rPr>
              <w:t>6</w:t>
            </w:r>
          </w:p>
        </w:tc>
        <w:tc>
          <w:tcPr>
            <w:tcW w:w="7655" w:type="dxa"/>
          </w:tcPr>
          <w:p w14:paraId="703CAB37" w14:textId="77777777" w:rsidR="00235C73" w:rsidRDefault="008E3ADF" w:rsidP="001D5616">
            <w:pPr>
              <w:autoSpaceDE w:val="0"/>
              <w:autoSpaceDN w:val="0"/>
              <w:adjustRightInd w:val="0"/>
              <w:spacing w:before="120" w:after="120"/>
              <w:jc w:val="both"/>
              <w:rPr>
                <w:rFonts w:ascii="Times New Roman" w:hAnsi="Times New Roman"/>
                <w:b/>
                <w:color w:val="000000" w:themeColor="text1"/>
                <w:sz w:val="24"/>
              </w:rPr>
            </w:pPr>
            <w:r w:rsidRPr="00235C73">
              <w:rPr>
                <w:rFonts w:ascii="Times New Roman" w:hAnsi="Times New Roman"/>
                <w:b/>
                <w:color w:val="000000" w:themeColor="text1"/>
                <w:sz w:val="24"/>
              </w:rPr>
              <w:t>Z čoho: zostatková splatnosť ≥ 1 rok</w:t>
            </w:r>
            <w:r w:rsidR="00235C73">
              <w:rPr>
                <w:rFonts w:ascii="Times New Roman" w:hAnsi="Times New Roman"/>
                <w:b/>
                <w:color w:val="000000" w:themeColor="text1"/>
                <w:sz w:val="24"/>
              </w:rPr>
              <w:t xml:space="preserve"> a </w:t>
            </w:r>
            <w:r w:rsidRPr="00235C73">
              <w:rPr>
                <w:rFonts w:ascii="Times New Roman" w:hAnsi="Times New Roman"/>
                <w:b/>
                <w:color w:val="000000" w:themeColor="text1"/>
                <w:sz w:val="24"/>
              </w:rPr>
              <w:t>&lt; 2 roky</w:t>
            </w:r>
          </w:p>
          <w:p w14:paraId="024B38D7" w14:textId="74C9793A" w:rsidR="001D5616" w:rsidRPr="00235C73"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sidRPr="00235C73">
              <w:rPr>
                <w:rFonts w:ascii="Times New Roman" w:hAnsi="Times New Roman"/>
                <w:color w:val="000000" w:themeColor="text1"/>
                <w:sz w:val="24"/>
              </w:rPr>
              <w:t>Podmnožina riadku 5</w:t>
            </w:r>
            <w:r w:rsidR="00235C73">
              <w:rPr>
                <w:rFonts w:ascii="Times New Roman" w:hAnsi="Times New Roman"/>
                <w:color w:val="000000" w:themeColor="text1"/>
                <w:sz w:val="24"/>
              </w:rPr>
              <w:t xml:space="preserve"> s </w:t>
            </w:r>
            <w:r w:rsidRPr="00235C73">
              <w:rPr>
                <w:rFonts w:ascii="Times New Roman" w:hAnsi="Times New Roman"/>
                <w:color w:val="000000" w:themeColor="text1"/>
                <w:sz w:val="24"/>
              </w:rPr>
              <w:t>príslušnou zostatkovou splatnosťou.</w:t>
            </w:r>
          </w:p>
        </w:tc>
      </w:tr>
      <w:tr w:rsidR="001D5616" w:rsidRPr="00235C73" w14:paraId="589F2978" w14:textId="77777777" w:rsidTr="006E5727">
        <w:trPr>
          <w:trHeight w:val="316"/>
        </w:trPr>
        <w:tc>
          <w:tcPr>
            <w:tcW w:w="1384" w:type="dxa"/>
          </w:tcPr>
          <w:p w14:paraId="41E8C660" w14:textId="7938235A" w:rsidR="001D5616" w:rsidRPr="00235C73" w:rsidRDefault="008871C6" w:rsidP="001D5616">
            <w:pPr>
              <w:autoSpaceDE w:val="0"/>
              <w:autoSpaceDN w:val="0"/>
              <w:adjustRightInd w:val="0"/>
              <w:rPr>
                <w:rFonts w:ascii="Times New Roman" w:eastAsia="Times New Roman" w:hAnsi="Times New Roman" w:cs="Times New Roman"/>
                <w:color w:val="000000" w:themeColor="text1"/>
                <w:sz w:val="24"/>
                <w:szCs w:val="24"/>
              </w:rPr>
            </w:pPr>
            <w:r w:rsidRPr="00235C73">
              <w:rPr>
                <w:rFonts w:ascii="Times New Roman" w:hAnsi="Times New Roman"/>
                <w:sz w:val="24"/>
              </w:rPr>
              <w:t>7</w:t>
            </w:r>
          </w:p>
        </w:tc>
        <w:tc>
          <w:tcPr>
            <w:tcW w:w="7655" w:type="dxa"/>
          </w:tcPr>
          <w:p w14:paraId="1A0F18F5" w14:textId="2150963B" w:rsidR="001D5616" w:rsidRPr="00235C73"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sidRPr="00235C73">
              <w:rPr>
                <w:rFonts w:ascii="Times New Roman" w:hAnsi="Times New Roman"/>
                <w:b/>
                <w:color w:val="000000" w:themeColor="text1"/>
                <w:sz w:val="24"/>
              </w:rPr>
              <w:t>Z čoho: zostatková splatnosť ≥ 2 roky</w:t>
            </w:r>
            <w:r w:rsidR="00235C73">
              <w:rPr>
                <w:rFonts w:ascii="Times New Roman" w:hAnsi="Times New Roman"/>
                <w:b/>
                <w:color w:val="000000" w:themeColor="text1"/>
                <w:sz w:val="24"/>
              </w:rPr>
              <w:t xml:space="preserve"> a </w:t>
            </w:r>
            <w:r w:rsidRPr="00235C73">
              <w:rPr>
                <w:rFonts w:ascii="Times New Roman" w:hAnsi="Times New Roman"/>
                <w:b/>
                <w:color w:val="000000" w:themeColor="text1"/>
                <w:sz w:val="24"/>
              </w:rPr>
              <w:t>&lt; 5 rokov</w:t>
            </w:r>
          </w:p>
          <w:p w14:paraId="503D3ECD" w14:textId="4693D744" w:rsidR="001D5616" w:rsidRPr="00235C73"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sidRPr="00235C73">
              <w:rPr>
                <w:rFonts w:ascii="Times New Roman" w:hAnsi="Times New Roman"/>
                <w:color w:val="000000" w:themeColor="text1"/>
                <w:sz w:val="24"/>
              </w:rPr>
              <w:t>Podmnožina riadku 5</w:t>
            </w:r>
            <w:r w:rsidR="00235C73">
              <w:rPr>
                <w:rFonts w:ascii="Times New Roman" w:hAnsi="Times New Roman"/>
                <w:color w:val="000000" w:themeColor="text1"/>
                <w:sz w:val="24"/>
              </w:rPr>
              <w:t xml:space="preserve"> s </w:t>
            </w:r>
            <w:r w:rsidRPr="00235C73">
              <w:rPr>
                <w:rFonts w:ascii="Times New Roman" w:hAnsi="Times New Roman"/>
                <w:color w:val="000000" w:themeColor="text1"/>
                <w:sz w:val="24"/>
              </w:rPr>
              <w:t>príslušnou zostatkovou splatnosťou.</w:t>
            </w:r>
          </w:p>
        </w:tc>
      </w:tr>
      <w:tr w:rsidR="001D5616" w:rsidRPr="00235C73" w14:paraId="1CE5BF41" w14:textId="77777777" w:rsidTr="006E5727">
        <w:trPr>
          <w:trHeight w:val="316"/>
        </w:trPr>
        <w:tc>
          <w:tcPr>
            <w:tcW w:w="1384" w:type="dxa"/>
          </w:tcPr>
          <w:p w14:paraId="6D06C91E" w14:textId="6BE3FA67" w:rsidR="001D5616" w:rsidRPr="00235C73" w:rsidRDefault="008871C6" w:rsidP="001D5616">
            <w:pPr>
              <w:autoSpaceDE w:val="0"/>
              <w:autoSpaceDN w:val="0"/>
              <w:adjustRightInd w:val="0"/>
              <w:rPr>
                <w:rFonts w:ascii="Times New Roman" w:eastAsia="Times New Roman" w:hAnsi="Times New Roman" w:cs="Times New Roman"/>
                <w:color w:val="000000" w:themeColor="text1"/>
                <w:sz w:val="24"/>
                <w:szCs w:val="24"/>
              </w:rPr>
            </w:pPr>
            <w:r w:rsidRPr="00235C73">
              <w:rPr>
                <w:rFonts w:ascii="Times New Roman" w:hAnsi="Times New Roman"/>
                <w:sz w:val="24"/>
              </w:rPr>
              <w:t>8</w:t>
            </w:r>
          </w:p>
        </w:tc>
        <w:tc>
          <w:tcPr>
            <w:tcW w:w="7655" w:type="dxa"/>
          </w:tcPr>
          <w:p w14:paraId="385E6CA6" w14:textId="3734B0CA" w:rsidR="001D5616" w:rsidRPr="00235C73"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sidRPr="00235C73">
              <w:rPr>
                <w:rFonts w:ascii="Times New Roman" w:hAnsi="Times New Roman"/>
                <w:b/>
                <w:color w:val="000000" w:themeColor="text1"/>
                <w:sz w:val="24"/>
              </w:rPr>
              <w:t>Z čoho: zostatková splatnosť ≥ 5 rokov</w:t>
            </w:r>
            <w:r w:rsidR="00235C73">
              <w:rPr>
                <w:rFonts w:ascii="Times New Roman" w:hAnsi="Times New Roman"/>
                <w:b/>
                <w:color w:val="000000" w:themeColor="text1"/>
                <w:sz w:val="24"/>
              </w:rPr>
              <w:t xml:space="preserve"> a </w:t>
            </w:r>
            <w:r w:rsidRPr="00235C73">
              <w:rPr>
                <w:rFonts w:ascii="Times New Roman" w:hAnsi="Times New Roman"/>
                <w:b/>
                <w:color w:val="000000" w:themeColor="text1"/>
                <w:sz w:val="24"/>
              </w:rPr>
              <w:t>&lt; 10 rokov</w:t>
            </w:r>
          </w:p>
          <w:p w14:paraId="197AF3C0" w14:textId="578E8E5F" w:rsidR="001D5616" w:rsidRPr="00235C73"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sidRPr="00235C73">
              <w:rPr>
                <w:rFonts w:ascii="Times New Roman" w:hAnsi="Times New Roman"/>
                <w:color w:val="000000" w:themeColor="text1"/>
                <w:sz w:val="24"/>
              </w:rPr>
              <w:t>Podmnožina riadku 5</w:t>
            </w:r>
            <w:r w:rsidR="00235C73">
              <w:rPr>
                <w:rFonts w:ascii="Times New Roman" w:hAnsi="Times New Roman"/>
                <w:color w:val="000000" w:themeColor="text1"/>
                <w:sz w:val="24"/>
              </w:rPr>
              <w:t xml:space="preserve"> s </w:t>
            </w:r>
            <w:r w:rsidRPr="00235C73">
              <w:rPr>
                <w:rFonts w:ascii="Times New Roman" w:hAnsi="Times New Roman"/>
                <w:color w:val="000000" w:themeColor="text1"/>
                <w:sz w:val="24"/>
              </w:rPr>
              <w:t>príslušnou zostatkovou splatnosťou.</w:t>
            </w:r>
          </w:p>
        </w:tc>
      </w:tr>
      <w:tr w:rsidR="001D5616" w:rsidRPr="00235C73" w14:paraId="6652A440" w14:textId="77777777" w:rsidTr="006E5727">
        <w:trPr>
          <w:trHeight w:val="316"/>
        </w:trPr>
        <w:tc>
          <w:tcPr>
            <w:tcW w:w="1384" w:type="dxa"/>
          </w:tcPr>
          <w:p w14:paraId="34E6E46D" w14:textId="5ECCD03F" w:rsidR="001D5616" w:rsidRPr="00235C73" w:rsidRDefault="008871C6" w:rsidP="008871C6">
            <w:pPr>
              <w:autoSpaceDE w:val="0"/>
              <w:autoSpaceDN w:val="0"/>
              <w:adjustRightInd w:val="0"/>
              <w:rPr>
                <w:rFonts w:ascii="Times New Roman" w:hAnsi="Times New Roman" w:cs="Times New Roman"/>
                <w:color w:val="000000" w:themeColor="text1"/>
                <w:sz w:val="24"/>
                <w:szCs w:val="24"/>
              </w:rPr>
            </w:pPr>
            <w:r w:rsidRPr="00235C73">
              <w:rPr>
                <w:rFonts w:ascii="Times New Roman" w:hAnsi="Times New Roman"/>
                <w:sz w:val="24"/>
              </w:rPr>
              <w:t>9</w:t>
            </w:r>
          </w:p>
        </w:tc>
        <w:tc>
          <w:tcPr>
            <w:tcW w:w="7655" w:type="dxa"/>
          </w:tcPr>
          <w:p w14:paraId="18D5EBD6" w14:textId="39172B5A" w:rsidR="001D5616" w:rsidRPr="00235C73"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sidRPr="00235C73">
              <w:rPr>
                <w:rFonts w:ascii="Times New Roman" w:hAnsi="Times New Roman"/>
                <w:b/>
                <w:color w:val="000000" w:themeColor="text1"/>
                <w:sz w:val="24"/>
              </w:rPr>
              <w:t>Z čoho: zostatková splatnosť ≥ 10 rokov, ale okrem trvalých cenných papierov</w:t>
            </w:r>
          </w:p>
          <w:p w14:paraId="61C53A18" w14:textId="6CE6DD1A" w:rsidR="001D5616" w:rsidRPr="00235C73"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sidRPr="00235C73">
              <w:rPr>
                <w:rFonts w:ascii="Times New Roman" w:hAnsi="Times New Roman"/>
                <w:color w:val="000000" w:themeColor="text1"/>
                <w:sz w:val="24"/>
              </w:rPr>
              <w:t>Podmnožina riadku 5</w:t>
            </w:r>
            <w:r w:rsidR="00235C73">
              <w:rPr>
                <w:rFonts w:ascii="Times New Roman" w:hAnsi="Times New Roman"/>
                <w:color w:val="000000" w:themeColor="text1"/>
                <w:sz w:val="24"/>
              </w:rPr>
              <w:t xml:space="preserve"> s </w:t>
            </w:r>
            <w:r w:rsidRPr="00235C73">
              <w:rPr>
                <w:rFonts w:ascii="Times New Roman" w:hAnsi="Times New Roman"/>
                <w:color w:val="000000" w:themeColor="text1"/>
                <w:sz w:val="24"/>
              </w:rPr>
              <w:t xml:space="preserve">príslušnou zostatkovou splatnosťou. </w:t>
            </w:r>
          </w:p>
        </w:tc>
      </w:tr>
      <w:tr w:rsidR="001D5616" w:rsidRPr="00235C73" w14:paraId="122BED89" w14:textId="77777777" w:rsidTr="006E5727">
        <w:trPr>
          <w:trHeight w:val="316"/>
        </w:trPr>
        <w:tc>
          <w:tcPr>
            <w:tcW w:w="1384" w:type="dxa"/>
          </w:tcPr>
          <w:p w14:paraId="0B741CEB" w14:textId="37EB6C3B" w:rsidR="001D5616" w:rsidRPr="00235C73" w:rsidRDefault="001D5616" w:rsidP="001D5616">
            <w:pPr>
              <w:autoSpaceDE w:val="0"/>
              <w:autoSpaceDN w:val="0"/>
              <w:adjustRightInd w:val="0"/>
              <w:rPr>
                <w:rFonts w:ascii="Times New Roman" w:hAnsi="Times New Roman" w:cs="Times New Roman"/>
                <w:color w:val="000000" w:themeColor="text1"/>
                <w:sz w:val="24"/>
                <w:szCs w:val="24"/>
              </w:rPr>
            </w:pPr>
            <w:r w:rsidRPr="00235C73">
              <w:rPr>
                <w:rFonts w:ascii="Times New Roman" w:hAnsi="Times New Roman"/>
                <w:sz w:val="24"/>
              </w:rPr>
              <w:t>10</w:t>
            </w:r>
          </w:p>
        </w:tc>
        <w:tc>
          <w:tcPr>
            <w:tcW w:w="7655" w:type="dxa"/>
          </w:tcPr>
          <w:p w14:paraId="00862BE8" w14:textId="48E6FB14" w:rsidR="001D5616" w:rsidRPr="00235C73"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sidRPr="00235C73">
              <w:rPr>
                <w:rFonts w:ascii="Times New Roman" w:hAnsi="Times New Roman"/>
                <w:b/>
                <w:color w:val="000000" w:themeColor="text1"/>
                <w:sz w:val="24"/>
              </w:rPr>
              <w:t>Z čoho: trvalé cenné papiere</w:t>
            </w:r>
          </w:p>
          <w:p w14:paraId="364F102A" w14:textId="35E5C977" w:rsidR="001D5616" w:rsidRPr="00235C73"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sidRPr="00235C73">
              <w:rPr>
                <w:rFonts w:ascii="Times New Roman" w:hAnsi="Times New Roman"/>
                <w:color w:val="000000" w:themeColor="text1"/>
                <w:sz w:val="24"/>
              </w:rPr>
              <w:t xml:space="preserve">Podmnožina riadku 5, ktorú tvoria trvalé cenné papiere. </w:t>
            </w:r>
          </w:p>
        </w:tc>
      </w:tr>
    </w:tbl>
    <w:p w14:paraId="727A9C45" w14:textId="513EB7A2" w:rsidR="002E3F40" w:rsidRPr="00235C73" w:rsidRDefault="00676354" w:rsidP="00AA4A01">
      <w:pPr>
        <w:pStyle w:val="body"/>
      </w:pPr>
      <w:r w:rsidRPr="00235C73">
        <w:t>“</w:t>
      </w:r>
    </w:p>
    <w:sectPr w:rsidR="002E3F40" w:rsidRPr="00235C73" w:rsidSect="00807127">
      <w:headerReference w:type="even" r:id="rId8"/>
      <w:footerReference w:type="default" r:id="rId9"/>
      <w:headerReference w:type="first" r:id="rId10"/>
      <w:pgSz w:w="11900" w:h="16840"/>
      <w:pgMar w:top="2268" w:right="1418" w:bottom="1134"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046AF" w14:textId="77777777" w:rsidR="00EC32AA" w:rsidRDefault="00EC32AA" w:rsidP="00A00E34">
      <w:r>
        <w:separator/>
      </w:r>
    </w:p>
    <w:p w14:paraId="451488FB" w14:textId="77777777" w:rsidR="00EC32AA" w:rsidRDefault="00EC32AA"/>
  </w:endnote>
  <w:endnote w:type="continuationSeparator" w:id="0">
    <w:p w14:paraId="5857320E" w14:textId="77777777" w:rsidR="00EC32AA" w:rsidRDefault="00EC32AA" w:rsidP="00A00E34">
      <w:r>
        <w:continuationSeparator/>
      </w:r>
    </w:p>
    <w:p w14:paraId="24283727" w14:textId="77777777" w:rsidR="00EC32AA" w:rsidRDefault="00EC3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EUAlbertina">
    <w:altName w:val="Times New Roman"/>
    <w:charset w:val="00"/>
    <w:family w:val="auto"/>
    <w:pitch w:val="variable"/>
    <w:sig w:usb0="00000001" w:usb1="1000E0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653737"/>
      <w:docPartObj>
        <w:docPartGallery w:val="Page Numbers (Bottom of Page)"/>
        <w:docPartUnique/>
      </w:docPartObj>
    </w:sdtPr>
    <w:sdtEndPr>
      <w:rPr>
        <w:noProof/>
      </w:rPr>
    </w:sdtEndPr>
    <w:sdtContent>
      <w:p w14:paraId="7E860D88" w14:textId="580CA2FB" w:rsidR="00EE5DE6" w:rsidRDefault="00EE5DE6" w:rsidP="00940030">
        <w:pPr>
          <w:pStyle w:val="Footer"/>
          <w:jc w:val="center"/>
        </w:pPr>
        <w:r>
          <w:fldChar w:fldCharType="begin"/>
        </w:r>
        <w:r>
          <w:instrText xml:space="preserve"> PAGE   \* MERGEFORMAT </w:instrText>
        </w:r>
        <w:r>
          <w:fldChar w:fldCharType="separate"/>
        </w:r>
        <w:r w:rsidR="00290A9D">
          <w:t>2</w:t>
        </w:r>
        <w:r w:rsidR="00290A9D">
          <w:t>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A4B1" w14:textId="77777777" w:rsidR="00EC32AA" w:rsidRPr="00DB5E8F" w:rsidRDefault="00EC32AA">
      <w:pPr>
        <w:rPr>
          <w:sz w:val="12"/>
          <w:szCs w:val="12"/>
        </w:rPr>
      </w:pPr>
      <w:r w:rsidRPr="00DB5E8F">
        <w:rPr>
          <w:sz w:val="12"/>
          <w:szCs w:val="12"/>
        </w:rPr>
        <w:separator/>
      </w:r>
    </w:p>
  </w:footnote>
  <w:footnote w:type="continuationSeparator" w:id="0">
    <w:p w14:paraId="287A3A29" w14:textId="77777777" w:rsidR="00EC32AA" w:rsidRDefault="00EC32AA" w:rsidP="00A00E34">
      <w:r>
        <w:continuationSeparator/>
      </w:r>
    </w:p>
    <w:p w14:paraId="74160D95" w14:textId="77777777" w:rsidR="00EC32AA" w:rsidRDefault="00EC32AA"/>
  </w:footnote>
  <w:footnote w:type="continuationNotice" w:id="1">
    <w:p w14:paraId="56391D13" w14:textId="77777777" w:rsidR="00EC32AA" w:rsidRDefault="00EC32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B2EC" w14:textId="00F9D07C" w:rsidR="00EE5DE6" w:rsidRDefault="00CF0B8E">
    <w:pPr>
      <w:pStyle w:val="Header"/>
    </w:pPr>
    <w:r>
      <w:rPr>
        <w:noProof/>
      </w:rPr>
      <mc:AlternateContent>
        <mc:Choice Requires="wps">
          <w:drawing>
            <wp:anchor distT="0" distB="0" distL="0" distR="0" simplePos="0" relativeHeight="251659264" behindDoc="0" locked="0" layoutInCell="1" allowOverlap="1" wp14:anchorId="0ABFD109" wp14:editId="13862CD5">
              <wp:simplePos x="635" y="635"/>
              <wp:positionH relativeFrom="leftMargin">
                <wp:align>left</wp:align>
              </wp:positionH>
              <wp:positionV relativeFrom="paragraph">
                <wp:posOffset>635</wp:posOffset>
              </wp:positionV>
              <wp:extent cx="443865" cy="443865"/>
              <wp:effectExtent l="0" t="0" r="3175" b="2540"/>
              <wp:wrapSquare wrapText="bothSides"/>
              <wp:docPr id="2" name="Text Box 2" descr="EBA – bežné použiti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10E33" w14:textId="033AAB4C" w:rsidR="00CF0B8E" w:rsidRPr="00CF0B8E" w:rsidRDefault="00CF0B8E">
                          <w:pPr>
                            <w:rPr>
                              <w:rFonts w:ascii="Calibri" w:eastAsia="Calibri" w:hAnsi="Calibri" w:cs="Calibri"/>
                              <w:noProof/>
                              <w:color w:val="000000"/>
                              <w:sz w:val="24"/>
                              <w:szCs w:val="24"/>
                            </w:rPr>
                          </w:pPr>
                          <w:r>
                            <w:rPr>
                              <w:rFonts w:ascii="Calibri" w:hAnsi="Calibri"/>
                              <w:color w:val="000000"/>
                              <w:sz w:val="24"/>
                            </w:rPr>
                            <w:t>EBA – bežné použitie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ABFD109" id="_x0000_t202" coordsize="21600,21600" o:spt="202" path="m,l,21600r21600,l21600,xe">
              <v:stroke joinstyle="miter"/>
              <v:path gradientshapeok="t" o:connecttype="rect"/>
            </v:shapetype>
            <v:shape id="Text Box 2" o:spid="_x0000_s1026" type="#_x0000_t202" alt="EBA – bežné použitie"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3710E33" w14:textId="033AAB4C" w:rsidR="00CF0B8E" w:rsidRPr="00CF0B8E" w:rsidRDefault="00CF0B8E">
                    <w:pPr>
                      <w:rPr>
                        <w:rFonts w:ascii="Calibri" w:eastAsia="Calibri" w:hAnsi="Calibri" w:cs="Calibri"/>
                        <w:noProof/>
                        <w:color w:val="000000"/>
                        <w:sz w:val="24"/>
                        <w:szCs w:val="24"/>
                      </w:rPr>
                    </w:pPr>
                    <w:r>
                      <w:rPr>
                        <w:rFonts w:ascii="Calibri" w:hAnsi="Calibri"/>
                        <w:color w:val="000000"/>
                        <w:sz w:val="24"/>
                      </w:rPr>
                      <w:t>EBA – bežné použitie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C792" w14:textId="02EA7972" w:rsidR="00EE5DE6" w:rsidRDefault="00CF0B8E">
    <w:pPr>
      <w:pStyle w:val="Header"/>
    </w:pPr>
    <w:r>
      <w:rPr>
        <w:noProof/>
      </w:rPr>
      <mc:AlternateContent>
        <mc:Choice Requires="wps">
          <w:drawing>
            <wp:anchor distT="0" distB="0" distL="0" distR="0" simplePos="0" relativeHeight="251658240" behindDoc="0" locked="0" layoutInCell="1" allowOverlap="1" wp14:anchorId="7841ADB4" wp14:editId="57113CAA">
              <wp:simplePos x="635" y="635"/>
              <wp:positionH relativeFrom="leftMargin">
                <wp:align>left</wp:align>
              </wp:positionH>
              <wp:positionV relativeFrom="paragraph">
                <wp:posOffset>635</wp:posOffset>
              </wp:positionV>
              <wp:extent cx="443865" cy="443865"/>
              <wp:effectExtent l="0" t="0" r="3175" b="2540"/>
              <wp:wrapSquare wrapText="bothSides"/>
              <wp:docPr id="1" name="Text Box 1" descr="EBA – bežné použiti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CDBD6C" w14:textId="64E8C075" w:rsidR="00CF0B8E" w:rsidRPr="00CF0B8E" w:rsidRDefault="00CF0B8E">
                          <w:pPr>
                            <w:rPr>
                              <w:rFonts w:ascii="Calibri" w:eastAsia="Calibri" w:hAnsi="Calibri" w:cs="Calibri"/>
                              <w:noProof/>
                              <w:color w:val="000000"/>
                              <w:sz w:val="24"/>
                              <w:szCs w:val="24"/>
                            </w:rPr>
                          </w:pPr>
                          <w:r>
                            <w:rPr>
                              <w:rFonts w:ascii="Calibri" w:hAnsi="Calibri"/>
                              <w:color w:val="000000"/>
                              <w:sz w:val="24"/>
                            </w:rPr>
                            <w:t>EBA – bežné použitie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841ADB4" id="_x0000_t202" coordsize="21600,21600" o:spt="202" path="m,l,21600r21600,l21600,xe">
              <v:stroke joinstyle="miter"/>
              <v:path gradientshapeok="t" o:connecttype="rect"/>
            </v:shapetype>
            <v:shape id="Text Box 1" o:spid="_x0000_s1027" type="#_x0000_t202" alt="EBA – bežné použiti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9CDBD6C" w14:textId="64E8C075" w:rsidR="00CF0B8E" w:rsidRPr="00CF0B8E" w:rsidRDefault="00CF0B8E">
                    <w:pPr>
                      <w:rPr>
                        <w:rFonts w:ascii="Calibri" w:eastAsia="Calibri" w:hAnsi="Calibri" w:cs="Calibri"/>
                        <w:noProof/>
                        <w:color w:val="000000"/>
                        <w:sz w:val="24"/>
                        <w:szCs w:val="24"/>
                      </w:rPr>
                    </w:pPr>
                    <w:r>
                      <w:rPr>
                        <w:rFonts w:ascii="Calibri" w:hAnsi="Calibri"/>
                        <w:color w:val="000000"/>
                        <w:sz w:val="24"/>
                      </w:rPr>
                      <w:t>EBA – bežné použitie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75920"/>
    <w:multiLevelType w:val="hybridMultilevel"/>
    <w:tmpl w:val="CA5CBCCC"/>
    <w:lvl w:ilvl="0" w:tplc="E7565B6A">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B43CB"/>
    <w:multiLevelType w:val="hybridMultilevel"/>
    <w:tmpl w:val="0B82EB28"/>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B8286D"/>
    <w:multiLevelType w:val="hybridMultilevel"/>
    <w:tmpl w:val="E48C8B5E"/>
    <w:lvl w:ilvl="0" w:tplc="747C37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C78B8"/>
    <w:multiLevelType w:val="multilevel"/>
    <w:tmpl w:val="FEE42B3C"/>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rPr>
        <w:rFonts w:ascii="Tahoma" w:eastAsia="Calibri" w:hAnsi="Tahoma" w:cs="Tahoma"/>
      </w:r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7"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9"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71C07"/>
    <w:multiLevelType w:val="hybridMultilevel"/>
    <w:tmpl w:val="5D18C246"/>
    <w:lvl w:ilvl="0" w:tplc="18090017">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057CB8"/>
    <w:multiLevelType w:val="hybridMultilevel"/>
    <w:tmpl w:val="870EB68E"/>
    <w:lvl w:ilvl="0" w:tplc="236EA62C">
      <w:start w:val="1"/>
      <w:numFmt w:val="decimal"/>
      <w:lvlText w:val="%1."/>
      <w:lvlJc w:val="left"/>
      <w:pPr>
        <w:ind w:left="1353" w:hanging="360"/>
      </w:pPr>
      <w:rPr>
        <w:rFonts w:cs="Times New Roman"/>
      </w:rPr>
    </w:lvl>
    <w:lvl w:ilvl="1" w:tplc="18090017">
      <w:start w:val="1"/>
      <w:numFmt w:val="lowerLetter"/>
      <w:lvlText w:val="%2)"/>
      <w:lvlJc w:val="left"/>
      <w:pPr>
        <w:ind w:left="1440" w:hanging="360"/>
      </w:p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2" w15:restartNumberingAfterBreak="0">
    <w:nsid w:val="36686A3D"/>
    <w:multiLevelType w:val="hybridMultilevel"/>
    <w:tmpl w:val="F92E0946"/>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E03EB"/>
    <w:multiLevelType w:val="hybridMultilevel"/>
    <w:tmpl w:val="67A836A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BC57A9"/>
    <w:multiLevelType w:val="hybridMultilevel"/>
    <w:tmpl w:val="42E0F2F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D7471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66CA2C8C"/>
    <w:multiLevelType w:val="hybridMultilevel"/>
    <w:tmpl w:val="5BF2CFE0"/>
    <w:lvl w:ilvl="0" w:tplc="4BB6D85C">
      <w:start w:val="1"/>
      <w:numFmt w:val="decimal"/>
      <w:pStyle w:val="Instructionsberschrift2"/>
      <w:lvlText w:val="%1.1"/>
      <w:lvlJc w:val="left"/>
      <w:pPr>
        <w:ind w:left="7307" w:hanging="360"/>
      </w:pPr>
      <w:rPr>
        <w:rFonts w:cs="Times New Roman" w:hint="default"/>
      </w:rPr>
    </w:lvl>
    <w:lvl w:ilvl="1" w:tplc="E7565B6A">
      <w:start w:val="1"/>
      <w:numFmt w:val="lowerLetter"/>
      <w:lvlText w:val="%2."/>
      <w:lvlJc w:val="left"/>
      <w:pPr>
        <w:ind w:left="8027" w:hanging="360"/>
      </w:pPr>
      <w:rPr>
        <w:rFonts w:cs="Times New Roman"/>
      </w:rPr>
    </w:lvl>
    <w:lvl w:ilvl="2" w:tplc="67A6A44A" w:tentative="1">
      <w:start w:val="1"/>
      <w:numFmt w:val="lowerRoman"/>
      <w:lvlText w:val="%3."/>
      <w:lvlJc w:val="right"/>
      <w:pPr>
        <w:ind w:left="8747" w:hanging="180"/>
      </w:pPr>
      <w:rPr>
        <w:rFonts w:cs="Times New Roman"/>
      </w:rPr>
    </w:lvl>
    <w:lvl w:ilvl="3" w:tplc="21C6EF3C" w:tentative="1">
      <w:start w:val="1"/>
      <w:numFmt w:val="decimal"/>
      <w:lvlText w:val="%4."/>
      <w:lvlJc w:val="left"/>
      <w:pPr>
        <w:ind w:left="9467" w:hanging="360"/>
      </w:pPr>
      <w:rPr>
        <w:rFonts w:cs="Times New Roman"/>
      </w:rPr>
    </w:lvl>
    <w:lvl w:ilvl="4" w:tplc="6C185750" w:tentative="1">
      <w:start w:val="1"/>
      <w:numFmt w:val="lowerLetter"/>
      <w:lvlText w:val="%5."/>
      <w:lvlJc w:val="left"/>
      <w:pPr>
        <w:ind w:left="10187" w:hanging="360"/>
      </w:pPr>
      <w:rPr>
        <w:rFonts w:cs="Times New Roman"/>
      </w:rPr>
    </w:lvl>
    <w:lvl w:ilvl="5" w:tplc="FA46F0F4" w:tentative="1">
      <w:start w:val="1"/>
      <w:numFmt w:val="lowerRoman"/>
      <w:lvlText w:val="%6."/>
      <w:lvlJc w:val="right"/>
      <w:pPr>
        <w:ind w:left="10907" w:hanging="180"/>
      </w:pPr>
      <w:rPr>
        <w:rFonts w:cs="Times New Roman"/>
      </w:rPr>
    </w:lvl>
    <w:lvl w:ilvl="6" w:tplc="84CCF45A" w:tentative="1">
      <w:start w:val="1"/>
      <w:numFmt w:val="decimal"/>
      <w:lvlText w:val="%7."/>
      <w:lvlJc w:val="left"/>
      <w:pPr>
        <w:ind w:left="11627" w:hanging="360"/>
      </w:pPr>
      <w:rPr>
        <w:rFonts w:cs="Times New Roman"/>
      </w:rPr>
    </w:lvl>
    <w:lvl w:ilvl="7" w:tplc="E2FA2386" w:tentative="1">
      <w:start w:val="1"/>
      <w:numFmt w:val="lowerLetter"/>
      <w:lvlText w:val="%8."/>
      <w:lvlJc w:val="left"/>
      <w:pPr>
        <w:ind w:left="12347" w:hanging="360"/>
      </w:pPr>
      <w:rPr>
        <w:rFonts w:cs="Times New Roman"/>
      </w:rPr>
    </w:lvl>
    <w:lvl w:ilvl="8" w:tplc="1E3AE066" w:tentative="1">
      <w:start w:val="1"/>
      <w:numFmt w:val="lowerRoman"/>
      <w:lvlText w:val="%9."/>
      <w:lvlJc w:val="right"/>
      <w:pPr>
        <w:ind w:left="13067" w:hanging="180"/>
      </w:pPr>
      <w:rPr>
        <w:rFonts w:cs="Times New Roman"/>
      </w:rPr>
    </w:lvl>
  </w:abstractNum>
  <w:abstractNum w:abstractNumId="20"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1" w15:restartNumberingAfterBreak="0">
    <w:nsid w:val="6BCD57BB"/>
    <w:multiLevelType w:val="multilevel"/>
    <w:tmpl w:val="F60CCED6"/>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734B1"/>
    <w:multiLevelType w:val="hybridMultilevel"/>
    <w:tmpl w:val="A1ACF69A"/>
    <w:lvl w:ilvl="0" w:tplc="747C37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205749">
    <w:abstractNumId w:val="16"/>
  </w:num>
  <w:num w:numId="2" w16cid:durableId="1184441859">
    <w:abstractNumId w:val="3"/>
  </w:num>
  <w:num w:numId="3" w16cid:durableId="1028918299">
    <w:abstractNumId w:val="13"/>
  </w:num>
  <w:num w:numId="4" w16cid:durableId="776296339">
    <w:abstractNumId w:val="22"/>
  </w:num>
  <w:num w:numId="5" w16cid:durableId="750153091">
    <w:abstractNumId w:val="1"/>
  </w:num>
  <w:num w:numId="6" w16cid:durableId="336813224">
    <w:abstractNumId w:val="21"/>
  </w:num>
  <w:num w:numId="7" w16cid:durableId="465779702">
    <w:abstractNumId w:val="18"/>
  </w:num>
  <w:num w:numId="8" w16cid:durableId="663163219">
    <w:abstractNumId w:val="0"/>
  </w:num>
  <w:num w:numId="9" w16cid:durableId="1917978329">
    <w:abstractNumId w:val="8"/>
  </w:num>
  <w:num w:numId="10" w16cid:durableId="353311820">
    <w:abstractNumId w:val="23"/>
  </w:num>
  <w:num w:numId="11" w16cid:durableId="6709576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785784">
    <w:abstractNumId w:val="15"/>
  </w:num>
  <w:num w:numId="13" w16cid:durableId="1831798045">
    <w:abstractNumId w:val="20"/>
  </w:num>
  <w:num w:numId="14" w16cid:durableId="1121650833">
    <w:abstractNumId w:val="19"/>
  </w:num>
  <w:num w:numId="15" w16cid:durableId="1026759010">
    <w:abstractNumId w:val="11"/>
  </w:num>
  <w:num w:numId="16" w16cid:durableId="826094156">
    <w:abstractNumId w:val="9"/>
  </w:num>
  <w:num w:numId="17" w16cid:durableId="1348865239">
    <w:abstractNumId w:val="17"/>
  </w:num>
  <w:num w:numId="18" w16cid:durableId="1335106368">
    <w:abstractNumId w:val="7"/>
  </w:num>
  <w:num w:numId="19" w16cid:durableId="227693673">
    <w:abstractNumId w:val="11"/>
  </w:num>
  <w:num w:numId="20" w16cid:durableId="748769138">
    <w:abstractNumId w:val="11"/>
  </w:num>
  <w:num w:numId="21" w16cid:durableId="935597942">
    <w:abstractNumId w:val="2"/>
  </w:num>
  <w:num w:numId="22" w16cid:durableId="1734306422">
    <w:abstractNumId w:val="5"/>
  </w:num>
  <w:num w:numId="23" w16cid:durableId="451824100">
    <w:abstractNumId w:val="14"/>
  </w:num>
  <w:num w:numId="24" w16cid:durableId="398483654">
    <w:abstractNumId w:val="12"/>
  </w:num>
  <w:num w:numId="25" w16cid:durableId="818500383">
    <w:abstractNumId w:val="4"/>
  </w:num>
  <w:num w:numId="26" w16cid:durableId="1235430350">
    <w:abstractNumId w:val="11"/>
  </w:num>
  <w:num w:numId="27" w16cid:durableId="1326936538">
    <w:abstractNumId w:val="11"/>
  </w:num>
  <w:num w:numId="28" w16cid:durableId="1637417445">
    <w:abstractNumId w:val="11"/>
  </w:num>
  <w:num w:numId="29" w16cid:durableId="1921674367">
    <w:abstractNumId w:val="11"/>
  </w:num>
  <w:num w:numId="30" w16cid:durableId="1001541118">
    <w:abstractNumId w:val="11"/>
  </w:num>
  <w:num w:numId="31" w16cid:durableId="24329730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proofState w:spelling="clean" w:grammar="clean"/>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LW_DocType" w:val="EBA GL-REC 20XX XX (FINAL GLS-REC ON"/>
  </w:docVars>
  <w:rsids>
    <w:rsidRoot w:val="006307A5"/>
    <w:rsid w:val="00000DE2"/>
    <w:rsid w:val="00001873"/>
    <w:rsid w:val="00002ED7"/>
    <w:rsid w:val="00003F50"/>
    <w:rsid w:val="00004389"/>
    <w:rsid w:val="0000671C"/>
    <w:rsid w:val="000115C7"/>
    <w:rsid w:val="000121E8"/>
    <w:rsid w:val="0001312A"/>
    <w:rsid w:val="00013281"/>
    <w:rsid w:val="000145DB"/>
    <w:rsid w:val="00015DE4"/>
    <w:rsid w:val="0001617D"/>
    <w:rsid w:val="0002022F"/>
    <w:rsid w:val="00021902"/>
    <w:rsid w:val="00021E4F"/>
    <w:rsid w:val="00022F5A"/>
    <w:rsid w:val="000231B7"/>
    <w:rsid w:val="00023BE0"/>
    <w:rsid w:val="00026E75"/>
    <w:rsid w:val="00026FC1"/>
    <w:rsid w:val="00027CA0"/>
    <w:rsid w:val="00030D65"/>
    <w:rsid w:val="000360DE"/>
    <w:rsid w:val="00036DB1"/>
    <w:rsid w:val="00037C74"/>
    <w:rsid w:val="00037D40"/>
    <w:rsid w:val="00040129"/>
    <w:rsid w:val="000445F0"/>
    <w:rsid w:val="000457FD"/>
    <w:rsid w:val="00045B67"/>
    <w:rsid w:val="000602F0"/>
    <w:rsid w:val="00060F40"/>
    <w:rsid w:val="000611BF"/>
    <w:rsid w:val="00062830"/>
    <w:rsid w:val="00062937"/>
    <w:rsid w:val="00066A9A"/>
    <w:rsid w:val="00070882"/>
    <w:rsid w:val="000774B3"/>
    <w:rsid w:val="00083C33"/>
    <w:rsid w:val="000843CD"/>
    <w:rsid w:val="00085838"/>
    <w:rsid w:val="0008623B"/>
    <w:rsid w:val="00097F01"/>
    <w:rsid w:val="000A1C81"/>
    <w:rsid w:val="000A2295"/>
    <w:rsid w:val="000A2565"/>
    <w:rsid w:val="000A3851"/>
    <w:rsid w:val="000A53C4"/>
    <w:rsid w:val="000A553F"/>
    <w:rsid w:val="000B1645"/>
    <w:rsid w:val="000B1CB3"/>
    <w:rsid w:val="000B22D4"/>
    <w:rsid w:val="000B3C02"/>
    <w:rsid w:val="000B47A2"/>
    <w:rsid w:val="000B4D72"/>
    <w:rsid w:val="000B4EDC"/>
    <w:rsid w:val="000B51DB"/>
    <w:rsid w:val="000C0577"/>
    <w:rsid w:val="000C2E1B"/>
    <w:rsid w:val="000C3B9F"/>
    <w:rsid w:val="000C5255"/>
    <w:rsid w:val="000C5A8A"/>
    <w:rsid w:val="000C6F8C"/>
    <w:rsid w:val="000C74DC"/>
    <w:rsid w:val="000C7FD8"/>
    <w:rsid w:val="000D0E56"/>
    <w:rsid w:val="000D19EC"/>
    <w:rsid w:val="000D1FC3"/>
    <w:rsid w:val="000D7A44"/>
    <w:rsid w:val="000E0614"/>
    <w:rsid w:val="000E0C27"/>
    <w:rsid w:val="000E4902"/>
    <w:rsid w:val="000E4D2F"/>
    <w:rsid w:val="000E5B26"/>
    <w:rsid w:val="000E6ABB"/>
    <w:rsid w:val="000E6D15"/>
    <w:rsid w:val="000E7BBF"/>
    <w:rsid w:val="000F33D3"/>
    <w:rsid w:val="000F3E72"/>
    <w:rsid w:val="000F5992"/>
    <w:rsid w:val="000F607B"/>
    <w:rsid w:val="000F6495"/>
    <w:rsid w:val="000F6FD8"/>
    <w:rsid w:val="0010098C"/>
    <w:rsid w:val="00101B32"/>
    <w:rsid w:val="00102896"/>
    <w:rsid w:val="00103DB7"/>
    <w:rsid w:val="001061FA"/>
    <w:rsid w:val="0011007A"/>
    <w:rsid w:val="00111034"/>
    <w:rsid w:val="001142F6"/>
    <w:rsid w:val="0011517F"/>
    <w:rsid w:val="00121BB0"/>
    <w:rsid w:val="00121E46"/>
    <w:rsid w:val="0012686C"/>
    <w:rsid w:val="001300F0"/>
    <w:rsid w:val="0013022F"/>
    <w:rsid w:val="0013090C"/>
    <w:rsid w:val="00131C5D"/>
    <w:rsid w:val="00134FA4"/>
    <w:rsid w:val="001358FD"/>
    <w:rsid w:val="00136D98"/>
    <w:rsid w:val="00141B74"/>
    <w:rsid w:val="00142DF6"/>
    <w:rsid w:val="00145255"/>
    <w:rsid w:val="00145D24"/>
    <w:rsid w:val="00150101"/>
    <w:rsid w:val="001515F1"/>
    <w:rsid w:val="00152832"/>
    <w:rsid w:val="00154596"/>
    <w:rsid w:val="001600FC"/>
    <w:rsid w:val="0016339F"/>
    <w:rsid w:val="001651F7"/>
    <w:rsid w:val="0016737A"/>
    <w:rsid w:val="00170316"/>
    <w:rsid w:val="00170DA1"/>
    <w:rsid w:val="00172007"/>
    <w:rsid w:val="001736AB"/>
    <w:rsid w:val="001741D6"/>
    <w:rsid w:val="0017446F"/>
    <w:rsid w:val="00177CB9"/>
    <w:rsid w:val="0018025F"/>
    <w:rsid w:val="001834D4"/>
    <w:rsid w:val="00185F8E"/>
    <w:rsid w:val="0018755F"/>
    <w:rsid w:val="00187B95"/>
    <w:rsid w:val="00192287"/>
    <w:rsid w:val="00193B9E"/>
    <w:rsid w:val="00195025"/>
    <w:rsid w:val="001A016C"/>
    <w:rsid w:val="001A2A81"/>
    <w:rsid w:val="001A5BD4"/>
    <w:rsid w:val="001A70A8"/>
    <w:rsid w:val="001A79EE"/>
    <w:rsid w:val="001A7C5B"/>
    <w:rsid w:val="001B2C0D"/>
    <w:rsid w:val="001B350C"/>
    <w:rsid w:val="001B5DB5"/>
    <w:rsid w:val="001B6017"/>
    <w:rsid w:val="001B7A0B"/>
    <w:rsid w:val="001B7EB3"/>
    <w:rsid w:val="001C19B7"/>
    <w:rsid w:val="001C1FD9"/>
    <w:rsid w:val="001C5BC2"/>
    <w:rsid w:val="001C7800"/>
    <w:rsid w:val="001D0179"/>
    <w:rsid w:val="001D2F20"/>
    <w:rsid w:val="001D5361"/>
    <w:rsid w:val="001D5616"/>
    <w:rsid w:val="001D5620"/>
    <w:rsid w:val="001E0DA8"/>
    <w:rsid w:val="001E1188"/>
    <w:rsid w:val="001E1FDE"/>
    <w:rsid w:val="001E2C89"/>
    <w:rsid w:val="001E3599"/>
    <w:rsid w:val="001F1CB9"/>
    <w:rsid w:val="001F4C02"/>
    <w:rsid w:val="001F4CE8"/>
    <w:rsid w:val="001F7501"/>
    <w:rsid w:val="001F75A3"/>
    <w:rsid w:val="001F7EB8"/>
    <w:rsid w:val="00205878"/>
    <w:rsid w:val="00213065"/>
    <w:rsid w:val="002138F0"/>
    <w:rsid w:val="00213D7B"/>
    <w:rsid w:val="00214DEC"/>
    <w:rsid w:val="00214E35"/>
    <w:rsid w:val="00216E68"/>
    <w:rsid w:val="002216A2"/>
    <w:rsid w:val="00223B7E"/>
    <w:rsid w:val="00224761"/>
    <w:rsid w:val="00224A3F"/>
    <w:rsid w:val="00224D96"/>
    <w:rsid w:val="002306C7"/>
    <w:rsid w:val="00230A15"/>
    <w:rsid w:val="00232344"/>
    <w:rsid w:val="0023278E"/>
    <w:rsid w:val="00235C73"/>
    <w:rsid w:val="00241BD8"/>
    <w:rsid w:val="0024295D"/>
    <w:rsid w:val="002432DE"/>
    <w:rsid w:val="002434B0"/>
    <w:rsid w:val="002461BD"/>
    <w:rsid w:val="002462A7"/>
    <w:rsid w:val="00247621"/>
    <w:rsid w:val="00247AB7"/>
    <w:rsid w:val="00253125"/>
    <w:rsid w:val="00254CA9"/>
    <w:rsid w:val="00254DFD"/>
    <w:rsid w:val="0026239C"/>
    <w:rsid w:val="00264555"/>
    <w:rsid w:val="002645B6"/>
    <w:rsid w:val="00264EA5"/>
    <w:rsid w:val="00266F94"/>
    <w:rsid w:val="0027418E"/>
    <w:rsid w:val="002767AA"/>
    <w:rsid w:val="002814F8"/>
    <w:rsid w:val="00281891"/>
    <w:rsid w:val="00282ED2"/>
    <w:rsid w:val="00285E97"/>
    <w:rsid w:val="002907FA"/>
    <w:rsid w:val="00290A9D"/>
    <w:rsid w:val="00290DA3"/>
    <w:rsid w:val="002924A2"/>
    <w:rsid w:val="002928F8"/>
    <w:rsid w:val="00295727"/>
    <w:rsid w:val="00297816"/>
    <w:rsid w:val="002A065A"/>
    <w:rsid w:val="002A0FF0"/>
    <w:rsid w:val="002A1CB5"/>
    <w:rsid w:val="002A34A3"/>
    <w:rsid w:val="002A3A19"/>
    <w:rsid w:val="002A5117"/>
    <w:rsid w:val="002A5279"/>
    <w:rsid w:val="002B6AA3"/>
    <w:rsid w:val="002B71D4"/>
    <w:rsid w:val="002B7668"/>
    <w:rsid w:val="002C0DCF"/>
    <w:rsid w:val="002D0461"/>
    <w:rsid w:val="002D1867"/>
    <w:rsid w:val="002D724B"/>
    <w:rsid w:val="002E1FC7"/>
    <w:rsid w:val="002E32D3"/>
    <w:rsid w:val="002E3F40"/>
    <w:rsid w:val="002E4D38"/>
    <w:rsid w:val="002E6355"/>
    <w:rsid w:val="002F2009"/>
    <w:rsid w:val="002F3554"/>
    <w:rsid w:val="002F47AF"/>
    <w:rsid w:val="00300924"/>
    <w:rsid w:val="003025A8"/>
    <w:rsid w:val="00306345"/>
    <w:rsid w:val="00306F09"/>
    <w:rsid w:val="00310603"/>
    <w:rsid w:val="003129B6"/>
    <w:rsid w:val="00313D08"/>
    <w:rsid w:val="003149FA"/>
    <w:rsid w:val="00314D6E"/>
    <w:rsid w:val="00315264"/>
    <w:rsid w:val="00320E57"/>
    <w:rsid w:val="003221EF"/>
    <w:rsid w:val="00322C23"/>
    <w:rsid w:val="003248A2"/>
    <w:rsid w:val="00324A6D"/>
    <w:rsid w:val="00325425"/>
    <w:rsid w:val="0032589A"/>
    <w:rsid w:val="003306DD"/>
    <w:rsid w:val="00330C6C"/>
    <w:rsid w:val="003312F4"/>
    <w:rsid w:val="00331959"/>
    <w:rsid w:val="00334BA5"/>
    <w:rsid w:val="00335F4B"/>
    <w:rsid w:val="00336FAF"/>
    <w:rsid w:val="0034127D"/>
    <w:rsid w:val="00341FB2"/>
    <w:rsid w:val="00346BC4"/>
    <w:rsid w:val="00350D0D"/>
    <w:rsid w:val="00351057"/>
    <w:rsid w:val="00352220"/>
    <w:rsid w:val="0035477B"/>
    <w:rsid w:val="00355C4C"/>
    <w:rsid w:val="003604AA"/>
    <w:rsid w:val="00362F08"/>
    <w:rsid w:val="00364AD2"/>
    <w:rsid w:val="003651A6"/>
    <w:rsid w:val="00365358"/>
    <w:rsid w:val="00367DF1"/>
    <w:rsid w:val="003705AC"/>
    <w:rsid w:val="00371481"/>
    <w:rsid w:val="0037295D"/>
    <w:rsid w:val="00372BEC"/>
    <w:rsid w:val="00376814"/>
    <w:rsid w:val="00385DE1"/>
    <w:rsid w:val="00386F82"/>
    <w:rsid w:val="003909DE"/>
    <w:rsid w:val="00392385"/>
    <w:rsid w:val="0039300A"/>
    <w:rsid w:val="003946D4"/>
    <w:rsid w:val="003956D6"/>
    <w:rsid w:val="00396053"/>
    <w:rsid w:val="00397B7E"/>
    <w:rsid w:val="003A0F02"/>
    <w:rsid w:val="003A2580"/>
    <w:rsid w:val="003A2BF5"/>
    <w:rsid w:val="003A4578"/>
    <w:rsid w:val="003A4F6C"/>
    <w:rsid w:val="003B30F3"/>
    <w:rsid w:val="003B6A5A"/>
    <w:rsid w:val="003B6D48"/>
    <w:rsid w:val="003C0C1E"/>
    <w:rsid w:val="003C10CA"/>
    <w:rsid w:val="003C3E07"/>
    <w:rsid w:val="003C527B"/>
    <w:rsid w:val="003D01F8"/>
    <w:rsid w:val="003D0BF6"/>
    <w:rsid w:val="003D116C"/>
    <w:rsid w:val="003D263E"/>
    <w:rsid w:val="003D2D85"/>
    <w:rsid w:val="003D6072"/>
    <w:rsid w:val="003D6E27"/>
    <w:rsid w:val="003D7A72"/>
    <w:rsid w:val="003D7D9F"/>
    <w:rsid w:val="003E318D"/>
    <w:rsid w:val="003E4086"/>
    <w:rsid w:val="003E4404"/>
    <w:rsid w:val="003F5FDC"/>
    <w:rsid w:val="00401EDD"/>
    <w:rsid w:val="0040501C"/>
    <w:rsid w:val="00406F30"/>
    <w:rsid w:val="00407DCE"/>
    <w:rsid w:val="00410769"/>
    <w:rsid w:val="00412567"/>
    <w:rsid w:val="00413CCD"/>
    <w:rsid w:val="004172D1"/>
    <w:rsid w:val="004172D6"/>
    <w:rsid w:val="00421B3A"/>
    <w:rsid w:val="00422200"/>
    <w:rsid w:val="00422C16"/>
    <w:rsid w:val="00424530"/>
    <w:rsid w:val="0043577F"/>
    <w:rsid w:val="0043584F"/>
    <w:rsid w:val="0043675A"/>
    <w:rsid w:val="004372C4"/>
    <w:rsid w:val="00440D98"/>
    <w:rsid w:val="00441F85"/>
    <w:rsid w:val="004421C3"/>
    <w:rsid w:val="00447BBE"/>
    <w:rsid w:val="00452468"/>
    <w:rsid w:val="0045301B"/>
    <w:rsid w:val="00453020"/>
    <w:rsid w:val="004541F3"/>
    <w:rsid w:val="00455CD2"/>
    <w:rsid w:val="00455E0E"/>
    <w:rsid w:val="00455F54"/>
    <w:rsid w:val="004657A7"/>
    <w:rsid w:val="00466C09"/>
    <w:rsid w:val="004719B4"/>
    <w:rsid w:val="00471CA1"/>
    <w:rsid w:val="00471CCE"/>
    <w:rsid w:val="004730A0"/>
    <w:rsid w:val="0047368B"/>
    <w:rsid w:val="00475770"/>
    <w:rsid w:val="004806FA"/>
    <w:rsid w:val="00480FBC"/>
    <w:rsid w:val="00481540"/>
    <w:rsid w:val="00481AC4"/>
    <w:rsid w:val="004825E8"/>
    <w:rsid w:val="00482FB6"/>
    <w:rsid w:val="004871EA"/>
    <w:rsid w:val="0048795F"/>
    <w:rsid w:val="004955E7"/>
    <w:rsid w:val="0049781D"/>
    <w:rsid w:val="00497CEA"/>
    <w:rsid w:val="004A2984"/>
    <w:rsid w:val="004A5B8D"/>
    <w:rsid w:val="004A5D8B"/>
    <w:rsid w:val="004A7656"/>
    <w:rsid w:val="004B1382"/>
    <w:rsid w:val="004B2FC0"/>
    <w:rsid w:val="004B3067"/>
    <w:rsid w:val="004B7784"/>
    <w:rsid w:val="004C1B19"/>
    <w:rsid w:val="004C320A"/>
    <w:rsid w:val="004C6392"/>
    <w:rsid w:val="004C7EBE"/>
    <w:rsid w:val="004D09C0"/>
    <w:rsid w:val="004D3523"/>
    <w:rsid w:val="004D509A"/>
    <w:rsid w:val="004D7668"/>
    <w:rsid w:val="004E0D97"/>
    <w:rsid w:val="004E3901"/>
    <w:rsid w:val="004E405B"/>
    <w:rsid w:val="004E5F86"/>
    <w:rsid w:val="004E6DCC"/>
    <w:rsid w:val="004F0AB6"/>
    <w:rsid w:val="004F2D8A"/>
    <w:rsid w:val="004F63DB"/>
    <w:rsid w:val="004F7817"/>
    <w:rsid w:val="0050071E"/>
    <w:rsid w:val="00501097"/>
    <w:rsid w:val="00503590"/>
    <w:rsid w:val="00505C64"/>
    <w:rsid w:val="005105EF"/>
    <w:rsid w:val="00510C0E"/>
    <w:rsid w:val="00516561"/>
    <w:rsid w:val="005177B5"/>
    <w:rsid w:val="005202C1"/>
    <w:rsid w:val="00522875"/>
    <w:rsid w:val="00522E99"/>
    <w:rsid w:val="00523895"/>
    <w:rsid w:val="0053035C"/>
    <w:rsid w:val="00531879"/>
    <w:rsid w:val="00537D0F"/>
    <w:rsid w:val="005410AB"/>
    <w:rsid w:val="00542965"/>
    <w:rsid w:val="0054335F"/>
    <w:rsid w:val="00543A44"/>
    <w:rsid w:val="005445E6"/>
    <w:rsid w:val="00547B2E"/>
    <w:rsid w:val="00547EE4"/>
    <w:rsid w:val="00552ECB"/>
    <w:rsid w:val="00557BAA"/>
    <w:rsid w:val="00560736"/>
    <w:rsid w:val="00562A39"/>
    <w:rsid w:val="00563C8D"/>
    <w:rsid w:val="00565691"/>
    <w:rsid w:val="00565C4E"/>
    <w:rsid w:val="005673AC"/>
    <w:rsid w:val="00571ACB"/>
    <w:rsid w:val="00571BB6"/>
    <w:rsid w:val="005723E4"/>
    <w:rsid w:val="0057596B"/>
    <w:rsid w:val="00575BA7"/>
    <w:rsid w:val="00582AA7"/>
    <w:rsid w:val="0058477C"/>
    <w:rsid w:val="00584E53"/>
    <w:rsid w:val="00584E70"/>
    <w:rsid w:val="0058568F"/>
    <w:rsid w:val="00585921"/>
    <w:rsid w:val="0059058A"/>
    <w:rsid w:val="00591101"/>
    <w:rsid w:val="00593D83"/>
    <w:rsid w:val="00595DC1"/>
    <w:rsid w:val="00597146"/>
    <w:rsid w:val="00597386"/>
    <w:rsid w:val="00597933"/>
    <w:rsid w:val="005A06E1"/>
    <w:rsid w:val="005A4EA0"/>
    <w:rsid w:val="005A6911"/>
    <w:rsid w:val="005A70AE"/>
    <w:rsid w:val="005A75A5"/>
    <w:rsid w:val="005B1FEA"/>
    <w:rsid w:val="005B31FE"/>
    <w:rsid w:val="005B33E7"/>
    <w:rsid w:val="005B465F"/>
    <w:rsid w:val="005B4A4C"/>
    <w:rsid w:val="005B5C09"/>
    <w:rsid w:val="005B627B"/>
    <w:rsid w:val="005B765F"/>
    <w:rsid w:val="005B7D63"/>
    <w:rsid w:val="005C1F5E"/>
    <w:rsid w:val="005C2EE0"/>
    <w:rsid w:val="005C3676"/>
    <w:rsid w:val="005C3DFF"/>
    <w:rsid w:val="005C4469"/>
    <w:rsid w:val="005C498B"/>
    <w:rsid w:val="005C590A"/>
    <w:rsid w:val="005C7641"/>
    <w:rsid w:val="005D0DDE"/>
    <w:rsid w:val="005D18F8"/>
    <w:rsid w:val="005D3988"/>
    <w:rsid w:val="005D4005"/>
    <w:rsid w:val="005D40D1"/>
    <w:rsid w:val="005D5C25"/>
    <w:rsid w:val="005D7065"/>
    <w:rsid w:val="005D7532"/>
    <w:rsid w:val="005E59A5"/>
    <w:rsid w:val="005E79AA"/>
    <w:rsid w:val="005F10A2"/>
    <w:rsid w:val="005F391D"/>
    <w:rsid w:val="006017FA"/>
    <w:rsid w:val="006037CC"/>
    <w:rsid w:val="006059B2"/>
    <w:rsid w:val="00610305"/>
    <w:rsid w:val="00610419"/>
    <w:rsid w:val="00611DDB"/>
    <w:rsid w:val="00612C7B"/>
    <w:rsid w:val="00615CA4"/>
    <w:rsid w:val="0061775D"/>
    <w:rsid w:val="00620307"/>
    <w:rsid w:val="006209BD"/>
    <w:rsid w:val="006224C1"/>
    <w:rsid w:val="00622726"/>
    <w:rsid w:val="00622FCD"/>
    <w:rsid w:val="00623AB1"/>
    <w:rsid w:val="006269B7"/>
    <w:rsid w:val="00626D85"/>
    <w:rsid w:val="006307A5"/>
    <w:rsid w:val="00630EA1"/>
    <w:rsid w:val="00630FE1"/>
    <w:rsid w:val="00633625"/>
    <w:rsid w:val="00633DC7"/>
    <w:rsid w:val="00636E1D"/>
    <w:rsid w:val="006404D8"/>
    <w:rsid w:val="006405E3"/>
    <w:rsid w:val="00640F37"/>
    <w:rsid w:val="0064224B"/>
    <w:rsid w:val="00642D3B"/>
    <w:rsid w:val="00644B02"/>
    <w:rsid w:val="006453C4"/>
    <w:rsid w:val="00645CF4"/>
    <w:rsid w:val="00646735"/>
    <w:rsid w:val="006475ED"/>
    <w:rsid w:val="00650183"/>
    <w:rsid w:val="006501CC"/>
    <w:rsid w:val="00653FD1"/>
    <w:rsid w:val="00655112"/>
    <w:rsid w:val="0065594A"/>
    <w:rsid w:val="0066112E"/>
    <w:rsid w:val="00662B01"/>
    <w:rsid w:val="00662BA0"/>
    <w:rsid w:val="00662E70"/>
    <w:rsid w:val="00663B0A"/>
    <w:rsid w:val="006641F8"/>
    <w:rsid w:val="006671A5"/>
    <w:rsid w:val="00670254"/>
    <w:rsid w:val="0067299C"/>
    <w:rsid w:val="0067351E"/>
    <w:rsid w:val="0067520E"/>
    <w:rsid w:val="00676354"/>
    <w:rsid w:val="006776E9"/>
    <w:rsid w:val="00680E3F"/>
    <w:rsid w:val="0068246F"/>
    <w:rsid w:val="00692662"/>
    <w:rsid w:val="006973AC"/>
    <w:rsid w:val="00697737"/>
    <w:rsid w:val="006A0D6A"/>
    <w:rsid w:val="006A2D78"/>
    <w:rsid w:val="006A383B"/>
    <w:rsid w:val="006A52ED"/>
    <w:rsid w:val="006B3B29"/>
    <w:rsid w:val="006B4E80"/>
    <w:rsid w:val="006B7D83"/>
    <w:rsid w:val="006C023A"/>
    <w:rsid w:val="006C186D"/>
    <w:rsid w:val="006C4574"/>
    <w:rsid w:val="006C6694"/>
    <w:rsid w:val="006D1E95"/>
    <w:rsid w:val="006D2DAD"/>
    <w:rsid w:val="006D3144"/>
    <w:rsid w:val="006D34EB"/>
    <w:rsid w:val="006D4640"/>
    <w:rsid w:val="006D7393"/>
    <w:rsid w:val="006E05F4"/>
    <w:rsid w:val="006E55E1"/>
    <w:rsid w:val="006E5727"/>
    <w:rsid w:val="006E6D34"/>
    <w:rsid w:val="006E6D4C"/>
    <w:rsid w:val="006F2E13"/>
    <w:rsid w:val="006F3256"/>
    <w:rsid w:val="006F445D"/>
    <w:rsid w:val="006F72C6"/>
    <w:rsid w:val="006F735A"/>
    <w:rsid w:val="007004F7"/>
    <w:rsid w:val="007019F9"/>
    <w:rsid w:val="00702377"/>
    <w:rsid w:val="00703E4E"/>
    <w:rsid w:val="00705FB0"/>
    <w:rsid w:val="007071C6"/>
    <w:rsid w:val="0070732E"/>
    <w:rsid w:val="00711E1C"/>
    <w:rsid w:val="00712D2C"/>
    <w:rsid w:val="00713C09"/>
    <w:rsid w:val="00713E33"/>
    <w:rsid w:val="0071460A"/>
    <w:rsid w:val="0071592D"/>
    <w:rsid w:val="00717DB0"/>
    <w:rsid w:val="00721FBA"/>
    <w:rsid w:val="00725A92"/>
    <w:rsid w:val="00730352"/>
    <w:rsid w:val="00733A42"/>
    <w:rsid w:val="00736334"/>
    <w:rsid w:val="0073688E"/>
    <w:rsid w:val="00742839"/>
    <w:rsid w:val="0075022F"/>
    <w:rsid w:val="00752710"/>
    <w:rsid w:val="00753C69"/>
    <w:rsid w:val="00755505"/>
    <w:rsid w:val="007600E9"/>
    <w:rsid w:val="007604B4"/>
    <w:rsid w:val="0076316D"/>
    <w:rsid w:val="00766271"/>
    <w:rsid w:val="00772993"/>
    <w:rsid w:val="00774940"/>
    <w:rsid w:val="00776697"/>
    <w:rsid w:val="007815FB"/>
    <w:rsid w:val="00781D80"/>
    <w:rsid w:val="007857A2"/>
    <w:rsid w:val="00790A5B"/>
    <w:rsid w:val="00791122"/>
    <w:rsid w:val="00791DE5"/>
    <w:rsid w:val="00794ADC"/>
    <w:rsid w:val="00794EAB"/>
    <w:rsid w:val="007A0054"/>
    <w:rsid w:val="007A2A87"/>
    <w:rsid w:val="007A38F2"/>
    <w:rsid w:val="007A394A"/>
    <w:rsid w:val="007A44A6"/>
    <w:rsid w:val="007A5353"/>
    <w:rsid w:val="007A54D3"/>
    <w:rsid w:val="007A7324"/>
    <w:rsid w:val="007B177F"/>
    <w:rsid w:val="007B3D63"/>
    <w:rsid w:val="007B69D6"/>
    <w:rsid w:val="007C357B"/>
    <w:rsid w:val="007C55D0"/>
    <w:rsid w:val="007D1315"/>
    <w:rsid w:val="007D7196"/>
    <w:rsid w:val="007E12BA"/>
    <w:rsid w:val="007E17FF"/>
    <w:rsid w:val="007E25B9"/>
    <w:rsid w:val="007E2DD6"/>
    <w:rsid w:val="007E57CE"/>
    <w:rsid w:val="007E71F7"/>
    <w:rsid w:val="007F2439"/>
    <w:rsid w:val="007F3548"/>
    <w:rsid w:val="007F501F"/>
    <w:rsid w:val="007F5A93"/>
    <w:rsid w:val="007F6136"/>
    <w:rsid w:val="007F7EED"/>
    <w:rsid w:val="00800B73"/>
    <w:rsid w:val="008028B7"/>
    <w:rsid w:val="00806FEC"/>
    <w:rsid w:val="00807127"/>
    <w:rsid w:val="0080752F"/>
    <w:rsid w:val="008111EF"/>
    <w:rsid w:val="008123E1"/>
    <w:rsid w:val="00812B3B"/>
    <w:rsid w:val="00813BAC"/>
    <w:rsid w:val="00813CD4"/>
    <w:rsid w:val="008149F0"/>
    <w:rsid w:val="0081560B"/>
    <w:rsid w:val="00815C25"/>
    <w:rsid w:val="0082003D"/>
    <w:rsid w:val="00821B9D"/>
    <w:rsid w:val="00823FF9"/>
    <w:rsid w:val="00825520"/>
    <w:rsid w:val="00825672"/>
    <w:rsid w:val="00832DE5"/>
    <w:rsid w:val="008348B0"/>
    <w:rsid w:val="00834CE6"/>
    <w:rsid w:val="00840915"/>
    <w:rsid w:val="0084468C"/>
    <w:rsid w:val="00844EE2"/>
    <w:rsid w:val="0085041F"/>
    <w:rsid w:val="00851DC4"/>
    <w:rsid w:val="008521E0"/>
    <w:rsid w:val="008552A0"/>
    <w:rsid w:val="008611DE"/>
    <w:rsid w:val="00862D23"/>
    <w:rsid w:val="0086363B"/>
    <w:rsid w:val="00863CFB"/>
    <w:rsid w:val="008640A2"/>
    <w:rsid w:val="00865492"/>
    <w:rsid w:val="00867CB4"/>
    <w:rsid w:val="008708AB"/>
    <w:rsid w:val="008717F1"/>
    <w:rsid w:val="00874ED5"/>
    <w:rsid w:val="00875BE3"/>
    <w:rsid w:val="00876CD5"/>
    <w:rsid w:val="008776CA"/>
    <w:rsid w:val="008810BC"/>
    <w:rsid w:val="008834C5"/>
    <w:rsid w:val="008871C6"/>
    <w:rsid w:val="008874AF"/>
    <w:rsid w:val="008907A6"/>
    <w:rsid w:val="00892F55"/>
    <w:rsid w:val="00895BF6"/>
    <w:rsid w:val="00897B68"/>
    <w:rsid w:val="008A02D3"/>
    <w:rsid w:val="008A0AF3"/>
    <w:rsid w:val="008A67AD"/>
    <w:rsid w:val="008A71DF"/>
    <w:rsid w:val="008A72C8"/>
    <w:rsid w:val="008B0845"/>
    <w:rsid w:val="008B1AF1"/>
    <w:rsid w:val="008B237A"/>
    <w:rsid w:val="008B63BC"/>
    <w:rsid w:val="008B671A"/>
    <w:rsid w:val="008B78D5"/>
    <w:rsid w:val="008C1523"/>
    <w:rsid w:val="008C1A94"/>
    <w:rsid w:val="008C2161"/>
    <w:rsid w:val="008C2E99"/>
    <w:rsid w:val="008C2EEB"/>
    <w:rsid w:val="008C5B82"/>
    <w:rsid w:val="008C7F33"/>
    <w:rsid w:val="008D5FF2"/>
    <w:rsid w:val="008E3015"/>
    <w:rsid w:val="008E3ADF"/>
    <w:rsid w:val="008E71C3"/>
    <w:rsid w:val="008F1FDA"/>
    <w:rsid w:val="008F3908"/>
    <w:rsid w:val="008F435C"/>
    <w:rsid w:val="008F63C9"/>
    <w:rsid w:val="008F66E2"/>
    <w:rsid w:val="009014B6"/>
    <w:rsid w:val="009026E7"/>
    <w:rsid w:val="00912882"/>
    <w:rsid w:val="00912895"/>
    <w:rsid w:val="00914DAA"/>
    <w:rsid w:val="00915305"/>
    <w:rsid w:val="009168E0"/>
    <w:rsid w:val="009210DE"/>
    <w:rsid w:val="00922937"/>
    <w:rsid w:val="0092311E"/>
    <w:rsid w:val="0092457E"/>
    <w:rsid w:val="00927883"/>
    <w:rsid w:val="00933758"/>
    <w:rsid w:val="009342D4"/>
    <w:rsid w:val="009358C9"/>
    <w:rsid w:val="00936956"/>
    <w:rsid w:val="00940030"/>
    <w:rsid w:val="00940D58"/>
    <w:rsid w:val="00941E13"/>
    <w:rsid w:val="009425B2"/>
    <w:rsid w:val="00943B87"/>
    <w:rsid w:val="00943C57"/>
    <w:rsid w:val="00945E98"/>
    <w:rsid w:val="00950374"/>
    <w:rsid w:val="009531CB"/>
    <w:rsid w:val="00956949"/>
    <w:rsid w:val="00960683"/>
    <w:rsid w:val="0096160F"/>
    <w:rsid w:val="00962389"/>
    <w:rsid w:val="009632A3"/>
    <w:rsid w:val="00965B80"/>
    <w:rsid w:val="00970EEF"/>
    <w:rsid w:val="0097126E"/>
    <w:rsid w:val="009776BD"/>
    <w:rsid w:val="009902A6"/>
    <w:rsid w:val="00993B1E"/>
    <w:rsid w:val="00994534"/>
    <w:rsid w:val="0099485B"/>
    <w:rsid w:val="00995853"/>
    <w:rsid w:val="00996BB3"/>
    <w:rsid w:val="009A312F"/>
    <w:rsid w:val="009A3433"/>
    <w:rsid w:val="009A4D08"/>
    <w:rsid w:val="009A532A"/>
    <w:rsid w:val="009A57FF"/>
    <w:rsid w:val="009A62CD"/>
    <w:rsid w:val="009B2422"/>
    <w:rsid w:val="009B2AC4"/>
    <w:rsid w:val="009B4CEE"/>
    <w:rsid w:val="009B64D4"/>
    <w:rsid w:val="009B7538"/>
    <w:rsid w:val="009B7766"/>
    <w:rsid w:val="009C0507"/>
    <w:rsid w:val="009C1086"/>
    <w:rsid w:val="009C121A"/>
    <w:rsid w:val="009C12C9"/>
    <w:rsid w:val="009C13C2"/>
    <w:rsid w:val="009C1CE7"/>
    <w:rsid w:val="009C27F8"/>
    <w:rsid w:val="009C2D83"/>
    <w:rsid w:val="009C4B32"/>
    <w:rsid w:val="009D05E0"/>
    <w:rsid w:val="009D16D2"/>
    <w:rsid w:val="009D2279"/>
    <w:rsid w:val="009D2B00"/>
    <w:rsid w:val="009D55F7"/>
    <w:rsid w:val="009E2A50"/>
    <w:rsid w:val="009E38A2"/>
    <w:rsid w:val="009E4107"/>
    <w:rsid w:val="009E56B1"/>
    <w:rsid w:val="009E7102"/>
    <w:rsid w:val="009E76BE"/>
    <w:rsid w:val="009E79BF"/>
    <w:rsid w:val="009F12DA"/>
    <w:rsid w:val="009F3FE6"/>
    <w:rsid w:val="009F41C4"/>
    <w:rsid w:val="009F53AF"/>
    <w:rsid w:val="00A00793"/>
    <w:rsid w:val="00A00E34"/>
    <w:rsid w:val="00A062C7"/>
    <w:rsid w:val="00A06B05"/>
    <w:rsid w:val="00A10257"/>
    <w:rsid w:val="00A14332"/>
    <w:rsid w:val="00A14A6B"/>
    <w:rsid w:val="00A150DD"/>
    <w:rsid w:val="00A205B4"/>
    <w:rsid w:val="00A20F19"/>
    <w:rsid w:val="00A2301F"/>
    <w:rsid w:val="00A23608"/>
    <w:rsid w:val="00A26C98"/>
    <w:rsid w:val="00A27B9D"/>
    <w:rsid w:val="00A27D88"/>
    <w:rsid w:val="00A304D0"/>
    <w:rsid w:val="00A347B2"/>
    <w:rsid w:val="00A36C1C"/>
    <w:rsid w:val="00A3785C"/>
    <w:rsid w:val="00A37ABE"/>
    <w:rsid w:val="00A37FED"/>
    <w:rsid w:val="00A42159"/>
    <w:rsid w:val="00A45BEA"/>
    <w:rsid w:val="00A4607D"/>
    <w:rsid w:val="00A47BCD"/>
    <w:rsid w:val="00A52987"/>
    <w:rsid w:val="00A53EC9"/>
    <w:rsid w:val="00A63B7B"/>
    <w:rsid w:val="00A64297"/>
    <w:rsid w:val="00A65948"/>
    <w:rsid w:val="00A70777"/>
    <w:rsid w:val="00A70974"/>
    <w:rsid w:val="00A725D6"/>
    <w:rsid w:val="00A72AEE"/>
    <w:rsid w:val="00A72C7D"/>
    <w:rsid w:val="00A73E7C"/>
    <w:rsid w:val="00A76095"/>
    <w:rsid w:val="00A81586"/>
    <w:rsid w:val="00A8548B"/>
    <w:rsid w:val="00A85B4D"/>
    <w:rsid w:val="00A8715E"/>
    <w:rsid w:val="00A9023F"/>
    <w:rsid w:val="00A9215E"/>
    <w:rsid w:val="00A92440"/>
    <w:rsid w:val="00A9426B"/>
    <w:rsid w:val="00A95705"/>
    <w:rsid w:val="00A95806"/>
    <w:rsid w:val="00A96376"/>
    <w:rsid w:val="00A97842"/>
    <w:rsid w:val="00AA0676"/>
    <w:rsid w:val="00AA38EB"/>
    <w:rsid w:val="00AA4A01"/>
    <w:rsid w:val="00AA66FF"/>
    <w:rsid w:val="00AA7DCF"/>
    <w:rsid w:val="00AB104D"/>
    <w:rsid w:val="00AB149D"/>
    <w:rsid w:val="00AB197D"/>
    <w:rsid w:val="00AB2476"/>
    <w:rsid w:val="00AB4C8F"/>
    <w:rsid w:val="00AB64A8"/>
    <w:rsid w:val="00AB77FD"/>
    <w:rsid w:val="00AB7A3C"/>
    <w:rsid w:val="00AB7C15"/>
    <w:rsid w:val="00AC1927"/>
    <w:rsid w:val="00AD0C73"/>
    <w:rsid w:val="00AE1A2D"/>
    <w:rsid w:val="00AE5347"/>
    <w:rsid w:val="00AE55F6"/>
    <w:rsid w:val="00AE56DB"/>
    <w:rsid w:val="00AE5775"/>
    <w:rsid w:val="00AE5F3C"/>
    <w:rsid w:val="00AF2AB2"/>
    <w:rsid w:val="00AF5581"/>
    <w:rsid w:val="00AF7442"/>
    <w:rsid w:val="00B00CC4"/>
    <w:rsid w:val="00B01098"/>
    <w:rsid w:val="00B012FF"/>
    <w:rsid w:val="00B03E49"/>
    <w:rsid w:val="00B07EB6"/>
    <w:rsid w:val="00B131DC"/>
    <w:rsid w:val="00B13C87"/>
    <w:rsid w:val="00B1710D"/>
    <w:rsid w:val="00B23E9B"/>
    <w:rsid w:val="00B24DB1"/>
    <w:rsid w:val="00B301F0"/>
    <w:rsid w:val="00B3120E"/>
    <w:rsid w:val="00B32510"/>
    <w:rsid w:val="00B3293A"/>
    <w:rsid w:val="00B3595C"/>
    <w:rsid w:val="00B36D5E"/>
    <w:rsid w:val="00B375DF"/>
    <w:rsid w:val="00B409EF"/>
    <w:rsid w:val="00B43E07"/>
    <w:rsid w:val="00B4462F"/>
    <w:rsid w:val="00B45872"/>
    <w:rsid w:val="00B526A8"/>
    <w:rsid w:val="00B55FAB"/>
    <w:rsid w:val="00B611F1"/>
    <w:rsid w:val="00B61E83"/>
    <w:rsid w:val="00B62D70"/>
    <w:rsid w:val="00B62DC9"/>
    <w:rsid w:val="00B654C4"/>
    <w:rsid w:val="00B6669B"/>
    <w:rsid w:val="00B6734E"/>
    <w:rsid w:val="00B7091D"/>
    <w:rsid w:val="00B7360D"/>
    <w:rsid w:val="00B75164"/>
    <w:rsid w:val="00B759B1"/>
    <w:rsid w:val="00B76198"/>
    <w:rsid w:val="00B7667F"/>
    <w:rsid w:val="00B767C1"/>
    <w:rsid w:val="00B803BA"/>
    <w:rsid w:val="00B80C00"/>
    <w:rsid w:val="00B80F7C"/>
    <w:rsid w:val="00B81CBB"/>
    <w:rsid w:val="00B836E8"/>
    <w:rsid w:val="00B83D9D"/>
    <w:rsid w:val="00B84529"/>
    <w:rsid w:val="00B85E10"/>
    <w:rsid w:val="00B907A2"/>
    <w:rsid w:val="00B96861"/>
    <w:rsid w:val="00B96F7F"/>
    <w:rsid w:val="00BA006A"/>
    <w:rsid w:val="00BA04C8"/>
    <w:rsid w:val="00BA315F"/>
    <w:rsid w:val="00BA3E3D"/>
    <w:rsid w:val="00BA414B"/>
    <w:rsid w:val="00BB093D"/>
    <w:rsid w:val="00BB1195"/>
    <w:rsid w:val="00BB2111"/>
    <w:rsid w:val="00BB21F0"/>
    <w:rsid w:val="00BB35EA"/>
    <w:rsid w:val="00BB3A7F"/>
    <w:rsid w:val="00BB516B"/>
    <w:rsid w:val="00BC150E"/>
    <w:rsid w:val="00BC21D5"/>
    <w:rsid w:val="00BC59E5"/>
    <w:rsid w:val="00BC7FD2"/>
    <w:rsid w:val="00BD05E6"/>
    <w:rsid w:val="00BD45CF"/>
    <w:rsid w:val="00BD6570"/>
    <w:rsid w:val="00BE06F2"/>
    <w:rsid w:val="00BE1110"/>
    <w:rsid w:val="00BE5F2B"/>
    <w:rsid w:val="00BF10F6"/>
    <w:rsid w:val="00BF16DB"/>
    <w:rsid w:val="00BF1E4B"/>
    <w:rsid w:val="00BF2D59"/>
    <w:rsid w:val="00BF6482"/>
    <w:rsid w:val="00BF6D7C"/>
    <w:rsid w:val="00C03AE7"/>
    <w:rsid w:val="00C044C1"/>
    <w:rsid w:val="00C05D9D"/>
    <w:rsid w:val="00C07CCC"/>
    <w:rsid w:val="00C12FA8"/>
    <w:rsid w:val="00C13DEE"/>
    <w:rsid w:val="00C15414"/>
    <w:rsid w:val="00C1757D"/>
    <w:rsid w:val="00C20764"/>
    <w:rsid w:val="00C261D1"/>
    <w:rsid w:val="00C2638F"/>
    <w:rsid w:val="00C316C6"/>
    <w:rsid w:val="00C31F21"/>
    <w:rsid w:val="00C35592"/>
    <w:rsid w:val="00C356AF"/>
    <w:rsid w:val="00C41927"/>
    <w:rsid w:val="00C439D6"/>
    <w:rsid w:val="00C43FD9"/>
    <w:rsid w:val="00C44EB2"/>
    <w:rsid w:val="00C4776A"/>
    <w:rsid w:val="00C47E8F"/>
    <w:rsid w:val="00C54CC8"/>
    <w:rsid w:val="00C54D12"/>
    <w:rsid w:val="00C57BC4"/>
    <w:rsid w:val="00C60915"/>
    <w:rsid w:val="00C62E84"/>
    <w:rsid w:val="00C64457"/>
    <w:rsid w:val="00C64E27"/>
    <w:rsid w:val="00C7138A"/>
    <w:rsid w:val="00C7417A"/>
    <w:rsid w:val="00C74F59"/>
    <w:rsid w:val="00C767FF"/>
    <w:rsid w:val="00C81E10"/>
    <w:rsid w:val="00C85374"/>
    <w:rsid w:val="00C85A9B"/>
    <w:rsid w:val="00C8603E"/>
    <w:rsid w:val="00C91877"/>
    <w:rsid w:val="00C924F1"/>
    <w:rsid w:val="00C93804"/>
    <w:rsid w:val="00C95BAB"/>
    <w:rsid w:val="00C964B8"/>
    <w:rsid w:val="00C97011"/>
    <w:rsid w:val="00CA28F2"/>
    <w:rsid w:val="00CA76A0"/>
    <w:rsid w:val="00CB08B2"/>
    <w:rsid w:val="00CB1021"/>
    <w:rsid w:val="00CB3841"/>
    <w:rsid w:val="00CB3B6B"/>
    <w:rsid w:val="00CC25E6"/>
    <w:rsid w:val="00CC38AC"/>
    <w:rsid w:val="00CC3E46"/>
    <w:rsid w:val="00CC4210"/>
    <w:rsid w:val="00CC5D73"/>
    <w:rsid w:val="00CC7273"/>
    <w:rsid w:val="00CC7310"/>
    <w:rsid w:val="00CC7B25"/>
    <w:rsid w:val="00CD4AF7"/>
    <w:rsid w:val="00CD4C1C"/>
    <w:rsid w:val="00CD5473"/>
    <w:rsid w:val="00CD6024"/>
    <w:rsid w:val="00CD738B"/>
    <w:rsid w:val="00CD7C1C"/>
    <w:rsid w:val="00CD7CA4"/>
    <w:rsid w:val="00CE0D4E"/>
    <w:rsid w:val="00CE3517"/>
    <w:rsid w:val="00CE3C0C"/>
    <w:rsid w:val="00CE61DA"/>
    <w:rsid w:val="00CE78A2"/>
    <w:rsid w:val="00CE79AB"/>
    <w:rsid w:val="00CF0B8E"/>
    <w:rsid w:val="00CF21D0"/>
    <w:rsid w:val="00CF449E"/>
    <w:rsid w:val="00CF5357"/>
    <w:rsid w:val="00D01670"/>
    <w:rsid w:val="00D01CB8"/>
    <w:rsid w:val="00D048AC"/>
    <w:rsid w:val="00D05C26"/>
    <w:rsid w:val="00D062AC"/>
    <w:rsid w:val="00D10C48"/>
    <w:rsid w:val="00D120EF"/>
    <w:rsid w:val="00D152E7"/>
    <w:rsid w:val="00D156A3"/>
    <w:rsid w:val="00D20381"/>
    <w:rsid w:val="00D218D0"/>
    <w:rsid w:val="00D21F91"/>
    <w:rsid w:val="00D30EDF"/>
    <w:rsid w:val="00D33027"/>
    <w:rsid w:val="00D33D65"/>
    <w:rsid w:val="00D34065"/>
    <w:rsid w:val="00D36B9B"/>
    <w:rsid w:val="00D36DC6"/>
    <w:rsid w:val="00D3796C"/>
    <w:rsid w:val="00D413AD"/>
    <w:rsid w:val="00D42C57"/>
    <w:rsid w:val="00D44360"/>
    <w:rsid w:val="00D45306"/>
    <w:rsid w:val="00D45878"/>
    <w:rsid w:val="00D46178"/>
    <w:rsid w:val="00D50981"/>
    <w:rsid w:val="00D53948"/>
    <w:rsid w:val="00D5416C"/>
    <w:rsid w:val="00D549B9"/>
    <w:rsid w:val="00D557EE"/>
    <w:rsid w:val="00D56058"/>
    <w:rsid w:val="00D56CD5"/>
    <w:rsid w:val="00D571F6"/>
    <w:rsid w:val="00D578FF"/>
    <w:rsid w:val="00D57F4B"/>
    <w:rsid w:val="00D61179"/>
    <w:rsid w:val="00D62224"/>
    <w:rsid w:val="00D63D0E"/>
    <w:rsid w:val="00D656AD"/>
    <w:rsid w:val="00D67A13"/>
    <w:rsid w:val="00D70EE2"/>
    <w:rsid w:val="00D73135"/>
    <w:rsid w:val="00D73E5E"/>
    <w:rsid w:val="00D76A01"/>
    <w:rsid w:val="00D76E91"/>
    <w:rsid w:val="00D77AA1"/>
    <w:rsid w:val="00D77E54"/>
    <w:rsid w:val="00D80264"/>
    <w:rsid w:val="00D819D9"/>
    <w:rsid w:val="00D830AD"/>
    <w:rsid w:val="00D831F2"/>
    <w:rsid w:val="00D849AA"/>
    <w:rsid w:val="00D85804"/>
    <w:rsid w:val="00D86434"/>
    <w:rsid w:val="00D872D1"/>
    <w:rsid w:val="00D9187B"/>
    <w:rsid w:val="00D93BA2"/>
    <w:rsid w:val="00D950BA"/>
    <w:rsid w:val="00DA5515"/>
    <w:rsid w:val="00DA6122"/>
    <w:rsid w:val="00DB3B95"/>
    <w:rsid w:val="00DB4809"/>
    <w:rsid w:val="00DB4BDE"/>
    <w:rsid w:val="00DB5E8F"/>
    <w:rsid w:val="00DB61B8"/>
    <w:rsid w:val="00DB733C"/>
    <w:rsid w:val="00DB779A"/>
    <w:rsid w:val="00DC012C"/>
    <w:rsid w:val="00DC3E99"/>
    <w:rsid w:val="00DC7C3E"/>
    <w:rsid w:val="00DD3FF2"/>
    <w:rsid w:val="00DD64EE"/>
    <w:rsid w:val="00DD7FA1"/>
    <w:rsid w:val="00DE0A1C"/>
    <w:rsid w:val="00DE30E0"/>
    <w:rsid w:val="00DE6BC1"/>
    <w:rsid w:val="00DE7C85"/>
    <w:rsid w:val="00DF04DA"/>
    <w:rsid w:val="00DF06E8"/>
    <w:rsid w:val="00DF6D5F"/>
    <w:rsid w:val="00DF724A"/>
    <w:rsid w:val="00DF735F"/>
    <w:rsid w:val="00E02765"/>
    <w:rsid w:val="00E033C3"/>
    <w:rsid w:val="00E038C3"/>
    <w:rsid w:val="00E06D47"/>
    <w:rsid w:val="00E07416"/>
    <w:rsid w:val="00E11C60"/>
    <w:rsid w:val="00E13544"/>
    <w:rsid w:val="00E1386E"/>
    <w:rsid w:val="00E14AA0"/>
    <w:rsid w:val="00E16F59"/>
    <w:rsid w:val="00E22BC2"/>
    <w:rsid w:val="00E22BCE"/>
    <w:rsid w:val="00E24AAF"/>
    <w:rsid w:val="00E258D8"/>
    <w:rsid w:val="00E30718"/>
    <w:rsid w:val="00E31391"/>
    <w:rsid w:val="00E3179D"/>
    <w:rsid w:val="00E326FF"/>
    <w:rsid w:val="00E3467E"/>
    <w:rsid w:val="00E34B8E"/>
    <w:rsid w:val="00E361B0"/>
    <w:rsid w:val="00E41563"/>
    <w:rsid w:val="00E415C9"/>
    <w:rsid w:val="00E46262"/>
    <w:rsid w:val="00E516B0"/>
    <w:rsid w:val="00E51BB1"/>
    <w:rsid w:val="00E54BA8"/>
    <w:rsid w:val="00E54D7F"/>
    <w:rsid w:val="00E55705"/>
    <w:rsid w:val="00E574A1"/>
    <w:rsid w:val="00E6275C"/>
    <w:rsid w:val="00E62DB8"/>
    <w:rsid w:val="00E63010"/>
    <w:rsid w:val="00E63399"/>
    <w:rsid w:val="00E66893"/>
    <w:rsid w:val="00E66BA7"/>
    <w:rsid w:val="00E677EF"/>
    <w:rsid w:val="00E6790C"/>
    <w:rsid w:val="00E70BB6"/>
    <w:rsid w:val="00E7159B"/>
    <w:rsid w:val="00E75F07"/>
    <w:rsid w:val="00E859DF"/>
    <w:rsid w:val="00E85A8B"/>
    <w:rsid w:val="00E87041"/>
    <w:rsid w:val="00E916E4"/>
    <w:rsid w:val="00E94218"/>
    <w:rsid w:val="00E95201"/>
    <w:rsid w:val="00E96304"/>
    <w:rsid w:val="00EA1807"/>
    <w:rsid w:val="00EA251B"/>
    <w:rsid w:val="00EA31AA"/>
    <w:rsid w:val="00EA4947"/>
    <w:rsid w:val="00EC0C41"/>
    <w:rsid w:val="00EC11F0"/>
    <w:rsid w:val="00EC1594"/>
    <w:rsid w:val="00EC1C8C"/>
    <w:rsid w:val="00EC32AA"/>
    <w:rsid w:val="00EC365B"/>
    <w:rsid w:val="00EC5AD1"/>
    <w:rsid w:val="00ED161F"/>
    <w:rsid w:val="00ED2521"/>
    <w:rsid w:val="00ED2F67"/>
    <w:rsid w:val="00ED2FB9"/>
    <w:rsid w:val="00ED36B7"/>
    <w:rsid w:val="00ED7637"/>
    <w:rsid w:val="00EE013F"/>
    <w:rsid w:val="00EE0C7D"/>
    <w:rsid w:val="00EE122D"/>
    <w:rsid w:val="00EE456B"/>
    <w:rsid w:val="00EE5DE6"/>
    <w:rsid w:val="00EE6267"/>
    <w:rsid w:val="00EE6613"/>
    <w:rsid w:val="00EE6988"/>
    <w:rsid w:val="00EF2A23"/>
    <w:rsid w:val="00EF35BF"/>
    <w:rsid w:val="00EF381C"/>
    <w:rsid w:val="00EF47A4"/>
    <w:rsid w:val="00EF685F"/>
    <w:rsid w:val="00F00755"/>
    <w:rsid w:val="00F00C37"/>
    <w:rsid w:val="00F034AC"/>
    <w:rsid w:val="00F04275"/>
    <w:rsid w:val="00F1590F"/>
    <w:rsid w:val="00F160D2"/>
    <w:rsid w:val="00F27395"/>
    <w:rsid w:val="00F31CFB"/>
    <w:rsid w:val="00F339A4"/>
    <w:rsid w:val="00F33C22"/>
    <w:rsid w:val="00F42177"/>
    <w:rsid w:val="00F42DCD"/>
    <w:rsid w:val="00F4484F"/>
    <w:rsid w:val="00F45638"/>
    <w:rsid w:val="00F4748D"/>
    <w:rsid w:val="00F50E9C"/>
    <w:rsid w:val="00F51116"/>
    <w:rsid w:val="00F5117A"/>
    <w:rsid w:val="00F51FA3"/>
    <w:rsid w:val="00F52F33"/>
    <w:rsid w:val="00F53841"/>
    <w:rsid w:val="00F53B21"/>
    <w:rsid w:val="00F60ACD"/>
    <w:rsid w:val="00F612B3"/>
    <w:rsid w:val="00F650BC"/>
    <w:rsid w:val="00F653FF"/>
    <w:rsid w:val="00F66078"/>
    <w:rsid w:val="00F67EF6"/>
    <w:rsid w:val="00F7064A"/>
    <w:rsid w:val="00F7198E"/>
    <w:rsid w:val="00F7311F"/>
    <w:rsid w:val="00F747AD"/>
    <w:rsid w:val="00F8260F"/>
    <w:rsid w:val="00F83279"/>
    <w:rsid w:val="00F87F11"/>
    <w:rsid w:val="00F90B2E"/>
    <w:rsid w:val="00F91302"/>
    <w:rsid w:val="00F942CA"/>
    <w:rsid w:val="00F9452C"/>
    <w:rsid w:val="00F9689B"/>
    <w:rsid w:val="00F97395"/>
    <w:rsid w:val="00F97508"/>
    <w:rsid w:val="00FA0160"/>
    <w:rsid w:val="00FA3503"/>
    <w:rsid w:val="00FA590B"/>
    <w:rsid w:val="00FA5C42"/>
    <w:rsid w:val="00FA68AB"/>
    <w:rsid w:val="00FB021F"/>
    <w:rsid w:val="00FB0A9F"/>
    <w:rsid w:val="00FB2C5B"/>
    <w:rsid w:val="00FB33E0"/>
    <w:rsid w:val="00FB52EB"/>
    <w:rsid w:val="00FB7206"/>
    <w:rsid w:val="00FB7367"/>
    <w:rsid w:val="00FB77F3"/>
    <w:rsid w:val="00FC1D72"/>
    <w:rsid w:val="00FC309B"/>
    <w:rsid w:val="00FC62C4"/>
    <w:rsid w:val="00FD17AA"/>
    <w:rsid w:val="00FE0C92"/>
    <w:rsid w:val="00FE0D29"/>
    <w:rsid w:val="00FE35E0"/>
    <w:rsid w:val="00FE4173"/>
    <w:rsid w:val="00FE4DD2"/>
    <w:rsid w:val="00FE5577"/>
    <w:rsid w:val="00FE78A3"/>
    <w:rsid w:val="00FF2A56"/>
    <w:rsid w:val="00FF3133"/>
    <w:rsid w:val="00FF34CA"/>
    <w:rsid w:val="00FF39DE"/>
    <w:rsid w:val="00FF3AA8"/>
    <w:rsid w:val="00FF5E0F"/>
    <w:rsid w:val="00FF63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3E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177"/>
  </w:style>
  <w:style w:type="paragraph" w:styleId="Heading1">
    <w:name w:val="heading 1"/>
    <w:aliases w:val="Cover title white"/>
    <w:basedOn w:val="Normal"/>
    <w:next w:val="Normal"/>
    <w:link w:val="Heading1Char"/>
    <w:uiPriority w:val="9"/>
    <w:qFormat/>
    <w:rsid w:val="00F42177"/>
    <w:pPr>
      <w:keepNext/>
      <w:keepLines/>
      <w:spacing w:before="320" w:after="0" w:line="240" w:lineRule="auto"/>
      <w:outlineLvl w:val="0"/>
    </w:pPr>
    <w:rPr>
      <w:rFonts w:asciiTheme="majorHAnsi" w:eastAsiaTheme="majorEastAsia" w:hAnsiTheme="majorHAnsi" w:cstheme="majorBidi"/>
      <w:color w:val="234156" w:themeColor="accent1" w:themeShade="BF"/>
      <w:sz w:val="30"/>
      <w:szCs w:val="30"/>
    </w:rPr>
  </w:style>
  <w:style w:type="paragraph" w:styleId="Heading2">
    <w:name w:val="heading 2"/>
    <w:basedOn w:val="Normal"/>
    <w:next w:val="Normal"/>
    <w:link w:val="Heading2Char"/>
    <w:uiPriority w:val="9"/>
    <w:semiHidden/>
    <w:unhideWhenUsed/>
    <w:qFormat/>
    <w:rsid w:val="00940030"/>
    <w:pPr>
      <w:keepNext/>
      <w:keepLines/>
      <w:spacing w:before="40" w:after="0" w:line="240" w:lineRule="auto"/>
      <w:outlineLvl w:val="1"/>
    </w:pPr>
    <w:rPr>
      <w:rFonts w:asciiTheme="majorHAnsi" w:eastAsiaTheme="majorEastAsia" w:hAnsiTheme="majorHAnsi" w:cstheme="majorBidi"/>
      <w:b/>
      <w:sz w:val="28"/>
      <w:szCs w:val="28"/>
    </w:rPr>
  </w:style>
  <w:style w:type="paragraph" w:styleId="Heading3">
    <w:name w:val="heading 3"/>
    <w:aliases w:val="Title 2"/>
    <w:basedOn w:val="Normal"/>
    <w:next w:val="Normal"/>
    <w:link w:val="Heading3Char"/>
    <w:uiPriority w:val="9"/>
    <w:semiHidden/>
    <w:unhideWhenUsed/>
    <w:qFormat/>
    <w:rsid w:val="00F42177"/>
    <w:pPr>
      <w:keepNext/>
      <w:keepLines/>
      <w:spacing w:before="40" w:after="0" w:line="240" w:lineRule="auto"/>
      <w:outlineLvl w:val="2"/>
    </w:pPr>
    <w:rPr>
      <w:rFonts w:asciiTheme="majorHAnsi" w:eastAsiaTheme="majorEastAsia" w:hAnsiTheme="majorHAnsi" w:cstheme="majorBidi"/>
      <w:color w:val="102B43" w:themeColor="accent6" w:themeShade="BF"/>
      <w:sz w:val="26"/>
      <w:szCs w:val="26"/>
    </w:rPr>
  </w:style>
  <w:style w:type="paragraph" w:styleId="Heading4">
    <w:name w:val="heading 4"/>
    <w:basedOn w:val="Normal"/>
    <w:next w:val="Normal"/>
    <w:link w:val="Heading4Char"/>
    <w:uiPriority w:val="9"/>
    <w:semiHidden/>
    <w:unhideWhenUsed/>
    <w:qFormat/>
    <w:rsid w:val="00F42177"/>
    <w:pPr>
      <w:keepNext/>
      <w:keepLines/>
      <w:spacing w:before="40" w:after="0"/>
      <w:outlineLvl w:val="3"/>
    </w:pPr>
    <w:rPr>
      <w:rFonts w:asciiTheme="majorHAnsi" w:eastAsiaTheme="majorEastAsia" w:hAnsiTheme="majorHAnsi" w:cstheme="majorBidi"/>
      <w:i/>
      <w:iCs/>
      <w:color w:val="3D4C52" w:themeColor="accent5" w:themeShade="BF"/>
      <w:sz w:val="25"/>
      <w:szCs w:val="25"/>
    </w:rPr>
  </w:style>
  <w:style w:type="paragraph" w:styleId="Heading5">
    <w:name w:val="heading 5"/>
    <w:aliases w:val="Cover subtitle white"/>
    <w:basedOn w:val="Normal"/>
    <w:next w:val="Normal"/>
    <w:link w:val="Heading5Char"/>
    <w:uiPriority w:val="9"/>
    <w:semiHidden/>
    <w:unhideWhenUsed/>
    <w:qFormat/>
    <w:rsid w:val="00F42177"/>
    <w:pPr>
      <w:keepNext/>
      <w:keepLines/>
      <w:spacing w:before="40" w:after="0"/>
      <w:outlineLvl w:val="4"/>
    </w:pPr>
    <w:rPr>
      <w:rFonts w:asciiTheme="majorHAnsi" w:eastAsiaTheme="majorEastAsia" w:hAnsiTheme="majorHAnsi" w:cstheme="majorBidi"/>
      <w:i/>
      <w:iCs/>
      <w:color w:val="84490E" w:themeColor="accent2" w:themeShade="80"/>
      <w:sz w:val="24"/>
      <w:szCs w:val="24"/>
    </w:rPr>
  </w:style>
  <w:style w:type="paragraph" w:styleId="Heading6">
    <w:name w:val="heading 6"/>
    <w:basedOn w:val="Normal"/>
    <w:next w:val="Normal"/>
    <w:link w:val="Heading6Char"/>
    <w:uiPriority w:val="9"/>
    <w:semiHidden/>
    <w:unhideWhenUsed/>
    <w:qFormat/>
    <w:rsid w:val="00F42177"/>
    <w:pPr>
      <w:keepNext/>
      <w:keepLines/>
      <w:spacing w:before="40" w:after="0"/>
      <w:outlineLvl w:val="5"/>
    </w:pPr>
    <w:rPr>
      <w:rFonts w:asciiTheme="majorHAnsi" w:eastAsiaTheme="majorEastAsia" w:hAnsiTheme="majorHAnsi" w:cstheme="majorBidi"/>
      <w:i/>
      <w:iCs/>
      <w:color w:val="0B1C2C" w:themeColor="accent6" w:themeShade="80"/>
      <w:sz w:val="23"/>
      <w:szCs w:val="23"/>
    </w:rPr>
  </w:style>
  <w:style w:type="paragraph" w:styleId="Heading7">
    <w:name w:val="heading 7"/>
    <w:basedOn w:val="Normal"/>
    <w:next w:val="Normal"/>
    <w:link w:val="Heading7Char"/>
    <w:uiPriority w:val="9"/>
    <w:semiHidden/>
    <w:unhideWhenUsed/>
    <w:qFormat/>
    <w:rsid w:val="00F42177"/>
    <w:pPr>
      <w:keepNext/>
      <w:keepLines/>
      <w:spacing w:before="40" w:after="0"/>
      <w:outlineLvl w:val="6"/>
    </w:pPr>
    <w:rPr>
      <w:rFonts w:asciiTheme="majorHAnsi" w:eastAsiaTheme="majorEastAsia" w:hAnsiTheme="majorHAnsi" w:cstheme="majorBidi"/>
      <w:color w:val="172B39" w:themeColor="accent1" w:themeShade="80"/>
    </w:rPr>
  </w:style>
  <w:style w:type="paragraph" w:styleId="Heading8">
    <w:name w:val="heading 8"/>
    <w:basedOn w:val="Normal"/>
    <w:next w:val="Normal"/>
    <w:link w:val="Heading8Char"/>
    <w:uiPriority w:val="9"/>
    <w:semiHidden/>
    <w:unhideWhenUsed/>
    <w:qFormat/>
    <w:rsid w:val="00F42177"/>
    <w:pPr>
      <w:keepNext/>
      <w:keepLines/>
      <w:spacing w:before="40" w:after="0"/>
      <w:outlineLvl w:val="7"/>
    </w:pPr>
    <w:rPr>
      <w:rFonts w:asciiTheme="majorHAnsi" w:eastAsiaTheme="majorEastAsia" w:hAnsiTheme="majorHAnsi" w:cstheme="majorBidi"/>
      <w:color w:val="84490E" w:themeColor="accent2" w:themeShade="80"/>
      <w:sz w:val="21"/>
      <w:szCs w:val="21"/>
    </w:rPr>
  </w:style>
  <w:style w:type="paragraph" w:styleId="Heading9">
    <w:name w:val="heading 9"/>
    <w:basedOn w:val="Normal"/>
    <w:next w:val="Normal"/>
    <w:link w:val="Heading9Char"/>
    <w:uiPriority w:val="9"/>
    <w:semiHidden/>
    <w:unhideWhenUsed/>
    <w:qFormat/>
    <w:rsid w:val="00F42177"/>
    <w:pPr>
      <w:keepNext/>
      <w:keepLines/>
      <w:spacing w:before="40" w:after="0"/>
      <w:outlineLvl w:val="8"/>
    </w:pPr>
    <w:rPr>
      <w:rFonts w:asciiTheme="majorHAnsi" w:eastAsiaTheme="majorEastAsia" w:hAnsiTheme="majorHAnsi" w:cstheme="majorBidi"/>
      <w:color w:val="0B1C2C"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uiPriority w:val="9"/>
    <w:rsid w:val="00F42177"/>
    <w:rPr>
      <w:rFonts w:asciiTheme="majorHAnsi" w:eastAsiaTheme="majorEastAsia" w:hAnsiTheme="majorHAnsi" w:cstheme="majorBidi"/>
      <w:color w:val="234156" w:themeColor="accent1" w:themeShade="BF"/>
      <w:sz w:val="30"/>
      <w:szCs w:val="30"/>
    </w:rPr>
  </w:style>
  <w:style w:type="paragraph" w:customStyle="1" w:styleId="Numberedtilelevel1">
    <w:name w:val="Numbered tile level 1"/>
    <w:basedOn w:val="Titlelevel1"/>
    <w:link w:val="Numberedtilelevel1Char"/>
    <w:qFormat/>
    <w:rsid w:val="00482FB6"/>
  </w:style>
  <w:style w:type="character" w:customStyle="1" w:styleId="Heading2Char">
    <w:name w:val="Heading 2 Char"/>
    <w:basedOn w:val="DefaultParagraphFont"/>
    <w:link w:val="Heading2"/>
    <w:uiPriority w:val="9"/>
    <w:semiHidden/>
    <w:rsid w:val="00940030"/>
    <w:rPr>
      <w:rFonts w:asciiTheme="majorHAnsi" w:eastAsiaTheme="majorEastAsia" w:hAnsiTheme="majorHAnsi" w:cstheme="majorBidi"/>
      <w:b/>
      <w:sz w:val="28"/>
      <w:szCs w:val="28"/>
    </w:rPr>
  </w:style>
  <w:style w:type="paragraph" w:customStyle="1" w:styleId="Numberedtitlelevel2">
    <w:name w:val="Numbered title level 2"/>
    <w:basedOn w:val="Titlelevel2"/>
    <w:next w:val="body"/>
    <w:rsid w:val="00482FB6"/>
    <w:pPr>
      <w:numPr>
        <w:ilvl w:val="1"/>
        <w:numId w:val="6"/>
      </w:numPr>
    </w:pPr>
  </w:style>
  <w:style w:type="paragraph" w:customStyle="1" w:styleId="Titlelevel2">
    <w:name w:val="Title level 2"/>
    <w:rsid w:val="005D4005"/>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CD4AF7"/>
    <w:pPr>
      <w:spacing w:before="240" w:after="120" w:line="276" w:lineRule="auto"/>
      <w:jc w:val="both"/>
    </w:pPr>
  </w:style>
  <w:style w:type="character" w:customStyle="1" w:styleId="Heading3Char">
    <w:name w:val="Heading 3 Char"/>
    <w:aliases w:val="Title 2 Char"/>
    <w:basedOn w:val="DefaultParagraphFont"/>
    <w:link w:val="Heading3"/>
    <w:uiPriority w:val="9"/>
    <w:semiHidden/>
    <w:rsid w:val="00F42177"/>
    <w:rPr>
      <w:rFonts w:asciiTheme="majorHAnsi" w:eastAsiaTheme="majorEastAsia" w:hAnsiTheme="majorHAnsi" w:cstheme="majorBidi"/>
      <w:color w:val="102B43" w:themeColor="accent6" w:themeShade="BF"/>
      <w:sz w:val="26"/>
      <w:szCs w:val="26"/>
    </w:rPr>
  </w:style>
  <w:style w:type="character" w:customStyle="1" w:styleId="Heading4Char">
    <w:name w:val="Heading 4 Char"/>
    <w:basedOn w:val="DefaultParagraphFont"/>
    <w:link w:val="Heading4"/>
    <w:uiPriority w:val="9"/>
    <w:semiHidden/>
    <w:rsid w:val="00F42177"/>
    <w:rPr>
      <w:rFonts w:asciiTheme="majorHAnsi" w:eastAsiaTheme="majorEastAsia" w:hAnsiTheme="majorHAnsi" w:cstheme="majorBidi"/>
      <w:i/>
      <w:iCs/>
      <w:color w:val="3D4C52" w:themeColor="accent5" w:themeShade="BF"/>
      <w:sz w:val="25"/>
      <w:szCs w:val="25"/>
    </w:rPr>
  </w:style>
  <w:style w:type="character" w:customStyle="1" w:styleId="Heading5Char">
    <w:name w:val="Heading 5 Char"/>
    <w:aliases w:val="Cover subtitle white Char"/>
    <w:basedOn w:val="DefaultParagraphFont"/>
    <w:link w:val="Heading5"/>
    <w:uiPriority w:val="9"/>
    <w:semiHidden/>
    <w:rsid w:val="00F42177"/>
    <w:rPr>
      <w:rFonts w:asciiTheme="majorHAnsi" w:eastAsiaTheme="majorEastAsia" w:hAnsiTheme="majorHAnsi" w:cstheme="majorBidi"/>
      <w:i/>
      <w:iCs/>
      <w:color w:val="84490E" w:themeColor="accent2" w:themeShade="80"/>
      <w:sz w:val="24"/>
      <w:szCs w:val="24"/>
    </w:rPr>
  </w:style>
  <w:style w:type="character" w:customStyle="1" w:styleId="Heading6Char">
    <w:name w:val="Heading 6 Char"/>
    <w:basedOn w:val="DefaultParagraphFont"/>
    <w:link w:val="Heading6"/>
    <w:uiPriority w:val="9"/>
    <w:semiHidden/>
    <w:rsid w:val="00F42177"/>
    <w:rPr>
      <w:rFonts w:asciiTheme="majorHAnsi" w:eastAsiaTheme="majorEastAsia" w:hAnsiTheme="majorHAnsi" w:cstheme="majorBidi"/>
      <w:i/>
      <w:iCs/>
      <w:color w:val="0B1C2C" w:themeColor="accent6" w:themeShade="80"/>
      <w:sz w:val="23"/>
      <w:szCs w:val="23"/>
    </w:rPr>
  </w:style>
  <w:style w:type="character" w:customStyle="1" w:styleId="Heading7Char">
    <w:name w:val="Heading 7 Char"/>
    <w:basedOn w:val="DefaultParagraphFont"/>
    <w:link w:val="Heading7"/>
    <w:uiPriority w:val="9"/>
    <w:semiHidden/>
    <w:rsid w:val="00F42177"/>
    <w:rPr>
      <w:rFonts w:asciiTheme="majorHAnsi" w:eastAsiaTheme="majorEastAsia" w:hAnsiTheme="majorHAnsi" w:cstheme="majorBidi"/>
      <w:color w:val="172B39" w:themeColor="accent1" w:themeShade="80"/>
    </w:rPr>
  </w:style>
  <w:style w:type="character" w:customStyle="1" w:styleId="Heading8Char">
    <w:name w:val="Heading 8 Char"/>
    <w:basedOn w:val="DefaultParagraphFont"/>
    <w:link w:val="Heading8"/>
    <w:uiPriority w:val="9"/>
    <w:semiHidden/>
    <w:rsid w:val="00F42177"/>
    <w:rPr>
      <w:rFonts w:asciiTheme="majorHAnsi" w:eastAsiaTheme="majorEastAsia" w:hAnsiTheme="majorHAnsi" w:cstheme="majorBidi"/>
      <w:color w:val="84490E" w:themeColor="accent2" w:themeShade="80"/>
      <w:sz w:val="21"/>
      <w:szCs w:val="21"/>
    </w:rPr>
  </w:style>
  <w:style w:type="character" w:customStyle="1" w:styleId="Heading9Char">
    <w:name w:val="Heading 9 Char"/>
    <w:basedOn w:val="DefaultParagraphFont"/>
    <w:link w:val="Heading9"/>
    <w:uiPriority w:val="9"/>
    <w:semiHidden/>
    <w:rsid w:val="00F42177"/>
    <w:rPr>
      <w:rFonts w:asciiTheme="majorHAnsi" w:eastAsiaTheme="majorEastAsia" w:hAnsiTheme="majorHAnsi" w:cstheme="majorBidi"/>
      <w:color w:val="0B1C2C" w:themeColor="accent6" w:themeShade="8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rsid w:val="00813BAC"/>
    <w:pPr>
      <w:spacing w:after="80"/>
    </w:pPr>
    <w:rPr>
      <w:rFonts w:ascii="Calibri" w:eastAsia="Times New Roman" w:hAnsi="Calibri" w:cs="Times New Roman"/>
      <w:b/>
      <w:color w:val="000000"/>
    </w:rPr>
  </w:style>
  <w:style w:type="paragraph" w:customStyle="1" w:styleId="Tabledata">
    <w:name w:val="Table data"/>
    <w:basedOn w:val="body"/>
    <w:rsid w:val="00455E0E"/>
    <w:pPr>
      <w:spacing w:before="120" w:line="240" w:lineRule="auto"/>
    </w:pPr>
    <w:rPr>
      <w:rFonts w:eastAsia="Times New Roman" w:cstheme="minorHAnsi"/>
      <w:bCs/>
      <w:color w:val="000000"/>
      <w:sz w:val="20"/>
      <w:lang w:eastAsia="en-GB"/>
    </w:rPr>
  </w:style>
  <w:style w:type="paragraph" w:customStyle="1" w:styleId="List1">
    <w:name w:val="List1"/>
    <w:autoRedefine/>
    <w:rsid w:val="008F3908"/>
    <w:pPr>
      <w:numPr>
        <w:numId w:val="4"/>
      </w:numPr>
    </w:pPr>
  </w:style>
  <w:style w:type="paragraph" w:styleId="Footer">
    <w:name w:val="footer"/>
    <w:basedOn w:val="Normal"/>
    <w:link w:val="FooterChar"/>
    <w:uiPriority w:val="99"/>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aliases w:val="Tabla CUADROS"/>
    <w:basedOn w:val="TableProfessional"/>
    <w:uiPriority w:val="59"/>
    <w:rsid w:val="00A14332"/>
    <w:rPr>
      <w:sz w:val="20"/>
      <w:szCs w:val="20"/>
      <w:lang w:val="en-IE"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rsid w:val="007A0054"/>
    <w:pPr>
      <w:numPr>
        <w:numId w:val="5"/>
      </w:numPr>
      <w:spacing w:before="240" w:after="120"/>
      <w:contextualSpacing/>
    </w:pPr>
  </w:style>
  <w:style w:type="paragraph" w:customStyle="1" w:styleId="Titlelevel1">
    <w:name w:val="Title level 1"/>
    <w:link w:val="Titlelevel1Char"/>
    <w:autoRedefine/>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rsid w:val="005D4005"/>
    <w:pPr>
      <w:spacing w:before="240" w:after="240"/>
    </w:pPr>
    <w:rPr>
      <w:b/>
      <w:color w:val="2F5773" w:themeColor="text2"/>
    </w:rPr>
  </w:style>
  <w:style w:type="paragraph" w:customStyle="1" w:styleId="Titlelevel4">
    <w:name w:val="Title level 4"/>
    <w:next w:val="body"/>
    <w:rsid w:val="00AE55F6"/>
    <w:pPr>
      <w:spacing w:before="240" w:after="240"/>
    </w:pPr>
    <w:rPr>
      <w:color w:val="E98E31" w:themeColor="background2"/>
    </w:rPr>
  </w:style>
  <w:style w:type="paragraph" w:customStyle="1" w:styleId="Figuretitle">
    <w:name w:val="Figure title"/>
    <w:basedOn w:val="body"/>
    <w:next w:val="Normal"/>
    <w:autoRedefine/>
    <w:rsid w:val="003221EF"/>
    <w:pPr>
      <w:keepNext/>
      <w:spacing w:before="360" w:after="360"/>
    </w:pPr>
    <w:rPr>
      <w:rFonts w:eastAsia="Times New Roman" w:cs="Times New Roman"/>
      <w:bCs/>
      <w:noProof/>
      <w:color w:val="2F5773" w:themeColor="text2"/>
      <w:szCs w:val="20"/>
      <w:lang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uiPriority w:val="99"/>
    <w:semiHidden/>
    <w:rsid w:val="00610305"/>
    <w:rPr>
      <w:rFonts w:asciiTheme="minorHAnsi" w:hAnsiTheme="minorHAnsi"/>
      <w:color w:val="auto"/>
      <w:sz w:val="22"/>
    </w:rPr>
  </w:style>
  <w:style w:type="paragraph" w:customStyle="1" w:styleId="Runningtitle">
    <w:name w:val="Running title"/>
    <w:rsid w:val="009F53AF"/>
    <w:rPr>
      <w:caps/>
      <w:sz w:val="16"/>
      <w:szCs w:val="18"/>
    </w:rPr>
  </w:style>
  <w:style w:type="paragraph" w:styleId="FootnoteText">
    <w:name w:val="footnote text"/>
    <w:basedOn w:val="body"/>
    <w:link w:val="FootnoteTextChar"/>
    <w:autoRedefine/>
    <w:rsid w:val="00DB5E8F"/>
    <w:pPr>
      <w:spacing w:before="80" w:after="0" w:line="200" w:lineRule="exact"/>
    </w:pPr>
    <w:rPr>
      <w:sz w:val="18"/>
      <w:szCs w:val="18"/>
    </w:rPr>
  </w:style>
  <w:style w:type="character" w:customStyle="1" w:styleId="FootnoteTextChar">
    <w:name w:val="Footnote Text Char"/>
    <w:basedOn w:val="DefaultParagraphFont"/>
    <w:link w:val="FootnoteText"/>
    <w:rsid w:val="00582AA7"/>
    <w:rPr>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rsid w:val="00B13C87"/>
    <w:rPr>
      <w:rFonts w:asciiTheme="minorHAnsi" w:hAnsiTheme="minorHAnsi"/>
      <w:sz w:val="22"/>
      <w:szCs w:val="18"/>
      <w:vertAlign w:val="superscript"/>
    </w:rPr>
  </w:style>
  <w:style w:type="paragraph" w:customStyle="1" w:styleId="bullet1">
    <w:name w:val="bullet 1"/>
    <w:basedOn w:val="body"/>
    <w:next w:val="body"/>
    <w:rsid w:val="001C5BC2"/>
    <w:pPr>
      <w:numPr>
        <w:numId w:val="2"/>
      </w:numPr>
    </w:pPr>
  </w:style>
  <w:style w:type="paragraph" w:styleId="TOC1">
    <w:name w:val="toc 1"/>
    <w:autoRedefine/>
    <w:uiPriority w:val="39"/>
    <w:rsid w:val="001F4C02"/>
    <w:pPr>
      <w:tabs>
        <w:tab w:val="right" w:pos="8771"/>
      </w:tabs>
      <w:spacing w:before="120" w:after="120"/>
      <w:ind w:left="426" w:hanging="426"/>
      <w:outlineLvl w:val="0"/>
    </w:pPr>
    <w:rPr>
      <w:b/>
      <w:bCs/>
      <w:noProof/>
      <w:color w:val="2F5773" w:themeColor="text2"/>
    </w:rPr>
  </w:style>
  <w:style w:type="paragraph" w:styleId="TOC2">
    <w:name w:val="toc 2"/>
    <w:next w:val="Normal"/>
    <w:autoRedefine/>
    <w:uiPriority w:val="39"/>
    <w:rsid w:val="00C41927"/>
    <w:pPr>
      <w:tabs>
        <w:tab w:val="left" w:pos="529"/>
        <w:tab w:val="right" w:pos="8771"/>
      </w:tabs>
      <w:spacing w:before="80" w:after="80"/>
    </w:pPr>
    <w:rPr>
      <w:noProof/>
    </w:rPr>
  </w:style>
  <w:style w:type="paragraph" w:styleId="TOC3">
    <w:name w:val="toc 3"/>
    <w:basedOn w:val="Normal"/>
    <w:next w:val="Normal"/>
    <w:autoRedefine/>
    <w:uiPriority w:val="39"/>
    <w:rsid w:val="00663B0A"/>
    <w:pPr>
      <w:tabs>
        <w:tab w:val="right" w:pos="8771"/>
      </w:tabs>
      <w:ind w:left="567"/>
    </w:pPr>
  </w:style>
  <w:style w:type="paragraph" w:styleId="TOC4">
    <w:name w:val="toc 4"/>
    <w:basedOn w:val="Normal"/>
    <w:next w:val="Normal"/>
    <w:autoRedefine/>
    <w:uiPriority w:val="39"/>
    <w:rsid w:val="00EE456B"/>
    <w:pPr>
      <w:tabs>
        <w:tab w:val="right" w:pos="8771"/>
      </w:tabs>
      <w:ind w:left="1134"/>
    </w:pPr>
  </w:style>
  <w:style w:type="paragraph" w:customStyle="1" w:styleId="bullet2">
    <w:name w:val="bullet 2"/>
    <w:basedOn w:val="body"/>
    <w:rsid w:val="001C5BC2"/>
    <w:pPr>
      <w:numPr>
        <w:numId w:val="1"/>
      </w:numPr>
    </w:pPr>
  </w:style>
  <w:style w:type="paragraph" w:customStyle="1" w:styleId="Numberedtitlelevel3">
    <w:name w:val="Numbered title level 3"/>
    <w:basedOn w:val="Titlelevel3"/>
    <w:next w:val="body"/>
    <w:rsid w:val="008F3908"/>
    <w:pPr>
      <w:numPr>
        <w:ilvl w:val="2"/>
        <w:numId w:val="6"/>
      </w:numPr>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rsid w:val="00172007"/>
  </w:style>
  <w:style w:type="paragraph" w:customStyle="1" w:styleId="Numberedtitlelevel4">
    <w:name w:val="Numbered title level 4"/>
    <w:basedOn w:val="Titlelevel4"/>
    <w:rsid w:val="005D4005"/>
    <w:pPr>
      <w:numPr>
        <w:numId w:val="3"/>
      </w:numPr>
    </w:pPr>
  </w:style>
  <w:style w:type="paragraph" w:styleId="Header">
    <w:name w:val="header"/>
    <w:basedOn w:val="Normal"/>
    <w:link w:val="HeaderChar"/>
    <w:uiPriority w:val="99"/>
    <w:semiHidden/>
    <w:rsid w:val="00A92440"/>
    <w:pPr>
      <w:tabs>
        <w:tab w:val="center" w:pos="4320"/>
        <w:tab w:val="right" w:pos="8640"/>
      </w:tabs>
    </w:pPr>
  </w:style>
  <w:style w:type="character" w:customStyle="1" w:styleId="HeaderChar">
    <w:name w:val="Header Char"/>
    <w:basedOn w:val="DefaultParagraphFont"/>
    <w:link w:val="Header"/>
    <w:uiPriority w:val="99"/>
    <w:semiHidden/>
    <w:rsid w:val="00582AA7"/>
    <w:rPr>
      <w:sz w:val="22"/>
    </w:rPr>
  </w:style>
  <w:style w:type="paragraph" w:styleId="Title">
    <w:name w:val="Title"/>
    <w:basedOn w:val="Normal"/>
    <w:next w:val="Normal"/>
    <w:link w:val="TitleChar"/>
    <w:uiPriority w:val="10"/>
    <w:qFormat/>
    <w:rsid w:val="00F42177"/>
    <w:pPr>
      <w:spacing w:after="0" w:line="240" w:lineRule="auto"/>
      <w:contextualSpacing/>
    </w:pPr>
    <w:rPr>
      <w:rFonts w:asciiTheme="majorHAnsi" w:eastAsiaTheme="majorEastAsia" w:hAnsiTheme="majorHAnsi" w:cstheme="majorBidi"/>
      <w:color w:val="234156" w:themeColor="accent1" w:themeShade="BF"/>
      <w:spacing w:val="-10"/>
      <w:sz w:val="52"/>
      <w:szCs w:val="52"/>
    </w:rPr>
  </w:style>
  <w:style w:type="character" w:customStyle="1" w:styleId="TitleChar">
    <w:name w:val="Title Char"/>
    <w:basedOn w:val="DefaultParagraphFont"/>
    <w:link w:val="Title"/>
    <w:uiPriority w:val="10"/>
    <w:rsid w:val="00F42177"/>
    <w:rPr>
      <w:rFonts w:asciiTheme="majorHAnsi" w:eastAsiaTheme="majorEastAsia" w:hAnsiTheme="majorHAnsi" w:cstheme="majorBidi"/>
      <w:color w:val="234156" w:themeColor="accent1" w:themeShade="BF"/>
      <w:spacing w:val="-10"/>
      <w:sz w:val="52"/>
      <w:szCs w:val="52"/>
    </w:rPr>
  </w:style>
  <w:style w:type="paragraph" w:styleId="TableofFigures">
    <w:name w:val="table of figures"/>
    <w:basedOn w:val="Normal"/>
    <w:next w:val="Normal"/>
    <w:autoRedefine/>
    <w:uiPriority w:val="99"/>
    <w:rsid w:val="00172007"/>
    <w:pPr>
      <w:spacing w:before="160"/>
    </w:pPr>
  </w:style>
  <w:style w:type="paragraph" w:styleId="Subtitle">
    <w:name w:val="Subtitle"/>
    <w:basedOn w:val="Normal"/>
    <w:next w:val="Normal"/>
    <w:link w:val="SubtitleChar"/>
    <w:uiPriority w:val="11"/>
    <w:qFormat/>
    <w:rsid w:val="00F42177"/>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42177"/>
    <w:rPr>
      <w:rFonts w:asciiTheme="majorHAnsi" w:eastAsiaTheme="majorEastAsia" w:hAnsiTheme="majorHAnsi" w:cstheme="majorBidi"/>
    </w:rPr>
  </w:style>
  <w:style w:type="character" w:styleId="BookTitle">
    <w:name w:val="Book Title"/>
    <w:basedOn w:val="DefaultParagraphFont"/>
    <w:uiPriority w:val="33"/>
    <w:qFormat/>
    <w:rsid w:val="00F42177"/>
    <w:rPr>
      <w:b/>
      <w:bCs/>
      <w:smallCaps/>
    </w:rPr>
  </w:style>
  <w:style w:type="character" w:customStyle="1" w:styleId="Highlighttext">
    <w:name w:val="Highlight text"/>
    <w:basedOn w:val="DefaultParagraphFont"/>
    <w:uiPriority w:val="1"/>
    <w:semiHidden/>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rsid w:val="00455E0E"/>
    <w:rPr>
      <w:bCs/>
      <w:lang w:eastAsia="en-GB"/>
    </w:rPr>
  </w:style>
  <w:style w:type="paragraph" w:styleId="ListBullet">
    <w:name w:val="List Bullet"/>
    <w:basedOn w:val="Normal"/>
    <w:semiHidden/>
    <w:rsid w:val="00A304D0"/>
    <w:pPr>
      <w:numPr>
        <w:numId w:val="8"/>
      </w:numPr>
      <w:contextualSpacing/>
    </w:pPr>
  </w:style>
  <w:style w:type="character" w:styleId="Hyperlink">
    <w:name w:val="Hyperlink"/>
    <w:basedOn w:val="DefaultParagraphFont"/>
    <w:uiPriority w:val="99"/>
    <w:rsid w:val="00392385"/>
    <w:rPr>
      <w:color w:val="2F5773" w:themeColor="hyperlink"/>
      <w:u w:val="single"/>
    </w:rPr>
  </w:style>
  <w:style w:type="paragraph" w:customStyle="1" w:styleId="numberedparagraph">
    <w:name w:val="numbered paragraph"/>
    <w:basedOn w:val="body"/>
    <w:rsid w:val="00E22BCE"/>
    <w:pPr>
      <w:numPr>
        <w:numId w:val="7"/>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Default">
    <w:name w:val="Default"/>
    <w:rsid w:val="000C7FD8"/>
    <w:pPr>
      <w:autoSpaceDE w:val="0"/>
      <w:autoSpaceDN w:val="0"/>
      <w:adjustRightInd w:val="0"/>
    </w:pPr>
    <w:rPr>
      <w:rFonts w:ascii="Calibri" w:eastAsiaTheme="minorHAnsi" w:hAnsi="Calibri" w:cs="Calibri"/>
      <w:color w:val="000000"/>
    </w:rPr>
  </w:style>
  <w:style w:type="paragraph" w:styleId="TOCHeading">
    <w:name w:val="TOC Heading"/>
    <w:basedOn w:val="Heading1"/>
    <w:next w:val="Normal"/>
    <w:uiPriority w:val="39"/>
    <w:unhideWhenUsed/>
    <w:qFormat/>
    <w:rsid w:val="00F42177"/>
    <w:pPr>
      <w:outlineLvl w:val="9"/>
    </w:pPr>
  </w:style>
  <w:style w:type="character" w:customStyle="1" w:styleId="Marker">
    <w:name w:val="Marker"/>
    <w:rsid w:val="00B43E07"/>
    <w:rPr>
      <w:color w:val="0000FF"/>
      <w:shd w:val="clear" w:color="auto" w:fill="auto"/>
    </w:rPr>
  </w:style>
  <w:style w:type="character" w:customStyle="1" w:styleId="Marker2">
    <w:name w:val="Marker2"/>
    <w:rsid w:val="00B43E07"/>
    <w:rPr>
      <w:color w:val="FF0000"/>
      <w:shd w:val="clear" w:color="auto" w:fill="auto"/>
    </w:rPr>
  </w:style>
  <w:style w:type="paragraph" w:customStyle="1" w:styleId="Annexetitre">
    <w:name w:val="Annexe titre"/>
    <w:basedOn w:val="Normal"/>
    <w:next w:val="Normal"/>
    <w:rsid w:val="00B43E07"/>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rsid w:val="00B43E07"/>
    <w:pPr>
      <w:spacing w:before="480" w:after="120"/>
      <w:jc w:val="both"/>
    </w:pPr>
    <w:rPr>
      <w:rFonts w:ascii="Times New Roman" w:eastAsia="Times New Roman" w:hAnsi="Times New Roman" w:cs="Times New Roman"/>
      <w:sz w:val="24"/>
    </w:rPr>
  </w:style>
  <w:style w:type="paragraph" w:customStyle="1" w:styleId="Considrant">
    <w:name w:val="Considérant"/>
    <w:basedOn w:val="Normal"/>
    <w:rsid w:val="00B43E07"/>
    <w:pPr>
      <w:numPr>
        <w:numId w:val="9"/>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rsid w:val="00B43E07"/>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rsid w:val="00B43E07"/>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rsid w:val="00B43E07"/>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rsid w:val="00B43E07"/>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rsid w:val="00B43E07"/>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rsid w:val="00B43E07"/>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rsid w:val="00B43E07"/>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rsid w:val="00B43E07"/>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rsid w:val="00B43E07"/>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rsid w:val="00B43E07"/>
    <w:pPr>
      <w:keepNext/>
      <w:spacing w:before="60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9F12DA"/>
    <w:pPr>
      <w:ind w:left="720"/>
      <w:contextualSpacing/>
    </w:pPr>
  </w:style>
  <w:style w:type="character" w:styleId="CommentReference">
    <w:name w:val="annotation reference"/>
    <w:basedOn w:val="DefaultParagraphFont"/>
    <w:uiPriority w:val="99"/>
    <w:semiHidden/>
    <w:unhideWhenUsed/>
    <w:rsid w:val="00E7159B"/>
    <w:rPr>
      <w:sz w:val="16"/>
      <w:szCs w:val="16"/>
    </w:rPr>
  </w:style>
  <w:style w:type="paragraph" w:styleId="CommentText">
    <w:name w:val="annotation text"/>
    <w:basedOn w:val="Normal"/>
    <w:link w:val="CommentTextChar"/>
    <w:uiPriority w:val="99"/>
    <w:unhideWhenUsed/>
    <w:rsid w:val="00E7159B"/>
    <w:rPr>
      <w:sz w:val="20"/>
      <w:szCs w:val="20"/>
    </w:rPr>
  </w:style>
  <w:style w:type="character" w:customStyle="1" w:styleId="CommentTextChar">
    <w:name w:val="Comment Text Char"/>
    <w:basedOn w:val="DefaultParagraphFont"/>
    <w:link w:val="CommentText"/>
    <w:uiPriority w:val="99"/>
    <w:rsid w:val="00E7159B"/>
    <w:rPr>
      <w:sz w:val="20"/>
      <w:szCs w:val="20"/>
    </w:rPr>
  </w:style>
  <w:style w:type="paragraph" w:styleId="CommentSubject">
    <w:name w:val="annotation subject"/>
    <w:basedOn w:val="CommentText"/>
    <w:next w:val="CommentText"/>
    <w:link w:val="CommentSubjectChar"/>
    <w:uiPriority w:val="99"/>
    <w:semiHidden/>
    <w:unhideWhenUsed/>
    <w:rsid w:val="00E7159B"/>
    <w:rPr>
      <w:b/>
      <w:bCs/>
    </w:rPr>
  </w:style>
  <w:style w:type="character" w:customStyle="1" w:styleId="CommentSubjectChar">
    <w:name w:val="Comment Subject Char"/>
    <w:basedOn w:val="CommentTextChar"/>
    <w:link w:val="CommentSubject"/>
    <w:uiPriority w:val="99"/>
    <w:semiHidden/>
    <w:rsid w:val="00E7159B"/>
    <w:rPr>
      <w:b/>
      <w:bCs/>
      <w:sz w:val="20"/>
      <w:szCs w:val="20"/>
    </w:rPr>
  </w:style>
  <w:style w:type="paragraph" w:styleId="Caption">
    <w:name w:val="caption"/>
    <w:basedOn w:val="Normal"/>
    <w:next w:val="Normal"/>
    <w:uiPriority w:val="35"/>
    <w:unhideWhenUsed/>
    <w:qFormat/>
    <w:rsid w:val="00F42177"/>
    <w:pPr>
      <w:spacing w:line="240" w:lineRule="auto"/>
    </w:pPr>
    <w:rPr>
      <w:b/>
      <w:bCs/>
      <w:smallCaps/>
      <w:color w:val="2F5773" w:themeColor="accent1"/>
      <w:spacing w:val="6"/>
    </w:rPr>
  </w:style>
  <w:style w:type="paragraph" w:customStyle="1" w:styleId="Point1letter">
    <w:name w:val="Point 1 (letter)"/>
    <w:basedOn w:val="Normal"/>
    <w:rsid w:val="003956D6"/>
    <w:pPr>
      <w:widowControl w:val="0"/>
      <w:tabs>
        <w:tab w:val="left" w:pos="709"/>
      </w:tabs>
      <w:adjustRightInd w:val="0"/>
      <w:spacing w:before="120" w:after="120"/>
      <w:jc w:val="both"/>
      <w:textAlignment w:val="baseline"/>
    </w:pPr>
    <w:rPr>
      <w:rFonts w:ascii="Times New Roman" w:eastAsia="Times New Roman" w:hAnsi="Times New Roman" w:cs="Times New Roman"/>
      <w:color w:val="000000"/>
      <w:sz w:val="24"/>
      <w:szCs w:val="20"/>
      <w:lang w:eastAsia="en-GB"/>
    </w:rPr>
  </w:style>
  <w:style w:type="paragraph" w:customStyle="1" w:styleId="Point2number">
    <w:name w:val="Point 2 (number)"/>
    <w:basedOn w:val="Normal"/>
    <w:rsid w:val="003956D6"/>
    <w:pPr>
      <w:widowControl w:val="0"/>
      <w:adjustRightInd w:val="0"/>
      <w:spacing w:after="240"/>
      <w:ind w:left="1418" w:hanging="709"/>
      <w:jc w:val="both"/>
      <w:textAlignment w:val="baseline"/>
    </w:pPr>
    <w:rPr>
      <w:rFonts w:ascii="Times New Roman" w:eastAsia="Times New Roman" w:hAnsi="Times New Roman" w:cs="Times New Roman"/>
      <w:sz w:val="24"/>
      <w:szCs w:val="20"/>
      <w:lang w:eastAsia="en-GB"/>
    </w:rPr>
  </w:style>
  <w:style w:type="paragraph" w:customStyle="1" w:styleId="CM1">
    <w:name w:val="CM1"/>
    <w:basedOn w:val="Default"/>
    <w:next w:val="Default"/>
    <w:uiPriority w:val="99"/>
    <w:rsid w:val="00597146"/>
    <w:rPr>
      <w:rFonts w:ascii="EUAlbertina" w:eastAsiaTheme="minorEastAsia" w:hAnsi="EUAlbertina" w:cstheme="minorBidi"/>
      <w:color w:val="auto"/>
    </w:rPr>
  </w:style>
  <w:style w:type="paragraph" w:customStyle="1" w:styleId="CM3">
    <w:name w:val="CM3"/>
    <w:basedOn w:val="Default"/>
    <w:next w:val="Default"/>
    <w:uiPriority w:val="99"/>
    <w:rsid w:val="00597146"/>
    <w:rPr>
      <w:rFonts w:ascii="EUAlbertina" w:eastAsiaTheme="minorEastAsia" w:hAnsi="EUAlbertina" w:cstheme="minorBidi"/>
      <w:color w:val="auto"/>
    </w:rPr>
  </w:style>
  <w:style w:type="table" w:customStyle="1" w:styleId="Grilledetableauclaire1">
    <w:name w:val="Grille de tableau claire1"/>
    <w:basedOn w:val="TableNormal"/>
    <w:uiPriority w:val="40"/>
    <w:rsid w:val="00A760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oint0number">
    <w:name w:val="Point 0 (number)"/>
    <w:basedOn w:val="Normal"/>
    <w:rsid w:val="00A76095"/>
    <w:pPr>
      <w:spacing w:before="120" w:after="120"/>
      <w:ind w:left="720" w:hanging="360"/>
      <w:jc w:val="both"/>
    </w:pPr>
    <w:rPr>
      <w:rFonts w:ascii="Times New Roman" w:eastAsia="Calibri" w:hAnsi="Times New Roman" w:cs="Times New Roman"/>
      <w:sz w:val="24"/>
    </w:rPr>
  </w:style>
  <w:style w:type="paragraph" w:customStyle="1" w:styleId="Point1number">
    <w:name w:val="Point 1 (number)"/>
    <w:basedOn w:val="Normal"/>
    <w:rsid w:val="00A76095"/>
    <w:pPr>
      <w:spacing w:before="120" w:after="120"/>
      <w:ind w:left="2160" w:hanging="360"/>
      <w:jc w:val="both"/>
    </w:pPr>
    <w:rPr>
      <w:rFonts w:ascii="Times New Roman" w:eastAsia="Calibri" w:hAnsi="Times New Roman" w:cs="Times New Roman"/>
      <w:sz w:val="24"/>
    </w:rPr>
  </w:style>
  <w:style w:type="paragraph" w:customStyle="1" w:styleId="Point3number">
    <w:name w:val="Point 3 (number)"/>
    <w:basedOn w:val="Normal"/>
    <w:rsid w:val="00A76095"/>
    <w:pPr>
      <w:spacing w:before="120" w:after="120"/>
      <w:ind w:left="5040" w:hanging="360"/>
      <w:jc w:val="both"/>
    </w:pPr>
    <w:rPr>
      <w:rFonts w:ascii="Times New Roman" w:eastAsia="Calibri" w:hAnsi="Times New Roman" w:cs="Times New Roman"/>
      <w:sz w:val="24"/>
    </w:rPr>
  </w:style>
  <w:style w:type="character" w:styleId="Strong">
    <w:name w:val="Strong"/>
    <w:basedOn w:val="DefaultParagraphFont"/>
    <w:uiPriority w:val="22"/>
    <w:qFormat/>
    <w:rsid w:val="00F42177"/>
    <w:rPr>
      <w:b/>
      <w:bCs/>
    </w:rPr>
  </w:style>
  <w:style w:type="character" w:styleId="Emphasis">
    <w:name w:val="Emphasis"/>
    <w:basedOn w:val="DefaultParagraphFont"/>
    <w:uiPriority w:val="20"/>
    <w:qFormat/>
    <w:rsid w:val="00F42177"/>
    <w:rPr>
      <w:i/>
      <w:iCs/>
    </w:rPr>
  </w:style>
  <w:style w:type="paragraph" w:styleId="NoSpacing">
    <w:name w:val="No Spacing"/>
    <w:uiPriority w:val="1"/>
    <w:qFormat/>
    <w:rsid w:val="00F42177"/>
    <w:pPr>
      <w:spacing w:after="0" w:line="240" w:lineRule="auto"/>
    </w:pPr>
  </w:style>
  <w:style w:type="paragraph" w:styleId="Quote">
    <w:name w:val="Quote"/>
    <w:basedOn w:val="Normal"/>
    <w:next w:val="Normal"/>
    <w:link w:val="QuoteChar"/>
    <w:uiPriority w:val="29"/>
    <w:qFormat/>
    <w:rsid w:val="00F42177"/>
    <w:pPr>
      <w:spacing w:before="120"/>
      <w:ind w:left="720" w:right="720"/>
      <w:jc w:val="center"/>
    </w:pPr>
    <w:rPr>
      <w:i/>
      <w:iCs/>
    </w:rPr>
  </w:style>
  <w:style w:type="character" w:customStyle="1" w:styleId="QuoteChar">
    <w:name w:val="Quote Char"/>
    <w:basedOn w:val="DefaultParagraphFont"/>
    <w:link w:val="Quote"/>
    <w:uiPriority w:val="29"/>
    <w:rsid w:val="00F42177"/>
    <w:rPr>
      <w:i/>
      <w:iCs/>
    </w:rPr>
  </w:style>
  <w:style w:type="paragraph" w:styleId="IntenseQuote">
    <w:name w:val="Intense Quote"/>
    <w:basedOn w:val="Normal"/>
    <w:next w:val="Normal"/>
    <w:link w:val="IntenseQuoteChar"/>
    <w:uiPriority w:val="30"/>
    <w:qFormat/>
    <w:rsid w:val="00F42177"/>
    <w:pPr>
      <w:spacing w:before="120" w:line="300" w:lineRule="auto"/>
      <w:ind w:left="576" w:right="576"/>
      <w:jc w:val="center"/>
    </w:pPr>
    <w:rPr>
      <w:rFonts w:asciiTheme="majorHAnsi" w:eastAsiaTheme="majorEastAsia" w:hAnsiTheme="majorHAnsi" w:cstheme="majorBidi"/>
      <w:color w:val="2F5773" w:themeColor="accent1"/>
      <w:sz w:val="24"/>
      <w:szCs w:val="24"/>
    </w:rPr>
  </w:style>
  <w:style w:type="character" w:customStyle="1" w:styleId="IntenseQuoteChar">
    <w:name w:val="Intense Quote Char"/>
    <w:basedOn w:val="DefaultParagraphFont"/>
    <w:link w:val="IntenseQuote"/>
    <w:uiPriority w:val="30"/>
    <w:rsid w:val="00F42177"/>
    <w:rPr>
      <w:rFonts w:asciiTheme="majorHAnsi" w:eastAsiaTheme="majorEastAsia" w:hAnsiTheme="majorHAnsi" w:cstheme="majorBidi"/>
      <w:color w:val="2F5773" w:themeColor="accent1"/>
      <w:sz w:val="24"/>
      <w:szCs w:val="24"/>
    </w:rPr>
  </w:style>
  <w:style w:type="character" w:styleId="SubtleEmphasis">
    <w:name w:val="Subtle Emphasis"/>
    <w:basedOn w:val="DefaultParagraphFont"/>
    <w:uiPriority w:val="19"/>
    <w:qFormat/>
    <w:rsid w:val="00F42177"/>
    <w:rPr>
      <w:i/>
      <w:iCs/>
      <w:color w:val="404040" w:themeColor="text1" w:themeTint="BF"/>
    </w:rPr>
  </w:style>
  <w:style w:type="character" w:styleId="IntenseEmphasis">
    <w:name w:val="Intense Emphasis"/>
    <w:basedOn w:val="DefaultParagraphFont"/>
    <w:uiPriority w:val="21"/>
    <w:qFormat/>
    <w:rsid w:val="00F42177"/>
    <w:rPr>
      <w:b w:val="0"/>
      <w:bCs w:val="0"/>
      <w:i/>
      <w:iCs/>
      <w:color w:val="2F5773" w:themeColor="accent1"/>
    </w:rPr>
  </w:style>
  <w:style w:type="character" w:styleId="SubtleReference">
    <w:name w:val="Subtle Reference"/>
    <w:basedOn w:val="DefaultParagraphFont"/>
    <w:uiPriority w:val="31"/>
    <w:qFormat/>
    <w:rsid w:val="00F42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42177"/>
    <w:rPr>
      <w:b/>
      <w:bCs/>
      <w:smallCaps/>
      <w:color w:val="2F5773" w:themeColor="accent1"/>
      <w:spacing w:val="5"/>
      <w:u w:val="single"/>
    </w:rPr>
  </w:style>
  <w:style w:type="paragraph" w:customStyle="1" w:styleId="InstructionsText">
    <w:name w:val="Instructions Text"/>
    <w:basedOn w:val="Normal"/>
    <w:link w:val="InstructionsTextChar"/>
    <w:autoRedefine/>
    <w:rsid w:val="00B62DC9"/>
    <w:pPr>
      <w:spacing w:after="120" w:line="240" w:lineRule="auto"/>
    </w:pPr>
    <w:rPr>
      <w:rFonts w:ascii="Times New Roman" w:eastAsia="Times New Roman" w:hAnsi="Times New Roman" w:cs="Times New Roman"/>
      <w:noProof/>
      <w:sz w:val="24"/>
      <w:szCs w:val="24"/>
      <w:lang w:eastAsia="de-DE"/>
    </w:rPr>
  </w:style>
  <w:style w:type="character" w:customStyle="1" w:styleId="FormatvorlageInstructionsTabelleText">
    <w:name w:val="Formatvorlage Instructions Tabelle Text"/>
    <w:uiPriority w:val="99"/>
    <w:qFormat/>
    <w:rsid w:val="00807127"/>
    <w:rPr>
      <w:rFonts w:ascii="Verdana" w:hAnsi="Verdana" w:cs="Times New Roman"/>
      <w:bCs/>
      <w:sz w:val="20"/>
      <w:u w:val="none"/>
    </w:rPr>
  </w:style>
  <w:style w:type="character" w:customStyle="1" w:styleId="InstructionsTextChar">
    <w:name w:val="Instructions Text Char"/>
    <w:link w:val="InstructionsText"/>
    <w:locked/>
    <w:rsid w:val="00B62DC9"/>
    <w:rPr>
      <w:rFonts w:ascii="Times New Roman" w:eastAsia="Times New Roman" w:hAnsi="Times New Roman" w:cs="Times New Roman"/>
      <w:noProof/>
      <w:sz w:val="24"/>
      <w:szCs w:val="24"/>
      <w:lang w:val="sk-SK" w:eastAsia="de-DE"/>
    </w:rPr>
  </w:style>
  <w:style w:type="paragraph" w:styleId="Revision">
    <w:name w:val="Revision"/>
    <w:hidden/>
    <w:uiPriority w:val="99"/>
    <w:semiHidden/>
    <w:rsid w:val="00510C0E"/>
    <w:pPr>
      <w:spacing w:after="0" w:line="240" w:lineRule="auto"/>
    </w:pPr>
  </w:style>
  <w:style w:type="paragraph" w:customStyle="1" w:styleId="Heading">
    <w:name w:val="Heading"/>
    <w:basedOn w:val="Numberedtilelevel1"/>
    <w:link w:val="HeadingChar"/>
    <w:qFormat/>
    <w:rsid w:val="001F4C02"/>
    <w:pPr>
      <w:ind w:left="709" w:hanging="709"/>
    </w:pPr>
    <w:rPr>
      <w:rFonts w:ascii="Times New Roman" w:hAnsi="Times New Roman" w:cs="Times New Roman"/>
      <w:sz w:val="24"/>
      <w:szCs w:val="24"/>
    </w:rPr>
  </w:style>
  <w:style w:type="character" w:customStyle="1" w:styleId="Titlelevel1Char">
    <w:name w:val="Title level 1 Char"/>
    <w:basedOn w:val="DefaultParagraphFont"/>
    <w:link w:val="Titlelevel1"/>
    <w:rsid w:val="00FD17AA"/>
    <w:rPr>
      <w:rFonts w:asciiTheme="majorHAnsi" w:eastAsiaTheme="majorEastAsia" w:hAnsiTheme="majorHAnsi" w:cstheme="majorBidi"/>
      <w:color w:val="2F5773" w:themeColor="text2"/>
      <w:spacing w:val="5"/>
      <w:kern w:val="28"/>
      <w:sz w:val="52"/>
      <w:szCs w:val="52"/>
    </w:rPr>
  </w:style>
  <w:style w:type="character" w:customStyle="1" w:styleId="Numberedtilelevel1Char">
    <w:name w:val="Numbered tile level 1 Char"/>
    <w:basedOn w:val="Titlelevel1Char"/>
    <w:link w:val="Numberedtilelevel1"/>
    <w:rsid w:val="00FD17AA"/>
    <w:rPr>
      <w:rFonts w:asciiTheme="majorHAnsi" w:eastAsiaTheme="majorEastAsia" w:hAnsiTheme="majorHAnsi" w:cstheme="majorBidi"/>
      <w:color w:val="2F5773" w:themeColor="text2"/>
      <w:spacing w:val="5"/>
      <w:kern w:val="28"/>
      <w:sz w:val="52"/>
      <w:szCs w:val="52"/>
    </w:rPr>
  </w:style>
  <w:style w:type="character" w:customStyle="1" w:styleId="HeadingChar">
    <w:name w:val="Heading Char"/>
    <w:basedOn w:val="Numberedtilelevel1Char"/>
    <w:link w:val="Heading"/>
    <w:rsid w:val="001F4C02"/>
    <w:rPr>
      <w:rFonts w:ascii="Times New Roman" w:eastAsiaTheme="majorEastAsia" w:hAnsi="Times New Roman" w:cs="Times New Roman"/>
      <w:color w:val="2F5773" w:themeColor="text2"/>
      <w:spacing w:val="5"/>
      <w:kern w:val="28"/>
      <w:sz w:val="24"/>
      <w:szCs w:val="24"/>
    </w:rPr>
  </w:style>
  <w:style w:type="paragraph" w:customStyle="1" w:styleId="Instructionsberschrift2">
    <w:name w:val="Instructions Überschrift 2"/>
    <w:basedOn w:val="Heading2"/>
    <w:rsid w:val="0065594A"/>
    <w:pPr>
      <w:keepLines w:val="0"/>
      <w:numPr>
        <w:numId w:val="14"/>
      </w:numPr>
      <w:spacing w:before="240" w:after="240"/>
      <w:jc w:val="both"/>
    </w:pPr>
    <w:rPr>
      <w:rFonts w:ascii="Verdana" w:eastAsia="Arial" w:hAnsi="Verdana" w:cs="Arial"/>
      <w:sz w:val="20"/>
      <w:szCs w:val="24"/>
      <w:u w:val="single"/>
      <w:lang w:eastAsia="x-none"/>
    </w:rPr>
  </w:style>
  <w:style w:type="paragraph" w:customStyle="1" w:styleId="InstructionsText2">
    <w:name w:val="Instructions Text 2"/>
    <w:basedOn w:val="InstructionsText"/>
    <w:qFormat/>
    <w:rsid w:val="0065594A"/>
    <w:pPr>
      <w:spacing w:after="240"/>
    </w:pPr>
  </w:style>
  <w:style w:type="character" w:customStyle="1" w:styleId="InstructionsTabelleberschrift">
    <w:name w:val="Instructions Tabelle Überschrift"/>
    <w:qFormat/>
    <w:rsid w:val="00A47BCD"/>
    <w:rPr>
      <w:rFonts w:ascii="Verdana" w:hAnsi="Verdana" w:cs="Times New Roman"/>
      <w:b/>
      <w:bCs/>
      <w:sz w:val="20"/>
      <w:u w:val="single"/>
    </w:rPr>
  </w:style>
  <w:style w:type="character" w:styleId="FollowedHyperlink">
    <w:name w:val="FollowedHyperlink"/>
    <w:basedOn w:val="DefaultParagraphFont"/>
    <w:uiPriority w:val="99"/>
    <w:semiHidden/>
    <w:unhideWhenUsed/>
    <w:rsid w:val="005B76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0851">
      <w:bodyDiv w:val="1"/>
      <w:marLeft w:val="0"/>
      <w:marRight w:val="0"/>
      <w:marTop w:val="0"/>
      <w:marBottom w:val="0"/>
      <w:divBdr>
        <w:top w:val="none" w:sz="0" w:space="0" w:color="auto"/>
        <w:left w:val="none" w:sz="0" w:space="0" w:color="auto"/>
        <w:bottom w:val="none" w:sz="0" w:space="0" w:color="auto"/>
        <w:right w:val="none" w:sz="0" w:space="0" w:color="auto"/>
      </w:divBdr>
    </w:div>
    <w:div w:id="194852131">
      <w:bodyDiv w:val="1"/>
      <w:marLeft w:val="0"/>
      <w:marRight w:val="0"/>
      <w:marTop w:val="0"/>
      <w:marBottom w:val="0"/>
      <w:divBdr>
        <w:top w:val="none" w:sz="0" w:space="0" w:color="auto"/>
        <w:left w:val="none" w:sz="0" w:space="0" w:color="auto"/>
        <w:bottom w:val="none" w:sz="0" w:space="0" w:color="auto"/>
        <w:right w:val="none" w:sz="0" w:space="0" w:color="auto"/>
      </w:divBdr>
    </w:div>
    <w:div w:id="247663650">
      <w:bodyDiv w:val="1"/>
      <w:marLeft w:val="0"/>
      <w:marRight w:val="0"/>
      <w:marTop w:val="0"/>
      <w:marBottom w:val="0"/>
      <w:divBdr>
        <w:top w:val="none" w:sz="0" w:space="0" w:color="auto"/>
        <w:left w:val="none" w:sz="0" w:space="0" w:color="auto"/>
        <w:bottom w:val="none" w:sz="0" w:space="0" w:color="auto"/>
        <w:right w:val="none" w:sz="0" w:space="0" w:color="auto"/>
      </w:divBdr>
    </w:div>
    <w:div w:id="261452164">
      <w:bodyDiv w:val="1"/>
      <w:marLeft w:val="0"/>
      <w:marRight w:val="0"/>
      <w:marTop w:val="0"/>
      <w:marBottom w:val="0"/>
      <w:divBdr>
        <w:top w:val="none" w:sz="0" w:space="0" w:color="auto"/>
        <w:left w:val="none" w:sz="0" w:space="0" w:color="auto"/>
        <w:bottom w:val="none" w:sz="0" w:space="0" w:color="auto"/>
        <w:right w:val="none" w:sz="0" w:space="0" w:color="auto"/>
      </w:divBdr>
    </w:div>
    <w:div w:id="495071054">
      <w:bodyDiv w:val="1"/>
      <w:marLeft w:val="0"/>
      <w:marRight w:val="0"/>
      <w:marTop w:val="0"/>
      <w:marBottom w:val="0"/>
      <w:divBdr>
        <w:top w:val="none" w:sz="0" w:space="0" w:color="auto"/>
        <w:left w:val="none" w:sz="0" w:space="0" w:color="auto"/>
        <w:bottom w:val="none" w:sz="0" w:space="0" w:color="auto"/>
        <w:right w:val="none" w:sz="0" w:space="0" w:color="auto"/>
      </w:divBdr>
    </w:div>
    <w:div w:id="579288300">
      <w:bodyDiv w:val="1"/>
      <w:marLeft w:val="0"/>
      <w:marRight w:val="0"/>
      <w:marTop w:val="0"/>
      <w:marBottom w:val="0"/>
      <w:divBdr>
        <w:top w:val="none" w:sz="0" w:space="0" w:color="auto"/>
        <w:left w:val="none" w:sz="0" w:space="0" w:color="auto"/>
        <w:bottom w:val="none" w:sz="0" w:space="0" w:color="auto"/>
        <w:right w:val="none" w:sz="0" w:space="0" w:color="auto"/>
      </w:divBdr>
    </w:div>
    <w:div w:id="596407262">
      <w:bodyDiv w:val="1"/>
      <w:marLeft w:val="0"/>
      <w:marRight w:val="0"/>
      <w:marTop w:val="0"/>
      <w:marBottom w:val="0"/>
      <w:divBdr>
        <w:top w:val="none" w:sz="0" w:space="0" w:color="auto"/>
        <w:left w:val="none" w:sz="0" w:space="0" w:color="auto"/>
        <w:bottom w:val="none" w:sz="0" w:space="0" w:color="auto"/>
        <w:right w:val="none" w:sz="0" w:space="0" w:color="auto"/>
      </w:divBdr>
    </w:div>
    <w:div w:id="768937124">
      <w:bodyDiv w:val="1"/>
      <w:marLeft w:val="0"/>
      <w:marRight w:val="0"/>
      <w:marTop w:val="0"/>
      <w:marBottom w:val="0"/>
      <w:divBdr>
        <w:top w:val="none" w:sz="0" w:space="0" w:color="auto"/>
        <w:left w:val="none" w:sz="0" w:space="0" w:color="auto"/>
        <w:bottom w:val="none" w:sz="0" w:space="0" w:color="auto"/>
        <w:right w:val="none" w:sz="0" w:space="0" w:color="auto"/>
      </w:divBdr>
    </w:div>
    <w:div w:id="968825126">
      <w:bodyDiv w:val="1"/>
      <w:marLeft w:val="0"/>
      <w:marRight w:val="0"/>
      <w:marTop w:val="0"/>
      <w:marBottom w:val="0"/>
      <w:divBdr>
        <w:top w:val="none" w:sz="0" w:space="0" w:color="auto"/>
        <w:left w:val="none" w:sz="0" w:space="0" w:color="auto"/>
        <w:bottom w:val="none" w:sz="0" w:space="0" w:color="auto"/>
        <w:right w:val="none" w:sz="0" w:space="0" w:color="auto"/>
      </w:divBdr>
    </w:div>
    <w:div w:id="980379001">
      <w:bodyDiv w:val="1"/>
      <w:marLeft w:val="0"/>
      <w:marRight w:val="0"/>
      <w:marTop w:val="0"/>
      <w:marBottom w:val="0"/>
      <w:divBdr>
        <w:top w:val="none" w:sz="0" w:space="0" w:color="auto"/>
        <w:left w:val="none" w:sz="0" w:space="0" w:color="auto"/>
        <w:bottom w:val="none" w:sz="0" w:space="0" w:color="auto"/>
        <w:right w:val="none" w:sz="0" w:space="0" w:color="auto"/>
      </w:divBdr>
    </w:div>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1613584015">
      <w:bodyDiv w:val="1"/>
      <w:marLeft w:val="0"/>
      <w:marRight w:val="0"/>
      <w:marTop w:val="0"/>
      <w:marBottom w:val="0"/>
      <w:divBdr>
        <w:top w:val="none" w:sz="0" w:space="0" w:color="auto"/>
        <w:left w:val="none" w:sz="0" w:space="0" w:color="auto"/>
        <w:bottom w:val="none" w:sz="0" w:space="0" w:color="auto"/>
        <w:right w:val="none" w:sz="0" w:space="0" w:color="auto"/>
      </w:divBdr>
    </w:div>
    <w:div w:id="2008171406">
      <w:bodyDiv w:val="1"/>
      <w:marLeft w:val="0"/>
      <w:marRight w:val="0"/>
      <w:marTop w:val="0"/>
      <w:marBottom w:val="0"/>
      <w:divBdr>
        <w:top w:val="none" w:sz="0" w:space="0" w:color="auto"/>
        <w:left w:val="none" w:sz="0" w:space="0" w:color="auto"/>
        <w:bottom w:val="none" w:sz="0" w:space="0" w:color="auto"/>
        <w:right w:val="none" w:sz="0" w:space="0" w:color="auto"/>
      </w:divBdr>
    </w:div>
    <w:div w:id="2029520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5F79D-63F7-42D0-8F31-2808AF242F86}">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7815</Words>
  <Characters>44780</Characters>
  <Application>Microsoft Office Word</Application>
  <DocSecurity>0</DocSecurity>
  <Lines>1041</Lines>
  <Paragraphs>565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2024-04-05T10:29:00Z</dcterms:created>
  <dcterms:modified xsi:type="dcterms:W3CDTF">2024-05-13T13:17:00Z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2024-03-04T17:54:16Z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91b58fde-dfad-47dc-b1e2-20839b75e6a2</vt:lpwstr>
  </property>
  <property fmtid="{D5CDD505-2E9C-101B-9397-08002B2CF9AE}" pid="8" name="MSIP_Label_6bd9ddd1-4d20-43f6-abfa-fc3c07406f94_ContentBits">
    <vt:lpwstr>0</vt:lpwstr>
  </property>
</Properties>
</file>